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Default Extension="png" ContentType="image/png"/>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Default Extension="jpeg" ContentType="image/jpeg"/>
  <Override PartName="/word/header9.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1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12.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header13.xml" ContentType="application/vnd.openxmlformats-officedocument.wordprocessingml.header+xml"/>
  <Override PartName="/word/footer44.xml" ContentType="application/vnd.openxmlformats-officedocument.wordprocessingml.footer+xml"/>
  <Override PartName="/word/header14.xml" ContentType="application/vnd.openxmlformats-officedocument.wordprocessingml.header+xml"/>
  <Override PartName="/word/footer45.xml" ContentType="application/vnd.openxmlformats-officedocument.wordprocessingml.footer+xml"/>
  <Override PartName="/word/header15.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16.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17.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18.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header19.xml" ContentType="application/vnd.openxmlformats-officedocument.wordprocessingml.header+xml"/>
  <Override PartName="/word/footer59.xml" ContentType="application/vnd.openxmlformats-officedocument.wordprocessingml.footer+xml"/>
  <Override PartName="/word/header20.xml" ContentType="application/vnd.openxmlformats-officedocument.wordprocessingml.header+xml"/>
  <Override PartName="/word/footer60.xml" ContentType="application/vnd.openxmlformats-officedocument.wordprocessingml.footer+xml"/>
  <Override PartName="/word/header21.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header22.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23.xml" ContentType="application/vnd.openxmlformats-officedocument.wordprocessingml.header+xml"/>
  <Override PartName="/word/footer72.xml" ContentType="application/vnd.openxmlformats-officedocument.wordprocessingml.footer+xml"/>
  <Override PartName="/word/header2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7"/>
        <w:rPr>
          <w:rFonts w:ascii="Times New Roman" w:hAnsi="Times New Roman" w:cs="Times New Roman" w:eastAsia="Times New Roman" w:hint="default"/>
          <w:sz w:val="6"/>
          <w:szCs w:val="6"/>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5.3pt;height:.75pt;mso-position-horizontal-relative:char;mso-position-vertical-relative:line" coordorigin="0,0" coordsize="8906,15">
            <v:group style="position:absolute;left:7;top:7;width:8891;height:2" coordorigin="7,7" coordsize="8891,2">
              <v:shape style="position:absolute;left:7;top:7;width:8891;height:2" coordorigin="7,7" coordsize="8891,0" path="m7,7l889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0"/>
          <w:szCs w:val="20"/>
        </w:rPr>
      </w:pPr>
    </w:p>
    <w:p>
      <w:pPr>
        <w:pStyle w:val="BodyText"/>
        <w:tabs>
          <w:tab w:pos="6696" w:val="left" w:leader="none"/>
        </w:tabs>
        <w:spacing w:line="240" w:lineRule="auto" w:before="26"/>
        <w:ind w:left="0" w:right="14"/>
        <w:jc w:val="center"/>
      </w:pPr>
      <w:r>
        <w:rPr>
          <w:spacing w:val="-3"/>
        </w:rPr>
        <w:t>公司代码：</w:t>
      </w:r>
      <w:r>
        <w:rPr>
          <w:rFonts w:ascii="宋体" w:hAnsi="宋体" w:cs="宋体" w:eastAsia="宋体" w:hint="default"/>
          <w:spacing w:val="-3"/>
        </w:rPr>
        <w:t>600208</w:t>
        <w:tab/>
      </w:r>
      <w:r>
        <w:rPr>
          <w:spacing w:val="-3"/>
        </w:rPr>
        <w:t>公司简称：新湖中宝</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8"/>
          <w:szCs w:val="28"/>
        </w:rPr>
      </w:pPr>
    </w:p>
    <w:p>
      <w:pPr>
        <w:spacing w:line="475" w:lineRule="auto" w:before="0"/>
        <w:ind w:left="2437" w:right="2452"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新湖中宝股份有限公司</w:t>
      </w:r>
      <w:r>
        <w:rPr>
          <w:rFonts w:ascii="黑体" w:hAnsi="黑体" w:cs="黑体" w:eastAsia="黑体" w:hint="default"/>
          <w:b/>
          <w:bCs/>
          <w:color w:val="FF0000"/>
          <w:spacing w:val="-1"/>
          <w:w w:val="95"/>
          <w:sz w:val="44"/>
          <w:szCs w:val="44"/>
        </w:rPr>
        <w:t> </w:t>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475" w:lineRule="auto"/>
        <w:jc w:val="center"/>
        <w:rPr>
          <w:rFonts w:ascii="黑体" w:hAnsi="黑体" w:cs="黑体" w:eastAsia="黑体" w:hint="default"/>
          <w:sz w:val="44"/>
          <w:szCs w:val="44"/>
        </w:rPr>
        <w:sectPr>
          <w:type w:val="continuous"/>
          <w:pgSz w:w="11910" w:h="16840"/>
          <w:pgMar w:top="1000" w:bottom="280" w:left="1660" w:right="112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60"/>
        <w:ind w:left="3071" w:right="3168"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10"/>
        <w:rPr>
          <w:rFonts w:ascii="黑体" w:hAnsi="黑体" w:cs="黑体" w:eastAsia="黑体" w:hint="default"/>
          <w:b/>
          <w:bCs/>
          <w:sz w:val="21"/>
          <w:szCs w:val="21"/>
        </w:rPr>
      </w:pPr>
    </w:p>
    <w:p>
      <w:pPr>
        <w:pStyle w:val="Heading2"/>
        <w:spacing w:line="357" w:lineRule="auto" w:before="0"/>
        <w:ind w:left="558" w:right="119" w:hanging="420"/>
        <w:jc w:val="left"/>
        <w:rPr>
          <w:b w:val="0"/>
          <w:bCs w:val="0"/>
        </w:rPr>
      </w:pPr>
      <w:r>
        <w:rPr>
          <w:spacing w:val="2"/>
          <w:sz w:val="21"/>
          <w:szCs w:val="21"/>
        </w:rPr>
        <w:t>一、</w:t>
      </w:r>
      <w:r>
        <w:rPr>
          <w:spacing w:val="2"/>
        </w:rPr>
        <w:t>本公司董事会、监事会及董事、监事、高级管理人员保证年度报告内容的真实、</w:t>
      </w:r>
      <w:r>
        <w:rPr>
          <w:spacing w:val="-117"/>
        </w:rPr>
        <w:t> </w:t>
      </w:r>
      <w:r>
        <w:rPr>
          <w:spacing w:val="-117"/>
        </w:rPr>
      </w:r>
      <w:r>
        <w:rPr/>
        <w:t>准确、完整，不存在虚假记载、误导性陈述或重大遗漏，并承担个别和连带的法</w:t>
      </w:r>
      <w:r>
        <w:rPr>
          <w:w w:val="99"/>
        </w:rPr>
        <w:t> </w:t>
      </w:r>
      <w:r>
        <w:rPr/>
        <w:t>律责任。</w:t>
      </w:r>
      <w:r>
        <w:rPr>
          <w:b w:val="0"/>
          <w:bCs w:val="0"/>
        </w:rPr>
      </w:r>
    </w:p>
    <w:p>
      <w:pPr>
        <w:spacing w:line="240" w:lineRule="auto" w:before="6"/>
        <w:rPr>
          <w:rFonts w:ascii="宋体" w:hAnsi="宋体" w:cs="宋体" w:eastAsia="宋体" w:hint="default"/>
          <w:b/>
          <w:bCs/>
          <w:sz w:val="26"/>
          <w:szCs w:val="26"/>
        </w:rPr>
      </w:pPr>
    </w:p>
    <w:p>
      <w:pPr>
        <w:pStyle w:val="Heading2"/>
        <w:spacing w:line="240" w:lineRule="auto" w:before="0"/>
        <w:ind w:left="138" w:right="119"/>
        <w:jc w:val="left"/>
        <w:rPr>
          <w:b w:val="0"/>
          <w:bCs w:val="0"/>
        </w:rPr>
      </w:pPr>
      <w:r>
        <w:rPr>
          <w:sz w:val="21"/>
          <w:szCs w:val="21"/>
        </w:rPr>
        <w:t>二、</w:t>
      </w:r>
      <w:r>
        <w:rPr>
          <w:spacing w:val="-80"/>
          <w:sz w:val="21"/>
          <w:szCs w:val="21"/>
        </w:rPr>
        <w:t> </w:t>
      </w:r>
      <w:r>
        <w:rPr/>
        <w:t>公司全体董事出席董事会会议。</w:t>
      </w:r>
      <w:r>
        <w:rPr>
          <w:b w:val="0"/>
          <w:bCs w:val="0"/>
        </w:rPr>
      </w:r>
    </w:p>
    <w:p>
      <w:pPr>
        <w:spacing w:line="240" w:lineRule="auto" w:before="6"/>
        <w:rPr>
          <w:rFonts w:ascii="宋体" w:hAnsi="宋体" w:cs="宋体" w:eastAsia="宋体" w:hint="default"/>
          <w:b/>
          <w:bCs/>
          <w:sz w:val="35"/>
          <w:szCs w:val="35"/>
        </w:rPr>
      </w:pPr>
    </w:p>
    <w:p>
      <w:pPr>
        <w:pStyle w:val="Heading2"/>
        <w:spacing w:line="240" w:lineRule="auto" w:before="0"/>
        <w:ind w:left="138" w:right="0"/>
        <w:jc w:val="left"/>
        <w:rPr>
          <w:b w:val="0"/>
          <w:bCs w:val="0"/>
        </w:rPr>
      </w:pPr>
      <w:r>
        <w:rPr>
          <w:w w:val="100"/>
          <w:sz w:val="21"/>
          <w:szCs w:val="21"/>
        </w:rPr>
        <w:t>三、</w:t>
      </w:r>
      <w:r>
        <w:rPr>
          <w:spacing w:val="-10"/>
          <w:sz w:val="21"/>
          <w:szCs w:val="21"/>
        </w:rPr>
        <w:t> </w:t>
      </w:r>
      <w:r>
        <w:rPr>
          <w:spacing w:val="2"/>
          <w:w w:val="99"/>
        </w:rPr>
        <w:t>天</w:t>
      </w:r>
      <w:r>
        <w:rPr>
          <w:w w:val="99"/>
        </w:rPr>
        <w:t>健</w:t>
      </w:r>
      <w:r>
        <w:rPr>
          <w:spacing w:val="2"/>
          <w:w w:val="99"/>
        </w:rPr>
        <w:t>会</w:t>
      </w:r>
      <w:r>
        <w:rPr>
          <w:w w:val="99"/>
        </w:rPr>
        <w:t>计师</w:t>
      </w:r>
      <w:r>
        <w:rPr>
          <w:spacing w:val="2"/>
          <w:w w:val="99"/>
        </w:rPr>
        <w:t>事</w:t>
      </w:r>
      <w:r>
        <w:rPr>
          <w:w w:val="99"/>
        </w:rPr>
        <w:t>务</w:t>
      </w:r>
      <w:r>
        <w:rPr>
          <w:spacing w:val="-118"/>
          <w:w w:val="99"/>
        </w:rPr>
        <w:t>所</w:t>
      </w:r>
      <w:r>
        <w:rPr>
          <w:w w:val="99"/>
        </w:rPr>
        <w:t>（特</w:t>
      </w:r>
      <w:r>
        <w:rPr>
          <w:spacing w:val="2"/>
          <w:w w:val="99"/>
        </w:rPr>
        <w:t>殊</w:t>
      </w:r>
      <w:r>
        <w:rPr>
          <w:w w:val="99"/>
        </w:rPr>
        <w:t>普</w:t>
      </w:r>
      <w:r>
        <w:rPr>
          <w:spacing w:val="2"/>
          <w:w w:val="99"/>
        </w:rPr>
        <w:t>通</w:t>
      </w:r>
      <w:r>
        <w:rPr>
          <w:w w:val="99"/>
        </w:rPr>
        <w:t>合</w:t>
      </w:r>
      <w:r>
        <w:rPr>
          <w:spacing w:val="2"/>
          <w:w w:val="99"/>
        </w:rPr>
        <w:t>伙</w:t>
      </w:r>
      <w:r>
        <w:rPr>
          <w:spacing w:val="-118"/>
          <w:w w:val="99"/>
        </w:rPr>
        <w:t>）</w:t>
      </w:r>
      <w:r>
        <w:rPr>
          <w:spacing w:val="2"/>
          <w:w w:val="99"/>
        </w:rPr>
        <w:t>为</w:t>
      </w:r>
      <w:r>
        <w:rPr>
          <w:w w:val="99"/>
        </w:rPr>
        <w:t>本公司</w:t>
      </w:r>
      <w:r>
        <w:rPr>
          <w:spacing w:val="2"/>
          <w:w w:val="99"/>
        </w:rPr>
        <w:t>出</w:t>
      </w:r>
      <w:r>
        <w:rPr>
          <w:w w:val="99"/>
        </w:rPr>
        <w:t>具</w:t>
      </w:r>
      <w:r>
        <w:rPr>
          <w:spacing w:val="3"/>
          <w:w w:val="99"/>
        </w:rPr>
        <w:t>了</w:t>
      </w:r>
      <w:r>
        <w:rPr>
          <w:w w:val="99"/>
        </w:rPr>
        <w:t>标准</w:t>
      </w:r>
      <w:r>
        <w:rPr>
          <w:spacing w:val="2"/>
          <w:w w:val="99"/>
        </w:rPr>
        <w:t>无</w:t>
      </w:r>
      <w:r>
        <w:rPr>
          <w:w w:val="99"/>
        </w:rPr>
        <w:t>保</w:t>
      </w:r>
      <w:r>
        <w:rPr>
          <w:spacing w:val="2"/>
          <w:w w:val="99"/>
        </w:rPr>
        <w:t>留</w:t>
      </w:r>
      <w:r>
        <w:rPr>
          <w:w w:val="99"/>
        </w:rPr>
        <w:t>意</w:t>
      </w:r>
      <w:r>
        <w:rPr>
          <w:spacing w:val="1"/>
          <w:w w:val="99"/>
        </w:rPr>
        <w:t>见</w:t>
      </w:r>
      <w:r>
        <w:rPr>
          <w:spacing w:val="2"/>
          <w:w w:val="99"/>
        </w:rPr>
        <w:t>的</w:t>
      </w:r>
      <w:r>
        <w:rPr>
          <w:w w:val="99"/>
        </w:rPr>
        <w:t>审</w:t>
      </w:r>
      <w:r>
        <w:rPr>
          <w:spacing w:val="2"/>
          <w:w w:val="99"/>
        </w:rPr>
        <w:t>计</w:t>
      </w:r>
      <w:r>
        <w:rPr>
          <w:w w:val="99"/>
        </w:rPr>
        <w:t>报告。</w:t>
      </w:r>
      <w:r>
        <w:rPr>
          <w:b w:val="0"/>
          <w:bCs w:val="0"/>
        </w:rPr>
      </w:r>
    </w:p>
    <w:p>
      <w:pPr>
        <w:spacing w:line="240" w:lineRule="auto" w:before="6"/>
        <w:rPr>
          <w:rFonts w:ascii="宋体" w:hAnsi="宋体" w:cs="宋体" w:eastAsia="宋体" w:hint="default"/>
          <w:b/>
          <w:bCs/>
          <w:sz w:val="35"/>
          <w:szCs w:val="35"/>
        </w:rPr>
      </w:pPr>
    </w:p>
    <w:p>
      <w:pPr>
        <w:pStyle w:val="Heading2"/>
        <w:spacing w:line="357" w:lineRule="auto" w:before="0"/>
        <w:ind w:left="558" w:right="119" w:hanging="420"/>
        <w:jc w:val="left"/>
        <w:rPr>
          <w:b w:val="0"/>
          <w:bCs w:val="0"/>
        </w:rPr>
      </w:pPr>
      <w:r>
        <w:rPr>
          <w:w w:val="95"/>
          <w:sz w:val="21"/>
          <w:szCs w:val="21"/>
        </w:rPr>
        <w:t>四、</w:t>
      </w:r>
      <w:r>
        <w:rPr>
          <w:w w:val="95"/>
        </w:rPr>
        <w:t>公司负责人林俊波、主管会计工作负责人潘孝娜及会计机构负责人（会计主管人</w:t>
      </w:r>
      <w:r>
        <w:rPr>
          <w:spacing w:val="72"/>
          <w:w w:val="95"/>
        </w:rPr>
        <w:t> </w:t>
      </w:r>
      <w:r>
        <w:rPr>
          <w:spacing w:val="72"/>
          <w:w w:val="95"/>
        </w:rPr>
      </w:r>
      <w:r>
        <w:rPr/>
        <w:t>员）胡倩倩声明：保证年度报告中财务报告的真实、准确、完整。</w:t>
      </w:r>
      <w:r>
        <w:rPr>
          <w:b w:val="0"/>
          <w:bCs w:val="0"/>
        </w:rPr>
      </w:r>
    </w:p>
    <w:p>
      <w:pPr>
        <w:spacing w:line="240" w:lineRule="auto" w:before="6"/>
        <w:rPr>
          <w:rFonts w:ascii="宋体" w:hAnsi="宋体" w:cs="宋体" w:eastAsia="宋体" w:hint="default"/>
          <w:b/>
          <w:bCs/>
          <w:sz w:val="26"/>
          <w:szCs w:val="26"/>
        </w:rPr>
      </w:pPr>
    </w:p>
    <w:p>
      <w:pPr>
        <w:spacing w:line="357" w:lineRule="auto" w:before="0"/>
        <w:ind w:left="618" w:right="119" w:hanging="480"/>
        <w:jc w:val="left"/>
        <w:rPr>
          <w:rFonts w:ascii="宋体" w:hAnsi="宋体" w:cs="宋体" w:eastAsia="宋体" w:hint="default"/>
          <w:sz w:val="24"/>
          <w:szCs w:val="24"/>
        </w:rPr>
      </w:pPr>
      <w:r>
        <w:rPr>
          <w:rFonts w:ascii="宋体" w:hAnsi="宋体" w:cs="宋体" w:eastAsia="宋体" w:hint="default"/>
          <w:b/>
          <w:bCs/>
          <w:sz w:val="21"/>
          <w:szCs w:val="21"/>
        </w:rPr>
        <w:t>五、</w:t>
      </w:r>
      <w:r>
        <w:rPr>
          <w:rFonts w:ascii="宋体" w:hAnsi="宋体" w:cs="宋体" w:eastAsia="宋体" w:hint="default"/>
          <w:b/>
          <w:bCs/>
          <w:spacing w:val="-40"/>
          <w:sz w:val="21"/>
          <w:szCs w:val="21"/>
        </w:rPr>
        <w:t> </w:t>
      </w:r>
      <w:r>
        <w:rPr>
          <w:rFonts w:ascii="宋体" w:hAnsi="宋体" w:cs="宋体" w:eastAsia="宋体" w:hint="default"/>
          <w:b/>
          <w:bCs/>
          <w:sz w:val="24"/>
          <w:szCs w:val="24"/>
        </w:rPr>
        <w:t>经董事会审议的报告期利润分配预案或公积金转增股本预案</w:t>
      </w:r>
      <w:r>
        <w:rPr>
          <w:rFonts w:ascii="宋体" w:hAnsi="宋体" w:cs="宋体" w:eastAsia="宋体" w:hint="default"/>
          <w:b/>
          <w:bCs/>
          <w:w w:val="99"/>
          <w:sz w:val="24"/>
          <w:szCs w:val="24"/>
        </w:rPr>
        <w:t> </w:t>
      </w:r>
      <w:r>
        <w:rPr>
          <w:rFonts w:ascii="宋体" w:hAnsi="宋体" w:cs="宋体" w:eastAsia="宋体" w:hint="default"/>
          <w:spacing w:val="-2"/>
          <w:sz w:val="24"/>
          <w:szCs w:val="24"/>
        </w:rPr>
        <w:t>公司</w:t>
      </w:r>
      <w:r>
        <w:rPr>
          <w:rFonts w:ascii="宋体" w:hAnsi="宋体" w:cs="宋体" w:eastAsia="宋体" w:hint="default"/>
          <w:spacing w:val="-2"/>
          <w:sz w:val="24"/>
          <w:szCs w:val="24"/>
        </w:rPr>
        <w:t>2017</w:t>
      </w:r>
      <w:r>
        <w:rPr>
          <w:rFonts w:ascii="宋体" w:hAnsi="宋体" w:cs="宋体" w:eastAsia="宋体" w:hint="default"/>
          <w:spacing w:val="-2"/>
          <w:sz w:val="24"/>
          <w:szCs w:val="24"/>
        </w:rPr>
        <w:t>年度利润分配预案为：以分红派息股权登记日股份数为基数，向全体股</w:t>
      </w:r>
    </w:p>
    <w:p>
      <w:pPr>
        <w:pStyle w:val="BodyText"/>
        <w:spacing w:line="240" w:lineRule="auto" w:before="34"/>
        <w:ind w:right="119"/>
        <w:jc w:val="left"/>
      </w:pPr>
      <w:r>
        <w:rPr/>
        <w:t>东每</w:t>
      </w:r>
      <w:r>
        <w:rPr>
          <w:rFonts w:ascii="宋体" w:hAnsi="宋体" w:cs="宋体" w:eastAsia="宋体" w:hint="default"/>
        </w:rPr>
        <w:t>10</w:t>
      </w:r>
      <w:r>
        <w:rPr/>
        <w:t>股派发现金股利人民币</w:t>
      </w:r>
      <w:r>
        <w:rPr>
          <w:rFonts w:ascii="宋体" w:hAnsi="宋体" w:cs="宋体" w:eastAsia="宋体" w:hint="default"/>
        </w:rPr>
        <w:t>0.57</w:t>
      </w:r>
      <w:r>
        <w:rPr/>
        <w:t>元（含税）。</w:t>
      </w:r>
    </w:p>
    <w:p>
      <w:pPr>
        <w:spacing w:line="240" w:lineRule="auto" w:before="0"/>
        <w:rPr>
          <w:rFonts w:ascii="宋体" w:hAnsi="宋体" w:cs="宋体" w:eastAsia="宋体" w:hint="default"/>
          <w:sz w:val="24"/>
          <w:szCs w:val="24"/>
        </w:rPr>
      </w:pPr>
    </w:p>
    <w:p>
      <w:pPr>
        <w:spacing w:before="200"/>
        <w:ind w:left="138" w:right="119" w:firstLine="0"/>
        <w:jc w:val="left"/>
        <w:rPr>
          <w:rFonts w:ascii="宋体" w:hAnsi="宋体" w:cs="宋体" w:eastAsia="宋体" w:hint="default"/>
          <w:sz w:val="24"/>
          <w:szCs w:val="24"/>
        </w:rPr>
      </w:pPr>
      <w:r>
        <w:rPr>
          <w:rFonts w:ascii="宋体" w:hAnsi="宋体" w:cs="宋体" w:eastAsia="宋体" w:hint="default"/>
          <w:b/>
          <w:bCs/>
          <w:sz w:val="21"/>
          <w:szCs w:val="21"/>
        </w:rPr>
        <w:t>六、</w:t>
      </w:r>
      <w:r>
        <w:rPr>
          <w:rFonts w:ascii="宋体" w:hAnsi="宋体" w:cs="宋体" w:eastAsia="宋体" w:hint="default"/>
          <w:b/>
          <w:bCs/>
          <w:spacing w:val="-26"/>
          <w:sz w:val="21"/>
          <w:szCs w:val="21"/>
        </w:rPr>
        <w:t> </w:t>
      </w:r>
      <w:r>
        <w:rPr>
          <w:rFonts w:ascii="宋体" w:hAnsi="宋体" w:cs="宋体" w:eastAsia="宋体" w:hint="default"/>
          <w:b/>
          <w:bCs/>
          <w:sz w:val="24"/>
          <w:szCs w:val="24"/>
        </w:rPr>
        <w:t>前瞻性陈述的风险声明</w:t>
      </w:r>
      <w:r>
        <w:rPr>
          <w:rFonts w:ascii="宋体" w:hAnsi="宋体" w:cs="宋体" w:eastAsia="宋体" w:hint="default"/>
          <w:sz w:val="24"/>
          <w:szCs w:val="24"/>
        </w:rPr>
      </w:r>
    </w:p>
    <w:p>
      <w:pPr>
        <w:pStyle w:val="BodyText"/>
        <w:spacing w:line="348" w:lineRule="auto" w:before="151"/>
        <w:ind w:left="618" w:right="119" w:hanging="480"/>
        <w:jc w:val="left"/>
      </w:pPr>
      <w:r>
        <w:rPr/>
        <w:t>√适用 □不适用 </w:t>
      </w:r>
      <w:r>
        <w:rPr>
          <w:spacing w:val="-2"/>
        </w:rPr>
        <w:t>本年度报告中有涉及公司经营和发展战略等未来计划的前瞻性陈述，该计划不构</w:t>
      </w:r>
    </w:p>
    <w:p>
      <w:pPr>
        <w:pStyle w:val="BodyText"/>
        <w:spacing w:line="240" w:lineRule="auto" w:before="58"/>
        <w:ind w:right="119"/>
        <w:jc w:val="left"/>
      </w:pPr>
      <w:r>
        <w:rPr/>
        <w:t>成公司对投资者的实质承诺，请投资者注意投资风险。</w:t>
      </w:r>
    </w:p>
    <w:p>
      <w:pPr>
        <w:spacing w:line="240" w:lineRule="auto" w:before="2"/>
        <w:rPr>
          <w:rFonts w:ascii="宋体" w:hAnsi="宋体" w:cs="宋体" w:eastAsia="宋体" w:hint="default"/>
          <w:sz w:val="29"/>
          <w:szCs w:val="29"/>
        </w:rPr>
      </w:pPr>
    </w:p>
    <w:p>
      <w:pPr>
        <w:pStyle w:val="Heading2"/>
        <w:spacing w:line="393" w:lineRule="auto" w:before="0"/>
        <w:ind w:left="138" w:right="2844"/>
        <w:jc w:val="left"/>
        <w:rPr>
          <w:rFonts w:ascii="宋体" w:hAnsi="宋体" w:cs="宋体" w:eastAsia="宋体" w:hint="default"/>
          <w:b w:val="0"/>
          <w:bCs w:val="0"/>
        </w:rPr>
      </w:pPr>
      <w:r>
        <w:rPr>
          <w:sz w:val="21"/>
          <w:szCs w:val="21"/>
        </w:rPr>
        <w:t>七、</w:t>
      </w:r>
      <w:r>
        <w:rPr/>
        <w:t>是否存在被控股股东及其关联方非经营性占用资金情况</w:t>
      </w:r>
      <w:r>
        <w:rPr>
          <w:spacing w:val="-112"/>
        </w:rPr>
        <w:t> </w:t>
      </w:r>
      <w:r>
        <w:rPr>
          <w:spacing w:val="-112"/>
        </w:rPr>
      </w:r>
      <w:r>
        <w:rPr>
          <w:rFonts w:ascii="宋体" w:hAnsi="宋体" w:cs="宋体" w:eastAsia="宋体" w:hint="default"/>
          <w:b w:val="0"/>
          <w:bCs w:val="0"/>
        </w:rPr>
        <w:t>否</w:t>
      </w:r>
    </w:p>
    <w:p>
      <w:pPr>
        <w:pStyle w:val="Heading2"/>
        <w:tabs>
          <w:tab w:pos="781" w:val="left" w:leader="none"/>
        </w:tabs>
        <w:spacing w:line="355" w:lineRule="auto" w:before="204"/>
        <w:ind w:left="138" w:right="3123"/>
        <w:jc w:val="left"/>
        <w:rPr>
          <w:rFonts w:ascii="宋体" w:hAnsi="宋体" w:cs="宋体" w:eastAsia="宋体" w:hint="default"/>
          <w:b w:val="0"/>
          <w:bCs w:val="0"/>
        </w:rPr>
      </w:pPr>
      <w:r>
        <w:rPr>
          <w:sz w:val="21"/>
          <w:szCs w:val="21"/>
        </w:rPr>
        <w:t>八、</w:t>
        <w:tab/>
      </w:r>
      <w:r>
        <w:rPr/>
        <w:t>是否存在违反规定决策程序对外提供担保的情况？</w:t>
      </w:r>
      <w:r>
        <w:rPr>
          <w:w w:val="99"/>
        </w:rPr>
        <w:t> </w:t>
      </w:r>
      <w:r>
        <w:rPr>
          <w:rFonts w:ascii="宋体" w:hAnsi="宋体" w:cs="宋体" w:eastAsia="宋体" w:hint="default"/>
          <w:b w:val="0"/>
          <w:bCs w:val="0"/>
        </w:rPr>
        <w:t>否</w:t>
      </w:r>
    </w:p>
    <w:p>
      <w:pPr>
        <w:tabs>
          <w:tab w:pos="781" w:val="left" w:leader="none"/>
        </w:tabs>
        <w:spacing w:line="357" w:lineRule="auto" w:before="192"/>
        <w:ind w:left="138" w:right="6978" w:firstLine="0"/>
        <w:jc w:val="left"/>
        <w:rPr>
          <w:rFonts w:ascii="宋体" w:hAnsi="宋体" w:cs="宋体" w:eastAsia="宋体" w:hint="default"/>
          <w:sz w:val="24"/>
          <w:szCs w:val="24"/>
        </w:rPr>
      </w:pPr>
      <w:r>
        <w:rPr>
          <w:rFonts w:ascii="宋体" w:hAnsi="宋体" w:cs="宋体" w:eastAsia="宋体" w:hint="default"/>
          <w:b/>
          <w:bCs/>
          <w:sz w:val="21"/>
          <w:szCs w:val="21"/>
        </w:rPr>
        <w:t>九、</w:t>
        <w:tab/>
      </w:r>
      <w:r>
        <w:rPr>
          <w:rFonts w:ascii="宋体" w:hAnsi="宋体" w:cs="宋体" w:eastAsia="宋体" w:hint="default"/>
          <w:b/>
          <w:bCs/>
          <w:sz w:val="24"/>
          <w:szCs w:val="24"/>
        </w:rPr>
        <w:t>重大风险提示</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before="190"/>
        <w:ind w:left="138" w:right="119"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4"/>
        <w:ind w:right="119"/>
        <w:jc w:val="left"/>
      </w:pPr>
      <w:r>
        <w:rPr/>
        <w:t>□适用</w:t>
      </w:r>
      <w:r>
        <w:rPr>
          <w:spacing w:val="-1"/>
        </w:rPr>
        <w:t> </w:t>
      </w:r>
      <w:r>
        <w:rPr/>
        <w:t>√不适用</w:t>
      </w:r>
    </w:p>
    <w:p>
      <w:pPr>
        <w:spacing w:after="0" w:line="240" w:lineRule="auto"/>
        <w:jc w:val="left"/>
        <w:sectPr>
          <w:headerReference w:type="default" r:id="rId5"/>
          <w:footerReference w:type="default" r:id="rId6"/>
          <w:pgSz w:w="11910" w:h="16840"/>
          <w:pgMar w:header="880" w:footer="1195" w:top="1120" w:bottom="1380" w:left="1660" w:right="1040"/>
          <w:pgNumType w:start="1"/>
        </w:sectPr>
      </w:pPr>
    </w:p>
    <w:p>
      <w:pPr>
        <w:spacing w:line="240" w:lineRule="auto" w:before="0"/>
        <w:rPr>
          <w:rFonts w:ascii="宋体" w:hAnsi="宋体" w:cs="宋体" w:eastAsia="宋体" w:hint="default"/>
          <w:sz w:val="26"/>
          <w:szCs w:val="26"/>
        </w:rPr>
      </w:pPr>
    </w:p>
    <w:p>
      <w:pPr>
        <w:spacing w:before="14"/>
        <w:ind w:left="2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66"/>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w w:val="95"/>
              </w:rPr>
              <w:t>第一节</w:t>
              <w:tab/>
            </w:r>
            <w:r>
              <w:rPr/>
              <w:t>释义</w:t>
            </w:r>
            <w:r>
              <w:rPr>
                <w:rFonts w:ascii="Times New Roman" w:hAnsi="Times New Roman" w:cs="Times New Roman" w:eastAsia="Times New Roman" w:hint="default"/>
              </w:rPr>
              <w:tab/>
              <w:t>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w w:val="95"/>
              </w:rPr>
              <w:t>第二节</w:t>
              <w:tab/>
            </w:r>
            <w:r>
              <w:rPr/>
              <w:t>公司简介和主要财务指标</w:t>
            </w:r>
            <w:r>
              <w:rPr>
                <w:rFonts w:ascii="Times New Roman" w:hAnsi="Times New Roman" w:cs="Times New Roman" w:eastAsia="Times New Roman" w:hint="default"/>
              </w:rPr>
              <w:tab/>
              <w:t>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3"/>
            <w:ind w:right="0"/>
            <w:jc w:val="left"/>
            <w:rPr>
              <w:rFonts w:ascii="Times New Roman" w:hAnsi="Times New Roman" w:cs="Times New Roman" w:eastAsia="Times New Roman" w:hint="default"/>
              <w:b w:val="0"/>
              <w:bCs w:val="0"/>
            </w:rPr>
          </w:pPr>
          <w:hyperlink w:history="true" w:anchor="_TOC_250009">
            <w:r>
              <w:rPr>
                <w:w w:val="95"/>
              </w:rPr>
              <w:t>第三节</w:t>
              <w:tab/>
            </w:r>
            <w:r>
              <w:rPr/>
              <w:t>公司业务概要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w w:val="95"/>
              </w:rPr>
              <w:t>第四节</w:t>
              <w:tab/>
            </w:r>
            <w:r>
              <w:rPr/>
              <w:t>经营情况讨论与分析</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3"/>
            <w:ind w:right="0"/>
            <w:jc w:val="left"/>
            <w:rPr>
              <w:rFonts w:ascii="Times New Roman" w:hAnsi="Times New Roman" w:cs="Times New Roman" w:eastAsia="Times New Roman" w:hint="default"/>
              <w:b w:val="0"/>
              <w:bCs w:val="0"/>
            </w:rPr>
          </w:pPr>
          <w:hyperlink w:history="true" w:anchor="_TOC_250007">
            <w:r>
              <w:rPr>
                <w:w w:val="95"/>
              </w:rPr>
              <w:t>第五节</w:t>
              <w:tab/>
            </w:r>
            <w:r>
              <w:rPr/>
              <w:t>重要事项</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w w:val="95"/>
              </w:rPr>
              <w:t>第六节</w:t>
              <w:tab/>
            </w:r>
            <w:r>
              <w:rPr/>
              <w:t>普通股股份变动及股东情况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4"/>
            <w:ind w:right="0"/>
            <w:jc w:val="left"/>
            <w:rPr>
              <w:rFonts w:ascii="Times New Roman" w:hAnsi="Times New Roman" w:cs="Times New Roman" w:eastAsia="Times New Roman" w:hint="default"/>
              <w:b w:val="0"/>
              <w:bCs w:val="0"/>
            </w:rPr>
          </w:pPr>
          <w:hyperlink w:history="true" w:anchor="_TOC_250005">
            <w:r>
              <w:rPr>
                <w:w w:val="95"/>
              </w:rPr>
              <w:t>第七节</w:t>
              <w:tab/>
            </w:r>
            <w:r>
              <w:rPr/>
              <w:t>优先股相关情况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w w:val="95"/>
              </w:rPr>
              <w:t>第八节</w:t>
              <w:tab/>
            </w:r>
            <w:r>
              <w:rPr/>
              <w:t>董事、监事、高级管理人员和员工情况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3"/>
            <w:ind w:right="0"/>
            <w:jc w:val="left"/>
            <w:rPr>
              <w:rFonts w:ascii="Times New Roman" w:hAnsi="Times New Roman" w:cs="Times New Roman" w:eastAsia="Times New Roman" w:hint="default"/>
              <w:b w:val="0"/>
              <w:bCs w:val="0"/>
            </w:rPr>
          </w:pPr>
          <w:hyperlink w:history="true" w:anchor="_TOC_250003">
            <w:r>
              <w:rPr>
                <w:w w:val="95"/>
              </w:rPr>
              <w:t>第九节</w:t>
              <w:tab/>
            </w:r>
            <w:r>
              <w:rPr/>
              <w:t>公司治理</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w w:val="95"/>
              </w:rPr>
              <w:t>第十节</w:t>
              <w:tab/>
            </w:r>
            <w:r>
              <w:rPr/>
              <w:t>公司债券相关情况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3"/>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221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60"/>
        </w:sectPr>
      </w:pPr>
    </w:p>
    <w:p>
      <w:pPr>
        <w:pStyle w:val="Heading1"/>
        <w:tabs>
          <w:tab w:pos="1261" w:val="left" w:leader="none"/>
        </w:tabs>
        <w:spacing w:line="240" w:lineRule="auto" w:before="412"/>
        <w:ind w:right="0"/>
        <w:jc w:val="center"/>
        <w:rPr>
          <w:b w:val="0"/>
          <w:bCs w:val="0"/>
        </w:rPr>
      </w:pPr>
      <w:bookmarkStart w:name="_TOC_250011" w:id="1"/>
      <w:r>
        <w:rPr>
          <w:w w:val="95"/>
        </w:rPr>
        <w:t>第一节</w:t>
        <w:tab/>
      </w:r>
      <w:r>
        <w:rPr/>
        <w:t>释义</w:t>
      </w:r>
      <w:bookmarkEnd w:id="1"/>
      <w:r>
        <w:rPr>
          <w:b w:val="0"/>
          <w:bCs w:val="0"/>
        </w:rPr>
      </w:r>
    </w:p>
    <w:p>
      <w:pPr>
        <w:pStyle w:val="BodyText"/>
        <w:spacing w:line="283" w:lineRule="auto" w:before="246"/>
        <w:ind w:left="518" w:right="2848"/>
        <w:jc w:val="left"/>
      </w:pPr>
      <w:r>
        <w:rPr>
          <w:rFonts w:ascii="宋体" w:hAnsi="宋体" w:cs="宋体" w:eastAsia="宋体" w:hint="default"/>
          <w:b/>
          <w:bCs/>
        </w:rPr>
        <w:t>一、</w:t>
      </w:r>
      <w:r>
        <w:rPr>
          <w:rFonts w:ascii="宋体" w:hAnsi="宋体" w:cs="宋体" w:eastAsia="宋体" w:hint="default"/>
          <w:b/>
          <w:bCs/>
          <w:spacing w:val="-16"/>
        </w:rPr>
        <w:t> </w:t>
      </w:r>
      <w:r>
        <w:rPr>
          <w:rFonts w:ascii="宋体" w:hAnsi="宋体" w:cs="宋体" w:eastAsia="宋体" w:hint="default"/>
          <w:b/>
          <w:bCs/>
        </w:rPr>
        <w:t>释义</w:t>
      </w:r>
      <w:r>
        <w:rPr>
          <w:rFonts w:ascii="宋体" w:hAnsi="宋体" w:cs="宋体" w:eastAsia="宋体" w:hint="default"/>
          <w:b/>
          <w:bCs/>
          <w:spacing w:val="-119"/>
        </w:rPr>
        <w:t> </w:t>
      </w:r>
      <w:r>
        <w:rPr>
          <w:rFonts w:ascii="宋体" w:hAnsi="宋体" w:cs="宋体" w:eastAsia="宋体" w:hint="default"/>
          <w:b/>
          <w:bCs/>
          <w:spacing w:val="-119"/>
        </w:rPr>
      </w:r>
      <w:r>
        <w:rPr/>
        <w:t>在本报告书中，除非文义另有所指，下列词语具有如下含义：</w:t>
      </w:r>
    </w:p>
    <w:tbl>
      <w:tblPr>
        <w:tblW w:w="0" w:type="auto"/>
        <w:jc w:val="left"/>
        <w:tblInd w:w="405" w:type="dxa"/>
        <w:tblLayout w:type="fixed"/>
        <w:tblCellMar>
          <w:top w:w="0" w:type="dxa"/>
          <w:left w:w="0" w:type="dxa"/>
          <w:bottom w:w="0" w:type="dxa"/>
          <w:right w:w="0" w:type="dxa"/>
        </w:tblCellMar>
        <w:tblLook w:val="01E0"/>
      </w:tblPr>
      <w:tblGrid>
        <w:gridCol w:w="3229"/>
        <w:gridCol w:w="1274"/>
        <w:gridCol w:w="4547"/>
      </w:tblGrid>
      <w:tr>
        <w:trPr>
          <w:trHeight w:val="32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常用词语释义</w:t>
            </w:r>
          </w:p>
        </w:tc>
      </w:tr>
      <w:tr>
        <w:trPr>
          <w:trHeight w:val="319"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中国证监会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511"/>
              <w:jc w:val="right"/>
              <w:rPr>
                <w:rFonts w:ascii="宋体" w:hAnsi="宋体" w:cs="宋体" w:eastAsia="宋体" w:hint="default"/>
                <w:sz w:val="24"/>
                <w:szCs w:val="24"/>
              </w:rPr>
            </w:pPr>
            <w:r>
              <w:rPr>
                <w:rFonts w:ascii="宋体" w:hAnsi="宋体" w:cs="宋体" w:eastAsia="宋体" w:hint="default"/>
                <w:sz w:val="24"/>
                <w:szCs w:val="24"/>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中国证券监督管理委员会</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上交所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511"/>
              <w:jc w:val="right"/>
              <w:rPr>
                <w:rFonts w:ascii="宋体" w:hAnsi="宋体" w:cs="宋体" w:eastAsia="宋体" w:hint="default"/>
                <w:sz w:val="24"/>
                <w:szCs w:val="24"/>
              </w:rPr>
            </w:pPr>
            <w:r>
              <w:rPr>
                <w:rFonts w:ascii="宋体" w:hAnsi="宋体" w:cs="宋体" w:eastAsia="宋体" w:hint="default"/>
                <w:sz w:val="24"/>
                <w:szCs w:val="24"/>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上海证券交易所</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新湖中宝、公司、本公司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511"/>
              <w:jc w:val="right"/>
              <w:rPr>
                <w:rFonts w:ascii="宋体" w:hAnsi="宋体" w:cs="宋体" w:eastAsia="宋体" w:hint="default"/>
                <w:sz w:val="24"/>
                <w:szCs w:val="24"/>
              </w:rPr>
            </w:pPr>
            <w:r>
              <w:rPr>
                <w:rFonts w:ascii="宋体" w:hAnsi="宋体" w:cs="宋体" w:eastAsia="宋体" w:hint="default"/>
                <w:sz w:val="24"/>
                <w:szCs w:val="24"/>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新湖中宝股份有限公司</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pacing w:val="-9"/>
                <w:sz w:val="24"/>
                <w:szCs w:val="24"/>
              </w:rPr>
              <w:t>大股东、控股股东、新湖集团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511"/>
              <w:jc w:val="right"/>
              <w:rPr>
                <w:rFonts w:ascii="宋体" w:hAnsi="宋体" w:cs="宋体" w:eastAsia="宋体" w:hint="default"/>
                <w:sz w:val="24"/>
                <w:szCs w:val="24"/>
              </w:rPr>
            </w:pPr>
            <w:r>
              <w:rPr>
                <w:rFonts w:ascii="宋体" w:hAnsi="宋体" w:cs="宋体" w:eastAsia="宋体" w:hint="default"/>
                <w:sz w:val="24"/>
                <w:szCs w:val="24"/>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浙江新湖集团股份有限公司</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新湖控股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511"/>
              <w:jc w:val="right"/>
              <w:rPr>
                <w:rFonts w:ascii="宋体" w:hAnsi="宋体" w:cs="宋体" w:eastAsia="宋体" w:hint="default"/>
                <w:sz w:val="24"/>
                <w:szCs w:val="24"/>
              </w:rPr>
            </w:pPr>
            <w:r>
              <w:rPr>
                <w:rFonts w:ascii="宋体" w:hAnsi="宋体" w:cs="宋体" w:eastAsia="宋体" w:hint="default"/>
                <w:sz w:val="24"/>
                <w:szCs w:val="24"/>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新湖控股有限公司</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宁波嘉源</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511"/>
              <w:jc w:val="right"/>
              <w:rPr>
                <w:rFonts w:ascii="宋体" w:hAnsi="宋体" w:cs="宋体" w:eastAsia="宋体" w:hint="default"/>
                <w:sz w:val="24"/>
                <w:szCs w:val="24"/>
              </w:rPr>
            </w:pPr>
            <w:r>
              <w:rPr>
                <w:rFonts w:ascii="宋体" w:hAnsi="宋体" w:cs="宋体" w:eastAsia="宋体" w:hint="default"/>
                <w:sz w:val="24"/>
                <w:szCs w:val="24"/>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宁波嘉源实业发展有限公司</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浙江恒兴力</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511"/>
              <w:jc w:val="right"/>
              <w:rPr>
                <w:rFonts w:ascii="宋体" w:hAnsi="宋体" w:cs="宋体" w:eastAsia="宋体" w:hint="default"/>
                <w:sz w:val="24"/>
                <w:szCs w:val="24"/>
              </w:rPr>
            </w:pPr>
            <w:r>
              <w:rPr>
                <w:rFonts w:ascii="宋体" w:hAnsi="宋体" w:cs="宋体" w:eastAsia="宋体" w:hint="default"/>
                <w:sz w:val="24"/>
                <w:szCs w:val="24"/>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浙江恒兴力控股集团有限公司</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报告期、本报告期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511"/>
              <w:jc w:val="right"/>
              <w:rPr>
                <w:rFonts w:ascii="宋体" w:hAnsi="宋体" w:cs="宋体" w:eastAsia="宋体" w:hint="default"/>
                <w:sz w:val="24"/>
                <w:szCs w:val="24"/>
              </w:rPr>
            </w:pPr>
            <w:r>
              <w:rPr>
                <w:rFonts w:ascii="宋体" w:hAnsi="宋体" w:cs="宋体" w:eastAsia="宋体" w:hint="default"/>
                <w:sz w:val="24"/>
                <w:szCs w:val="24"/>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日至</w:t>
            </w:r>
            <w:r>
              <w:rPr>
                <w:rFonts w:ascii="宋体" w:hAnsi="宋体" w:cs="宋体" w:eastAsia="宋体" w:hint="default"/>
                <w:spacing w:val="-60"/>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r>
    </w:tbl>
    <w:p>
      <w:pPr>
        <w:spacing w:line="240" w:lineRule="auto" w:before="0"/>
        <w:rPr>
          <w:rFonts w:ascii="宋体" w:hAnsi="宋体" w:cs="宋体" w:eastAsia="宋体" w:hint="default"/>
          <w:sz w:val="28"/>
          <w:szCs w:val="28"/>
        </w:rPr>
      </w:pPr>
    </w:p>
    <w:p>
      <w:pPr>
        <w:spacing w:line="240" w:lineRule="auto" w:before="13"/>
        <w:rPr>
          <w:rFonts w:ascii="宋体" w:hAnsi="宋体" w:cs="宋体" w:eastAsia="宋体" w:hint="default"/>
          <w:sz w:val="19"/>
          <w:szCs w:val="19"/>
        </w:rPr>
      </w:pPr>
    </w:p>
    <w:p>
      <w:pPr>
        <w:pStyle w:val="Heading1"/>
        <w:tabs>
          <w:tab w:pos="4017" w:val="left" w:leader="none"/>
        </w:tabs>
        <w:spacing w:line="240" w:lineRule="auto"/>
        <w:ind w:left="2757" w:right="391"/>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11"/>
        <w:rPr>
          <w:rFonts w:ascii="黑体" w:hAnsi="黑体" w:cs="黑体" w:eastAsia="黑体" w:hint="default"/>
          <w:b/>
          <w:bCs/>
          <w:sz w:val="16"/>
          <w:szCs w:val="16"/>
        </w:rPr>
      </w:pPr>
    </w:p>
    <w:p>
      <w:pPr>
        <w:pStyle w:val="Heading2"/>
        <w:spacing w:line="240" w:lineRule="auto"/>
        <w:ind w:left="518" w:right="2848"/>
        <w:jc w:val="left"/>
        <w:rPr>
          <w:b w:val="0"/>
          <w:bCs w:val="0"/>
        </w:rPr>
      </w:pPr>
      <w:r>
        <w:rPr/>
        <w:t>一、</w:t>
      </w:r>
      <w:r>
        <w:rPr>
          <w:spacing w:val="-37"/>
        </w:rPr>
        <w:t> </w:t>
      </w:r>
      <w:r>
        <w:rPr/>
        <w:t>公司信息</w:t>
      </w:r>
      <w:r>
        <w:rPr>
          <w:b w:val="0"/>
          <w:bCs w:val="0"/>
        </w:rPr>
      </w:r>
    </w:p>
    <w:p>
      <w:pPr>
        <w:spacing w:line="240" w:lineRule="auto" w:before="7"/>
        <w:rPr>
          <w:rFonts w:ascii="宋体" w:hAnsi="宋体" w:cs="宋体" w:eastAsia="宋体" w:hint="default"/>
          <w:b/>
          <w:bCs/>
          <w:sz w:val="7"/>
          <w:szCs w:val="7"/>
        </w:rPr>
      </w:pPr>
    </w:p>
    <w:tbl>
      <w:tblPr>
        <w:tblW w:w="0" w:type="auto"/>
        <w:jc w:val="left"/>
        <w:tblInd w:w="482" w:type="dxa"/>
        <w:tblLayout w:type="fixed"/>
        <w:tblCellMar>
          <w:top w:w="0" w:type="dxa"/>
          <w:left w:w="0" w:type="dxa"/>
          <w:bottom w:w="0" w:type="dxa"/>
          <w:right w:w="0" w:type="dxa"/>
        </w:tblCellMar>
        <w:tblLook w:val="01E0"/>
      </w:tblPr>
      <w:tblGrid>
        <w:gridCol w:w="3860"/>
        <w:gridCol w:w="5036"/>
      </w:tblGrid>
      <w:tr>
        <w:trPr>
          <w:trHeight w:val="319"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新湖中宝股份有限公司</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新湖中宝</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XINHU ZHONGBAO CO.,LTD.</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XINHU ZHONGBAO</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林俊波</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7"/>
          <w:szCs w:val="27"/>
        </w:rPr>
      </w:pPr>
    </w:p>
    <w:p>
      <w:pPr>
        <w:pStyle w:val="Heading2"/>
        <w:spacing w:line="240" w:lineRule="auto"/>
        <w:ind w:left="518" w:right="2848"/>
        <w:jc w:val="left"/>
        <w:rPr>
          <w:b w:val="0"/>
          <w:bCs w:val="0"/>
        </w:rPr>
      </w:pPr>
      <w:r>
        <w:rPr/>
        <w:t>二、</w:t>
      </w:r>
      <w:r>
        <w:rPr>
          <w:spacing w:val="-39"/>
        </w:rPr>
        <w:t> </w:t>
      </w:r>
      <w:r>
        <w:rPr/>
        <w:t>联系人和联系方式</w:t>
      </w:r>
      <w:r>
        <w:rPr>
          <w:b w:val="0"/>
          <w:bCs w:val="0"/>
        </w:rPr>
      </w:r>
    </w:p>
    <w:p>
      <w:pPr>
        <w:spacing w:line="240" w:lineRule="auto" w:before="7"/>
        <w:rPr>
          <w:rFonts w:ascii="宋体" w:hAnsi="宋体" w:cs="宋体" w:eastAsia="宋体" w:hint="default"/>
          <w:b/>
          <w:bCs/>
          <w:sz w:val="7"/>
          <w:szCs w:val="7"/>
        </w:rPr>
      </w:pPr>
    </w:p>
    <w:tbl>
      <w:tblPr>
        <w:tblW w:w="0" w:type="auto"/>
        <w:jc w:val="left"/>
        <w:tblInd w:w="110" w:type="dxa"/>
        <w:tblLayout w:type="fixed"/>
        <w:tblCellMar>
          <w:top w:w="0" w:type="dxa"/>
          <w:left w:w="0" w:type="dxa"/>
          <w:bottom w:w="0" w:type="dxa"/>
          <w:right w:w="0" w:type="dxa"/>
        </w:tblCellMar>
        <w:tblLook w:val="01E0"/>
      </w:tblPr>
      <w:tblGrid>
        <w:gridCol w:w="1135"/>
        <w:gridCol w:w="4251"/>
        <w:gridCol w:w="4253"/>
      </w:tblGrid>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01" w:right="0"/>
              <w:jc w:val="left"/>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虞迪锋</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高莉</w:t>
            </w:r>
          </w:p>
        </w:tc>
      </w:tr>
      <w:tr>
        <w:trPr>
          <w:trHeight w:val="63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联系地址</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浙江省杭州市西溪路</w:t>
            </w:r>
            <w:r>
              <w:rPr>
                <w:rFonts w:ascii="宋体" w:hAnsi="宋体" w:cs="宋体" w:eastAsia="宋体" w:hint="default"/>
                <w:sz w:val="24"/>
                <w:szCs w:val="24"/>
              </w:rPr>
              <w:t>128</w:t>
            </w:r>
            <w:r>
              <w:rPr>
                <w:rFonts w:ascii="宋体" w:hAnsi="宋体" w:cs="宋体" w:eastAsia="宋体" w:hint="default"/>
                <w:sz w:val="24"/>
                <w:szCs w:val="24"/>
              </w:rPr>
              <w:t>号新湖商务大</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厦</w:t>
            </w:r>
            <w:r>
              <w:rPr>
                <w:rFonts w:ascii="宋体" w:hAnsi="宋体" w:cs="宋体" w:eastAsia="宋体" w:hint="default"/>
                <w:sz w:val="24"/>
                <w:szCs w:val="24"/>
              </w:rPr>
              <w:t>11</w:t>
            </w:r>
            <w:r>
              <w:rPr>
                <w:rFonts w:ascii="宋体" w:hAnsi="宋体" w:cs="宋体" w:eastAsia="宋体" w:hint="default"/>
                <w:sz w:val="24"/>
                <w:szCs w:val="24"/>
              </w:rPr>
              <w:t>层</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浙江省杭州市西溪路</w:t>
            </w:r>
            <w:r>
              <w:rPr>
                <w:rFonts w:ascii="宋体" w:hAnsi="宋体" w:cs="宋体" w:eastAsia="宋体" w:hint="default"/>
                <w:sz w:val="24"/>
                <w:szCs w:val="24"/>
              </w:rPr>
              <w:t>128</w:t>
            </w:r>
            <w:r>
              <w:rPr>
                <w:rFonts w:ascii="宋体" w:hAnsi="宋体" w:cs="宋体" w:eastAsia="宋体" w:hint="default"/>
                <w:sz w:val="24"/>
                <w:szCs w:val="24"/>
              </w:rPr>
              <w:t>号新湖商务大</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厦</w:t>
            </w:r>
            <w:r>
              <w:rPr>
                <w:rFonts w:ascii="宋体" w:hAnsi="宋体" w:cs="宋体" w:eastAsia="宋体" w:hint="default"/>
                <w:sz w:val="24"/>
                <w:szCs w:val="24"/>
              </w:rPr>
              <w:t>11</w:t>
            </w:r>
            <w:r>
              <w:rPr>
                <w:rFonts w:ascii="宋体" w:hAnsi="宋体" w:cs="宋体" w:eastAsia="宋体" w:hint="default"/>
                <w:sz w:val="24"/>
                <w:szCs w:val="24"/>
              </w:rPr>
              <w:t>层</w:t>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hAnsi="宋体" w:cs="宋体" w:eastAsia="宋体" w:hint="default"/>
                <w:sz w:val="24"/>
                <w:szCs w:val="24"/>
              </w:rPr>
              <w:t>电话</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0571-87395003</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6" w:right="0"/>
              <w:jc w:val="left"/>
              <w:rPr>
                <w:rFonts w:ascii="宋体" w:hAnsi="宋体" w:cs="宋体" w:eastAsia="宋体" w:hint="default"/>
                <w:sz w:val="24"/>
                <w:szCs w:val="24"/>
              </w:rPr>
            </w:pPr>
            <w:r>
              <w:rPr>
                <w:rFonts w:ascii="宋体"/>
                <w:sz w:val="24"/>
              </w:rPr>
              <w:t>0571-85171837</w:t>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传真</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0571-87395052</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sz w:val="24"/>
              </w:rPr>
              <w:t>0571-87395052</w:t>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hyperlink r:id="rId7">
              <w:r>
                <w:rPr>
                  <w:rFonts w:ascii="宋体"/>
                  <w:sz w:val="24"/>
                </w:rPr>
                <w:t>yudf@600208.net</w:t>
              </w:r>
            </w:hyperlink>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hyperlink r:id="rId8">
              <w:r>
                <w:rPr>
                  <w:rFonts w:ascii="宋体"/>
                  <w:sz w:val="24"/>
                </w:rPr>
                <w:t>gaoli@600208.net</w:t>
              </w:r>
            </w:hyperlink>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7"/>
          <w:szCs w:val="27"/>
        </w:rPr>
      </w:pPr>
    </w:p>
    <w:p>
      <w:pPr>
        <w:pStyle w:val="Heading2"/>
        <w:spacing w:line="240" w:lineRule="auto"/>
        <w:ind w:left="518" w:right="2848"/>
        <w:jc w:val="left"/>
        <w:rPr>
          <w:b w:val="0"/>
          <w:bCs w:val="0"/>
        </w:rPr>
      </w:pPr>
      <w:r>
        <w:rPr/>
        <w:t>三、</w:t>
      </w:r>
      <w:r>
        <w:rPr>
          <w:spacing w:val="-39"/>
        </w:rPr>
        <w:t> </w:t>
      </w:r>
      <w:r>
        <w:rPr/>
        <w:t>基本情况简介</w:t>
      </w:r>
      <w:r>
        <w:rPr>
          <w:b w:val="0"/>
          <w:bCs w:val="0"/>
        </w:rPr>
      </w:r>
    </w:p>
    <w:p>
      <w:pPr>
        <w:spacing w:line="240" w:lineRule="auto" w:before="7"/>
        <w:rPr>
          <w:rFonts w:ascii="宋体" w:hAnsi="宋体" w:cs="宋体" w:eastAsia="宋体" w:hint="default"/>
          <w:b/>
          <w:bCs/>
          <w:sz w:val="7"/>
          <w:szCs w:val="7"/>
        </w:rPr>
      </w:pPr>
    </w:p>
    <w:tbl>
      <w:tblPr>
        <w:tblW w:w="0" w:type="auto"/>
        <w:jc w:val="left"/>
        <w:tblInd w:w="482" w:type="dxa"/>
        <w:tblLayout w:type="fixed"/>
        <w:tblCellMar>
          <w:top w:w="0" w:type="dxa"/>
          <w:left w:w="0" w:type="dxa"/>
          <w:bottom w:w="0" w:type="dxa"/>
          <w:right w:w="0" w:type="dxa"/>
        </w:tblCellMar>
        <w:tblLook w:val="01E0"/>
      </w:tblPr>
      <w:tblGrid>
        <w:gridCol w:w="3860"/>
        <w:gridCol w:w="5036"/>
      </w:tblGrid>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浙江省嘉兴市中山路禾兴路口</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314000</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浙江省杭州市西溪路</w:t>
            </w:r>
            <w:r>
              <w:rPr>
                <w:rFonts w:ascii="宋体" w:hAnsi="宋体" w:cs="宋体" w:eastAsia="宋体" w:hint="default"/>
                <w:sz w:val="24"/>
                <w:szCs w:val="24"/>
              </w:rPr>
              <w:t>128</w:t>
            </w:r>
            <w:r>
              <w:rPr>
                <w:rFonts w:ascii="宋体" w:hAnsi="宋体" w:cs="宋体" w:eastAsia="宋体" w:hint="default"/>
                <w:sz w:val="24"/>
                <w:szCs w:val="24"/>
              </w:rPr>
              <w:t>号新湖商务大厦</w:t>
            </w:r>
            <w:r>
              <w:rPr>
                <w:rFonts w:ascii="宋体" w:hAnsi="宋体" w:cs="宋体" w:eastAsia="宋体" w:hint="default"/>
                <w:sz w:val="24"/>
                <w:szCs w:val="24"/>
              </w:rPr>
              <w:t>11</w:t>
            </w:r>
            <w:r>
              <w:rPr>
                <w:rFonts w:ascii="宋体" w:hAnsi="宋体" w:cs="宋体" w:eastAsia="宋体" w:hint="default"/>
                <w:sz w:val="24"/>
                <w:szCs w:val="24"/>
              </w:rPr>
              <w:t>层</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310007</w:t>
            </w:r>
          </w:p>
        </w:tc>
      </w:tr>
      <w:tr>
        <w:trPr>
          <w:trHeight w:val="319"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hyperlink r:id="rId9">
              <w:r>
                <w:rPr>
                  <w:rFonts w:ascii="宋体"/>
                  <w:sz w:val="24"/>
                </w:rPr>
                <w:t>www.600208.net</w:t>
              </w:r>
            </w:hyperlink>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hyperlink r:id="rId10">
              <w:r>
                <w:rPr>
                  <w:rFonts w:ascii="宋体"/>
                  <w:sz w:val="24"/>
                </w:rPr>
                <w:t>xhzb@600208.net</w:t>
              </w:r>
            </w:hyperlink>
          </w:p>
        </w:tc>
      </w:tr>
    </w:tbl>
    <w:p>
      <w:pPr>
        <w:spacing w:after="0" w:line="276" w:lineRule="exact"/>
        <w:jc w:val="left"/>
        <w:rPr>
          <w:rFonts w:ascii="宋体" w:hAnsi="宋体" w:cs="宋体" w:eastAsia="宋体" w:hint="default"/>
          <w:sz w:val="24"/>
          <w:szCs w:val="24"/>
        </w:rPr>
        <w:sectPr>
          <w:pgSz w:w="11910" w:h="16840"/>
          <w:pgMar w:header="880" w:footer="1195" w:top="1120" w:bottom="1380" w:left="1280" w:right="7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Heading2"/>
        <w:spacing w:line="240" w:lineRule="auto"/>
        <w:ind w:right="233"/>
        <w:jc w:val="left"/>
        <w:rPr>
          <w:b w:val="0"/>
          <w:bCs w:val="0"/>
        </w:rPr>
      </w:pPr>
      <w:r>
        <w:rPr/>
        <w:t>四、</w:t>
      </w:r>
      <w:r>
        <w:rPr>
          <w:spacing w:val="-38"/>
        </w:rPr>
        <w:t> </w:t>
      </w:r>
      <w:r>
        <w:rPr/>
        <w:t>信息披露及备置地点</w:t>
      </w:r>
      <w:r>
        <w:rPr>
          <w:b w:val="0"/>
          <w:bCs w:val="0"/>
        </w:rPr>
      </w:r>
    </w:p>
    <w:p>
      <w:pPr>
        <w:pStyle w:val="BodyText"/>
        <w:spacing w:line="240" w:lineRule="auto" w:before="67"/>
        <w:ind w:left="3" w:right="125"/>
        <w:jc w:val="right"/>
      </w:pPr>
      <w:r>
        <w:rPr/>
        <w:pict>
          <v:shape style="position:absolute;margin-left:88.103996pt;margin-top:4.885644pt;width:445.55pt;height:79.8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43"/>
                    <w:gridCol w:w="4753"/>
                  </w:tblGrid>
                  <w:tr>
                    <w:trPr>
                      <w:trHeight w:val="63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6" w:right="0"/>
                          <w:jc w:val="left"/>
                          <w:rPr>
                            <w:rFonts w:ascii="宋体" w:hAnsi="宋体" w:cs="宋体" w:eastAsia="宋体" w:hint="default"/>
                            <w:sz w:val="24"/>
                            <w:szCs w:val="24"/>
                          </w:rPr>
                        </w:pPr>
                        <w:r>
                          <w:rPr>
                            <w:rFonts w:ascii="宋体" w:hAnsi="宋体" w:cs="宋体" w:eastAsia="宋体" w:hint="default"/>
                            <w:sz w:val="24"/>
                            <w:szCs w:val="24"/>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《中国证券报》《上海证券报》《证券时报</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《证券日报》</w:t>
                        </w:r>
                      </w:p>
                    </w:tc>
                  </w:tr>
                  <w:tr>
                    <w:trPr>
                      <w:trHeight w:val="63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登载年度报告的中国证监会指定网站的</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4" w:right="0"/>
                          <w:jc w:val="left"/>
                          <w:rPr>
                            <w:rFonts w:ascii="宋体" w:hAnsi="宋体" w:cs="宋体" w:eastAsia="宋体" w:hint="default"/>
                            <w:sz w:val="24"/>
                            <w:szCs w:val="24"/>
                          </w:rPr>
                        </w:pPr>
                        <w:hyperlink r:id="rId11">
                          <w:r>
                            <w:rPr>
                              <w:rFonts w:ascii="宋体"/>
                              <w:sz w:val="24"/>
                            </w:rPr>
                            <w:t>www.sse.com.cn</w:t>
                          </w:r>
                        </w:hyperlink>
                      </w:p>
                    </w:tc>
                  </w:tr>
                  <w:tr>
                    <w:trPr>
                      <w:trHeight w:val="32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浙江省杭州市西溪路</w:t>
                        </w:r>
                        <w:r>
                          <w:rPr>
                            <w:rFonts w:ascii="宋体" w:hAnsi="宋体" w:cs="宋体" w:eastAsia="宋体" w:hint="default"/>
                            <w:sz w:val="24"/>
                            <w:szCs w:val="24"/>
                          </w:rPr>
                          <w:t>128</w:t>
                        </w:r>
                        <w:r>
                          <w:rPr>
                            <w:rFonts w:ascii="宋体" w:hAnsi="宋体" w:cs="宋体" w:eastAsia="宋体" w:hint="default"/>
                            <w:sz w:val="24"/>
                            <w:szCs w:val="24"/>
                          </w:rPr>
                          <w:t>号新湖商务大厦</w:t>
                        </w:r>
                        <w:r>
                          <w:rPr>
                            <w:rFonts w:ascii="宋体" w:hAnsi="宋体" w:cs="宋体" w:eastAsia="宋体" w:hint="default"/>
                            <w:sz w:val="24"/>
                            <w:szCs w:val="24"/>
                          </w:rPr>
                          <w:t>11</w:t>
                        </w:r>
                        <w:r>
                          <w:rPr>
                            <w:rFonts w:ascii="宋体" w:hAnsi="宋体" w:cs="宋体" w:eastAsia="宋体" w:hint="default"/>
                            <w:sz w:val="24"/>
                            <w:szCs w:val="24"/>
                          </w:rPr>
                          <w:t>层</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Heading2"/>
        <w:spacing w:line="240" w:lineRule="auto"/>
        <w:ind w:right="233"/>
        <w:jc w:val="left"/>
        <w:rPr>
          <w:b w:val="0"/>
          <w:bCs w:val="0"/>
        </w:rPr>
      </w:pPr>
      <w:r>
        <w:rPr/>
        <w:t>五、</w:t>
      </w:r>
      <w:r>
        <w:rPr>
          <w:spacing w:val="-39"/>
        </w:rPr>
        <w:t> </w:t>
      </w:r>
      <w:r>
        <w:rPr/>
        <w:t>公司股票简况</w:t>
      </w:r>
      <w:r>
        <w:rPr>
          <w:b w:val="0"/>
          <w:bCs w:val="0"/>
        </w:rPr>
      </w:r>
    </w:p>
    <w:p>
      <w:pPr>
        <w:spacing w:line="240" w:lineRule="auto" w:before="7"/>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2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公司股票简况</w:t>
            </w:r>
          </w:p>
        </w:tc>
      </w:tr>
      <w:tr>
        <w:trPr>
          <w:trHeight w:val="32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变更前股票简称</w:t>
            </w:r>
          </w:p>
        </w:tc>
      </w:tr>
      <w:tr>
        <w:trPr>
          <w:trHeight w:val="32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A</w:t>
            </w:r>
            <w:r>
              <w:rPr>
                <w:rFonts w:ascii="宋体" w:hAnsi="宋体" w:cs="宋体" w:eastAsia="宋体" w:hint="default"/>
                <w:sz w:val="24"/>
                <w:szCs w:val="24"/>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 w:right="0"/>
              <w:jc w:val="center"/>
              <w:rPr>
                <w:rFonts w:ascii="宋体" w:hAnsi="宋体" w:cs="宋体" w:eastAsia="宋体" w:hint="default"/>
                <w:sz w:val="24"/>
                <w:szCs w:val="24"/>
              </w:rPr>
            </w:pPr>
            <w:r>
              <w:rPr>
                <w:rFonts w:ascii="宋体" w:hAnsi="宋体" w:cs="宋体" w:eastAsia="宋体" w:hint="default"/>
                <w:sz w:val="24"/>
                <w:szCs w:val="24"/>
              </w:rPr>
              <w:t>上交所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新湖中宝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600208</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中宝股份</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7"/>
          <w:szCs w:val="27"/>
        </w:rPr>
      </w:pPr>
    </w:p>
    <w:p>
      <w:pPr>
        <w:pStyle w:val="Heading2"/>
        <w:spacing w:line="240" w:lineRule="auto"/>
        <w:ind w:right="233"/>
        <w:jc w:val="left"/>
        <w:rPr>
          <w:b w:val="0"/>
          <w:bCs w:val="0"/>
        </w:rPr>
      </w:pPr>
      <w:r>
        <w:rPr/>
        <w:t>六、</w:t>
      </w:r>
      <w:r>
        <w:rPr>
          <w:spacing w:val="-39"/>
        </w:rPr>
        <w:t> </w:t>
      </w:r>
      <w:r>
        <w:rPr/>
        <w:t>其他相关资料</w:t>
      </w:r>
      <w:r>
        <w:rPr>
          <w:b w:val="0"/>
          <w:bCs w:val="0"/>
        </w:rPr>
      </w:r>
    </w:p>
    <w:p>
      <w:pPr>
        <w:spacing w:line="240" w:lineRule="auto" w:before="7"/>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524"/>
        <w:gridCol w:w="2696"/>
        <w:gridCol w:w="4830"/>
      </w:tblGrid>
      <w:tr>
        <w:trPr>
          <w:trHeight w:val="322" w:hRule="exact"/>
        </w:trPr>
        <w:tc>
          <w:tcPr>
            <w:tcW w:w="1524" w:type="dxa"/>
            <w:vMerge w:val="restart"/>
            <w:tcBorders>
              <w:top w:val="single" w:sz="4" w:space="0" w:color="000000"/>
              <w:left w:val="single" w:sz="4" w:space="0" w:color="000000"/>
              <w:right w:val="single" w:sz="4" w:space="0" w:color="000000"/>
            </w:tcBorders>
          </w:tcPr>
          <w:p>
            <w:pPr>
              <w:pStyle w:val="TableParagraph"/>
              <w:spacing w:line="282" w:lineRule="exact"/>
              <w:ind w:left="103" w:right="0"/>
              <w:jc w:val="left"/>
              <w:rPr>
                <w:rFonts w:ascii="宋体" w:hAnsi="宋体" w:cs="宋体" w:eastAsia="宋体" w:hint="default"/>
                <w:sz w:val="24"/>
                <w:szCs w:val="24"/>
              </w:rPr>
            </w:pPr>
            <w:r>
              <w:rPr>
                <w:rFonts w:ascii="宋体" w:hAnsi="宋体" w:cs="宋体" w:eastAsia="宋体" w:hint="default"/>
                <w:spacing w:val="20"/>
                <w:sz w:val="24"/>
                <w:szCs w:val="24"/>
              </w:rPr>
              <w:t>公司聘请的</w:t>
            </w:r>
            <w:r>
              <w:rPr>
                <w:rFonts w:ascii="宋体" w:hAnsi="宋体" w:cs="宋体" w:eastAsia="宋体" w:hint="default"/>
                <w:spacing w:val="-94"/>
                <w:sz w:val="24"/>
                <w:szCs w:val="24"/>
              </w:rPr>
              <w:t> </w:t>
            </w:r>
            <w:r>
              <w:rPr>
                <w:rFonts w:ascii="宋体" w:hAnsi="宋体" w:cs="宋体" w:eastAsia="宋体" w:hint="default"/>
                <w:sz w:val="24"/>
                <w:szCs w:val="24"/>
              </w:rPr>
            </w:r>
          </w:p>
          <w:p>
            <w:pPr>
              <w:pStyle w:val="TableParagraph"/>
              <w:spacing w:line="310" w:lineRule="exact" w:before="31"/>
              <w:ind w:left="103" w:right="77"/>
              <w:jc w:val="left"/>
              <w:rPr>
                <w:rFonts w:ascii="宋体" w:hAnsi="宋体" w:cs="宋体" w:eastAsia="宋体" w:hint="default"/>
                <w:sz w:val="24"/>
                <w:szCs w:val="24"/>
              </w:rPr>
            </w:pPr>
            <w:r>
              <w:rPr>
                <w:rFonts w:ascii="宋体" w:hAnsi="宋体" w:cs="宋体" w:eastAsia="宋体" w:hint="default"/>
                <w:spacing w:val="20"/>
                <w:sz w:val="24"/>
                <w:szCs w:val="24"/>
              </w:rPr>
              <w:t>会计师事务</w:t>
            </w:r>
            <w:r>
              <w:rPr>
                <w:rFonts w:ascii="宋体" w:hAnsi="宋体" w:cs="宋体" w:eastAsia="宋体" w:hint="default"/>
                <w:spacing w:val="-116"/>
                <w:sz w:val="24"/>
                <w:szCs w:val="24"/>
              </w:rPr>
              <w:t> </w:t>
            </w:r>
            <w:r>
              <w:rPr>
                <w:rFonts w:ascii="宋体" w:hAnsi="宋体" w:cs="宋体" w:eastAsia="宋体" w:hint="default"/>
                <w:sz w:val="24"/>
                <w:szCs w:val="24"/>
              </w:rPr>
              <w:t>所（境内）</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天健会计师事务所（特殊普通合伙）</w:t>
            </w:r>
          </w:p>
        </w:tc>
      </w:tr>
      <w:tr>
        <w:trPr>
          <w:trHeight w:val="319" w:hRule="exact"/>
        </w:trPr>
        <w:tc>
          <w:tcPr>
            <w:tcW w:w="1524" w:type="dxa"/>
            <w:vMerge/>
            <w:tcBorders>
              <w:left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杭州市江干区钱江路</w:t>
            </w:r>
            <w:r>
              <w:rPr>
                <w:rFonts w:ascii="宋体" w:hAnsi="宋体" w:cs="宋体" w:eastAsia="宋体" w:hint="default"/>
                <w:spacing w:val="-60"/>
                <w:sz w:val="24"/>
                <w:szCs w:val="24"/>
              </w:rPr>
              <w:t> </w:t>
            </w:r>
            <w:r>
              <w:rPr>
                <w:rFonts w:ascii="宋体" w:hAnsi="宋体" w:cs="宋体" w:eastAsia="宋体" w:hint="default"/>
                <w:sz w:val="24"/>
                <w:szCs w:val="24"/>
              </w:rPr>
              <w:t>1366</w:t>
            </w:r>
            <w:r>
              <w:rPr>
                <w:rFonts w:ascii="宋体" w:hAnsi="宋体" w:cs="宋体" w:eastAsia="宋体" w:hint="default"/>
                <w:spacing w:val="-60"/>
                <w:sz w:val="24"/>
                <w:szCs w:val="24"/>
              </w:rPr>
              <w:t> </w:t>
            </w:r>
            <w:r>
              <w:rPr>
                <w:rFonts w:ascii="宋体" w:hAnsi="宋体" w:cs="宋体" w:eastAsia="宋体" w:hint="default"/>
                <w:sz w:val="24"/>
                <w:szCs w:val="24"/>
              </w:rPr>
              <w:t>号华润大厦</w:t>
            </w:r>
            <w:r>
              <w:rPr>
                <w:rFonts w:ascii="宋体" w:hAnsi="宋体" w:cs="宋体" w:eastAsia="宋体" w:hint="default"/>
                <w:spacing w:val="-60"/>
                <w:sz w:val="24"/>
                <w:szCs w:val="24"/>
              </w:rPr>
              <w:t> </w:t>
            </w:r>
            <w:r>
              <w:rPr>
                <w:rFonts w:ascii="宋体" w:hAnsi="宋体" w:cs="宋体" w:eastAsia="宋体" w:hint="default"/>
                <w:sz w:val="24"/>
                <w:szCs w:val="24"/>
              </w:rPr>
              <w:t>B</w:t>
            </w:r>
            <w:r>
              <w:rPr>
                <w:rFonts w:ascii="宋体" w:hAnsi="宋体" w:cs="宋体" w:eastAsia="宋体" w:hint="default"/>
                <w:spacing w:val="-60"/>
                <w:sz w:val="24"/>
                <w:szCs w:val="24"/>
              </w:rPr>
              <w:t> </w:t>
            </w:r>
            <w:r>
              <w:rPr>
                <w:rFonts w:ascii="宋体" w:hAnsi="宋体" w:cs="宋体" w:eastAsia="宋体" w:hint="default"/>
                <w:sz w:val="24"/>
                <w:szCs w:val="24"/>
              </w:rPr>
              <w:t>座</w:t>
            </w:r>
          </w:p>
        </w:tc>
      </w:tr>
      <w:tr>
        <w:trPr>
          <w:trHeight w:val="322" w:hRule="exact"/>
        </w:trPr>
        <w:tc>
          <w:tcPr>
            <w:tcW w:w="1524" w:type="dxa"/>
            <w:vMerge/>
            <w:tcBorders>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签字会计师姓名</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叶喜撑、许松飞</w:t>
            </w:r>
          </w:p>
        </w:tc>
      </w:tr>
      <w:tr>
        <w:trPr>
          <w:trHeight w:val="322" w:hRule="exact"/>
        </w:trPr>
        <w:tc>
          <w:tcPr>
            <w:tcW w:w="1524" w:type="dxa"/>
            <w:vMerge w:val="restart"/>
            <w:tcBorders>
              <w:top w:val="single" w:sz="4" w:space="0" w:color="000000"/>
              <w:left w:val="single" w:sz="4" w:space="0" w:color="000000"/>
              <w:right w:val="single" w:sz="4" w:space="0" w:color="000000"/>
            </w:tcBorders>
          </w:tcPr>
          <w:p>
            <w:pPr>
              <w:pStyle w:val="TableParagraph"/>
              <w:spacing w:line="237" w:lineRule="auto" w:before="135"/>
              <w:ind w:left="103" w:right="77"/>
              <w:jc w:val="both"/>
              <w:rPr>
                <w:rFonts w:ascii="宋体" w:hAnsi="宋体" w:cs="宋体" w:eastAsia="宋体" w:hint="default"/>
                <w:sz w:val="24"/>
                <w:szCs w:val="24"/>
              </w:rPr>
            </w:pPr>
            <w:r>
              <w:rPr>
                <w:rFonts w:ascii="宋体" w:hAnsi="宋体" w:cs="宋体" w:eastAsia="宋体" w:hint="default"/>
                <w:spacing w:val="20"/>
                <w:sz w:val="24"/>
                <w:szCs w:val="24"/>
              </w:rPr>
              <w:t>报告期内履</w:t>
            </w:r>
            <w:r>
              <w:rPr>
                <w:rFonts w:ascii="宋体" w:hAnsi="宋体" w:cs="宋体" w:eastAsia="宋体" w:hint="default"/>
                <w:spacing w:val="-116"/>
                <w:sz w:val="24"/>
                <w:szCs w:val="24"/>
              </w:rPr>
              <w:t> </w:t>
            </w:r>
            <w:r>
              <w:rPr>
                <w:rFonts w:ascii="宋体" w:hAnsi="宋体" w:cs="宋体" w:eastAsia="宋体" w:hint="default"/>
                <w:spacing w:val="20"/>
                <w:sz w:val="24"/>
                <w:szCs w:val="24"/>
              </w:rPr>
              <w:t>行持续督导</w:t>
            </w:r>
            <w:r>
              <w:rPr>
                <w:rFonts w:ascii="宋体" w:hAnsi="宋体" w:cs="宋体" w:eastAsia="宋体" w:hint="default"/>
                <w:spacing w:val="-116"/>
                <w:sz w:val="24"/>
                <w:szCs w:val="24"/>
              </w:rPr>
              <w:t> </w:t>
            </w:r>
            <w:r>
              <w:rPr>
                <w:rFonts w:ascii="宋体" w:hAnsi="宋体" w:cs="宋体" w:eastAsia="宋体" w:hint="default"/>
                <w:spacing w:val="20"/>
                <w:sz w:val="24"/>
                <w:szCs w:val="24"/>
              </w:rPr>
              <w:t>职责的保荐</w:t>
            </w:r>
            <w:r>
              <w:rPr>
                <w:rFonts w:ascii="宋体" w:hAnsi="宋体" w:cs="宋体" w:eastAsia="宋体" w:hint="default"/>
                <w:spacing w:val="-116"/>
                <w:sz w:val="24"/>
                <w:szCs w:val="24"/>
              </w:rPr>
              <w:t> </w:t>
            </w:r>
            <w:r>
              <w:rPr>
                <w:rFonts w:ascii="宋体" w:hAnsi="宋体" w:cs="宋体" w:eastAsia="宋体" w:hint="default"/>
                <w:sz w:val="24"/>
                <w:szCs w:val="24"/>
              </w:rPr>
              <w:t>机构</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西南证券股份有限公司</w:t>
            </w:r>
          </w:p>
        </w:tc>
      </w:tr>
      <w:tr>
        <w:trPr>
          <w:trHeight w:val="634" w:hRule="exact"/>
        </w:trPr>
        <w:tc>
          <w:tcPr>
            <w:tcW w:w="1524" w:type="dxa"/>
            <w:vMerge/>
            <w:tcBorders>
              <w:left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上海市陆家嘴东路</w:t>
            </w:r>
            <w:r>
              <w:rPr>
                <w:rFonts w:ascii="宋体" w:hAnsi="宋体" w:cs="宋体" w:eastAsia="宋体" w:hint="default"/>
                <w:spacing w:val="-46"/>
                <w:sz w:val="24"/>
                <w:szCs w:val="24"/>
              </w:rPr>
              <w:t> </w:t>
            </w:r>
            <w:r>
              <w:rPr>
                <w:rFonts w:ascii="宋体" w:hAnsi="宋体" w:cs="宋体" w:eastAsia="宋体" w:hint="default"/>
                <w:sz w:val="24"/>
                <w:szCs w:val="24"/>
              </w:rPr>
              <w:t>166</w:t>
            </w:r>
            <w:r>
              <w:rPr>
                <w:rFonts w:ascii="宋体" w:hAnsi="宋体" w:cs="宋体" w:eastAsia="宋体" w:hint="default"/>
                <w:spacing w:val="-48"/>
                <w:sz w:val="24"/>
                <w:szCs w:val="24"/>
              </w:rPr>
              <w:t> </w:t>
            </w:r>
            <w:r>
              <w:rPr>
                <w:rFonts w:ascii="宋体" w:hAnsi="宋体" w:cs="宋体" w:eastAsia="宋体" w:hint="default"/>
                <w:sz w:val="24"/>
                <w:szCs w:val="24"/>
              </w:rPr>
              <w:t>号中保大厦</w:t>
            </w:r>
            <w:r>
              <w:rPr>
                <w:rFonts w:ascii="宋体" w:hAnsi="宋体" w:cs="宋体" w:eastAsia="宋体" w:hint="default"/>
                <w:spacing w:val="-45"/>
                <w:sz w:val="24"/>
                <w:szCs w:val="24"/>
              </w:rPr>
              <w:t> </w:t>
            </w:r>
            <w:r>
              <w:rPr>
                <w:rFonts w:ascii="宋体" w:hAnsi="宋体" w:cs="宋体" w:eastAsia="宋体" w:hint="default"/>
                <w:sz w:val="24"/>
                <w:szCs w:val="24"/>
              </w:rPr>
              <w:t>1</w:t>
            </w:r>
            <w:r>
              <w:rPr>
                <w:rFonts w:ascii="宋体" w:hAnsi="宋体" w:cs="宋体" w:eastAsia="宋体" w:hint="default"/>
                <w:spacing w:val="-46"/>
                <w:sz w:val="24"/>
                <w:szCs w:val="24"/>
              </w:rPr>
              <w:t> </w:t>
            </w:r>
            <w:r>
              <w:rPr>
                <w:rFonts w:ascii="宋体" w:hAnsi="宋体" w:cs="宋体" w:eastAsia="宋体" w:hint="default"/>
                <w:sz w:val="24"/>
                <w:szCs w:val="24"/>
              </w:rPr>
              <w:t>楼北侧</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大厅</w:t>
            </w:r>
          </w:p>
        </w:tc>
      </w:tr>
      <w:tr>
        <w:trPr>
          <w:trHeight w:val="322" w:hRule="exact"/>
        </w:trPr>
        <w:tc>
          <w:tcPr>
            <w:tcW w:w="1524" w:type="dxa"/>
            <w:vMerge/>
            <w:tcBorders>
              <w:left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签字的保荐代表人姓名</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胡晓莉、王文毅</w:t>
            </w:r>
          </w:p>
        </w:tc>
      </w:tr>
      <w:tr>
        <w:trPr>
          <w:trHeight w:val="322" w:hRule="exact"/>
        </w:trPr>
        <w:tc>
          <w:tcPr>
            <w:tcW w:w="1524" w:type="dxa"/>
            <w:vMerge/>
            <w:tcBorders>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持续督导的期间</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日至</w:t>
            </w:r>
            <w:r>
              <w:rPr>
                <w:rFonts w:ascii="宋体" w:hAnsi="宋体" w:cs="宋体" w:eastAsia="宋体" w:hint="default"/>
                <w:spacing w:val="-60"/>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10" w:h="16840"/>
          <w:pgMar w:header="880" w:footer="1195" w:top="1120" w:bottom="1380" w:left="1580" w:right="1040"/>
        </w:sectPr>
      </w:pPr>
    </w:p>
    <w:p>
      <w:pPr>
        <w:pStyle w:val="Heading2"/>
        <w:spacing w:line="240" w:lineRule="auto"/>
        <w:ind w:right="-18"/>
        <w:jc w:val="left"/>
        <w:rPr>
          <w:b w:val="0"/>
          <w:bCs w:val="0"/>
        </w:rPr>
      </w:pPr>
      <w:r>
        <w:rPr/>
        <w:t>七、</w:t>
      </w:r>
      <w:r>
        <w:rPr>
          <w:spacing w:val="-37"/>
        </w:rPr>
        <w:t> </w:t>
      </w:r>
      <w:r>
        <w:rPr/>
        <w:t>近三年主要会计数据和财务指标</w:t>
      </w:r>
      <w:r>
        <w:rPr>
          <w:b w:val="0"/>
          <w:bCs w:val="0"/>
        </w:rPr>
      </w:r>
    </w:p>
    <w:p>
      <w:pPr>
        <w:pStyle w:val="Heading2"/>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tabs>
          <w:tab w:pos="1269" w:val="left" w:leader="none"/>
        </w:tabs>
        <w:spacing w:before="0"/>
        <w:ind w:left="21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1910" w:h="16840"/>
          <w:pgMar w:top="1000" w:bottom="280" w:left="1580" w:right="1040"/>
          <w:cols w:num="2" w:equalWidth="0">
            <w:col w:w="4160" w:space="2361"/>
            <w:col w:w="2769"/>
          </w:cols>
        </w:sectPr>
      </w:pPr>
    </w:p>
    <w:p>
      <w:pPr>
        <w:spacing w:line="240" w:lineRule="auto" w:before="3"/>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1990"/>
        <w:gridCol w:w="2108"/>
        <w:gridCol w:w="2105"/>
        <w:gridCol w:w="847"/>
        <w:gridCol w:w="2000"/>
      </w:tblGrid>
      <w:tr>
        <w:trPr>
          <w:trHeight w:val="1102"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37" w:lineRule="auto"/>
              <w:ind w:left="103" w:right="98"/>
              <w:jc w:val="center"/>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93"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17,499,924,005.52</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13,626,242,154.83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28.43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11,636,298,826.34</w:t>
            </w:r>
          </w:p>
        </w:tc>
      </w:tr>
      <w:tr>
        <w:trPr>
          <w:trHeight w:val="557"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归属于上市公司股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3,321,865,217.75</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5,838,460,777.01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-43.10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1,160,723,279.77</w:t>
            </w:r>
          </w:p>
        </w:tc>
      </w:tr>
      <w:tr>
        <w:trPr>
          <w:trHeight w:val="826"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归属于上市公司股</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9"/>
                <w:sz w:val="21"/>
                <w:szCs w:val="21"/>
              </w:rPr>
              <w:t>东的扣除非经常性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损益的净利润</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2,428,945,061.92</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553,005,497.72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339.23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1,009,188,710.44</w:t>
            </w:r>
          </w:p>
        </w:tc>
      </w:tr>
      <w:tr>
        <w:trPr>
          <w:trHeight w:val="555"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经营活动产生的现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1,683,174,245.91</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4,628,101,820.72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-63.63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701,793,577.02</w:t>
            </w:r>
          </w:p>
        </w:tc>
      </w:tr>
    </w:tbl>
    <w:p>
      <w:pPr>
        <w:spacing w:after="0" w:line="240" w:lineRule="auto"/>
        <w:jc w:val="right"/>
        <w:rPr>
          <w:rFonts w:ascii="宋体" w:hAnsi="宋体" w:cs="宋体" w:eastAsia="宋体" w:hint="default"/>
          <w:sz w:val="21"/>
          <w:szCs w:val="21"/>
        </w:rPr>
        <w:sectPr>
          <w:type w:val="continuous"/>
          <w:pgSz w:w="11910" w:h="16840"/>
          <w:pgMar w:top="1000" w:bottom="2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465" w:type="dxa"/>
        <w:tblLayout w:type="fixed"/>
        <w:tblCellMar>
          <w:top w:w="0" w:type="dxa"/>
          <w:left w:w="0" w:type="dxa"/>
          <w:bottom w:w="0" w:type="dxa"/>
          <w:right w:w="0" w:type="dxa"/>
        </w:tblCellMar>
        <w:tblLook w:val="01E0"/>
      </w:tblPr>
      <w:tblGrid>
        <w:gridCol w:w="1990"/>
        <w:gridCol w:w="2108"/>
        <w:gridCol w:w="2105"/>
        <w:gridCol w:w="847"/>
        <w:gridCol w:w="2000"/>
      </w:tblGrid>
      <w:tr>
        <w:trPr>
          <w:trHeight w:val="1373" w:hRule="exact"/>
        </w:trPr>
        <w:tc>
          <w:tcPr>
            <w:tcW w:w="1990" w:type="dxa"/>
            <w:tcBorders>
              <w:top w:val="single" w:sz="4" w:space="0" w:color="000000"/>
              <w:left w:val="single" w:sz="4" w:space="0" w:color="000000"/>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spacing w:val="-102"/>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pacing w:val="-27"/>
                <w:w w:val="100"/>
                <w:sz w:val="21"/>
                <w:szCs w:val="21"/>
              </w:rPr>
              <w:t>增减（</w:t>
            </w:r>
            <w:r>
              <w:rPr>
                <w:rFonts w:ascii="宋体" w:hAnsi="宋体" w:cs="宋体" w:eastAsia="宋体" w:hint="default"/>
                <w:spacing w:val="-27"/>
                <w:w w:val="100"/>
                <w:sz w:val="21"/>
                <w:szCs w:val="21"/>
              </w:rPr>
              <w:t>%</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r>
      <w:tr>
        <w:trPr>
          <w:trHeight w:val="554"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东的净资产</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sz w:val="21"/>
              </w:rPr>
              <w:t>32,206,639,463.86</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29,053,701,444.73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10.85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24,123,985,345.25</w:t>
            </w:r>
          </w:p>
        </w:tc>
      </w:tr>
      <w:tr>
        <w:trPr>
          <w:trHeight w:val="295"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sz w:val="21"/>
              </w:rPr>
              <w:t>124,569,083,000.82</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111,571,619,779.86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11.65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89,067,439,340.57</w:t>
            </w:r>
          </w:p>
        </w:tc>
      </w:tr>
    </w:tbl>
    <w:p>
      <w:pPr>
        <w:spacing w:line="240" w:lineRule="auto" w:before="5"/>
        <w:rPr>
          <w:rFonts w:ascii="宋体" w:hAnsi="宋体" w:cs="宋体" w:eastAsia="宋体" w:hint="default"/>
          <w:sz w:val="23"/>
          <w:szCs w:val="23"/>
        </w:rPr>
      </w:pPr>
    </w:p>
    <w:p>
      <w:pPr>
        <w:pStyle w:val="Heading2"/>
        <w:tabs>
          <w:tab w:pos="1417" w:val="left" w:leader="none"/>
        </w:tabs>
        <w:spacing w:line="240" w:lineRule="auto"/>
        <w:ind w:left="578" w:right="614"/>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1"/>
          <w:szCs w:val="11"/>
        </w:rPr>
      </w:pPr>
    </w:p>
    <w:tbl>
      <w:tblPr>
        <w:tblW w:w="0" w:type="auto"/>
        <w:jc w:val="left"/>
        <w:tblInd w:w="352" w:type="dxa"/>
        <w:tblLayout w:type="fixed"/>
        <w:tblCellMar>
          <w:top w:w="0" w:type="dxa"/>
          <w:left w:w="0" w:type="dxa"/>
          <w:bottom w:w="0" w:type="dxa"/>
          <w:right w:w="0" w:type="dxa"/>
        </w:tblCellMar>
        <w:tblLook w:val="01E0"/>
      </w:tblPr>
      <w:tblGrid>
        <w:gridCol w:w="3483"/>
        <w:gridCol w:w="1133"/>
        <w:gridCol w:w="1136"/>
        <w:gridCol w:w="2835"/>
        <w:gridCol w:w="991"/>
      </w:tblGrid>
      <w:tr>
        <w:trPr>
          <w:trHeight w:val="49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106"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4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4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07" w:right="0"/>
              <w:jc w:val="left"/>
              <w:rPr>
                <w:rFonts w:ascii="宋体" w:hAnsi="宋体" w:cs="宋体" w:eastAsia="宋体" w:hint="default"/>
                <w:sz w:val="21"/>
                <w:szCs w:val="21"/>
              </w:rPr>
            </w:pPr>
            <w:r>
              <w:rPr>
                <w:rFonts w:ascii="宋体" w:hAnsi="宋体" w:cs="宋体" w:eastAsia="宋体" w:hint="default"/>
                <w:sz w:val="21"/>
                <w:szCs w:val="21"/>
              </w:rPr>
              <w:t>本期比上年同期增减</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7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0.66</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0.14</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0.66</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0.14</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扣除非经常性损益后的基本每股收</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益（元／股）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0.06</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366.67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0.12</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10.84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24.37</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13.53</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5.89</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扣除非经常性损益后的加权平均净</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7.92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2.31</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5.61</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5.12</w:t>
            </w:r>
          </w:p>
        </w:tc>
      </w:tr>
    </w:tbl>
    <w:p>
      <w:pPr>
        <w:spacing w:line="240" w:lineRule="auto" w:before="10"/>
        <w:rPr>
          <w:rFonts w:ascii="宋体" w:hAnsi="宋体" w:cs="宋体" w:eastAsia="宋体" w:hint="default"/>
          <w:b/>
          <w:bCs/>
          <w:sz w:val="18"/>
          <w:szCs w:val="18"/>
        </w:rPr>
      </w:pPr>
    </w:p>
    <w:p>
      <w:pPr>
        <w:pStyle w:val="BodyText"/>
        <w:spacing w:line="313" w:lineRule="exact" w:before="26"/>
        <w:ind w:left="578" w:right="614"/>
        <w:jc w:val="left"/>
      </w:pPr>
      <w:r>
        <w:rPr/>
        <w:t>报告期末公司前三年主要会计数据和财务指标的说明</w:t>
      </w:r>
    </w:p>
    <w:p>
      <w:pPr>
        <w:pStyle w:val="BodyText"/>
        <w:spacing w:line="313" w:lineRule="exact"/>
        <w:ind w:left="578" w:right="614"/>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2"/>
        <w:spacing w:line="240" w:lineRule="auto" w:before="0"/>
        <w:ind w:left="578" w:right="614"/>
        <w:jc w:val="left"/>
        <w:rPr>
          <w:b w:val="0"/>
          <w:bCs w:val="0"/>
        </w:rPr>
      </w:pPr>
      <w:r>
        <w:rPr/>
        <w:t>八、</w:t>
      </w:r>
      <w:r>
        <w:rPr>
          <w:spacing w:val="-37"/>
        </w:rPr>
        <w:t> </w:t>
      </w:r>
      <w:r>
        <w:rPr/>
        <w:t>境内外会计准则下会计数据差异</w:t>
      </w:r>
      <w:r>
        <w:rPr>
          <w:b w:val="0"/>
          <w:bCs w:val="0"/>
        </w:rPr>
      </w:r>
    </w:p>
    <w:p>
      <w:pPr>
        <w:pStyle w:val="Heading2"/>
        <w:spacing w:line="312" w:lineRule="exact" w:before="88"/>
        <w:ind w:left="998" w:right="614"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spacing w:val="6"/>
        </w:rPr>
        <w:t>同时按照国际会计准则与按中国会计准则披露的财务报告中净利润和归属于上</w:t>
      </w:r>
      <w:r>
        <w:rPr>
          <w:w w:val="99"/>
        </w:rPr>
        <w:t> </w:t>
      </w:r>
      <w:r>
        <w:rPr/>
        <w:t>市公司股东的净资产差异情况</w:t>
      </w:r>
      <w:r>
        <w:rPr>
          <w:b w:val="0"/>
          <w:bCs w:val="0"/>
        </w:rPr>
      </w:r>
    </w:p>
    <w:p>
      <w:pPr>
        <w:pStyle w:val="BodyText"/>
        <w:spacing w:line="240" w:lineRule="auto" w:before="27"/>
        <w:ind w:left="578" w:right="614"/>
        <w:jc w:val="left"/>
      </w:pPr>
      <w:r>
        <w:rPr/>
        <w:t>□适用</w:t>
      </w:r>
      <w:r>
        <w:rPr>
          <w:spacing w:val="-1"/>
        </w:rPr>
        <w:t> </w:t>
      </w:r>
      <w:r>
        <w:rPr/>
        <w:t>√不适用</w:t>
      </w:r>
    </w:p>
    <w:p>
      <w:pPr>
        <w:spacing w:line="240" w:lineRule="auto" w:before="10"/>
        <w:rPr>
          <w:rFonts w:ascii="宋体" w:hAnsi="宋体" w:cs="宋体" w:eastAsia="宋体" w:hint="default"/>
          <w:sz w:val="30"/>
          <w:szCs w:val="30"/>
        </w:rPr>
      </w:pPr>
    </w:p>
    <w:p>
      <w:pPr>
        <w:pStyle w:val="Heading2"/>
        <w:spacing w:line="310" w:lineRule="exact" w:before="0"/>
        <w:ind w:left="998" w:right="614" w:hanging="42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41"/>
        </w:rPr>
        <w:t> </w:t>
      </w:r>
      <w:r>
        <w:rPr>
          <w:spacing w:val="7"/>
        </w:rPr>
        <w:t>同时按照境外会计准则与按中国会计准则披露的财务报告中净利润和归属于上</w:t>
      </w:r>
      <w:r>
        <w:rPr>
          <w:spacing w:val="7"/>
          <w:w w:val="99"/>
        </w:rPr>
        <w:t> </w:t>
      </w:r>
      <w:r>
        <w:rPr/>
        <w:t>市公司股东的净资产差异情况</w:t>
      </w:r>
      <w:r>
        <w:rPr>
          <w:b w:val="0"/>
          <w:bCs w:val="0"/>
        </w:rPr>
      </w:r>
    </w:p>
    <w:p>
      <w:pPr>
        <w:pStyle w:val="BodyText"/>
        <w:spacing w:line="240" w:lineRule="auto" w:before="29"/>
        <w:ind w:left="578" w:right="614"/>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2"/>
        <w:spacing w:line="240" w:lineRule="auto" w:before="0"/>
        <w:ind w:left="578" w:right="614"/>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境内外会计准则差异的说明：</w:t>
      </w:r>
      <w:r>
        <w:rPr>
          <w:b w:val="0"/>
          <w:bCs w:val="0"/>
        </w:rPr>
      </w:r>
    </w:p>
    <w:p>
      <w:pPr>
        <w:pStyle w:val="BodyText"/>
        <w:spacing w:line="240" w:lineRule="auto" w:before="27"/>
        <w:ind w:left="578" w:right="614"/>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220" w:right="640"/>
        </w:sectPr>
      </w:pPr>
    </w:p>
    <w:p>
      <w:pPr>
        <w:pStyle w:val="Heading2"/>
        <w:spacing w:line="240" w:lineRule="auto"/>
        <w:ind w:left="578" w:right="-15"/>
        <w:jc w:val="left"/>
        <w:rPr>
          <w:b w:val="0"/>
          <w:bCs w:val="0"/>
        </w:rPr>
      </w:pPr>
      <w:r>
        <w:rPr/>
        <w:t>九、 </w:t>
      </w:r>
      <w:r>
        <w:rPr>
          <w:rFonts w:ascii="Arial" w:hAnsi="Arial" w:cs="Arial" w:eastAsia="Arial" w:hint="default"/>
        </w:rPr>
        <w:t>2017</w:t>
      </w:r>
      <w:r>
        <w:rPr>
          <w:rFonts w:ascii="Arial" w:hAnsi="Arial" w:cs="Arial" w:eastAsia="Arial" w:hint="default"/>
          <w:spacing w:val="-48"/>
        </w:rPr>
        <w:t> </w:t>
      </w:r>
      <w:r>
        <w:rPr/>
        <w:t>年分季度主要财务数据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629" w:val="left" w:leader="none"/>
        </w:tabs>
        <w:spacing w:before="142"/>
        <w:ind w:left="57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1910" w:h="16840"/>
          <w:pgMar w:top="1000" w:bottom="280" w:left="1220" w:right="640"/>
          <w:cols w:num="2" w:equalWidth="0">
            <w:col w:w="4149" w:space="2373"/>
            <w:col w:w="3528"/>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006"/>
        <w:gridCol w:w="1897"/>
        <w:gridCol w:w="1896"/>
        <w:gridCol w:w="2002"/>
        <w:gridCol w:w="1958"/>
      </w:tblGrid>
      <w:tr>
        <w:trPr>
          <w:trHeight w:val="554"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1"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1,536,487,335.19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2,554,417,229.19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5,233,972,304.84</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 w:right="0"/>
              <w:jc w:val="center"/>
              <w:rPr>
                <w:rFonts w:ascii="宋体" w:hAnsi="宋体" w:cs="宋体" w:eastAsia="宋体" w:hint="default"/>
                <w:sz w:val="21"/>
                <w:szCs w:val="21"/>
              </w:rPr>
            </w:pPr>
            <w:r>
              <w:rPr>
                <w:rFonts w:ascii="宋体"/>
                <w:sz w:val="21"/>
              </w:rPr>
              <w:t>8,175,047,136.30</w:t>
            </w:r>
          </w:p>
        </w:tc>
      </w:tr>
      <w:tr>
        <w:trPr>
          <w:trHeight w:val="555"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380,489,021.63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94,286,986.67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1,255,484,353.73</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 w:right="0"/>
              <w:jc w:val="center"/>
              <w:rPr>
                <w:rFonts w:ascii="宋体" w:hAnsi="宋体" w:cs="宋体" w:eastAsia="宋体" w:hint="default"/>
                <w:sz w:val="21"/>
                <w:szCs w:val="21"/>
              </w:rPr>
            </w:pPr>
            <w:r>
              <w:rPr>
                <w:rFonts w:ascii="宋体"/>
                <w:sz w:val="21"/>
              </w:rPr>
              <w:t>1,591,604,855.72</w:t>
            </w:r>
          </w:p>
        </w:tc>
      </w:tr>
      <w:tr>
        <w:trPr>
          <w:trHeight w:val="557"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东的扣除非经常性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347,807,041.63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78,124,211.12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863,512,085.34</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 w:right="0"/>
              <w:jc w:val="center"/>
              <w:rPr>
                <w:rFonts w:ascii="宋体" w:hAnsi="宋体" w:cs="宋体" w:eastAsia="宋体" w:hint="default"/>
                <w:sz w:val="21"/>
                <w:szCs w:val="21"/>
              </w:rPr>
            </w:pPr>
            <w:r>
              <w:rPr>
                <w:rFonts w:ascii="宋体"/>
                <w:sz w:val="21"/>
              </w:rPr>
              <w:t>1,139,501,723.83</w:t>
            </w:r>
          </w:p>
        </w:tc>
      </w:tr>
    </w:tbl>
    <w:p>
      <w:pPr>
        <w:spacing w:after="0" w:line="240" w:lineRule="auto"/>
        <w:jc w:val="center"/>
        <w:rPr>
          <w:rFonts w:ascii="宋体" w:hAnsi="宋体" w:cs="宋体" w:eastAsia="宋体" w:hint="default"/>
          <w:sz w:val="21"/>
          <w:szCs w:val="21"/>
        </w:rPr>
        <w:sectPr>
          <w:type w:val="continuous"/>
          <w:pgSz w:w="11910" w:h="16840"/>
          <w:pgMar w:top="1000" w:bottom="280" w:left="1220" w:right="6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330" w:type="dxa"/>
        <w:tblLayout w:type="fixed"/>
        <w:tblCellMar>
          <w:top w:w="0" w:type="dxa"/>
          <w:left w:w="0" w:type="dxa"/>
          <w:bottom w:w="0" w:type="dxa"/>
          <w:right w:w="0" w:type="dxa"/>
        </w:tblCellMar>
        <w:tblLook w:val="01E0"/>
      </w:tblPr>
      <w:tblGrid>
        <w:gridCol w:w="2006"/>
        <w:gridCol w:w="1897"/>
        <w:gridCol w:w="1896"/>
        <w:gridCol w:w="2002"/>
        <w:gridCol w:w="1958"/>
      </w:tblGrid>
      <w:tr>
        <w:trPr>
          <w:trHeight w:val="28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损益后的净利润</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958" w:type="dxa"/>
            <w:tcBorders>
              <w:top w:val="nil" w:sz="6" w:space="0" w:color="auto"/>
              <w:left w:val="single" w:sz="4" w:space="0" w:color="000000"/>
              <w:bottom w:val="single" w:sz="4" w:space="0" w:color="000000"/>
              <w:right w:val="single" w:sz="4" w:space="0" w:color="000000"/>
            </w:tcBorders>
          </w:tcPr>
          <w:p>
            <w:pPr/>
          </w:p>
        </w:tc>
      </w:tr>
      <w:tr>
        <w:trPr>
          <w:trHeight w:val="55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1,726,644,503.52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1,729,283,468.51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-1,720,790,781.59</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4" w:right="0"/>
              <w:jc w:val="left"/>
              <w:rPr>
                <w:rFonts w:ascii="宋体" w:hAnsi="宋体" w:cs="宋体" w:eastAsia="宋体" w:hint="default"/>
                <w:sz w:val="21"/>
                <w:szCs w:val="21"/>
              </w:rPr>
            </w:pPr>
            <w:r>
              <w:rPr>
                <w:rFonts w:ascii="宋体"/>
                <w:sz w:val="21"/>
              </w:rPr>
              <w:t>-51,962,944.53</w:t>
            </w:r>
          </w:p>
        </w:tc>
      </w:tr>
    </w:tbl>
    <w:p>
      <w:pPr>
        <w:spacing w:line="240" w:lineRule="auto" w:before="10"/>
        <w:rPr>
          <w:rFonts w:ascii="宋体" w:hAnsi="宋体" w:cs="宋体" w:eastAsia="宋体" w:hint="default"/>
          <w:sz w:val="18"/>
          <w:szCs w:val="18"/>
        </w:rPr>
      </w:pPr>
    </w:p>
    <w:p>
      <w:pPr>
        <w:pStyle w:val="BodyText"/>
        <w:spacing w:line="313" w:lineRule="exact" w:before="26"/>
        <w:ind w:left="798" w:right="0"/>
        <w:jc w:val="left"/>
      </w:pPr>
      <w:r>
        <w:rPr/>
        <w:t>季度数据与已披露定期报告数据差异说明</w:t>
      </w:r>
    </w:p>
    <w:p>
      <w:pPr>
        <w:pStyle w:val="BodyText"/>
        <w:tabs>
          <w:tab w:pos="1757" w:val="left" w:leader="none"/>
        </w:tabs>
        <w:spacing w:line="313" w:lineRule="exact"/>
        <w:ind w:left="798" w:right="0"/>
        <w:jc w:val="left"/>
      </w:pPr>
      <w:r>
        <w:rPr>
          <w:spacing w:val="-1"/>
        </w:rPr>
        <w:t>□适用</w:t>
        <w:tab/>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000" w:right="480"/>
        </w:sectPr>
      </w:pPr>
    </w:p>
    <w:p>
      <w:pPr>
        <w:pStyle w:val="Heading2"/>
        <w:spacing w:line="240" w:lineRule="auto"/>
        <w:ind w:left="798" w:right="-19"/>
        <w:jc w:val="left"/>
        <w:rPr>
          <w:b w:val="0"/>
          <w:bCs w:val="0"/>
        </w:rPr>
      </w:pPr>
      <w:r>
        <w:rPr/>
        <w:t>十、</w:t>
      </w:r>
      <w:r>
        <w:rPr>
          <w:spacing w:val="-40"/>
        </w:rPr>
        <w:t> </w:t>
      </w:r>
      <w:r>
        <w:rPr/>
        <w:t>非经常性损益项目和金额</w:t>
      </w:r>
      <w:r>
        <w:rPr>
          <w:b w:val="0"/>
          <w:bCs w:val="0"/>
        </w:rPr>
      </w:r>
    </w:p>
    <w:p>
      <w:pPr>
        <w:pStyle w:val="BodyText"/>
        <w:spacing w:line="240" w:lineRule="auto" w:before="58"/>
        <w:ind w:left="79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tabs>
          <w:tab w:pos="1744" w:val="left" w:leader="none"/>
        </w:tabs>
        <w:spacing w:before="0"/>
        <w:ind w:left="79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w:t>
      </w:r>
      <w:r>
        <w:rPr>
          <w:rFonts w:ascii="宋体" w:hAnsi="宋体" w:cs="宋体" w:eastAsia="宋体" w:hint="default"/>
          <w:spacing w:val="-1"/>
          <w:sz w:val="21"/>
          <w:szCs w:val="21"/>
        </w:rPr>
        <w:t>:</w:t>
      </w:r>
      <w:r>
        <w:rPr>
          <w:rFonts w:ascii="宋体" w:hAnsi="宋体" w:cs="宋体" w:eastAsia="宋体" w:hint="default"/>
          <w:spacing w:val="-1"/>
          <w:sz w:val="21"/>
          <w:szCs w:val="21"/>
        </w:rPr>
        <w:t>元</w:t>
        <w:tab/>
        <w:t>币种</w:t>
      </w:r>
      <w:r>
        <w:rPr>
          <w:rFonts w:ascii="宋体" w:hAnsi="宋体" w:cs="宋体" w:eastAsia="宋体" w:hint="default"/>
          <w:spacing w:val="-1"/>
          <w:sz w:val="21"/>
          <w:szCs w:val="21"/>
        </w:rPr>
        <w:t>:</w:t>
      </w:r>
      <w:r>
        <w:rPr>
          <w:rFonts w:ascii="宋体" w:hAnsi="宋体" w:cs="宋体" w:eastAsia="宋体" w:hint="default"/>
          <w:spacing w:val="-1"/>
          <w:sz w:val="21"/>
          <w:szCs w:val="21"/>
        </w:rPr>
        <w:t>人民币</w:t>
      </w:r>
    </w:p>
    <w:p>
      <w:pPr>
        <w:spacing w:after="0"/>
        <w:jc w:val="left"/>
        <w:rPr>
          <w:rFonts w:ascii="宋体" w:hAnsi="宋体" w:cs="宋体" w:eastAsia="宋体" w:hint="default"/>
          <w:sz w:val="21"/>
          <w:szCs w:val="21"/>
        </w:rPr>
        <w:sectPr>
          <w:type w:val="continuous"/>
          <w:pgSz w:w="11910" w:h="16840"/>
          <w:pgMar w:top="1000" w:bottom="280" w:left="1000" w:right="480"/>
          <w:cols w:num="2" w:equalWidth="0">
            <w:col w:w="4014" w:space="2719"/>
            <w:col w:w="3697"/>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026"/>
        <w:gridCol w:w="1793"/>
        <w:gridCol w:w="785"/>
        <w:gridCol w:w="1899"/>
        <w:gridCol w:w="1685"/>
      </w:tblGrid>
      <w:tr>
        <w:trPr>
          <w:trHeight w:val="829"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166"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72" w:lineRule="exact" w:before="27"/>
              <w:ind w:left="100" w:right="38" w:firstLine="74"/>
              <w:jc w:val="left"/>
              <w:rPr>
                <w:rFonts w:ascii="宋体" w:hAnsi="宋体" w:cs="宋体" w:eastAsia="宋体" w:hint="default"/>
                <w:sz w:val="21"/>
                <w:szCs w:val="21"/>
              </w:rPr>
            </w:pP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z w:val="21"/>
                <w:szCs w:val="21"/>
              </w:rPr>
              <w:t>适用）</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1"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252,208,491.61</w:t>
            </w:r>
          </w:p>
        </w:tc>
        <w:tc>
          <w:tcPr>
            <w:tcW w:w="785"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493,198,801.88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104,699,181.67</w:t>
            </w:r>
          </w:p>
        </w:tc>
      </w:tr>
      <w:tr>
        <w:trPr>
          <w:trHeight w:val="1099"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计入当期损益的政府补助，但与公司正常</w:t>
            </w:r>
          </w:p>
          <w:p>
            <w:pPr>
              <w:pStyle w:val="TableParagraph"/>
              <w:spacing w:line="237" w:lineRule="auto" w:before="2"/>
              <w:ind w:left="103" w:right="125"/>
              <w:jc w:val="both"/>
              <w:rPr>
                <w:rFonts w:ascii="宋体" w:hAnsi="宋体" w:cs="宋体" w:eastAsia="宋体" w:hint="default"/>
                <w:sz w:val="21"/>
                <w:szCs w:val="21"/>
              </w:rPr>
            </w:pPr>
            <w:r>
              <w:rPr>
                <w:rFonts w:ascii="宋体" w:hAnsi="宋体" w:cs="宋体" w:eastAsia="宋体" w:hint="default"/>
                <w:spacing w:val="-2"/>
                <w:sz w:val="21"/>
                <w:szCs w:val="21"/>
              </w:rPr>
              <w:t>经营业务密切相关，符合国家政策规定、</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按照一定标准定额或定量持续享受的政府</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补助除外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7,383,879.83</w:t>
            </w:r>
          </w:p>
        </w:tc>
        <w:tc>
          <w:tcPr>
            <w:tcW w:w="785"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4,871,285.66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3,010,893.31</w:t>
            </w:r>
          </w:p>
        </w:tc>
      </w:tr>
      <w:tr>
        <w:trPr>
          <w:trHeight w:val="554"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13,534,921.86</w:t>
            </w:r>
          </w:p>
        </w:tc>
        <w:tc>
          <w:tcPr>
            <w:tcW w:w="785"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3,208,048.02</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40" w:lineRule="auto"/>
              <w:ind w:left="103" w:right="125"/>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563,788,272.67</w:t>
            </w:r>
          </w:p>
        </w:tc>
        <w:tc>
          <w:tcPr>
            <w:tcW w:w="785"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5,099,460,371.88</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136,087,428.23</w:t>
            </w:r>
          </w:p>
        </w:tc>
        <w:tc>
          <w:tcPr>
            <w:tcW w:w="785"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96,057,638.85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20,838,682.71</w:t>
            </w:r>
          </w:p>
        </w:tc>
      </w:tr>
      <w:tr>
        <w:trPr>
          <w:trHeight w:val="1370"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ind w:left="103" w:right="125"/>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91,469,746.17</w:t>
            </w:r>
          </w:p>
        </w:tc>
        <w:tc>
          <w:tcPr>
            <w:tcW w:w="785"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-219,109,777.24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35,068,477.94</w:t>
            </w:r>
          </w:p>
        </w:tc>
      </w:tr>
      <w:tr>
        <w:trPr>
          <w:trHeight w:val="283"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-18,083,202.91</w:t>
            </w:r>
          </w:p>
        </w:tc>
        <w:tc>
          <w:tcPr>
            <w:tcW w:w="785"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6,382,772.67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-9,173,363.75</w:t>
            </w:r>
          </w:p>
        </w:tc>
      </w:tr>
      <w:tr>
        <w:trPr>
          <w:trHeight w:val="281"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79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-1,268,314.61</w:t>
            </w:r>
          </w:p>
        </w:tc>
        <w:tc>
          <w:tcPr>
            <w:tcW w:w="785"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-1,985,843.04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-11,303.67</w:t>
            </w:r>
          </w:p>
        </w:tc>
      </w:tr>
      <w:tr>
        <w:trPr>
          <w:trHeight w:val="283"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-152,201,067.02</w:t>
            </w:r>
          </w:p>
        </w:tc>
        <w:tc>
          <w:tcPr>
            <w:tcW w:w="785"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-196,628,019.39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-2,897,998.88</w:t>
            </w:r>
          </w:p>
        </w:tc>
      </w:tr>
      <w:tr>
        <w:trPr>
          <w:trHeight w:val="283"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892,920,155.83</w:t>
            </w:r>
          </w:p>
        </w:tc>
        <w:tc>
          <w:tcPr>
            <w:tcW w:w="785"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5,285,455,279.29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151,534,569.33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00" w:bottom="280" w:left="1000" w:right="480"/>
        </w:sectPr>
      </w:pPr>
    </w:p>
    <w:p>
      <w:pPr>
        <w:pStyle w:val="Heading2"/>
        <w:spacing w:line="240" w:lineRule="auto"/>
        <w:ind w:left="798" w:right="-18"/>
        <w:jc w:val="left"/>
        <w:rPr>
          <w:b w:val="0"/>
          <w:bCs w:val="0"/>
        </w:rPr>
      </w:pPr>
      <w:r>
        <w:rPr/>
        <w:t>十一、</w:t>
      </w:r>
      <w:r>
        <w:rPr>
          <w:spacing w:val="-8"/>
        </w:rPr>
        <w:t> </w:t>
      </w:r>
      <w:r>
        <w:rPr/>
        <w:t>采用公允价值计量的项目</w:t>
      </w:r>
      <w:r>
        <w:rPr>
          <w:b w:val="0"/>
          <w:bCs w:val="0"/>
        </w:rPr>
      </w:r>
    </w:p>
    <w:p>
      <w:pPr>
        <w:pStyle w:val="BodyText"/>
        <w:spacing w:line="240" w:lineRule="auto" w:before="58"/>
        <w:ind w:left="79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tabs>
          <w:tab w:pos="1849" w:val="left" w:leader="none"/>
        </w:tabs>
        <w:spacing w:before="0"/>
        <w:ind w:left="79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1910" w:h="16840"/>
          <w:pgMar w:top="1000" w:bottom="280" w:left="1000" w:right="480"/>
          <w:cols w:num="2" w:equalWidth="0">
            <w:col w:w="4287" w:space="2235"/>
            <w:col w:w="3908"/>
          </w:cols>
        </w:sectPr>
      </w:pPr>
    </w:p>
    <w:p>
      <w:pPr>
        <w:spacing w:line="240" w:lineRule="auto" w:before="7"/>
        <w:rPr>
          <w:rFonts w:ascii="宋体" w:hAnsi="宋体" w:cs="宋体" w:eastAsia="宋体" w:hint="default"/>
          <w:sz w:val="2"/>
          <w:szCs w:val="2"/>
        </w:rPr>
      </w:pPr>
    </w:p>
    <w:tbl>
      <w:tblPr>
        <w:tblW w:w="0" w:type="auto"/>
        <w:jc w:val="left"/>
        <w:tblInd w:w="685" w:type="dxa"/>
        <w:tblLayout w:type="fixed"/>
        <w:tblCellMar>
          <w:top w:w="0" w:type="dxa"/>
          <w:left w:w="0" w:type="dxa"/>
          <w:bottom w:w="0" w:type="dxa"/>
          <w:right w:w="0" w:type="dxa"/>
        </w:tblCellMar>
        <w:tblLook w:val="01E0"/>
      </w:tblPr>
      <w:tblGrid>
        <w:gridCol w:w="1884"/>
        <w:gridCol w:w="1897"/>
        <w:gridCol w:w="1896"/>
        <w:gridCol w:w="1688"/>
        <w:gridCol w:w="1685"/>
      </w:tblGrid>
      <w:tr>
        <w:trPr>
          <w:trHeight w:val="55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当期变动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对当期利润的影</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响金额</w:t>
            </w:r>
          </w:p>
        </w:tc>
      </w:tr>
      <w:tr>
        <w:trPr>
          <w:trHeight w:val="1099"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允</w:t>
            </w:r>
            <w:r>
              <w:rPr>
                <w:rFonts w:ascii="宋体" w:hAnsi="宋体" w:cs="宋体" w:eastAsia="宋体" w:hint="default"/>
                <w:spacing w:val="-73"/>
                <w:sz w:val="21"/>
                <w:szCs w:val="21"/>
              </w:rPr>
              <w:t> </w:t>
            </w:r>
            <w:r>
              <w:rPr>
                <w:rFonts w:ascii="宋体" w:hAnsi="宋体" w:cs="宋体" w:eastAsia="宋体" w:hint="default"/>
                <w:sz w:val="21"/>
                <w:szCs w:val="21"/>
              </w:rPr>
              <w:t>价</w:t>
            </w:r>
            <w:r>
              <w:rPr>
                <w:rFonts w:ascii="宋体" w:hAnsi="宋体" w:cs="宋体" w:eastAsia="宋体" w:hint="default"/>
                <w:spacing w:val="-71"/>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量</w:t>
            </w:r>
          </w:p>
          <w:p>
            <w:pPr>
              <w:pStyle w:val="TableParagraph"/>
              <w:spacing w:line="272" w:lineRule="exact" w:before="27"/>
              <w:ind w:left="103" w:right="99"/>
              <w:jc w:val="both"/>
              <w:rPr>
                <w:rFonts w:ascii="宋体" w:hAnsi="宋体" w:cs="宋体" w:eastAsia="宋体" w:hint="default"/>
                <w:sz w:val="21"/>
                <w:szCs w:val="21"/>
              </w:rPr>
            </w:pPr>
            <w:r>
              <w:rPr>
                <w:rFonts w:ascii="宋体" w:hAnsi="宋体" w:cs="宋体" w:eastAsia="宋体" w:hint="default"/>
                <w:sz w:val="21"/>
                <w:szCs w:val="21"/>
              </w:rPr>
              <w:t>且</w:t>
            </w:r>
            <w:r>
              <w:rPr>
                <w:rFonts w:ascii="宋体" w:hAnsi="宋体" w:cs="宋体" w:eastAsia="宋体" w:hint="default"/>
                <w:spacing w:val="-71"/>
                <w:sz w:val="21"/>
                <w:szCs w:val="21"/>
              </w:rPr>
              <w:t> </w:t>
            </w:r>
            <w:r>
              <w:rPr>
                <w:rFonts w:ascii="宋体" w:hAnsi="宋体" w:cs="宋体" w:eastAsia="宋体" w:hint="default"/>
                <w:sz w:val="21"/>
                <w:szCs w:val="21"/>
              </w:rPr>
              <w:t>其</w:t>
            </w:r>
            <w:r>
              <w:rPr>
                <w:rFonts w:ascii="宋体" w:hAnsi="宋体" w:cs="宋体" w:eastAsia="宋体" w:hint="default"/>
                <w:spacing w:val="-73"/>
                <w:sz w:val="21"/>
                <w:szCs w:val="21"/>
              </w:rPr>
              <w:t> </w:t>
            </w:r>
            <w:r>
              <w:rPr>
                <w:rFonts w:ascii="宋体" w:hAnsi="宋体" w:cs="宋体" w:eastAsia="宋体" w:hint="default"/>
                <w:sz w:val="21"/>
                <w:szCs w:val="21"/>
              </w:rPr>
              <w:t>变</w:t>
            </w:r>
            <w:r>
              <w:rPr>
                <w:rFonts w:ascii="宋体" w:hAnsi="宋体" w:cs="宋体" w:eastAsia="宋体" w:hint="default"/>
                <w:spacing w:val="-73"/>
                <w:sz w:val="21"/>
                <w:szCs w:val="21"/>
              </w:rPr>
              <w:t> </w:t>
            </w:r>
            <w:r>
              <w:rPr>
                <w:rFonts w:ascii="宋体" w:hAnsi="宋体" w:cs="宋体" w:eastAsia="宋体" w:hint="default"/>
                <w:sz w:val="21"/>
                <w:szCs w:val="21"/>
              </w:rPr>
              <w:t>动</w:t>
            </w:r>
            <w:r>
              <w:rPr>
                <w:rFonts w:ascii="宋体" w:hAnsi="宋体" w:cs="宋体" w:eastAsia="宋体" w:hint="default"/>
                <w:spacing w:val="-71"/>
                <w:sz w:val="21"/>
                <w:szCs w:val="21"/>
              </w:rPr>
              <w:t> </w:t>
            </w: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入</w:t>
            </w:r>
            <w:r>
              <w:rPr>
                <w:rFonts w:ascii="宋体" w:hAnsi="宋体" w:cs="宋体" w:eastAsia="宋体" w:hint="default"/>
                <w:spacing w:val="-73"/>
                <w:sz w:val="21"/>
                <w:szCs w:val="21"/>
              </w:rPr>
              <w:t> </w:t>
            </w:r>
            <w:r>
              <w:rPr>
                <w:rFonts w:ascii="宋体" w:hAnsi="宋体" w:cs="宋体" w:eastAsia="宋体" w:hint="default"/>
                <w:sz w:val="21"/>
                <w:szCs w:val="21"/>
              </w:rPr>
              <w:t>当</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spacing w:val="-71"/>
                <w:sz w:val="21"/>
                <w:szCs w:val="21"/>
              </w:rPr>
              <w:t> </w:t>
            </w:r>
            <w:r>
              <w:rPr>
                <w:rFonts w:ascii="宋体" w:hAnsi="宋体" w:cs="宋体" w:eastAsia="宋体" w:hint="default"/>
                <w:sz w:val="21"/>
                <w:szCs w:val="21"/>
              </w:rPr>
              <w:t>损</w:t>
            </w:r>
            <w:r>
              <w:rPr>
                <w:rFonts w:ascii="宋体" w:hAnsi="宋体" w:cs="宋体" w:eastAsia="宋体" w:hint="default"/>
                <w:spacing w:val="-73"/>
                <w:sz w:val="21"/>
                <w:szCs w:val="21"/>
              </w:rPr>
              <w:t> </w:t>
            </w:r>
            <w:r>
              <w:rPr>
                <w:rFonts w:ascii="宋体" w:hAnsi="宋体" w:cs="宋体" w:eastAsia="宋体" w:hint="default"/>
                <w:sz w:val="21"/>
                <w:szCs w:val="21"/>
              </w:rPr>
              <w:t>益</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金</w:t>
            </w:r>
            <w:r>
              <w:rPr>
                <w:rFonts w:ascii="宋体" w:hAnsi="宋体" w:cs="宋体" w:eastAsia="宋体" w:hint="default"/>
                <w:spacing w:val="-73"/>
                <w:sz w:val="21"/>
                <w:szCs w:val="21"/>
              </w:rPr>
              <w:t> </w:t>
            </w:r>
            <w:r>
              <w:rPr>
                <w:rFonts w:ascii="宋体" w:hAnsi="宋体" w:cs="宋体" w:eastAsia="宋体" w:hint="default"/>
                <w:sz w:val="21"/>
                <w:szCs w:val="21"/>
              </w:rPr>
              <w:t>融</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76,800,595.53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600,235,715.17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523,435,119.64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91,469,746.17</w:t>
            </w:r>
          </w:p>
        </w:tc>
      </w:tr>
      <w:tr>
        <w:trPr>
          <w:trHeight w:val="555"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71"/>
                <w:sz w:val="21"/>
                <w:szCs w:val="21"/>
              </w:rPr>
              <w:t> </w:t>
            </w:r>
            <w:r>
              <w:rPr>
                <w:rFonts w:ascii="宋体" w:hAnsi="宋体" w:cs="宋体" w:eastAsia="宋体" w:hint="default"/>
                <w:sz w:val="21"/>
                <w:szCs w:val="21"/>
              </w:rPr>
              <w:t>供</w:t>
            </w:r>
            <w:r>
              <w:rPr>
                <w:rFonts w:ascii="宋体" w:hAnsi="宋体" w:cs="宋体" w:eastAsia="宋体" w:hint="default"/>
                <w:spacing w:val="-73"/>
                <w:sz w:val="21"/>
                <w:szCs w:val="21"/>
              </w:rPr>
              <w:t> </w:t>
            </w:r>
            <w:r>
              <w:rPr>
                <w:rFonts w:ascii="宋体" w:hAnsi="宋体" w:cs="宋体" w:eastAsia="宋体" w:hint="default"/>
                <w:sz w:val="21"/>
                <w:szCs w:val="21"/>
              </w:rPr>
              <w:t>出</w:t>
            </w:r>
            <w:r>
              <w:rPr>
                <w:rFonts w:ascii="宋体" w:hAnsi="宋体" w:cs="宋体" w:eastAsia="宋体" w:hint="default"/>
                <w:spacing w:val="-73"/>
                <w:sz w:val="21"/>
                <w:szCs w:val="21"/>
              </w:rPr>
              <w:t> </w:t>
            </w:r>
            <w:r>
              <w:rPr>
                <w:rFonts w:ascii="宋体" w:hAnsi="宋体" w:cs="宋体" w:eastAsia="宋体" w:hint="default"/>
                <w:sz w:val="21"/>
                <w:szCs w:val="21"/>
              </w:rPr>
              <w:t>售</w:t>
            </w:r>
            <w:r>
              <w:rPr>
                <w:rFonts w:ascii="宋体" w:hAnsi="宋体" w:cs="宋体" w:eastAsia="宋体" w:hint="default"/>
                <w:spacing w:val="-71"/>
                <w:sz w:val="21"/>
                <w:szCs w:val="21"/>
              </w:rPr>
              <w:t> </w:t>
            </w:r>
            <w:r>
              <w:rPr>
                <w:rFonts w:ascii="宋体" w:hAnsi="宋体" w:cs="宋体" w:eastAsia="宋体" w:hint="default"/>
                <w:sz w:val="21"/>
                <w:szCs w:val="21"/>
              </w:rPr>
              <w:t>金</w:t>
            </w:r>
            <w:r>
              <w:rPr>
                <w:rFonts w:ascii="宋体" w:hAnsi="宋体" w:cs="宋体" w:eastAsia="宋体" w:hint="default"/>
                <w:spacing w:val="-73"/>
                <w:sz w:val="21"/>
                <w:szCs w:val="21"/>
              </w:rPr>
              <w:t> </w:t>
            </w:r>
            <w:r>
              <w:rPr>
                <w:rFonts w:ascii="宋体" w:hAnsi="宋体" w:cs="宋体" w:eastAsia="宋体" w:hint="default"/>
                <w:sz w:val="21"/>
                <w:szCs w:val="21"/>
              </w:rPr>
              <w:t>融</w:t>
            </w:r>
            <w:r>
              <w:rPr>
                <w:rFonts w:ascii="宋体" w:hAnsi="宋体" w:cs="宋体" w:eastAsia="宋体" w:hint="default"/>
                <w:spacing w:val="-73"/>
                <w:sz w:val="21"/>
                <w:szCs w:val="21"/>
              </w:rPr>
              <w:t> </w:t>
            </w:r>
            <w:r>
              <w:rPr>
                <w:rFonts w:ascii="宋体" w:hAnsi="宋体" w:cs="宋体" w:eastAsia="宋体" w:hint="default"/>
                <w:sz w:val="21"/>
                <w:szCs w:val="21"/>
              </w:rPr>
              <w:t>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1,912,551,608.92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1,925,757,793.99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7" w:right="0"/>
              <w:jc w:val="center"/>
              <w:rPr>
                <w:rFonts w:ascii="宋体" w:hAnsi="宋体" w:cs="宋体" w:eastAsia="宋体" w:hint="default"/>
                <w:sz w:val="21"/>
                <w:szCs w:val="21"/>
              </w:rPr>
            </w:pPr>
            <w:r>
              <w:rPr>
                <w:rFonts w:ascii="宋体"/>
                <w:sz w:val="21"/>
              </w:rPr>
              <w:t>13,206,185.07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40,076,809.85</w:t>
            </w:r>
          </w:p>
        </w:tc>
      </w:tr>
    </w:tbl>
    <w:p>
      <w:pPr>
        <w:spacing w:after="0" w:line="240" w:lineRule="auto"/>
        <w:jc w:val="right"/>
        <w:rPr>
          <w:rFonts w:ascii="宋体" w:hAnsi="宋体" w:cs="宋体" w:eastAsia="宋体" w:hint="default"/>
          <w:sz w:val="21"/>
          <w:szCs w:val="21"/>
        </w:rPr>
        <w:sectPr>
          <w:type w:val="continuous"/>
          <w:pgSz w:w="11910" w:h="16840"/>
          <w:pgMar w:top="1000" w:bottom="280" w:left="1000" w:right="4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84"/>
        <w:gridCol w:w="1897"/>
        <w:gridCol w:w="1896"/>
        <w:gridCol w:w="1688"/>
        <w:gridCol w:w="1685"/>
      </w:tblGrid>
      <w:tr>
        <w:trPr>
          <w:trHeight w:val="1100"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允</w:t>
            </w:r>
            <w:r>
              <w:rPr>
                <w:rFonts w:ascii="宋体" w:hAnsi="宋体" w:cs="宋体" w:eastAsia="宋体" w:hint="default"/>
                <w:spacing w:val="-73"/>
                <w:sz w:val="21"/>
                <w:szCs w:val="21"/>
              </w:rPr>
              <w:t> </w:t>
            </w:r>
            <w:r>
              <w:rPr>
                <w:rFonts w:ascii="宋体" w:hAnsi="宋体" w:cs="宋体" w:eastAsia="宋体" w:hint="default"/>
                <w:sz w:val="21"/>
                <w:szCs w:val="21"/>
              </w:rPr>
              <w:t>价</w:t>
            </w:r>
            <w:r>
              <w:rPr>
                <w:rFonts w:ascii="宋体" w:hAnsi="宋体" w:cs="宋体" w:eastAsia="宋体" w:hint="default"/>
                <w:spacing w:val="-71"/>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量</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且</w:t>
            </w:r>
            <w:r>
              <w:rPr>
                <w:rFonts w:ascii="宋体" w:hAnsi="宋体" w:cs="宋体" w:eastAsia="宋体" w:hint="default"/>
                <w:spacing w:val="-71"/>
                <w:sz w:val="21"/>
                <w:szCs w:val="21"/>
              </w:rPr>
              <w:t> </w:t>
            </w:r>
            <w:r>
              <w:rPr>
                <w:rFonts w:ascii="宋体" w:hAnsi="宋体" w:cs="宋体" w:eastAsia="宋体" w:hint="default"/>
                <w:sz w:val="21"/>
                <w:szCs w:val="21"/>
              </w:rPr>
              <w:t>其</w:t>
            </w:r>
            <w:r>
              <w:rPr>
                <w:rFonts w:ascii="宋体" w:hAnsi="宋体" w:cs="宋体" w:eastAsia="宋体" w:hint="default"/>
                <w:spacing w:val="-73"/>
                <w:sz w:val="21"/>
                <w:szCs w:val="21"/>
              </w:rPr>
              <w:t> </w:t>
            </w:r>
            <w:r>
              <w:rPr>
                <w:rFonts w:ascii="宋体" w:hAnsi="宋体" w:cs="宋体" w:eastAsia="宋体" w:hint="default"/>
                <w:sz w:val="21"/>
                <w:szCs w:val="21"/>
              </w:rPr>
              <w:t>变</w:t>
            </w:r>
            <w:r>
              <w:rPr>
                <w:rFonts w:ascii="宋体" w:hAnsi="宋体" w:cs="宋体" w:eastAsia="宋体" w:hint="default"/>
                <w:spacing w:val="-73"/>
                <w:sz w:val="21"/>
                <w:szCs w:val="21"/>
              </w:rPr>
              <w:t> </w:t>
            </w:r>
            <w:r>
              <w:rPr>
                <w:rFonts w:ascii="宋体" w:hAnsi="宋体" w:cs="宋体" w:eastAsia="宋体" w:hint="default"/>
                <w:sz w:val="21"/>
                <w:szCs w:val="21"/>
              </w:rPr>
              <w:t>动</w:t>
            </w:r>
            <w:r>
              <w:rPr>
                <w:rFonts w:ascii="宋体" w:hAnsi="宋体" w:cs="宋体" w:eastAsia="宋体" w:hint="default"/>
                <w:spacing w:val="-71"/>
                <w:sz w:val="21"/>
                <w:szCs w:val="21"/>
              </w:rPr>
              <w:t> </w:t>
            </w: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入</w:t>
            </w:r>
            <w:r>
              <w:rPr>
                <w:rFonts w:ascii="宋体" w:hAnsi="宋体" w:cs="宋体" w:eastAsia="宋体" w:hint="default"/>
                <w:spacing w:val="-73"/>
                <w:sz w:val="21"/>
                <w:szCs w:val="21"/>
              </w:rPr>
              <w:t> </w:t>
            </w:r>
            <w:r>
              <w:rPr>
                <w:rFonts w:ascii="宋体" w:hAnsi="宋体" w:cs="宋体" w:eastAsia="宋体" w:hint="default"/>
                <w:sz w:val="21"/>
                <w:szCs w:val="21"/>
              </w:rPr>
              <w:t>当</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spacing w:val="-71"/>
                <w:sz w:val="21"/>
                <w:szCs w:val="21"/>
              </w:rPr>
              <w:t> </w:t>
            </w:r>
            <w:r>
              <w:rPr>
                <w:rFonts w:ascii="宋体" w:hAnsi="宋体" w:cs="宋体" w:eastAsia="宋体" w:hint="default"/>
                <w:sz w:val="21"/>
                <w:szCs w:val="21"/>
              </w:rPr>
              <w:t>损</w:t>
            </w:r>
            <w:r>
              <w:rPr>
                <w:rFonts w:ascii="宋体" w:hAnsi="宋体" w:cs="宋体" w:eastAsia="宋体" w:hint="default"/>
                <w:spacing w:val="-73"/>
                <w:sz w:val="21"/>
                <w:szCs w:val="21"/>
              </w:rPr>
              <w:t> </w:t>
            </w:r>
            <w:r>
              <w:rPr>
                <w:rFonts w:ascii="宋体" w:hAnsi="宋体" w:cs="宋体" w:eastAsia="宋体" w:hint="default"/>
                <w:sz w:val="21"/>
                <w:szCs w:val="21"/>
              </w:rPr>
              <w:t>益</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金</w:t>
            </w:r>
            <w:r>
              <w:rPr>
                <w:rFonts w:ascii="宋体" w:hAnsi="宋体" w:cs="宋体" w:eastAsia="宋体" w:hint="default"/>
                <w:spacing w:val="-73"/>
                <w:sz w:val="21"/>
                <w:szCs w:val="21"/>
              </w:rPr>
              <w:t> </w:t>
            </w:r>
            <w:r>
              <w:rPr>
                <w:rFonts w:ascii="宋体" w:hAnsi="宋体" w:cs="宋体" w:eastAsia="宋体" w:hint="default"/>
                <w:sz w:val="21"/>
                <w:szCs w:val="21"/>
              </w:rPr>
              <w:t>融</w:t>
            </w:r>
            <w:r>
              <w:rPr>
                <w:rFonts w:ascii="宋体" w:hAnsi="宋体" w:cs="宋体" w:eastAsia="宋体" w:hint="default"/>
                <w:spacing w:val="-73"/>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39,726.59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-39,726.59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z w:val="21"/>
              </w:rPr>
              <w:t>0.00</w:t>
            </w:r>
          </w:p>
        </w:tc>
      </w:tr>
      <w:tr>
        <w:trPr>
          <w:trHeight w:val="283"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1,989,391,931.04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2,525,993,509.16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536,601,578.12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131,546,556.02</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1"/>
        <w:tabs>
          <w:tab w:pos="1259" w:val="left" w:leader="none"/>
        </w:tabs>
        <w:spacing w:line="240" w:lineRule="auto" w:before="14"/>
        <w:ind w:right="15"/>
        <w:jc w:val="center"/>
        <w:rPr>
          <w:b w:val="0"/>
          <w:bCs w:val="0"/>
        </w:rPr>
      </w:pPr>
      <w:bookmarkStart w:name="_TOC_250009" w:id="3"/>
      <w:r>
        <w:rPr>
          <w:w w:val="95"/>
        </w:rPr>
        <w:t>第三节</w:t>
        <w:tab/>
      </w:r>
      <w:r>
        <w:rPr/>
        <w:t>公司业务概要</w:t>
      </w:r>
      <w:bookmarkEnd w:id="3"/>
      <w:r>
        <w:rPr>
          <w:b w:val="0"/>
          <w:bCs w:val="0"/>
        </w:rPr>
      </w:r>
    </w:p>
    <w:p>
      <w:pPr>
        <w:tabs>
          <w:tab w:pos="1057" w:val="left" w:leader="none"/>
        </w:tabs>
        <w:spacing w:line="283" w:lineRule="auto" w:before="246"/>
        <w:ind w:left="698" w:right="233" w:hanging="480"/>
        <w:jc w:val="left"/>
        <w:rPr>
          <w:rFonts w:ascii="宋体" w:hAnsi="宋体" w:cs="宋体" w:eastAsia="宋体" w:hint="default"/>
          <w:sz w:val="24"/>
          <w:szCs w:val="24"/>
        </w:rPr>
      </w:pPr>
      <w:r>
        <w:rPr>
          <w:rFonts w:ascii="宋体" w:hAnsi="宋体" w:cs="宋体" w:eastAsia="宋体" w:hint="default"/>
          <w:b/>
          <w:bCs/>
          <w:sz w:val="24"/>
          <w:szCs w:val="24"/>
        </w:rPr>
        <w:t>一、</w:t>
        <w:tab/>
        <w:t>报告期内公司所从事的主要业务、经营模式及行业情况说明</w:t>
      </w:r>
      <w:r>
        <w:rPr>
          <w:rFonts w:ascii="宋体" w:hAnsi="宋体" w:cs="宋体" w:eastAsia="宋体" w:hint="default"/>
          <w:b/>
          <w:bCs/>
          <w:w w:val="99"/>
          <w:sz w:val="24"/>
          <w:szCs w:val="24"/>
        </w:rPr>
        <w:t> </w:t>
      </w:r>
      <w:r>
        <w:rPr>
          <w:rFonts w:ascii="宋体" w:hAnsi="宋体" w:cs="宋体" w:eastAsia="宋体" w:hint="default"/>
          <w:spacing w:val="-3"/>
          <w:sz w:val="24"/>
          <w:szCs w:val="24"/>
        </w:rPr>
        <w:t>公司主要业务为地产开发。目前在全国</w:t>
      </w:r>
      <w:r>
        <w:rPr>
          <w:rFonts w:ascii="宋体" w:hAnsi="宋体" w:cs="宋体" w:eastAsia="宋体" w:hint="default"/>
          <w:spacing w:val="-59"/>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余个城市开发</w:t>
      </w:r>
      <w:r>
        <w:rPr>
          <w:rFonts w:ascii="宋体" w:hAnsi="宋体" w:cs="宋体" w:eastAsia="宋体" w:hint="default"/>
          <w:spacing w:val="-60"/>
          <w:sz w:val="24"/>
          <w:szCs w:val="24"/>
        </w:rPr>
        <w:t> </w:t>
      </w:r>
      <w:r>
        <w:rPr>
          <w:rFonts w:ascii="宋体" w:hAnsi="宋体" w:cs="宋体" w:eastAsia="宋体" w:hint="default"/>
          <w:sz w:val="24"/>
          <w:szCs w:val="24"/>
        </w:rPr>
        <w:t>50</w:t>
      </w:r>
      <w:r>
        <w:rPr>
          <w:rFonts w:ascii="宋体" w:hAnsi="宋体" w:cs="宋体" w:eastAsia="宋体" w:hint="default"/>
          <w:spacing w:val="-60"/>
          <w:sz w:val="24"/>
          <w:szCs w:val="24"/>
        </w:rPr>
        <w:t> </w:t>
      </w:r>
      <w:r>
        <w:rPr>
          <w:rFonts w:ascii="宋体" w:hAnsi="宋体" w:cs="宋体" w:eastAsia="宋体" w:hint="default"/>
          <w:sz w:val="24"/>
          <w:szCs w:val="24"/>
        </w:rPr>
        <w:t>余个住宅和商业地产</w:t>
      </w:r>
    </w:p>
    <w:p>
      <w:pPr>
        <w:pStyle w:val="BodyText"/>
        <w:spacing w:line="357" w:lineRule="auto" w:before="111"/>
        <w:ind w:left="218" w:right="232"/>
        <w:jc w:val="both"/>
      </w:pPr>
      <w:r>
        <w:rPr/>
        <w:t>项目，总开发面积达</w:t>
      </w:r>
      <w:r>
        <w:rPr>
          <w:spacing w:val="-60"/>
        </w:rPr>
        <w:t> </w:t>
      </w:r>
      <w:r>
        <w:rPr>
          <w:rFonts w:ascii="宋体" w:hAnsi="宋体" w:cs="宋体" w:eastAsia="宋体" w:hint="default"/>
        </w:rPr>
        <w:t>3000</w:t>
      </w:r>
      <w:r>
        <w:rPr>
          <w:rFonts w:ascii="宋体" w:hAnsi="宋体" w:cs="宋体" w:eastAsia="宋体" w:hint="default"/>
          <w:spacing w:val="-60"/>
        </w:rPr>
        <w:t> </w:t>
      </w:r>
      <w:r>
        <w:rPr/>
        <w:t>万平方米，规模和实力居行业前列。公司以“价值地产” </w:t>
      </w:r>
      <w:r>
        <w:rPr>
          <w:spacing w:val="-8"/>
        </w:rPr>
        <w:t>为理念，深刻把握大势、合理选择时机、准确定位产品、不断提升品质，“新湖地产”</w:t>
      </w:r>
      <w:r>
        <w:rPr>
          <w:spacing w:val="-105"/>
        </w:rPr>
        <w:t> </w:t>
      </w:r>
      <w:r>
        <w:rPr>
          <w:spacing w:val="-105"/>
        </w:rPr>
      </w:r>
      <w:r>
        <w:rPr/>
        <w:t>品牌价值进一步提升。</w:t>
      </w:r>
    </w:p>
    <w:p>
      <w:pPr>
        <w:pStyle w:val="BodyText"/>
        <w:spacing w:line="357" w:lineRule="auto" w:before="34"/>
        <w:ind w:left="218" w:right="230" w:firstLine="405"/>
        <w:jc w:val="both"/>
      </w:pPr>
      <w:r>
        <w:rPr/>
        <w:t>报告期内，地产市场基本保持平稳。根据国家统计局数据，</w:t>
      </w:r>
      <w:r>
        <w:rPr>
          <w:rFonts w:ascii="宋体" w:hAnsi="宋体" w:cs="宋体" w:eastAsia="宋体" w:hint="default"/>
        </w:rPr>
        <w:t>2017</w:t>
      </w:r>
      <w:r>
        <w:rPr>
          <w:rFonts w:ascii="宋体" w:hAnsi="宋体" w:cs="宋体" w:eastAsia="宋体" w:hint="default"/>
          <w:spacing w:val="-88"/>
        </w:rPr>
        <w:t> </w:t>
      </w:r>
      <w:r>
        <w:rPr/>
        <w:t>年全国商品房销 售面积</w:t>
      </w:r>
      <w:r>
        <w:rPr>
          <w:spacing w:val="-60"/>
        </w:rPr>
        <w:t> </w:t>
      </w:r>
      <w:r>
        <w:rPr>
          <w:rFonts w:ascii="宋体" w:hAnsi="宋体" w:cs="宋体" w:eastAsia="宋体" w:hint="default"/>
        </w:rPr>
        <w:t>16.94</w:t>
      </w:r>
      <w:r>
        <w:rPr>
          <w:rFonts w:ascii="宋体" w:hAnsi="宋体" w:cs="宋体" w:eastAsia="宋体" w:hint="default"/>
          <w:spacing w:val="-59"/>
        </w:rPr>
        <w:t> </w:t>
      </w:r>
      <w:r>
        <w:rPr>
          <w:spacing w:val="-4"/>
        </w:rPr>
        <w:t>亿平方米，较上年增长</w:t>
      </w:r>
      <w:r>
        <w:rPr>
          <w:spacing w:val="-59"/>
        </w:rPr>
        <w:t> </w:t>
      </w:r>
      <w:r>
        <w:rPr>
          <w:rFonts w:ascii="宋体" w:hAnsi="宋体" w:cs="宋体" w:eastAsia="宋体" w:hint="default"/>
          <w:spacing w:val="-3"/>
        </w:rPr>
        <w:t>7.7%</w:t>
      </w:r>
      <w:r>
        <w:rPr>
          <w:spacing w:val="-3"/>
        </w:rPr>
        <w:t>；商品房销售额达</w:t>
      </w:r>
      <w:r>
        <w:rPr>
          <w:spacing w:val="-59"/>
        </w:rPr>
        <w:t> </w:t>
      </w:r>
      <w:r>
        <w:rPr>
          <w:rFonts w:ascii="宋体" w:hAnsi="宋体" w:cs="宋体" w:eastAsia="宋体" w:hint="default"/>
        </w:rPr>
        <w:t>13.37</w:t>
      </w:r>
      <w:r>
        <w:rPr>
          <w:rFonts w:ascii="宋体" w:hAnsi="宋体" w:cs="宋体" w:eastAsia="宋体" w:hint="default"/>
          <w:spacing w:val="-59"/>
        </w:rPr>
        <w:t> </w:t>
      </w:r>
      <w:r>
        <w:rPr>
          <w:spacing w:val="-5"/>
        </w:rPr>
        <w:t>万亿元，较上年增</w:t>
      </w:r>
      <w:r>
        <w:rPr/>
        <w:t> 加</w:t>
      </w:r>
      <w:r>
        <w:rPr>
          <w:spacing w:val="-61"/>
        </w:rPr>
        <w:t> </w:t>
      </w:r>
      <w:r>
        <w:rPr>
          <w:rFonts w:ascii="宋体" w:hAnsi="宋体" w:cs="宋体" w:eastAsia="宋体" w:hint="default"/>
        </w:rPr>
        <w:t>13.7%</w:t>
      </w:r>
      <w:r>
        <w:rPr/>
        <w:t>。同时，市场二元分化现象持续，地产市场区域差距进一步拉大。根据市场 形势和未来趋势，公司将进一步坚持高质量发展，做强做大。</w:t>
      </w:r>
    </w:p>
    <w:p>
      <w:pPr>
        <w:pStyle w:val="BodyText"/>
        <w:spacing w:line="240" w:lineRule="auto" w:before="36"/>
        <w:ind w:left="698" w:right="0"/>
        <w:jc w:val="left"/>
      </w:pPr>
      <w:r>
        <w:rPr>
          <w:spacing w:val="-5"/>
        </w:rPr>
        <w:t>公司对市场环境、未来展望等进行了分析论述，详见本报告经营情况讨论与分析。</w:t>
      </w:r>
    </w:p>
    <w:p>
      <w:pPr>
        <w:spacing w:line="240" w:lineRule="auto" w:before="0"/>
        <w:rPr>
          <w:rFonts w:ascii="宋体" w:hAnsi="宋体" w:cs="宋体" w:eastAsia="宋体" w:hint="default"/>
          <w:sz w:val="24"/>
          <w:szCs w:val="24"/>
        </w:rPr>
      </w:pPr>
    </w:p>
    <w:p>
      <w:pPr>
        <w:pStyle w:val="Heading2"/>
        <w:spacing w:line="240" w:lineRule="auto" w:before="209"/>
        <w:ind w:right="0"/>
        <w:jc w:val="both"/>
        <w:rPr>
          <w:b w:val="0"/>
          <w:bCs w:val="0"/>
        </w:rPr>
      </w:pPr>
      <w:r>
        <w:rPr/>
        <w:t>二、 </w:t>
      </w:r>
      <w:r>
        <w:rPr>
          <w:spacing w:val="111"/>
        </w:rPr>
        <w:t> </w:t>
      </w:r>
      <w:r>
        <w:rPr/>
        <w:t>报告期内公司主要资产发生重大变化情况的说明</w:t>
      </w:r>
      <w:r>
        <w:rPr>
          <w:b w:val="0"/>
          <w:bCs w:val="0"/>
        </w:rPr>
      </w:r>
    </w:p>
    <w:p>
      <w:pPr>
        <w:pStyle w:val="BodyText"/>
        <w:spacing w:line="313" w:lineRule="exact" w:before="55"/>
        <w:ind w:left="218" w:right="0"/>
        <w:jc w:val="both"/>
      </w:pPr>
      <w:r>
        <w:rPr/>
        <w:t>√适用</w:t>
      </w:r>
      <w:r>
        <w:rPr>
          <w:spacing w:val="-1"/>
        </w:rPr>
        <w:t> </w:t>
      </w:r>
      <w:r>
        <w:rPr/>
        <w:t>□不适用</w:t>
      </w:r>
    </w:p>
    <w:p>
      <w:pPr>
        <w:pStyle w:val="BodyText"/>
        <w:spacing w:line="357" w:lineRule="auto"/>
        <w:ind w:left="218" w:right="232" w:firstLine="479"/>
        <w:jc w:val="both"/>
      </w:pPr>
      <w:r>
        <w:rPr>
          <w:spacing w:val="-4"/>
        </w:rPr>
        <w:t>报告期末，公司存货</w:t>
      </w:r>
      <w:r>
        <w:rPr>
          <w:spacing w:val="-59"/>
        </w:rPr>
        <w:t> </w:t>
      </w:r>
      <w:r>
        <w:rPr>
          <w:rFonts w:ascii="宋体" w:hAnsi="宋体" w:cs="宋体" w:eastAsia="宋体" w:hint="default"/>
        </w:rPr>
        <w:t>59,369,558,918.32</w:t>
      </w:r>
      <w:r>
        <w:rPr>
          <w:rFonts w:ascii="宋体" w:hAnsi="宋体" w:cs="宋体" w:eastAsia="宋体" w:hint="default"/>
          <w:spacing w:val="-59"/>
        </w:rPr>
        <w:t> </w:t>
      </w:r>
      <w:r>
        <w:rPr>
          <w:spacing w:val="-5"/>
        </w:rPr>
        <w:t>元，比期初增加了</w:t>
      </w:r>
      <w:r>
        <w:rPr>
          <w:spacing w:val="-59"/>
        </w:rPr>
        <w:t> </w:t>
      </w:r>
      <w:r>
        <w:rPr>
          <w:rFonts w:ascii="宋体" w:hAnsi="宋体" w:cs="宋体" w:eastAsia="宋体" w:hint="default"/>
          <w:spacing w:val="-3"/>
        </w:rPr>
        <w:t>14.83%</w:t>
      </w:r>
      <w:r>
        <w:rPr>
          <w:spacing w:val="-3"/>
        </w:rPr>
        <w:t>，主要系本期</w:t>
      </w:r>
      <w:r>
        <w:rPr/>
        <w:t> 房地产投资增加所致；公司可供出售金融资产</w:t>
      </w:r>
      <w:r>
        <w:rPr>
          <w:spacing w:val="-72"/>
        </w:rPr>
        <w:t> </w:t>
      </w:r>
      <w:r>
        <w:rPr>
          <w:rFonts w:ascii="宋体" w:hAnsi="宋体" w:cs="宋体" w:eastAsia="宋体" w:hint="default"/>
        </w:rPr>
        <w:t>10,544,806,920.51</w:t>
      </w:r>
      <w:r>
        <w:rPr>
          <w:rFonts w:ascii="宋体" w:hAnsi="宋体" w:cs="宋体" w:eastAsia="宋体" w:hint="default"/>
          <w:spacing w:val="-72"/>
        </w:rPr>
        <w:t> </w:t>
      </w:r>
      <w:r>
        <w:rPr>
          <w:spacing w:val="-3"/>
        </w:rPr>
        <w:t>元，比期初增加了</w:t>
      </w:r>
      <w:r>
        <w:rPr/>
        <w:t> </w:t>
      </w:r>
      <w:r>
        <w:rPr>
          <w:rFonts w:ascii="宋体" w:hAnsi="宋体" w:cs="宋体" w:eastAsia="宋体" w:hint="default"/>
        </w:rPr>
        <w:t>99.15%</w:t>
      </w:r>
      <w:r>
        <w:rPr/>
        <w:t>，主要系本期投资增加所致；应付债券</w:t>
      </w:r>
      <w:r>
        <w:rPr>
          <w:spacing w:val="-73"/>
        </w:rPr>
        <w:t> </w:t>
      </w:r>
      <w:r>
        <w:rPr>
          <w:rFonts w:ascii="宋体" w:hAnsi="宋体" w:cs="宋体" w:eastAsia="宋体" w:hint="default"/>
        </w:rPr>
        <w:t>20,993,775,252.71</w:t>
      </w:r>
      <w:r>
        <w:rPr>
          <w:rFonts w:ascii="宋体" w:hAnsi="宋体" w:cs="宋体" w:eastAsia="宋体" w:hint="default"/>
          <w:spacing w:val="-75"/>
        </w:rPr>
        <w:t> </w:t>
      </w:r>
      <w:r>
        <w:rPr>
          <w:spacing w:val="-3"/>
        </w:rPr>
        <w:t>元，比期初增加了</w:t>
      </w:r>
    </w:p>
    <w:p>
      <w:pPr>
        <w:pStyle w:val="BodyText"/>
        <w:spacing w:line="240" w:lineRule="auto" w:before="37"/>
        <w:ind w:left="218" w:right="0"/>
        <w:jc w:val="both"/>
      </w:pPr>
      <w:r>
        <w:rPr>
          <w:rFonts w:ascii="宋体" w:hAnsi="宋体" w:cs="宋体" w:eastAsia="宋体" w:hint="default"/>
        </w:rPr>
        <w:t>40.81%</w:t>
      </w:r>
      <w:r>
        <w:rPr/>
        <w:t>，主要系本期发行</w:t>
      </w:r>
      <w:r>
        <w:rPr>
          <w:spacing w:val="-61"/>
        </w:rPr>
        <w:t> </w:t>
      </w:r>
      <w:r>
        <w:rPr>
          <w:rFonts w:ascii="宋体" w:hAnsi="宋体" w:cs="宋体" w:eastAsia="宋体" w:hint="default"/>
        </w:rPr>
        <w:t>7</w:t>
      </w:r>
      <w:r>
        <w:rPr>
          <w:rFonts w:ascii="宋体" w:hAnsi="宋体" w:cs="宋体" w:eastAsia="宋体" w:hint="default"/>
          <w:spacing w:val="-61"/>
        </w:rPr>
        <w:t> </w:t>
      </w:r>
      <w:r>
        <w:rPr/>
        <w:t>亿美元境外债券所致。</w:t>
      </w:r>
    </w:p>
    <w:p>
      <w:pPr>
        <w:spacing w:line="240" w:lineRule="auto" w:before="6"/>
        <w:rPr>
          <w:rFonts w:ascii="宋体" w:hAnsi="宋体" w:cs="宋体" w:eastAsia="宋体" w:hint="default"/>
          <w:sz w:val="35"/>
          <w:szCs w:val="35"/>
        </w:rPr>
      </w:pPr>
    </w:p>
    <w:p>
      <w:pPr>
        <w:pStyle w:val="BodyText"/>
        <w:spacing w:line="357" w:lineRule="auto"/>
        <w:ind w:left="218" w:right="244" w:firstLine="479"/>
        <w:jc w:val="both"/>
      </w:pPr>
      <w:r>
        <w:rPr/>
        <w:t>其中：境外资产 </w:t>
      </w:r>
      <w:r>
        <w:rPr>
          <w:rFonts w:ascii="宋体" w:hAnsi="宋体" w:cs="宋体" w:eastAsia="宋体" w:hint="default"/>
        </w:rPr>
        <w:t>25,279,122,008.96</w:t>
      </w:r>
      <w:r>
        <w:rPr/>
        <w:t>（单位：元</w:t>
      </w:r>
      <w:r>
        <w:rPr>
          <w:spacing w:val="60"/>
        </w:rPr>
        <w:t> </w:t>
      </w:r>
      <w:r>
        <w:rPr/>
        <w:t>币种：人民币），占总资产的 比例为</w:t>
      </w:r>
      <w:r>
        <w:rPr>
          <w:spacing w:val="-61"/>
        </w:rPr>
        <w:t> </w:t>
      </w:r>
      <w:r>
        <w:rPr>
          <w:rFonts w:ascii="宋体" w:hAnsi="宋体" w:cs="宋体" w:eastAsia="宋体" w:hint="default"/>
        </w:rPr>
        <w:t>20.29%</w:t>
      </w:r>
      <w:r>
        <w:rPr/>
        <w:t>。</w:t>
      </w:r>
    </w:p>
    <w:p>
      <w:pPr>
        <w:pStyle w:val="BodyText"/>
        <w:spacing w:line="357" w:lineRule="auto" w:before="34"/>
        <w:ind w:left="218" w:right="110" w:firstLine="479"/>
        <w:jc w:val="left"/>
      </w:pPr>
      <w:r>
        <w:rPr/>
        <w:t>境外资产主要系公司直接持有的中信银行</w:t>
      </w:r>
      <w:r>
        <w:rPr>
          <w:spacing w:val="-49"/>
        </w:rPr>
        <w:t> </w:t>
      </w:r>
      <w:r>
        <w:rPr>
          <w:rFonts w:ascii="宋体" w:hAnsi="宋体" w:cs="宋体" w:eastAsia="宋体" w:hint="default"/>
        </w:rPr>
        <w:t>H</w:t>
      </w:r>
      <w:r>
        <w:rPr>
          <w:rFonts w:ascii="宋体" w:hAnsi="宋体" w:cs="宋体" w:eastAsia="宋体" w:hint="default"/>
          <w:spacing w:val="-52"/>
        </w:rPr>
        <w:t> </w:t>
      </w:r>
      <w:r>
        <w:rPr/>
        <w:t>股</w:t>
      </w:r>
      <w:r>
        <w:rPr>
          <w:spacing w:val="-52"/>
        </w:rPr>
        <w:t> </w:t>
      </w:r>
      <w:r>
        <w:rPr>
          <w:rFonts w:ascii="宋体" w:hAnsi="宋体" w:cs="宋体" w:eastAsia="宋体" w:hint="default"/>
        </w:rPr>
        <w:t>24.46</w:t>
      </w:r>
      <w:r>
        <w:rPr>
          <w:rFonts w:ascii="宋体" w:hAnsi="宋体" w:cs="宋体" w:eastAsia="宋体" w:hint="default"/>
          <w:spacing w:val="-52"/>
        </w:rPr>
        <w:t> </w:t>
      </w:r>
      <w:r>
        <w:rPr>
          <w:spacing w:val="2"/>
        </w:rPr>
        <w:t>亿股，公司按权益法核算， </w:t>
      </w:r>
      <w:r>
        <w:rPr/>
        <w:t>期末该项长期股权投资的账面价值为人民币</w:t>
      </w:r>
      <w:r>
        <w:rPr>
          <w:spacing w:val="-60"/>
        </w:rPr>
        <w:t> </w:t>
      </w:r>
      <w:r>
        <w:rPr>
          <w:rFonts w:ascii="宋体" w:hAnsi="宋体" w:cs="宋体" w:eastAsia="宋体" w:hint="default"/>
        </w:rPr>
        <w:t>182</w:t>
      </w:r>
      <w:r>
        <w:rPr>
          <w:rFonts w:ascii="宋体" w:hAnsi="宋体" w:cs="宋体" w:eastAsia="宋体" w:hint="default"/>
          <w:spacing w:val="-60"/>
        </w:rPr>
        <w:t> </w:t>
      </w:r>
      <w:r>
        <w:rPr/>
        <w:t>亿元。</w:t>
      </w:r>
    </w:p>
    <w:p>
      <w:pPr>
        <w:pStyle w:val="Heading2"/>
        <w:spacing w:line="240" w:lineRule="auto" w:before="94"/>
        <w:ind w:right="0"/>
        <w:jc w:val="both"/>
        <w:rPr>
          <w:b w:val="0"/>
          <w:bCs w:val="0"/>
        </w:rPr>
      </w:pPr>
      <w:r>
        <w:rPr/>
        <w:t>三、 </w:t>
      </w:r>
      <w:r>
        <w:rPr>
          <w:spacing w:val="112"/>
        </w:rPr>
        <w:t> </w:t>
      </w:r>
      <w:r>
        <w:rPr/>
        <w:t>报告期内核心竞争力分析</w:t>
      </w:r>
      <w:r>
        <w:rPr>
          <w:b w:val="0"/>
          <w:bCs w:val="0"/>
        </w:rPr>
      </w:r>
    </w:p>
    <w:p>
      <w:pPr>
        <w:pStyle w:val="BodyText"/>
        <w:spacing w:line="240" w:lineRule="auto" w:before="58"/>
        <w:ind w:left="218" w:right="0"/>
        <w:jc w:val="both"/>
      </w:pPr>
      <w:r>
        <w:rPr/>
        <w:t>√适用</w:t>
      </w:r>
      <w:r>
        <w:rPr>
          <w:spacing w:val="-1"/>
        </w:rPr>
        <w:t> </w:t>
      </w:r>
      <w:r>
        <w:rPr/>
        <w:t>□不适用</w:t>
      </w:r>
    </w:p>
    <w:p>
      <w:pPr>
        <w:spacing w:after="0" w:line="240" w:lineRule="auto"/>
        <w:jc w:val="both"/>
        <w:sectPr>
          <w:pgSz w:w="11910" w:h="16840"/>
          <w:pgMar w:header="880" w:footer="1195" w:top="1120" w:bottom="1380" w:left="1580" w:right="1040"/>
        </w:sectPr>
      </w:pPr>
    </w:p>
    <w:p>
      <w:pPr>
        <w:spacing w:line="240" w:lineRule="auto" w:before="8"/>
        <w:rPr>
          <w:rFonts w:ascii="宋体" w:hAnsi="宋体" w:cs="宋体" w:eastAsia="宋体" w:hint="default"/>
          <w:sz w:val="25"/>
          <w:szCs w:val="25"/>
        </w:rPr>
      </w:pPr>
    </w:p>
    <w:p>
      <w:pPr>
        <w:pStyle w:val="BodyText"/>
        <w:spacing w:line="357" w:lineRule="auto" w:before="26"/>
        <w:ind w:right="214" w:firstLine="479"/>
        <w:jc w:val="both"/>
      </w:pPr>
      <w:r>
        <w:rPr>
          <w:spacing w:val="-2"/>
        </w:rPr>
        <w:t>报告期内，公司在夯实地产业务的同时，加快转型步伐，前瞻布局未来，加大了</w:t>
      </w:r>
      <w:r>
        <w:rPr/>
        <w:t> </w:t>
      </w:r>
      <w:r>
        <w:rPr>
          <w:spacing w:val="-2"/>
        </w:rPr>
        <w:t>对金融及金融科技和聚焦于高科技的股权投资力度，为公司未来可持续发展奠定扎实</w:t>
      </w:r>
      <w:r>
        <w:rPr>
          <w:spacing w:val="-94"/>
        </w:rPr>
        <w:t> </w:t>
      </w:r>
      <w:r>
        <w:rPr>
          <w:spacing w:val="-94"/>
        </w:rPr>
      </w:r>
      <w:r>
        <w:rPr/>
        <w:t>基础，开拓广阔发展空间。</w:t>
      </w:r>
    </w:p>
    <w:p>
      <w:pPr>
        <w:pStyle w:val="BodyText"/>
        <w:spacing w:line="357" w:lineRule="auto" w:before="36"/>
        <w:ind w:right="0" w:firstLine="479"/>
        <w:jc w:val="left"/>
      </w:pPr>
      <w:r>
        <w:rPr>
          <w:rFonts w:ascii="宋体" w:hAnsi="宋体" w:cs="宋体" w:eastAsia="宋体" w:hint="default"/>
        </w:rPr>
        <w:t>1</w:t>
      </w:r>
      <w:r>
        <w:rPr/>
        <w:t>、前瞻布局，持续转型。公司在做强做大地产业务的同时，一直持续转型，除 稳健、合规布局金融股权外，近年更是加大了对金融科技和其他高科技领域的布局，</w:t>
      </w:r>
      <w:r>
        <w:rPr>
          <w:spacing w:val="-63"/>
        </w:rPr>
        <w:t> </w:t>
      </w:r>
      <w:r>
        <w:rPr>
          <w:spacing w:val="-63"/>
        </w:rPr>
      </w:r>
      <w:r>
        <w:rPr/>
        <w:t>并且渐成规模和体系，为公司未来的发展打开广阔空间。</w:t>
      </w:r>
    </w:p>
    <w:p>
      <w:pPr>
        <w:pStyle w:val="BodyText"/>
        <w:spacing w:line="357" w:lineRule="auto" w:before="36"/>
        <w:ind w:right="212" w:firstLine="479"/>
        <w:jc w:val="both"/>
      </w:pPr>
      <w:r>
        <w:rPr>
          <w:rFonts w:ascii="宋体" w:hAnsi="宋体" w:cs="宋体" w:eastAsia="宋体" w:hint="default"/>
        </w:rPr>
        <w:t>2</w:t>
      </w:r>
      <w:r>
        <w:rPr/>
        <w:t>、资产优质，利润丰厚。公司土地储备主要分布在以上海为中心的长三角经济 </w:t>
      </w:r>
      <w:r>
        <w:rPr>
          <w:spacing w:val="-8"/>
        </w:rPr>
        <w:t>发达地区，目前土地储备约</w:t>
      </w:r>
      <w:r>
        <w:rPr>
          <w:spacing w:val="-58"/>
        </w:rPr>
        <w:t> </w:t>
      </w:r>
      <w:r>
        <w:rPr>
          <w:rFonts w:ascii="宋体" w:hAnsi="宋体" w:cs="宋体" w:eastAsia="宋体" w:hint="default"/>
        </w:rPr>
        <w:t>3000</w:t>
      </w:r>
      <w:r>
        <w:rPr>
          <w:rFonts w:ascii="宋体" w:hAnsi="宋体" w:cs="宋体" w:eastAsia="宋体" w:hint="default"/>
          <w:spacing w:val="-58"/>
        </w:rPr>
        <w:t> </w:t>
      </w:r>
      <w:r>
        <w:rPr>
          <w:spacing w:val="-6"/>
        </w:rPr>
        <w:t>万平方米，至少可满足公司未来</w:t>
      </w:r>
      <w:r>
        <w:rPr>
          <w:spacing w:val="-58"/>
        </w:rPr>
        <w:t> </w:t>
      </w:r>
      <w:r>
        <w:rPr>
          <w:rFonts w:ascii="宋体" w:hAnsi="宋体" w:cs="宋体" w:eastAsia="宋体" w:hint="default"/>
        </w:rPr>
        <w:t>5-8</w:t>
      </w:r>
      <w:r>
        <w:rPr>
          <w:rFonts w:ascii="宋体" w:hAnsi="宋体" w:cs="宋体" w:eastAsia="宋体" w:hint="default"/>
          <w:spacing w:val="-58"/>
        </w:rPr>
        <w:t> </w:t>
      </w:r>
      <w:r>
        <w:rPr/>
        <w:t>年的开发需求； </w:t>
      </w:r>
      <w:r>
        <w:rPr>
          <w:spacing w:val="-2"/>
        </w:rPr>
        <w:t>土地取得成本较低，为公司持续盈利提供了充分保障。公司投资的大量金融及金融科</w:t>
      </w:r>
      <w:r>
        <w:rPr>
          <w:spacing w:val="-94"/>
        </w:rPr>
        <w:t> </w:t>
      </w:r>
      <w:r>
        <w:rPr>
          <w:spacing w:val="-94"/>
        </w:rPr>
      </w:r>
      <w:r>
        <w:rPr/>
        <w:t>技股权升值空间巨大。</w:t>
      </w:r>
    </w:p>
    <w:p>
      <w:pPr>
        <w:pStyle w:val="BodyText"/>
        <w:spacing w:line="357" w:lineRule="auto" w:before="36"/>
        <w:ind w:right="210" w:firstLine="479"/>
        <w:jc w:val="both"/>
      </w:pPr>
      <w:r>
        <w:rPr>
          <w:rFonts w:ascii="宋体" w:hAnsi="宋体" w:cs="宋体" w:eastAsia="宋体" w:hint="default"/>
        </w:rPr>
        <w:t>3</w:t>
      </w:r>
      <w:r>
        <w:rPr/>
        <w:t>、财务稳健，风控有效。公司在金融机构和资本市场具有良好的信用和声誉， </w:t>
      </w:r>
      <w:r>
        <w:rPr>
          <w:spacing w:val="-2"/>
        </w:rPr>
        <w:t>能够从资本市场、金融机构等多元渠道获取资金，资产负债率、综合资金成本在同行</w:t>
      </w:r>
      <w:r>
        <w:rPr>
          <w:spacing w:val="-91"/>
        </w:rPr>
        <w:t> </w:t>
      </w:r>
      <w:r>
        <w:rPr>
          <w:spacing w:val="-91"/>
        </w:rPr>
      </w:r>
      <w:r>
        <w:rPr/>
        <w:t>业中均保持较低水平。</w:t>
      </w:r>
    </w:p>
    <w:p>
      <w:pPr>
        <w:pStyle w:val="BodyText"/>
        <w:spacing w:line="357" w:lineRule="auto" w:before="34"/>
        <w:ind w:right="210" w:firstLine="479"/>
        <w:jc w:val="both"/>
      </w:pPr>
      <w:r>
        <w:rPr>
          <w:rFonts w:ascii="宋体" w:hAnsi="宋体" w:cs="宋体" w:eastAsia="宋体" w:hint="default"/>
        </w:rPr>
        <w:t>4</w:t>
      </w:r>
      <w:r>
        <w:rPr/>
        <w:t>、治理规范，团队优秀。公司建立了完整规范的业务管理制度、流程，有效实 </w:t>
      </w:r>
      <w:r>
        <w:rPr>
          <w:spacing w:val="-2"/>
        </w:rPr>
        <w:t>施风控机制，强化对风险的识别、管理和控制能力。公司培养和凝聚了一大批管理团</w:t>
      </w:r>
      <w:r>
        <w:rPr>
          <w:spacing w:val="-93"/>
        </w:rPr>
        <w:t> </w:t>
      </w:r>
      <w:r>
        <w:rPr>
          <w:spacing w:val="-93"/>
        </w:rPr>
      </w:r>
      <w:r>
        <w:rPr>
          <w:spacing w:val="-2"/>
        </w:rPr>
        <w:t>队和业务精英，具备在复杂市场环境下实现企业规范、健康、持续发展的能力。公司</w:t>
      </w:r>
      <w:r>
        <w:rPr>
          <w:spacing w:val="-94"/>
        </w:rPr>
        <w:t> </w:t>
      </w:r>
      <w:r>
        <w:rPr>
          <w:spacing w:val="-94"/>
        </w:rPr>
      </w:r>
      <w:r>
        <w:rPr/>
        <w:t>激励方式完善，通过股权激励等使公司和员工利益高度统一，形成了强大凝聚力。</w:t>
      </w:r>
    </w:p>
    <w:p>
      <w:pPr>
        <w:spacing w:line="240" w:lineRule="auto" w:before="5"/>
        <w:rPr>
          <w:rFonts w:ascii="宋体" w:hAnsi="宋体" w:cs="宋体" w:eastAsia="宋体" w:hint="default"/>
          <w:sz w:val="30"/>
          <w:szCs w:val="30"/>
        </w:rPr>
      </w:pPr>
    </w:p>
    <w:p>
      <w:pPr>
        <w:pStyle w:val="Heading1"/>
        <w:tabs>
          <w:tab w:pos="3918" w:val="left" w:leader="none"/>
        </w:tabs>
        <w:spacing w:line="240" w:lineRule="auto"/>
        <w:ind w:left="2658" w:right="0"/>
        <w:jc w:val="left"/>
        <w:rPr>
          <w:b w:val="0"/>
          <w:bCs w:val="0"/>
        </w:rPr>
      </w:pPr>
      <w:bookmarkStart w:name="_TOC_250008" w:id="4"/>
      <w:r>
        <w:rPr>
          <w:w w:val="95"/>
        </w:rPr>
        <w:t>第四节</w:t>
        <w:tab/>
      </w:r>
      <w:r>
        <w:rPr/>
        <w:t>经营情况讨论与分析</w:t>
      </w:r>
      <w:bookmarkEnd w:id="4"/>
      <w:r>
        <w:rPr>
          <w:b w:val="0"/>
          <w:bCs w:val="0"/>
        </w:rPr>
      </w:r>
    </w:p>
    <w:p>
      <w:pPr>
        <w:pStyle w:val="Heading2"/>
        <w:spacing w:line="240" w:lineRule="auto" w:before="246"/>
        <w:ind w:left="138" w:right="0"/>
        <w:jc w:val="left"/>
        <w:rPr>
          <w:b w:val="0"/>
          <w:bCs w:val="0"/>
        </w:rPr>
      </w:pPr>
      <w:r>
        <w:rPr/>
        <w:t>一、经营情况讨论与分析</w:t>
      </w:r>
      <w:r>
        <w:rPr>
          <w:b w:val="0"/>
          <w:bCs w:val="0"/>
        </w:rPr>
      </w:r>
    </w:p>
    <w:p>
      <w:pPr>
        <w:pStyle w:val="BodyText"/>
        <w:spacing w:line="336" w:lineRule="auto" w:before="58"/>
        <w:ind w:right="200" w:firstLine="479"/>
        <w:jc w:val="left"/>
      </w:pPr>
      <w:r>
        <w:rPr>
          <w:spacing w:val="-4"/>
        </w:rPr>
        <w:t>期内，公司实现营业收入</w:t>
      </w:r>
      <w:r>
        <w:rPr>
          <w:spacing w:val="-56"/>
        </w:rPr>
        <w:t> </w:t>
      </w:r>
      <w:r>
        <w:rPr>
          <w:rFonts w:ascii="Times New Roman" w:hAnsi="Times New Roman" w:cs="Times New Roman" w:eastAsia="Times New Roman" w:hint="default"/>
        </w:rPr>
        <w:t>175</w:t>
      </w:r>
      <w:r>
        <w:rPr>
          <w:rFonts w:ascii="Times New Roman" w:hAnsi="Times New Roman" w:cs="Times New Roman" w:eastAsia="Times New Roman" w:hint="default"/>
          <w:spacing w:val="4"/>
        </w:rPr>
        <w:t> </w:t>
      </w:r>
      <w:r>
        <w:rPr>
          <w:spacing w:val="-4"/>
        </w:rPr>
        <w:t>亿元，其中地产业务收入</w:t>
      </w:r>
      <w:r>
        <w:rPr>
          <w:spacing w:val="-56"/>
        </w:rPr>
        <w:t> </w:t>
      </w:r>
      <w:r>
        <w:rPr>
          <w:rFonts w:ascii="Times New Roman" w:hAnsi="Times New Roman" w:cs="Times New Roman" w:eastAsia="Times New Roman" w:hint="default"/>
        </w:rPr>
        <w:t>127.55</w:t>
      </w:r>
      <w:r>
        <w:rPr>
          <w:rFonts w:ascii="Times New Roman" w:hAnsi="Times New Roman" w:cs="Times New Roman" w:eastAsia="Times New Roman" w:hint="default"/>
          <w:spacing w:val="4"/>
        </w:rPr>
        <w:t> </w:t>
      </w:r>
      <w:r>
        <w:rPr>
          <w:spacing w:val="-5"/>
        </w:rPr>
        <w:t>亿元（不含合作项</w:t>
      </w:r>
      <w:r>
        <w:rPr/>
        <w:t> 目），分别同比增长</w:t>
      </w:r>
      <w:r>
        <w:rPr>
          <w:spacing w:val="-60"/>
        </w:rPr>
        <w:t> </w:t>
      </w:r>
      <w:r>
        <w:rPr>
          <w:rFonts w:ascii="Times New Roman" w:hAnsi="Times New Roman" w:cs="Times New Roman" w:eastAsia="Times New Roman" w:hint="default"/>
        </w:rPr>
        <w:t>28.43%</w:t>
      </w:r>
      <w:r>
        <w:rPr/>
        <w:t>和</w:t>
      </w:r>
      <w:r>
        <w:rPr>
          <w:spacing w:val="-60"/>
        </w:rPr>
        <w:t> </w:t>
      </w:r>
      <w:r>
        <w:rPr>
          <w:rFonts w:ascii="Times New Roman" w:hAnsi="Times New Roman" w:cs="Times New Roman" w:eastAsia="Times New Roman" w:hint="default"/>
        </w:rPr>
        <w:t>26.61%</w:t>
      </w:r>
      <w:r>
        <w:rPr/>
        <w:t>；归属于上市公司股东的净利润</w:t>
      </w:r>
      <w:r>
        <w:rPr>
          <w:spacing w:val="-59"/>
        </w:rPr>
        <w:t> </w:t>
      </w:r>
      <w:r>
        <w:rPr>
          <w:rFonts w:ascii="Times New Roman" w:hAnsi="Times New Roman" w:cs="Times New Roman" w:eastAsia="Times New Roman" w:hint="default"/>
        </w:rPr>
        <w:t>33.22 </w:t>
      </w:r>
      <w:r>
        <w:rPr/>
        <w:t>亿元， 每股收益</w:t>
      </w:r>
      <w:r>
        <w:rPr>
          <w:spacing w:val="-61"/>
        </w:rPr>
        <w:t> </w:t>
      </w:r>
      <w:r>
        <w:rPr>
          <w:rFonts w:ascii="Times New Roman" w:hAnsi="Times New Roman" w:cs="Times New Roman" w:eastAsia="Times New Roman" w:hint="default"/>
        </w:rPr>
        <w:t>0.39 </w:t>
      </w:r>
      <w:r>
        <w:rPr>
          <w:spacing w:val="-4"/>
        </w:rPr>
        <w:t>元，加权平均净资产收益率</w:t>
      </w:r>
      <w:r>
        <w:rPr>
          <w:spacing w:val="-60"/>
        </w:rPr>
        <w:t> </w:t>
      </w:r>
      <w:r>
        <w:rPr>
          <w:rFonts w:ascii="Times New Roman" w:hAnsi="Times New Roman" w:cs="Times New Roman" w:eastAsia="Times New Roman" w:hint="default"/>
          <w:spacing w:val="-6"/>
        </w:rPr>
        <w:t>10.84%</w:t>
      </w:r>
      <w:r>
        <w:rPr>
          <w:spacing w:val="-6"/>
        </w:rPr>
        <w:t>。期末，公司总资产</w:t>
      </w:r>
      <w:r>
        <w:rPr>
          <w:spacing w:val="-56"/>
        </w:rPr>
        <w:t> </w:t>
      </w:r>
      <w:r>
        <w:rPr>
          <w:rFonts w:ascii="Times New Roman" w:hAnsi="Times New Roman" w:cs="Times New Roman" w:eastAsia="Times New Roman" w:hint="default"/>
        </w:rPr>
        <w:t>1245.69 </w:t>
      </w:r>
      <w:r>
        <w:rPr/>
        <w:t>亿元， 比期初增加</w:t>
      </w:r>
      <w:r>
        <w:rPr>
          <w:spacing w:val="-67"/>
        </w:rPr>
        <w:t> </w:t>
      </w:r>
      <w:r>
        <w:rPr>
          <w:rFonts w:ascii="Times New Roman" w:hAnsi="Times New Roman" w:cs="Times New Roman" w:eastAsia="Times New Roman" w:hint="default"/>
          <w:spacing w:val="-6"/>
        </w:rPr>
        <w:t>11.65%</w:t>
      </w:r>
      <w:r>
        <w:rPr>
          <w:spacing w:val="-6"/>
        </w:rPr>
        <w:t>，归属于上市公司股东的净资产</w:t>
      </w:r>
      <w:r>
        <w:rPr>
          <w:spacing w:val="-65"/>
        </w:rPr>
        <w:t> </w:t>
      </w:r>
      <w:r>
        <w:rPr>
          <w:rFonts w:ascii="Times New Roman" w:hAnsi="Times New Roman" w:cs="Times New Roman" w:eastAsia="Times New Roman" w:hint="default"/>
        </w:rPr>
        <w:t>322.07</w:t>
      </w:r>
      <w:r>
        <w:rPr>
          <w:rFonts w:ascii="Times New Roman" w:hAnsi="Times New Roman" w:cs="Times New Roman" w:eastAsia="Times New Roman" w:hint="default"/>
          <w:spacing w:val="-7"/>
        </w:rPr>
        <w:t> </w:t>
      </w:r>
      <w:r>
        <w:rPr>
          <w:spacing w:val="-15"/>
        </w:rPr>
        <w:t>亿元，比期初增加</w:t>
      </w:r>
      <w:r>
        <w:rPr>
          <w:spacing w:val="-66"/>
        </w:rPr>
        <w:t> </w:t>
      </w:r>
      <w:r>
        <w:rPr>
          <w:rFonts w:ascii="Times New Roman" w:hAnsi="Times New Roman" w:cs="Times New Roman" w:eastAsia="Times New Roman" w:hint="default"/>
          <w:spacing w:val="-1"/>
        </w:rPr>
        <w:t>10.85%</w:t>
      </w:r>
      <w:r>
        <w:rPr>
          <w:spacing w:val="-1"/>
        </w:rPr>
        <w:t>；</w:t>
      </w:r>
      <w:r>
        <w:rPr/>
        <w:t> 预收款项</w:t>
      </w:r>
      <w:r>
        <w:rPr>
          <w:spacing w:val="-62"/>
        </w:rPr>
        <w:t> </w:t>
      </w:r>
      <w:r>
        <w:rPr>
          <w:rFonts w:ascii="Times New Roman" w:hAnsi="Times New Roman" w:cs="Times New Roman" w:eastAsia="Times New Roman" w:hint="default"/>
        </w:rPr>
        <w:t>155.77</w:t>
      </w:r>
      <w:r>
        <w:rPr>
          <w:rFonts w:ascii="Times New Roman" w:hAnsi="Times New Roman" w:cs="Times New Roman" w:eastAsia="Times New Roman" w:hint="default"/>
          <w:spacing w:val="-1"/>
        </w:rPr>
        <w:t> </w:t>
      </w:r>
      <w:r>
        <w:rPr/>
        <w:t>亿元，比期初增加</w:t>
      </w:r>
      <w:r>
        <w:rPr>
          <w:spacing w:val="-61"/>
        </w:rPr>
        <w:t> </w:t>
      </w:r>
      <w:r>
        <w:rPr>
          <w:rFonts w:ascii="Times New Roman" w:hAnsi="Times New Roman" w:cs="Times New Roman" w:eastAsia="Times New Roman" w:hint="default"/>
        </w:rPr>
        <w:t>16.86%</w:t>
      </w:r>
      <w:r>
        <w:rPr/>
        <w:t>。上述指标体现了公司经营业绩优良，财 务状况健康。</w:t>
      </w:r>
    </w:p>
    <w:p>
      <w:pPr>
        <w:pStyle w:val="BodyText"/>
        <w:spacing w:line="336" w:lineRule="auto" w:before="58"/>
        <w:ind w:left="618" w:right="0"/>
        <w:jc w:val="left"/>
      </w:pPr>
      <w:r>
        <w:rPr>
          <w:rFonts w:ascii="Times New Roman" w:hAnsi="Times New Roman" w:cs="Times New Roman" w:eastAsia="Times New Roman" w:hint="default"/>
        </w:rPr>
        <w:t>1</w:t>
      </w:r>
      <w:r>
        <w:rPr/>
        <w:t>、财务情况 </w:t>
      </w:r>
      <w:r>
        <w:rPr>
          <w:spacing w:val="-2"/>
        </w:rPr>
        <w:t>期内，公司继续创新融资方式，融资渠道畅通，负债结构持续优化。公司账面资</w:t>
      </w:r>
    </w:p>
    <w:p>
      <w:pPr>
        <w:pStyle w:val="BodyText"/>
        <w:spacing w:line="338" w:lineRule="auto" w:before="58"/>
        <w:ind w:right="251"/>
        <w:jc w:val="left"/>
      </w:pPr>
      <w:r>
        <w:rPr/>
        <w:t>产负债率</w:t>
      </w:r>
      <w:r>
        <w:rPr>
          <w:spacing w:val="-62"/>
        </w:rPr>
        <w:t> </w:t>
      </w:r>
      <w:r>
        <w:rPr>
          <w:rFonts w:ascii="Times New Roman" w:hAnsi="Times New Roman" w:cs="Times New Roman" w:eastAsia="Times New Roman" w:hint="default"/>
        </w:rPr>
        <w:t>73.59%</w:t>
      </w:r>
      <w:r>
        <w:rPr/>
        <w:t>，与上年基本持平；预收款项达</w:t>
      </w:r>
      <w:r>
        <w:rPr>
          <w:spacing w:val="-60"/>
        </w:rPr>
        <w:t> </w:t>
      </w:r>
      <w:r>
        <w:rPr>
          <w:rFonts w:ascii="Times New Roman" w:hAnsi="Times New Roman" w:cs="Times New Roman" w:eastAsia="Times New Roman" w:hint="default"/>
        </w:rPr>
        <w:t>155.77</w:t>
      </w:r>
      <w:r>
        <w:rPr>
          <w:rFonts w:ascii="Times New Roman" w:hAnsi="Times New Roman" w:cs="Times New Roman" w:eastAsia="Times New Roman" w:hint="default"/>
          <w:spacing w:val="-1"/>
        </w:rPr>
        <w:t> </w:t>
      </w:r>
      <w:r>
        <w:rPr/>
        <w:t>亿元，扣除预收款项后的资 产负债率仅为</w:t>
      </w:r>
      <w:r>
        <w:rPr>
          <w:spacing w:val="-62"/>
        </w:rPr>
        <w:t> </w:t>
      </w:r>
      <w:r>
        <w:rPr>
          <w:rFonts w:ascii="Times New Roman" w:hAnsi="Times New Roman" w:cs="Times New Roman" w:eastAsia="Times New Roman" w:hint="default"/>
        </w:rPr>
        <w:t>61.08%</w:t>
      </w:r>
      <w:r>
        <w:rPr/>
        <w:t>，负债率继续在行业中保持较低水平。</w:t>
      </w:r>
    </w:p>
    <w:p>
      <w:pPr>
        <w:spacing w:after="0" w:line="338" w:lineRule="auto"/>
        <w:jc w:val="left"/>
        <w:sectPr>
          <w:pgSz w:w="11910" w:h="16840"/>
          <w:pgMar w:header="880" w:footer="1195" w:top="1120" w:bottom="1380" w:left="1660" w:right="1060"/>
        </w:sectPr>
      </w:pPr>
    </w:p>
    <w:p>
      <w:pPr>
        <w:spacing w:line="240" w:lineRule="auto" w:before="8"/>
        <w:rPr>
          <w:rFonts w:ascii="宋体" w:hAnsi="宋体" w:cs="宋体" w:eastAsia="宋体" w:hint="default"/>
          <w:sz w:val="25"/>
          <w:szCs w:val="25"/>
        </w:rPr>
      </w:pPr>
    </w:p>
    <w:p>
      <w:pPr>
        <w:pStyle w:val="BodyText"/>
        <w:spacing w:line="240" w:lineRule="auto" w:before="26"/>
        <w:ind w:left="618" w:right="102"/>
        <w:jc w:val="left"/>
        <w:rPr>
          <w:rFonts w:ascii="Times New Roman" w:hAnsi="Times New Roman" w:cs="Times New Roman" w:eastAsia="Times New Roman" w:hint="default"/>
        </w:rPr>
      </w:pPr>
      <w:r>
        <w:rPr>
          <w:spacing w:val="-9"/>
        </w:rPr>
        <w:t>期内，公司加强销售资金回笼，流动性管理稳健。期末，公司持有货币资金</w:t>
      </w:r>
      <w:r>
        <w:rPr>
          <w:spacing w:val="-50"/>
        </w:rPr>
        <w:t> </w:t>
      </w:r>
      <w:r>
        <w:rPr>
          <w:rFonts w:ascii="Times New Roman" w:hAnsi="Times New Roman" w:cs="Times New Roman" w:eastAsia="Times New Roman" w:hint="default"/>
        </w:rPr>
        <w:t>178.08</w:t>
      </w:r>
    </w:p>
    <w:p>
      <w:pPr>
        <w:pStyle w:val="BodyText"/>
        <w:spacing w:line="336" w:lineRule="auto" w:before="135"/>
        <w:ind w:left="618" w:right="102" w:hanging="480"/>
        <w:jc w:val="left"/>
      </w:pPr>
      <w:r>
        <w:rPr/>
        <w:t>亿元，经营性现金流量净额为</w:t>
      </w:r>
      <w:r>
        <w:rPr>
          <w:spacing w:val="-60"/>
        </w:rPr>
        <w:t> </w:t>
      </w:r>
      <w:r>
        <w:rPr>
          <w:rFonts w:ascii="Times New Roman" w:hAnsi="Times New Roman" w:cs="Times New Roman" w:eastAsia="Times New Roman" w:hint="default"/>
        </w:rPr>
        <w:t>16.83 </w:t>
      </w:r>
      <w:r>
        <w:rPr/>
        <w:t>亿元。 </w:t>
      </w:r>
      <w:r>
        <w:rPr>
          <w:spacing w:val="-2"/>
        </w:rPr>
        <w:t>期内，公司在总体融资趋紧情况下，把握住了资本市场机遇，灵活运用境内外融</w:t>
      </w:r>
    </w:p>
    <w:p>
      <w:pPr>
        <w:pStyle w:val="BodyText"/>
        <w:spacing w:line="348" w:lineRule="auto" w:before="58"/>
        <w:ind w:right="352"/>
        <w:jc w:val="both"/>
        <w:rPr>
          <w:rFonts w:ascii="Times New Roman" w:hAnsi="Times New Roman" w:cs="Times New Roman" w:eastAsia="Times New Roman" w:hint="default"/>
        </w:rPr>
      </w:pPr>
      <w:r>
        <w:rPr>
          <w:spacing w:val="-10"/>
        </w:rPr>
        <w:t>资渠道，拓展了境外美元债券、中期票据、</w:t>
      </w:r>
      <w:r>
        <w:rPr>
          <w:rFonts w:ascii="Times New Roman" w:hAnsi="Times New Roman" w:cs="Times New Roman" w:eastAsia="Times New Roman" w:hint="default"/>
          <w:spacing w:val="-10"/>
        </w:rPr>
        <w:t>ABS</w:t>
      </w:r>
      <w:r>
        <w:rPr>
          <w:rFonts w:ascii="Times New Roman" w:hAnsi="Times New Roman" w:cs="Times New Roman" w:eastAsia="Times New Roman" w:hint="default"/>
          <w:spacing w:val="27"/>
        </w:rPr>
        <w:t> </w:t>
      </w:r>
      <w:r>
        <w:rPr>
          <w:spacing w:val="-8"/>
        </w:rPr>
        <w:t>等多种融资工具，优化资本结构。</w:t>
      </w:r>
      <w:r>
        <w:rPr>
          <w:rFonts w:ascii="Times New Roman" w:hAnsi="Times New Roman" w:cs="Times New Roman" w:eastAsia="Times New Roman" w:hint="default"/>
          <w:spacing w:val="-8"/>
        </w:rPr>
        <w:t>2017</w:t>
      </w:r>
      <w:r>
        <w:rPr>
          <w:rFonts w:ascii="Times New Roman" w:hAnsi="Times New Roman" w:cs="Times New Roman" w:eastAsia="Times New Roman" w:hint="default"/>
          <w:spacing w:val="-55"/>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日，公司成功完成了</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亿美元境外美元债券的发行，票面年利率</w:t>
      </w:r>
      <w:r>
        <w:rPr>
          <w:spacing w:val="-61"/>
        </w:rPr>
        <w:t> </w:t>
      </w:r>
      <w:r>
        <w:rPr>
          <w:rFonts w:ascii="Times New Roman" w:hAnsi="Times New Roman" w:cs="Times New Roman" w:eastAsia="Times New Roman" w:hint="default"/>
        </w:rPr>
        <w:t>6%</w:t>
      </w:r>
      <w:r>
        <w:rPr/>
        <w:t>，系境 </w:t>
      </w:r>
      <w:r>
        <w:rPr>
          <w:spacing w:val="-2"/>
        </w:rPr>
        <w:t>内民营房企境外首次发债最大规模、同等信用评级发行利率最低、参与路演机构数量</w:t>
      </w:r>
      <w:r>
        <w:rPr>
          <w:spacing w:val="-94"/>
        </w:rPr>
        <w:t> </w:t>
      </w:r>
      <w:r>
        <w:rPr>
          <w:spacing w:val="-94"/>
        </w:rPr>
      </w:r>
      <w:r>
        <w:rPr>
          <w:spacing w:val="-2"/>
        </w:rPr>
        <w:t>最多。本次债券成功发行为公司进一步优化负债结构、拓展融资渠道，建立境外市场</w:t>
      </w:r>
      <w:r>
        <w:rPr>
          <w:spacing w:val="-97"/>
        </w:rPr>
        <w:t> </w:t>
      </w:r>
      <w:r>
        <w:rPr>
          <w:spacing w:val="-97"/>
        </w:rPr>
      </w:r>
      <w:r>
        <w:rPr/>
        <w:t>良好信用打下基础。“新湖中宝股份有限公司</w:t>
      </w:r>
      <w:r>
        <w:rPr>
          <w:spacing w:val="-6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年度第一期中期票据”和“平安</w:t>
      </w:r>
      <w:r>
        <w:rPr>
          <w:rFonts w:ascii="Times New Roman" w:hAnsi="Times New Roman" w:cs="Times New Roman" w:eastAsia="Times New Roman" w:hint="default"/>
        </w:rPr>
        <w:t>-</w:t>
      </w:r>
    </w:p>
    <w:p>
      <w:pPr>
        <w:pStyle w:val="BodyText"/>
        <w:spacing w:line="240" w:lineRule="auto" w:before="16"/>
        <w:ind w:right="0"/>
        <w:jc w:val="both"/>
        <w:rPr>
          <w:rFonts w:ascii="Times New Roman" w:hAnsi="Times New Roman" w:cs="Times New Roman" w:eastAsia="Times New Roman" w:hint="default"/>
        </w:rPr>
      </w:pPr>
      <w:r>
        <w:rPr>
          <w:spacing w:val="-3"/>
        </w:rPr>
        <w:t>新湖中宝购房尾款资产支持专项计划”也于</w:t>
      </w:r>
      <w:r>
        <w:rPr>
          <w:spacing w:val="-5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spacing w:val="-5"/>
        </w:rPr>
        <w:t>月成功发行，合计募集资金</w:t>
      </w:r>
      <w:r>
        <w:rPr>
          <w:spacing w:val="-58"/>
        </w:rPr>
        <w:t> </w:t>
      </w:r>
      <w:r>
        <w:rPr>
          <w:rFonts w:ascii="Times New Roman" w:hAnsi="Times New Roman" w:cs="Times New Roman" w:eastAsia="Times New Roman" w:hint="default"/>
        </w:rPr>
        <w:t>25</w:t>
      </w:r>
    </w:p>
    <w:p>
      <w:pPr>
        <w:pStyle w:val="BodyText"/>
        <w:spacing w:line="240" w:lineRule="auto" w:before="133"/>
        <w:ind w:right="0"/>
        <w:jc w:val="both"/>
      </w:pPr>
      <w:r>
        <w:rPr/>
        <w:t>亿元。</w:t>
      </w:r>
    </w:p>
    <w:p>
      <w:pPr>
        <w:pStyle w:val="BodyText"/>
        <w:spacing w:line="340" w:lineRule="auto" w:before="154"/>
        <w:ind w:right="102" w:firstLine="479"/>
        <w:jc w:val="left"/>
      </w:pPr>
      <w:r>
        <w:rPr/>
        <w:t>期内，公司积极优化债务结构，加强现金管理，资金成本持续下降。年末融资余 额为</w:t>
      </w:r>
      <w:r>
        <w:rPr>
          <w:spacing w:val="-62"/>
        </w:rPr>
        <w:t> </w:t>
      </w:r>
      <w:r>
        <w:rPr>
          <w:rFonts w:ascii="Times New Roman" w:hAnsi="Times New Roman" w:cs="Times New Roman" w:eastAsia="Times New Roman" w:hint="default"/>
        </w:rPr>
        <w:t>686</w:t>
      </w:r>
      <w:r>
        <w:rPr>
          <w:rFonts w:ascii="Times New Roman" w:hAnsi="Times New Roman" w:cs="Times New Roman" w:eastAsia="Times New Roman" w:hint="default"/>
          <w:spacing w:val="-1"/>
        </w:rPr>
        <w:t> </w:t>
      </w:r>
      <w:r>
        <w:rPr/>
        <w:t>亿元，其中银行借款占比</w:t>
      </w:r>
      <w:r>
        <w:rPr>
          <w:spacing w:val="-61"/>
        </w:rPr>
        <w:t> </w:t>
      </w:r>
      <w:r>
        <w:rPr>
          <w:rFonts w:ascii="Times New Roman" w:hAnsi="Times New Roman" w:cs="Times New Roman" w:eastAsia="Times New Roman" w:hint="default"/>
        </w:rPr>
        <w:t>51.99%</w:t>
      </w:r>
      <w:r>
        <w:rPr/>
        <w:t>，公司债占比</w:t>
      </w:r>
      <w:r>
        <w:rPr>
          <w:spacing w:val="-61"/>
        </w:rPr>
        <w:t> </w:t>
      </w:r>
      <w:r>
        <w:rPr>
          <w:rFonts w:ascii="Times New Roman" w:hAnsi="Times New Roman" w:cs="Times New Roman" w:eastAsia="Times New Roman" w:hint="default"/>
        </w:rPr>
        <w:t>31.97%</w:t>
      </w:r>
      <w:r>
        <w:rPr/>
        <w:t>，其他类型借款占比 </w:t>
      </w:r>
      <w:r>
        <w:rPr>
          <w:rFonts w:ascii="Times New Roman" w:hAnsi="Times New Roman" w:cs="Times New Roman" w:eastAsia="Times New Roman" w:hint="default"/>
        </w:rPr>
        <w:t>16.04%</w:t>
      </w:r>
      <w:r>
        <w:rPr/>
        <w:t>。全年加权平均融资成本</w:t>
      </w:r>
      <w:r>
        <w:rPr>
          <w:spacing w:val="-63"/>
        </w:rPr>
        <w:t> </w:t>
      </w:r>
      <w:r>
        <w:rPr>
          <w:rFonts w:ascii="Times New Roman" w:hAnsi="Times New Roman" w:cs="Times New Roman" w:eastAsia="Times New Roman" w:hint="default"/>
          <w:spacing w:val="-3"/>
        </w:rPr>
        <w:t>6.48%</w:t>
      </w:r>
      <w:r>
        <w:rPr>
          <w:spacing w:val="-3"/>
        </w:rPr>
        <w:t>，同比下降了</w:t>
      </w:r>
      <w:r>
        <w:rPr>
          <w:spacing w:val="-63"/>
        </w:rPr>
        <w:t> </w:t>
      </w:r>
      <w:r>
        <w:rPr>
          <w:rFonts w:ascii="Times New Roman" w:hAnsi="Times New Roman" w:cs="Times New Roman" w:eastAsia="Times New Roman" w:hint="default"/>
        </w:rPr>
        <w:t>1.09</w:t>
      </w:r>
      <w:r>
        <w:rPr>
          <w:rFonts w:ascii="Times New Roman" w:hAnsi="Times New Roman" w:cs="Times New Roman" w:eastAsia="Times New Roman" w:hint="default"/>
          <w:spacing w:val="-3"/>
        </w:rPr>
        <w:t> </w:t>
      </w:r>
      <w:r>
        <w:rPr>
          <w:spacing w:val="-3"/>
        </w:rPr>
        <w:t>个百分点，其中银行借款平</w:t>
      </w:r>
      <w:r>
        <w:rPr/>
        <w:t> 均融资成本</w:t>
      </w:r>
      <w:r>
        <w:rPr>
          <w:spacing w:val="-65"/>
        </w:rPr>
        <w:t> </w:t>
      </w:r>
      <w:r>
        <w:rPr>
          <w:rFonts w:ascii="Times New Roman" w:hAnsi="Times New Roman" w:cs="Times New Roman" w:eastAsia="Times New Roman" w:hint="default"/>
        </w:rPr>
        <w:t>5.81%</w:t>
      </w:r>
      <w:r>
        <w:rPr/>
        <w:t>，同比下降</w:t>
      </w:r>
      <w:r>
        <w:rPr>
          <w:spacing w:val="-64"/>
        </w:rPr>
        <w:t> </w:t>
      </w:r>
      <w:r>
        <w:rPr>
          <w:rFonts w:ascii="Times New Roman" w:hAnsi="Times New Roman" w:cs="Times New Roman" w:eastAsia="Times New Roman" w:hint="default"/>
        </w:rPr>
        <w:t>0.59</w:t>
      </w:r>
      <w:r>
        <w:rPr>
          <w:rFonts w:ascii="Times New Roman" w:hAnsi="Times New Roman" w:cs="Times New Roman" w:eastAsia="Times New Roman" w:hint="default"/>
          <w:spacing w:val="-4"/>
        </w:rPr>
        <w:t> </w:t>
      </w:r>
      <w:r>
        <w:rPr/>
        <w:t>个百分点；期末加权平均融资成本</w:t>
      </w:r>
      <w:r>
        <w:rPr>
          <w:spacing w:val="-64"/>
        </w:rPr>
        <w:t> </w:t>
      </w:r>
      <w:r>
        <w:rPr>
          <w:rFonts w:ascii="Times New Roman" w:hAnsi="Times New Roman" w:cs="Times New Roman" w:eastAsia="Times New Roman" w:hint="default"/>
        </w:rPr>
        <w:t>6.38%</w:t>
      </w:r>
      <w:r>
        <w:rPr/>
        <w:t>，其中银 行借款平均融资成本</w:t>
      </w:r>
      <w:r>
        <w:rPr>
          <w:spacing w:val="-63"/>
        </w:rPr>
        <w:t> </w:t>
      </w:r>
      <w:r>
        <w:rPr>
          <w:rFonts w:ascii="Times New Roman" w:hAnsi="Times New Roman" w:cs="Times New Roman" w:eastAsia="Times New Roman" w:hint="default"/>
          <w:spacing w:val="-8"/>
        </w:rPr>
        <w:t>5.84%</w:t>
      </w:r>
      <w:r>
        <w:rPr>
          <w:spacing w:val="-8"/>
        </w:rPr>
        <w:t>。全年利息资本化金额约</w:t>
      </w:r>
      <w:r>
        <w:rPr>
          <w:spacing w:val="-63"/>
        </w:rPr>
        <w:t> </w:t>
      </w:r>
      <w:r>
        <w:rPr>
          <w:rFonts w:ascii="Times New Roman" w:hAnsi="Times New Roman" w:cs="Times New Roman" w:eastAsia="Times New Roman" w:hint="default"/>
        </w:rPr>
        <w:t>24.31</w:t>
      </w:r>
      <w:r>
        <w:rPr>
          <w:rFonts w:ascii="Times New Roman" w:hAnsi="Times New Roman" w:cs="Times New Roman" w:eastAsia="Times New Roman" w:hint="default"/>
          <w:spacing w:val="-4"/>
        </w:rPr>
        <w:t> </w:t>
      </w:r>
      <w:r>
        <w:rPr>
          <w:spacing w:val="-14"/>
        </w:rPr>
        <w:t>亿元，利息资本化率</w:t>
      </w:r>
      <w:r>
        <w:rPr>
          <w:spacing w:val="-63"/>
        </w:rPr>
        <w:t> </w:t>
      </w:r>
      <w:r>
        <w:rPr>
          <w:rFonts w:ascii="Times New Roman" w:hAnsi="Times New Roman" w:cs="Times New Roman" w:eastAsia="Times New Roman" w:hint="default"/>
          <w:spacing w:val="-1"/>
        </w:rPr>
        <w:t>58.41%</w:t>
      </w:r>
      <w:r>
        <w:rPr>
          <w:spacing w:val="-1"/>
        </w:rPr>
        <w:t>。</w:t>
      </w:r>
      <w:r>
        <w:rPr/>
        <w:t> 公司债务结构更趋稳定、安全。</w:t>
      </w:r>
    </w:p>
    <w:p>
      <w:pPr>
        <w:pStyle w:val="BodyText"/>
        <w:spacing w:line="240" w:lineRule="auto" w:before="53"/>
        <w:ind w:left="618" w:right="102"/>
        <w:jc w:val="left"/>
      </w:pPr>
      <w:r>
        <w:rPr>
          <w:rFonts w:ascii="Times New Roman" w:hAnsi="Times New Roman" w:cs="Times New Roman" w:eastAsia="Times New Roman" w:hint="default"/>
        </w:rPr>
        <w:t>2</w:t>
      </w:r>
      <w:r>
        <w:rPr/>
        <w:t>、地产业务情况</w:t>
      </w:r>
    </w:p>
    <w:p>
      <w:pPr>
        <w:pStyle w:val="BodyText"/>
        <w:spacing w:line="240" w:lineRule="auto" w:before="133"/>
        <w:ind w:left="618" w:right="102"/>
        <w:jc w:val="left"/>
      </w:pPr>
      <w:r>
        <w:rPr/>
        <w:t>期内，公司坚持地产业务高质量发展。全年实现合同销售面积</w:t>
      </w:r>
      <w:r>
        <w:rPr>
          <w:spacing w:val="-60"/>
        </w:rPr>
        <w:t> </w:t>
      </w:r>
      <w:r>
        <w:rPr>
          <w:rFonts w:ascii="Times New Roman" w:hAnsi="Times New Roman" w:cs="Times New Roman" w:eastAsia="Times New Roman" w:hint="default"/>
        </w:rPr>
        <w:t>92 </w:t>
      </w:r>
      <w:r>
        <w:rPr/>
        <w:t>万平方米、合</w:t>
      </w:r>
    </w:p>
    <w:p>
      <w:pPr>
        <w:pStyle w:val="BodyText"/>
        <w:spacing w:line="240" w:lineRule="auto" w:before="135"/>
        <w:ind w:right="0"/>
        <w:jc w:val="both"/>
      </w:pPr>
      <w:r>
        <w:rPr/>
        <w:t>同销售收入</w:t>
      </w:r>
      <w:r>
        <w:rPr>
          <w:spacing w:val="-61"/>
        </w:rPr>
        <w:t> </w:t>
      </w:r>
      <w:r>
        <w:rPr>
          <w:rFonts w:ascii="Times New Roman" w:hAnsi="Times New Roman" w:cs="Times New Roman" w:eastAsia="Times New Roman" w:hint="default"/>
        </w:rPr>
        <w:t>132 </w:t>
      </w:r>
      <w:r>
        <w:rPr/>
        <w:t>亿元，销售均价约</w:t>
      </w:r>
      <w:r>
        <w:rPr>
          <w:spacing w:val="-60"/>
        </w:rPr>
        <w:t> </w:t>
      </w:r>
      <w:r>
        <w:rPr>
          <w:rFonts w:ascii="Times New Roman" w:hAnsi="Times New Roman" w:cs="Times New Roman" w:eastAsia="Times New Roman" w:hint="default"/>
        </w:rPr>
        <w:t>14350 </w:t>
      </w:r>
      <w:r>
        <w:rPr/>
        <w:t>元；实现结算面积</w:t>
      </w:r>
      <w:r>
        <w:rPr>
          <w:spacing w:val="-60"/>
        </w:rPr>
        <w:t> </w:t>
      </w:r>
      <w:r>
        <w:rPr>
          <w:rFonts w:ascii="Times New Roman" w:hAnsi="Times New Roman" w:cs="Times New Roman" w:eastAsia="Times New Roman" w:hint="default"/>
        </w:rPr>
        <w:t>87 </w:t>
      </w:r>
      <w:r>
        <w:rPr/>
        <w:t>万平方米、结算收入</w:t>
      </w:r>
    </w:p>
    <w:p>
      <w:pPr>
        <w:pStyle w:val="BodyText"/>
        <w:spacing w:line="240" w:lineRule="auto" w:before="135"/>
        <w:ind w:right="0"/>
        <w:jc w:val="both"/>
      </w:pPr>
      <w:r>
        <w:rPr>
          <w:rFonts w:ascii="Times New Roman" w:hAnsi="Times New Roman" w:cs="Times New Roman" w:eastAsia="Times New Roman" w:hint="default"/>
        </w:rPr>
        <w:t>143</w:t>
      </w:r>
      <w:r>
        <w:rPr>
          <w:rFonts w:ascii="Times New Roman" w:hAnsi="Times New Roman" w:cs="Times New Roman" w:eastAsia="Times New Roman" w:hint="default"/>
          <w:spacing w:val="3"/>
        </w:rPr>
        <w:t> </w:t>
      </w:r>
      <w:r>
        <w:rPr/>
        <w:t>亿元（含合作项目），同比增长</w:t>
      </w:r>
      <w:r>
        <w:rPr>
          <w:spacing w:val="-56"/>
        </w:rPr>
        <w:t> </w:t>
      </w:r>
      <w:r>
        <w:rPr>
          <w:rFonts w:ascii="Times New Roman" w:hAnsi="Times New Roman" w:cs="Times New Roman" w:eastAsia="Times New Roman" w:hint="default"/>
        </w:rPr>
        <w:t>37%</w:t>
      </w:r>
      <w:r>
        <w:rPr/>
        <w:t>；结算均价</w:t>
      </w:r>
      <w:r>
        <w:rPr>
          <w:spacing w:val="-56"/>
        </w:rPr>
        <w:t> </w:t>
      </w:r>
      <w:r>
        <w:rPr>
          <w:rFonts w:ascii="Times New Roman" w:hAnsi="Times New Roman" w:cs="Times New Roman" w:eastAsia="Times New Roman" w:hint="default"/>
        </w:rPr>
        <w:t>16533</w:t>
      </w:r>
      <w:r>
        <w:rPr>
          <w:rFonts w:ascii="Times New Roman" w:hAnsi="Times New Roman" w:cs="Times New Roman" w:eastAsia="Times New Roman" w:hint="default"/>
          <w:spacing w:val="4"/>
        </w:rPr>
        <w:t> </w:t>
      </w:r>
      <w:r>
        <w:rPr/>
        <w:t>元，结算毛利率</w:t>
      </w:r>
      <w:r>
        <w:rPr>
          <w:spacing w:val="-53"/>
        </w:rPr>
        <w:t> </w:t>
      </w:r>
      <w:r>
        <w:rPr>
          <w:rFonts w:ascii="Times New Roman" w:hAnsi="Times New Roman" w:cs="Times New Roman" w:eastAsia="Times New Roman" w:hint="default"/>
        </w:rPr>
        <w:t>37.35%</w:t>
      </w:r>
      <w:r>
        <w:rPr/>
        <w:t>，</w:t>
      </w:r>
    </w:p>
    <w:p>
      <w:pPr>
        <w:pStyle w:val="BodyText"/>
        <w:spacing w:line="240" w:lineRule="auto" w:before="133"/>
        <w:ind w:right="0"/>
        <w:jc w:val="both"/>
      </w:pPr>
      <w:r>
        <w:rPr/>
        <w:t>同比提高</w:t>
      </w:r>
      <w:r>
        <w:rPr>
          <w:spacing w:val="-61"/>
        </w:rPr>
        <w:t> </w:t>
      </w:r>
      <w:r>
        <w:rPr>
          <w:rFonts w:ascii="Times New Roman" w:hAnsi="Times New Roman" w:cs="Times New Roman" w:eastAsia="Times New Roman" w:hint="default"/>
        </w:rPr>
        <w:t>12.36</w:t>
      </w:r>
      <w:r>
        <w:rPr>
          <w:rFonts w:ascii="Times New Roman" w:hAnsi="Times New Roman" w:cs="Times New Roman" w:eastAsia="Times New Roman" w:hint="default"/>
          <w:spacing w:val="-1"/>
        </w:rPr>
        <w:t> </w:t>
      </w:r>
      <w:r>
        <w:rPr/>
        <w:t>个百分点。</w:t>
      </w:r>
    </w:p>
    <w:p>
      <w:pPr>
        <w:pStyle w:val="BodyText"/>
        <w:spacing w:line="348" w:lineRule="auto" w:before="136"/>
        <w:ind w:right="352" w:firstLine="479"/>
        <w:jc w:val="both"/>
      </w:pPr>
      <w:r>
        <w:rPr/>
        <w:t>期内，公司持续提升产品品质。新开工面积约</w:t>
      </w:r>
      <w:r>
        <w:rPr>
          <w:spacing w:val="-60"/>
        </w:rPr>
        <w:t> </w:t>
      </w:r>
      <w:r>
        <w:rPr>
          <w:rFonts w:ascii="Times New Roman" w:hAnsi="Times New Roman" w:cs="Times New Roman" w:eastAsia="Times New Roman" w:hint="default"/>
        </w:rPr>
        <w:t>130 </w:t>
      </w:r>
      <w:r>
        <w:rPr/>
        <w:t>万平方米，新竣工面积</w:t>
      </w:r>
      <w:r>
        <w:rPr>
          <w:spacing w:val="-60"/>
        </w:rPr>
        <w:t> </w:t>
      </w:r>
      <w:r>
        <w:rPr>
          <w:rFonts w:ascii="Times New Roman" w:hAnsi="Times New Roman" w:cs="Times New Roman" w:eastAsia="Times New Roman" w:hint="default"/>
        </w:rPr>
        <w:t>79 </w:t>
      </w:r>
      <w:r>
        <w:rPr/>
        <w:t>万 </w:t>
      </w:r>
      <w:r>
        <w:rPr>
          <w:spacing w:val="-2"/>
        </w:rPr>
        <w:t>平方米。从设计、工艺、景观、精装、物业管理等各个环节都坚持高品质开发。“最</w:t>
      </w:r>
      <w:r>
        <w:rPr>
          <w:spacing w:val="-99"/>
        </w:rPr>
        <w:t> </w:t>
      </w:r>
      <w:r>
        <w:rPr>
          <w:spacing w:val="-99"/>
        </w:rPr>
      </w:r>
      <w:r>
        <w:rPr>
          <w:spacing w:val="-5"/>
        </w:rPr>
        <w:t>美新湖三月天”，每年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月在新湖项目所在城市举办的郁金香花博会是对公司用心营 </w:t>
      </w:r>
      <w:r>
        <w:rPr>
          <w:spacing w:val="-2"/>
        </w:rPr>
        <w:t>造美好生活的最好代言。公司开发的每一个项目都成为当地市场的品质标杆，塑造了</w:t>
      </w:r>
      <w:r>
        <w:rPr>
          <w:spacing w:val="-94"/>
        </w:rPr>
        <w:t> </w:t>
      </w:r>
      <w:r>
        <w:rPr>
          <w:spacing w:val="-94"/>
        </w:rPr>
      </w:r>
      <w:r>
        <w:rPr/>
        <w:t>新湖地产良好的品牌形象。</w:t>
      </w:r>
    </w:p>
    <w:p>
      <w:pPr>
        <w:pStyle w:val="BodyText"/>
        <w:spacing w:line="240" w:lineRule="auto" w:before="43"/>
        <w:ind w:left="618" w:right="102"/>
        <w:jc w:val="left"/>
      </w:pPr>
      <w:r>
        <w:rPr/>
        <w:t>期内，公司继续取得优质土地资源。新增土地储备面积约</w:t>
      </w:r>
      <w:r>
        <w:rPr>
          <w:spacing w:val="-60"/>
        </w:rPr>
        <w:t> </w:t>
      </w:r>
      <w:r>
        <w:rPr>
          <w:rFonts w:ascii="Times New Roman" w:hAnsi="Times New Roman" w:cs="Times New Roman" w:eastAsia="Times New Roman" w:hint="default"/>
        </w:rPr>
        <w:t>54 </w:t>
      </w:r>
      <w:r>
        <w:rPr/>
        <w:t>万平方米，新增总</w:t>
      </w:r>
    </w:p>
    <w:p>
      <w:pPr>
        <w:pStyle w:val="BodyText"/>
        <w:spacing w:line="240" w:lineRule="auto" w:before="135"/>
        <w:ind w:right="0"/>
        <w:jc w:val="both"/>
      </w:pPr>
      <w:r>
        <w:rPr/>
        <w:t>建筑面积约</w:t>
      </w:r>
      <w:r>
        <w:rPr>
          <w:spacing w:val="-61"/>
        </w:rPr>
        <w:t> </w:t>
      </w:r>
      <w:r>
        <w:rPr>
          <w:rFonts w:ascii="Times New Roman" w:hAnsi="Times New Roman" w:cs="Times New Roman" w:eastAsia="Times New Roman" w:hint="default"/>
        </w:rPr>
        <w:t>125 </w:t>
      </w:r>
      <w:r>
        <w:rPr/>
        <w:t>万平方米，实现了合理增长。公司现有开发项目约</w:t>
      </w:r>
      <w:r>
        <w:rPr>
          <w:spacing w:val="-60"/>
        </w:rPr>
        <w:t> </w:t>
      </w:r>
      <w:r>
        <w:rPr>
          <w:rFonts w:ascii="Times New Roman" w:hAnsi="Times New Roman" w:cs="Times New Roman" w:eastAsia="Times New Roman" w:hint="default"/>
        </w:rPr>
        <w:t>50 </w:t>
      </w:r>
      <w:r>
        <w:rPr/>
        <w:t>个（不含海涂</w:t>
      </w:r>
    </w:p>
    <w:p>
      <w:pPr>
        <w:pStyle w:val="BodyText"/>
        <w:spacing w:line="240" w:lineRule="auto" w:before="133"/>
        <w:ind w:right="0"/>
        <w:jc w:val="both"/>
      </w:pPr>
      <w:r>
        <w:rPr/>
        <w:t>开发项目），项目土地面积约</w:t>
      </w:r>
      <w:r>
        <w:rPr>
          <w:spacing w:val="-73"/>
        </w:rPr>
        <w:t> </w:t>
      </w:r>
      <w:r>
        <w:rPr>
          <w:rFonts w:ascii="Times New Roman" w:hAnsi="Times New Roman" w:cs="Times New Roman" w:eastAsia="Times New Roman" w:hint="default"/>
        </w:rPr>
        <w:t>1300</w:t>
      </w:r>
      <w:r>
        <w:rPr>
          <w:rFonts w:ascii="Times New Roman" w:hAnsi="Times New Roman" w:cs="Times New Roman" w:eastAsia="Times New Roman" w:hint="default"/>
          <w:spacing w:val="-13"/>
        </w:rPr>
        <w:t> </w:t>
      </w:r>
      <w:r>
        <w:rPr/>
        <w:t>万平方米，权益面积约</w:t>
      </w:r>
      <w:r>
        <w:rPr>
          <w:spacing w:val="-73"/>
        </w:rPr>
        <w:t> </w:t>
      </w:r>
      <w:r>
        <w:rPr>
          <w:rFonts w:ascii="Times New Roman" w:hAnsi="Times New Roman" w:cs="Times New Roman" w:eastAsia="Times New Roman" w:hint="default"/>
        </w:rPr>
        <w:t>1100</w:t>
      </w:r>
      <w:r>
        <w:rPr>
          <w:rFonts w:ascii="Times New Roman" w:hAnsi="Times New Roman" w:cs="Times New Roman" w:eastAsia="Times New Roman" w:hint="default"/>
          <w:spacing w:val="-13"/>
        </w:rPr>
        <w:t> </w:t>
      </w:r>
      <w:r>
        <w:rPr/>
        <w:t>万平方米；总建筑面</w:t>
      </w:r>
    </w:p>
    <w:p>
      <w:pPr>
        <w:pStyle w:val="BodyText"/>
        <w:spacing w:line="240" w:lineRule="auto" w:before="135"/>
        <w:ind w:right="0"/>
        <w:jc w:val="both"/>
      </w:pPr>
      <w:r>
        <w:rPr/>
        <w:t>积约</w:t>
      </w:r>
      <w:r>
        <w:rPr>
          <w:spacing w:val="-61"/>
        </w:rPr>
        <w:t> </w:t>
      </w:r>
      <w:r>
        <w:rPr>
          <w:rFonts w:ascii="Times New Roman" w:hAnsi="Times New Roman" w:cs="Times New Roman" w:eastAsia="Times New Roman" w:hint="default"/>
        </w:rPr>
        <w:t>2450 </w:t>
      </w:r>
      <w:r>
        <w:rPr/>
        <w:t>万平方米，权益总建筑面积约</w:t>
      </w:r>
      <w:r>
        <w:rPr>
          <w:spacing w:val="-60"/>
        </w:rPr>
        <w:t> </w:t>
      </w:r>
      <w:r>
        <w:rPr>
          <w:rFonts w:ascii="Times New Roman" w:hAnsi="Times New Roman" w:cs="Times New Roman" w:eastAsia="Times New Roman" w:hint="default"/>
        </w:rPr>
        <w:t>2200 </w:t>
      </w:r>
      <w:r>
        <w:rPr/>
        <w:t>万平方米。</w:t>
      </w:r>
    </w:p>
    <w:p>
      <w:pPr>
        <w:spacing w:after="0" w:line="240" w:lineRule="auto"/>
        <w:jc w:val="both"/>
        <w:sectPr>
          <w:footerReference w:type="default" r:id="rId12"/>
          <w:pgSz w:w="11910" w:h="16840"/>
          <w:pgMar w:footer="1195" w:header="880" w:top="1120" w:bottom="1380" w:left="1660" w:right="920"/>
        </w:sectPr>
      </w:pPr>
    </w:p>
    <w:p>
      <w:pPr>
        <w:spacing w:line="240" w:lineRule="auto" w:before="8"/>
        <w:rPr>
          <w:rFonts w:ascii="宋体" w:hAnsi="宋体" w:cs="宋体" w:eastAsia="宋体" w:hint="default"/>
          <w:sz w:val="25"/>
          <w:szCs w:val="25"/>
        </w:rPr>
      </w:pPr>
    </w:p>
    <w:p>
      <w:pPr>
        <w:pStyle w:val="BodyText"/>
        <w:spacing w:line="338" w:lineRule="auto" w:before="26"/>
        <w:ind w:right="110" w:firstLine="479"/>
        <w:jc w:val="both"/>
      </w:pPr>
      <w:r>
        <w:rPr>
          <w:spacing w:val="-16"/>
        </w:rPr>
        <w:t>期内，上海旧改项目进展顺利。（</w:t>
      </w:r>
      <w:r>
        <w:rPr>
          <w:rFonts w:ascii="Times New Roman" w:hAnsi="Times New Roman" w:cs="Times New Roman" w:eastAsia="Times New Roman" w:hint="default"/>
          <w:spacing w:val="-16"/>
        </w:rPr>
        <w:t>1</w:t>
      </w:r>
      <w:r>
        <w:rPr>
          <w:spacing w:val="-16"/>
        </w:rPr>
        <w:t>）上海</w:t>
      </w:r>
      <w:r>
        <w:rPr>
          <w:rFonts w:ascii="Times New Roman" w:hAnsi="Times New Roman" w:cs="Times New Roman" w:eastAsia="Times New Roman" w:hint="default"/>
          <w:spacing w:val="-16"/>
        </w:rPr>
        <w:t>·</w:t>
      </w:r>
      <w:r>
        <w:rPr>
          <w:spacing w:val="-16"/>
        </w:rPr>
        <w:t>新湖明珠城已累计结算约</w:t>
      </w:r>
      <w:r>
        <w:rPr>
          <w:spacing w:val="-54"/>
        </w:rPr>
        <w:t> </w:t>
      </w:r>
      <w:r>
        <w:rPr>
          <w:rFonts w:ascii="Times New Roman" w:hAnsi="Times New Roman" w:cs="Times New Roman" w:eastAsia="Times New Roman" w:hint="default"/>
        </w:rPr>
        <w:t>49</w:t>
      </w:r>
      <w:r>
        <w:rPr>
          <w:rFonts w:ascii="Times New Roman" w:hAnsi="Times New Roman" w:cs="Times New Roman" w:eastAsia="Times New Roman" w:hint="default"/>
          <w:spacing w:val="6"/>
        </w:rPr>
        <w:t> </w:t>
      </w:r>
      <w:r>
        <w:rPr/>
        <w:t>万平方米， </w:t>
      </w:r>
      <w:r>
        <w:rPr>
          <w:spacing w:val="-7"/>
        </w:rPr>
        <w:t>地块西侧动迁接近尾声。（</w:t>
      </w:r>
      <w:r>
        <w:rPr>
          <w:rFonts w:ascii="Times New Roman" w:hAnsi="Times New Roman" w:cs="Times New Roman" w:eastAsia="Times New Roman" w:hint="default"/>
          <w:spacing w:val="-7"/>
        </w:rPr>
        <w:t>2</w:t>
      </w:r>
      <w:r>
        <w:rPr>
          <w:spacing w:val="-7"/>
        </w:rPr>
        <w:t>）上海</w:t>
      </w:r>
      <w:r>
        <w:rPr>
          <w:rFonts w:ascii="Times New Roman" w:hAnsi="Times New Roman" w:cs="Times New Roman" w:eastAsia="Times New Roman" w:hint="default"/>
          <w:spacing w:val="-7"/>
        </w:rPr>
        <w:t>·</w:t>
      </w:r>
      <w:r>
        <w:rPr>
          <w:spacing w:val="-7"/>
        </w:rPr>
        <w:t>青蓝国际新竣工面积</w:t>
      </w:r>
      <w:r>
        <w:rPr>
          <w:spacing w:val="-58"/>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万平方米，已累计结算</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56"/>
        </w:rPr>
        <w:t> </w:t>
      </w:r>
      <w:r>
        <w:rPr/>
        <w:t>万平方米。（</w:t>
      </w:r>
      <w:r>
        <w:rPr>
          <w:rFonts w:ascii="Times New Roman" w:hAnsi="Times New Roman" w:cs="Times New Roman" w:eastAsia="Times New Roman" w:hint="default"/>
        </w:rPr>
        <w:t>3</w:t>
      </w:r>
      <w:r>
        <w:rPr/>
        <w:t>）亚龙项目、天虹项目、玛宝项目已通过拆迁征询，进入拆迁阶段。 目前，公司上海五大旧改项目合计建筑面积达</w:t>
      </w:r>
      <w:r>
        <w:rPr>
          <w:spacing w:val="-61"/>
        </w:rPr>
        <w:t> </w:t>
      </w:r>
      <w:r>
        <w:rPr>
          <w:rFonts w:ascii="Times New Roman" w:hAnsi="Times New Roman" w:cs="Times New Roman" w:eastAsia="Times New Roman" w:hint="default"/>
        </w:rPr>
        <w:t>180</w:t>
      </w:r>
      <w:r>
        <w:rPr>
          <w:rFonts w:ascii="Times New Roman" w:hAnsi="Times New Roman" w:cs="Times New Roman" w:eastAsia="Times New Roman" w:hint="default"/>
          <w:spacing w:val="-2"/>
        </w:rPr>
        <w:t> </w:t>
      </w:r>
      <w:r>
        <w:rPr>
          <w:spacing w:val="-3"/>
        </w:rPr>
        <w:t>万平方米，名列行业前茅，显示了</w:t>
      </w:r>
      <w:r>
        <w:rPr/>
        <w:t> 公司聚焦上海、发力旧改的前瞻眼光和坚定信心。</w:t>
      </w:r>
    </w:p>
    <w:p>
      <w:pPr>
        <w:pStyle w:val="BodyText"/>
        <w:spacing w:line="343" w:lineRule="auto" w:before="53"/>
        <w:ind w:right="113" w:firstLine="479"/>
        <w:jc w:val="both"/>
      </w:pPr>
      <w:r>
        <w:rPr/>
        <w:t>期内，公司商业地产和城镇化综合项目稳步推进。（</w:t>
      </w:r>
      <w:r>
        <w:rPr>
          <w:rFonts w:ascii="Times New Roman" w:hAnsi="Times New Roman" w:cs="Times New Roman" w:eastAsia="Times New Roman" w:hint="default"/>
        </w:rPr>
        <w:t>1</w:t>
      </w:r>
      <w:r>
        <w:rPr/>
        <w:t>）天津静海义乌小商品国 际商贸城招商进展顺利，将于</w:t>
      </w:r>
      <w:r>
        <w:rPr>
          <w:spacing w:val="-8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3"/>
        </w:rPr>
        <w:t> </w:t>
      </w:r>
      <w:r>
        <w:rPr/>
        <w:t>年开业。（</w:t>
      </w:r>
      <w:r>
        <w:rPr>
          <w:rFonts w:ascii="Times New Roman" w:hAnsi="Times New Roman" w:cs="Times New Roman" w:eastAsia="Times New Roman" w:hint="default"/>
        </w:rPr>
        <w:t>2</w:t>
      </w:r>
      <w:r>
        <w:rPr/>
        <w:t>）温州西湾项目稳步推进：南片三横 </w:t>
      </w:r>
      <w:r>
        <w:rPr>
          <w:spacing w:val="-2"/>
        </w:rPr>
        <w:t>四纵主道路己全部完成基础填筑，部分己完成路面工程，沿线桥梁和绿化景观工程按</w:t>
      </w:r>
      <w:r>
        <w:rPr>
          <w:spacing w:val="-94"/>
        </w:rPr>
        <w:t> </w:t>
      </w:r>
      <w:r>
        <w:rPr>
          <w:spacing w:val="-94"/>
        </w:rPr>
      </w:r>
      <w:r>
        <w:rPr/>
        <w:t>计划实施；北片总长</w:t>
      </w:r>
      <w:r>
        <w:rPr>
          <w:spacing w:val="-61"/>
        </w:rPr>
        <w:t> </w:t>
      </w:r>
      <w:r>
        <w:rPr>
          <w:rFonts w:ascii="Times New Roman" w:hAnsi="Times New Roman" w:cs="Times New Roman" w:eastAsia="Times New Roman" w:hint="default"/>
        </w:rPr>
        <w:t>4.7</w:t>
      </w:r>
      <w:r>
        <w:rPr>
          <w:rFonts w:ascii="Times New Roman" w:hAnsi="Times New Roman" w:cs="Times New Roman" w:eastAsia="Times New Roman" w:hint="default"/>
          <w:spacing w:val="-1"/>
        </w:rPr>
        <w:t> </w:t>
      </w:r>
      <w:r>
        <w:rPr/>
        <w:t>公里围堤工程其主体水闸工程己完成通水验收，并基本完成</w:t>
      </w:r>
    </w:p>
    <w:p>
      <w:pPr>
        <w:pStyle w:val="BodyText"/>
        <w:spacing w:line="240" w:lineRule="auto" w:before="19"/>
        <w:ind w:right="0"/>
        <w:jc w:val="left"/>
      </w:pPr>
      <w:r>
        <w:rPr/>
        <w:t>堵口合拢施工；北片一期</w:t>
      </w:r>
      <w:r>
        <w:rPr>
          <w:spacing w:val="-61"/>
        </w:rPr>
        <w:t> </w:t>
      </w:r>
      <w:r>
        <w:rPr>
          <w:rFonts w:ascii="Times New Roman" w:hAnsi="Times New Roman" w:cs="Times New Roman" w:eastAsia="Times New Roman" w:hint="default"/>
        </w:rPr>
        <w:t>800</w:t>
      </w:r>
      <w:r>
        <w:rPr>
          <w:rFonts w:ascii="Times New Roman" w:hAnsi="Times New Roman" w:cs="Times New Roman" w:eastAsia="Times New Roman" w:hint="default"/>
          <w:spacing w:val="-1"/>
        </w:rPr>
        <w:t> </w:t>
      </w:r>
      <w:r>
        <w:rPr/>
        <w:t>亩回填造地工程已具备完工验收条件。（</w:t>
      </w:r>
      <w:r>
        <w:rPr>
          <w:rFonts w:ascii="Times New Roman" w:hAnsi="Times New Roman" w:cs="Times New Roman" w:eastAsia="Times New Roman" w:hint="default"/>
        </w:rPr>
        <w:t>3</w:t>
      </w:r>
      <w:r>
        <w:rPr/>
        <w:t>）启东新湖</w:t>
      </w:r>
    </w:p>
    <w:p>
      <w:pPr>
        <w:pStyle w:val="BodyText"/>
        <w:spacing w:line="336" w:lineRule="auto" w:before="135"/>
        <w:ind w:right="170"/>
        <w:jc w:val="left"/>
      </w:pPr>
      <w:r>
        <w:rPr/>
        <w:t>长江公园项目加速推进，首期住宅将于</w:t>
      </w:r>
      <w:r>
        <w:rPr>
          <w:spacing w:val="-6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年下半年进入销售阶段，旅游、酒店、 商业等项目加速实施中。</w:t>
      </w:r>
    </w:p>
    <w:p>
      <w:pPr>
        <w:spacing w:after="0" w:line="336" w:lineRule="auto"/>
        <w:jc w:val="left"/>
        <w:sectPr>
          <w:footerReference w:type="default" r:id="rId13"/>
          <w:pgSz w:w="11910" w:h="16840"/>
          <w:pgMar w:footer="1195" w:header="880" w:top="1120" w:bottom="1380" w:left="1660" w:right="11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before="26"/>
        <w:ind w:left="700" w:right="0"/>
        <w:jc w:val="left"/>
      </w:pPr>
      <w:r>
        <w:rPr>
          <w:rFonts w:ascii="宋体" w:hAnsi="宋体" w:cs="宋体" w:eastAsia="宋体" w:hint="default"/>
        </w:rPr>
        <w:t>1</w:t>
      </w:r>
      <w:r>
        <w:rPr/>
        <w:t>）主要房地产项目概况一览表</w:t>
      </w:r>
    </w:p>
    <w:p>
      <w:pPr>
        <w:spacing w:line="240" w:lineRule="auto" w:before="10"/>
        <w:rPr>
          <w:rFonts w:ascii="宋体" w:hAnsi="宋体" w:cs="宋体" w:eastAsia="宋体" w:hint="default"/>
          <w:sz w:val="8"/>
          <w:szCs w:val="8"/>
        </w:rPr>
      </w:pPr>
    </w:p>
    <w:p>
      <w:pPr>
        <w:tabs>
          <w:tab w:pos="11396" w:val="left" w:leader="none"/>
          <w:tab w:pos="13016" w:val="left" w:leader="none"/>
        </w:tabs>
        <w:spacing w:before="44"/>
        <w:ind w:left="9502" w:right="0" w:firstLine="0"/>
        <w:jc w:val="left"/>
        <w:rPr>
          <w:rFonts w:ascii="宋体" w:hAnsi="宋体" w:cs="宋体" w:eastAsia="宋体" w:hint="default"/>
          <w:sz w:val="18"/>
          <w:szCs w:val="18"/>
        </w:rPr>
      </w:pPr>
      <w:r>
        <w:rPr>
          <w:rFonts w:ascii="宋体" w:hAnsi="宋体" w:cs="宋体" w:eastAsia="宋体" w:hint="default"/>
          <w:sz w:val="18"/>
          <w:szCs w:val="18"/>
        </w:rPr>
        <w:t>面积单位：平方米</w:t>
        <w:tab/>
      </w:r>
      <w:r>
        <w:rPr>
          <w:rFonts w:ascii="宋体" w:hAnsi="宋体" w:cs="宋体" w:eastAsia="宋体" w:hint="default"/>
          <w:spacing w:val="-1"/>
          <w:sz w:val="18"/>
          <w:szCs w:val="18"/>
        </w:rPr>
        <w:t>金额单位：千元</w:t>
        <w:tab/>
      </w:r>
      <w:r>
        <w:rPr>
          <w:rFonts w:ascii="宋体" w:hAnsi="宋体" w:cs="宋体" w:eastAsia="宋体" w:hint="default"/>
          <w:sz w:val="18"/>
          <w:szCs w:val="18"/>
        </w:rPr>
        <w:t>币种：人民币</w:t>
      </w:r>
    </w:p>
    <w:p>
      <w:pPr>
        <w:spacing w:line="240" w:lineRule="auto" w:before="4"/>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456"/>
        <w:gridCol w:w="2251"/>
        <w:gridCol w:w="1232"/>
        <w:gridCol w:w="518"/>
        <w:gridCol w:w="814"/>
        <w:gridCol w:w="814"/>
        <w:gridCol w:w="814"/>
        <w:gridCol w:w="814"/>
        <w:gridCol w:w="816"/>
        <w:gridCol w:w="814"/>
        <w:gridCol w:w="814"/>
        <w:gridCol w:w="814"/>
        <w:gridCol w:w="756"/>
        <w:gridCol w:w="814"/>
        <w:gridCol w:w="754"/>
        <w:gridCol w:w="797"/>
      </w:tblGrid>
      <w:tr>
        <w:trPr>
          <w:trHeight w:val="281" w:hRule="exact"/>
        </w:trPr>
        <w:tc>
          <w:tcPr>
            <w:tcW w:w="45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168" w:lineRule="exact"/>
              <w:ind w:left="158" w:right="156"/>
              <w:jc w:val="center"/>
              <w:rPr>
                <w:rFonts w:ascii="宋体" w:hAnsi="宋体" w:cs="宋体" w:eastAsia="宋体" w:hint="default"/>
                <w:sz w:val="13"/>
                <w:szCs w:val="13"/>
              </w:rPr>
            </w:pPr>
            <w:r>
              <w:rPr>
                <w:rFonts w:ascii="宋体" w:hAnsi="宋体" w:cs="宋体" w:eastAsia="宋体" w:hint="default"/>
                <w:sz w:val="13"/>
                <w:szCs w:val="13"/>
              </w:rPr>
              <w:t>序</w:t>
            </w:r>
            <w:r>
              <w:rPr>
                <w:rFonts w:ascii="宋体" w:hAnsi="宋体" w:cs="宋体" w:eastAsia="宋体" w:hint="default"/>
                <w:w w:val="99"/>
                <w:sz w:val="13"/>
                <w:szCs w:val="13"/>
              </w:rPr>
              <w:t> </w:t>
            </w:r>
            <w:r>
              <w:rPr>
                <w:rFonts w:ascii="宋体" w:hAnsi="宋体" w:cs="宋体" w:eastAsia="宋体" w:hint="default"/>
                <w:sz w:val="13"/>
                <w:szCs w:val="13"/>
              </w:rPr>
              <w:t>号</w:t>
            </w:r>
          </w:p>
        </w:tc>
        <w:tc>
          <w:tcPr>
            <w:tcW w:w="22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right="3"/>
              <w:jc w:val="center"/>
              <w:rPr>
                <w:rFonts w:ascii="宋体" w:hAnsi="宋体" w:cs="宋体" w:eastAsia="宋体" w:hint="default"/>
                <w:sz w:val="13"/>
                <w:szCs w:val="13"/>
              </w:rPr>
            </w:pPr>
            <w:r>
              <w:rPr>
                <w:rFonts w:ascii="宋体" w:hAnsi="宋体" w:cs="宋体" w:eastAsia="宋体" w:hint="default"/>
                <w:b/>
                <w:bCs/>
                <w:sz w:val="13"/>
                <w:szCs w:val="13"/>
              </w:rPr>
              <w:t>公司名称</w:t>
            </w:r>
            <w:r>
              <w:rPr>
                <w:rFonts w:ascii="宋体" w:hAnsi="宋体" w:cs="宋体" w:eastAsia="宋体" w:hint="default"/>
                <w:sz w:val="13"/>
                <w:szCs w:val="13"/>
              </w:rPr>
            </w:r>
          </w:p>
        </w:tc>
        <w:tc>
          <w:tcPr>
            <w:tcW w:w="12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left="347" w:right="0"/>
              <w:jc w:val="left"/>
              <w:rPr>
                <w:rFonts w:ascii="宋体" w:hAnsi="宋体" w:cs="宋体" w:eastAsia="宋体" w:hint="default"/>
                <w:sz w:val="13"/>
                <w:szCs w:val="13"/>
              </w:rPr>
            </w:pPr>
            <w:r>
              <w:rPr>
                <w:rFonts w:ascii="宋体" w:hAnsi="宋体" w:cs="宋体" w:eastAsia="宋体" w:hint="default"/>
                <w:b/>
                <w:bCs/>
                <w:sz w:val="13"/>
                <w:szCs w:val="13"/>
              </w:rPr>
              <w:t>项目名称</w:t>
            </w:r>
            <w:r>
              <w:rPr>
                <w:rFonts w:ascii="宋体" w:hAnsi="宋体" w:cs="宋体" w:eastAsia="宋体" w:hint="default"/>
                <w:sz w:val="13"/>
                <w:szCs w:val="13"/>
              </w:rPr>
            </w:r>
          </w:p>
        </w:tc>
        <w:tc>
          <w:tcPr>
            <w:tcW w:w="5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left="122" w:right="0"/>
              <w:jc w:val="left"/>
              <w:rPr>
                <w:rFonts w:ascii="宋体" w:hAnsi="宋体" w:cs="宋体" w:eastAsia="宋体" w:hint="default"/>
                <w:sz w:val="13"/>
                <w:szCs w:val="13"/>
              </w:rPr>
            </w:pPr>
            <w:r>
              <w:rPr>
                <w:rFonts w:ascii="宋体" w:hAnsi="宋体" w:cs="宋体" w:eastAsia="宋体" w:hint="default"/>
                <w:b/>
                <w:bCs/>
                <w:sz w:val="13"/>
                <w:szCs w:val="13"/>
              </w:rPr>
              <w:t>权益</w:t>
            </w:r>
            <w:r>
              <w:rPr>
                <w:rFonts w:ascii="宋体" w:hAnsi="宋体" w:cs="宋体" w:eastAsia="宋体" w:hint="default"/>
                <w:sz w:val="13"/>
                <w:szCs w:val="13"/>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left="139" w:right="0"/>
              <w:jc w:val="left"/>
              <w:rPr>
                <w:rFonts w:ascii="宋体" w:hAnsi="宋体" w:cs="宋体" w:eastAsia="宋体" w:hint="default"/>
                <w:sz w:val="13"/>
                <w:szCs w:val="13"/>
              </w:rPr>
            </w:pPr>
            <w:r>
              <w:rPr>
                <w:rFonts w:ascii="宋体" w:hAnsi="宋体" w:cs="宋体" w:eastAsia="宋体" w:hint="default"/>
                <w:b/>
                <w:bCs/>
                <w:sz w:val="13"/>
                <w:szCs w:val="13"/>
              </w:rPr>
              <w:t>占地面积</w:t>
            </w:r>
            <w:r>
              <w:rPr>
                <w:rFonts w:ascii="宋体" w:hAnsi="宋体" w:cs="宋体" w:eastAsia="宋体" w:hint="default"/>
                <w:sz w:val="13"/>
                <w:szCs w:val="13"/>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168" w:lineRule="exact"/>
              <w:ind w:left="271" w:right="139" w:hanging="132"/>
              <w:jc w:val="left"/>
              <w:rPr>
                <w:rFonts w:ascii="宋体" w:hAnsi="宋体" w:cs="宋体" w:eastAsia="宋体" w:hint="default"/>
                <w:sz w:val="13"/>
                <w:szCs w:val="13"/>
              </w:rPr>
            </w:pPr>
            <w:r>
              <w:rPr>
                <w:rFonts w:ascii="宋体" w:hAnsi="宋体" w:cs="宋体" w:eastAsia="宋体" w:hint="default"/>
                <w:b/>
                <w:bCs/>
                <w:sz w:val="13"/>
                <w:szCs w:val="13"/>
              </w:rPr>
              <w:t>权益占地</w:t>
            </w:r>
            <w:r>
              <w:rPr>
                <w:rFonts w:ascii="宋体" w:hAnsi="宋体" w:cs="宋体" w:eastAsia="宋体" w:hint="default"/>
                <w:b/>
                <w:bCs/>
                <w:w w:val="99"/>
                <w:sz w:val="13"/>
                <w:szCs w:val="13"/>
              </w:rPr>
              <w:t> </w:t>
            </w:r>
            <w:r>
              <w:rPr>
                <w:rFonts w:ascii="宋体" w:hAnsi="宋体" w:cs="宋体" w:eastAsia="宋体" w:hint="default"/>
                <w:b/>
                <w:bCs/>
                <w:sz w:val="13"/>
                <w:szCs w:val="13"/>
              </w:rPr>
              <w:t>面积</w:t>
            </w:r>
            <w:r>
              <w:rPr>
                <w:rFonts w:ascii="宋体" w:hAnsi="宋体" w:cs="宋体" w:eastAsia="宋体" w:hint="default"/>
                <w:sz w:val="13"/>
                <w:szCs w:val="13"/>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168" w:lineRule="exact"/>
              <w:ind w:left="139" w:right="140"/>
              <w:jc w:val="left"/>
              <w:rPr>
                <w:rFonts w:ascii="宋体" w:hAnsi="宋体" w:cs="宋体" w:eastAsia="宋体" w:hint="default"/>
                <w:sz w:val="13"/>
                <w:szCs w:val="13"/>
              </w:rPr>
            </w:pPr>
            <w:r>
              <w:rPr>
                <w:rFonts w:ascii="宋体" w:hAnsi="宋体" w:cs="宋体" w:eastAsia="宋体" w:hint="default"/>
                <w:b/>
                <w:bCs/>
                <w:sz w:val="13"/>
                <w:szCs w:val="13"/>
              </w:rPr>
              <w:t>规划计容</w:t>
            </w:r>
            <w:r>
              <w:rPr>
                <w:rFonts w:ascii="宋体" w:hAnsi="宋体" w:cs="宋体" w:eastAsia="宋体" w:hint="default"/>
                <w:b/>
                <w:bCs/>
                <w:w w:val="99"/>
                <w:sz w:val="13"/>
                <w:szCs w:val="13"/>
              </w:rPr>
              <w:t> </w:t>
            </w:r>
            <w:r>
              <w:rPr>
                <w:rFonts w:ascii="宋体" w:hAnsi="宋体" w:cs="宋体" w:eastAsia="宋体" w:hint="default"/>
                <w:b/>
                <w:bCs/>
                <w:sz w:val="13"/>
                <w:szCs w:val="13"/>
              </w:rPr>
              <w:t>建筑面积</w:t>
            </w:r>
            <w:r>
              <w:rPr>
                <w:rFonts w:ascii="宋体" w:hAnsi="宋体" w:cs="宋体" w:eastAsia="宋体" w:hint="default"/>
                <w:sz w:val="13"/>
                <w:szCs w:val="13"/>
              </w:rPr>
            </w:r>
          </w:p>
        </w:tc>
        <w:tc>
          <w:tcPr>
            <w:tcW w:w="814" w:type="dxa"/>
            <w:vMerge w:val="restart"/>
            <w:tcBorders>
              <w:top w:val="single" w:sz="4" w:space="0" w:color="000000"/>
              <w:left w:val="single" w:sz="4" w:space="0" w:color="000000"/>
              <w:right w:val="single" w:sz="4" w:space="0" w:color="000000"/>
            </w:tcBorders>
          </w:tcPr>
          <w:p>
            <w:pPr>
              <w:pStyle w:val="TableParagraph"/>
              <w:spacing w:line="237" w:lineRule="auto" w:before="89"/>
              <w:ind w:left="139" w:right="139"/>
              <w:jc w:val="center"/>
              <w:rPr>
                <w:rFonts w:ascii="宋体" w:hAnsi="宋体" w:cs="宋体" w:eastAsia="宋体" w:hint="default"/>
                <w:sz w:val="13"/>
                <w:szCs w:val="13"/>
              </w:rPr>
            </w:pPr>
            <w:r>
              <w:rPr>
                <w:rFonts w:ascii="宋体" w:hAnsi="宋体" w:cs="宋体" w:eastAsia="宋体" w:hint="default"/>
                <w:b/>
                <w:bCs/>
                <w:sz w:val="13"/>
                <w:szCs w:val="13"/>
              </w:rPr>
              <w:t>权益规划</w:t>
            </w:r>
            <w:r>
              <w:rPr>
                <w:rFonts w:ascii="宋体" w:hAnsi="宋体" w:cs="宋体" w:eastAsia="宋体" w:hint="default"/>
                <w:b/>
                <w:bCs/>
                <w:w w:val="99"/>
                <w:sz w:val="13"/>
                <w:szCs w:val="13"/>
              </w:rPr>
              <w:t> </w:t>
            </w:r>
            <w:r>
              <w:rPr>
                <w:rFonts w:ascii="宋体" w:hAnsi="宋体" w:cs="宋体" w:eastAsia="宋体" w:hint="default"/>
                <w:b/>
                <w:bCs/>
                <w:sz w:val="13"/>
                <w:szCs w:val="13"/>
              </w:rPr>
              <w:t>计容建筑</w:t>
            </w:r>
            <w:r>
              <w:rPr>
                <w:rFonts w:ascii="宋体" w:hAnsi="宋体" w:cs="宋体" w:eastAsia="宋体" w:hint="default"/>
                <w:b/>
                <w:bCs/>
                <w:w w:val="99"/>
                <w:sz w:val="13"/>
                <w:szCs w:val="13"/>
              </w:rPr>
              <w:t> </w:t>
            </w:r>
            <w:r>
              <w:rPr>
                <w:rFonts w:ascii="宋体" w:hAnsi="宋体" w:cs="宋体" w:eastAsia="宋体" w:hint="default"/>
                <w:b/>
                <w:bCs/>
                <w:sz w:val="13"/>
                <w:szCs w:val="13"/>
              </w:rPr>
              <w:t>面积</w:t>
            </w:r>
            <w:r>
              <w:rPr>
                <w:rFonts w:ascii="宋体" w:hAnsi="宋体" w:cs="宋体" w:eastAsia="宋体" w:hint="default"/>
                <w:sz w:val="13"/>
                <w:szCs w:val="13"/>
              </w:rPr>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168" w:lineRule="exact"/>
              <w:ind w:left="335" w:right="142" w:hanging="197"/>
              <w:jc w:val="left"/>
              <w:rPr>
                <w:rFonts w:ascii="宋体" w:hAnsi="宋体" w:cs="宋体" w:eastAsia="宋体" w:hint="default"/>
                <w:sz w:val="13"/>
                <w:szCs w:val="13"/>
              </w:rPr>
            </w:pPr>
            <w:r>
              <w:rPr>
                <w:rFonts w:ascii="宋体" w:hAnsi="宋体" w:cs="宋体" w:eastAsia="宋体" w:hint="default"/>
                <w:b/>
                <w:bCs/>
                <w:sz w:val="13"/>
                <w:szCs w:val="13"/>
              </w:rPr>
              <w:t>总建筑面</w:t>
            </w:r>
            <w:r>
              <w:rPr>
                <w:rFonts w:ascii="宋体" w:hAnsi="宋体" w:cs="宋体" w:eastAsia="宋体" w:hint="default"/>
                <w:b/>
                <w:bCs/>
                <w:w w:val="99"/>
                <w:sz w:val="13"/>
                <w:szCs w:val="13"/>
              </w:rPr>
              <w:t> </w:t>
            </w:r>
            <w:r>
              <w:rPr>
                <w:rFonts w:ascii="宋体" w:hAnsi="宋体" w:cs="宋体" w:eastAsia="宋体" w:hint="default"/>
                <w:b/>
                <w:bCs/>
                <w:sz w:val="13"/>
                <w:szCs w:val="13"/>
              </w:rPr>
              <w:t>积</w:t>
            </w:r>
            <w:r>
              <w:rPr>
                <w:rFonts w:ascii="宋体" w:hAnsi="宋体" w:cs="宋体" w:eastAsia="宋体" w:hint="default"/>
                <w:sz w:val="13"/>
                <w:szCs w:val="13"/>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168" w:lineRule="exact"/>
              <w:ind w:left="203" w:right="142" w:hanging="68"/>
              <w:jc w:val="left"/>
              <w:rPr>
                <w:rFonts w:ascii="宋体" w:hAnsi="宋体" w:cs="宋体" w:eastAsia="宋体" w:hint="default"/>
                <w:sz w:val="13"/>
                <w:szCs w:val="13"/>
              </w:rPr>
            </w:pPr>
            <w:r>
              <w:rPr>
                <w:rFonts w:ascii="宋体" w:hAnsi="宋体" w:cs="宋体" w:eastAsia="宋体" w:hint="default"/>
                <w:b/>
                <w:bCs/>
                <w:sz w:val="13"/>
                <w:szCs w:val="13"/>
              </w:rPr>
              <w:t>权益总建</w:t>
            </w:r>
            <w:r>
              <w:rPr>
                <w:rFonts w:ascii="宋体" w:hAnsi="宋体" w:cs="宋体" w:eastAsia="宋体" w:hint="default"/>
                <w:b/>
                <w:bCs/>
                <w:w w:val="99"/>
                <w:sz w:val="13"/>
                <w:szCs w:val="13"/>
              </w:rPr>
              <w:t> </w:t>
            </w:r>
            <w:r>
              <w:rPr>
                <w:rFonts w:ascii="宋体" w:hAnsi="宋体" w:cs="宋体" w:eastAsia="宋体" w:hint="default"/>
                <w:b/>
                <w:bCs/>
                <w:sz w:val="13"/>
                <w:szCs w:val="13"/>
              </w:rPr>
              <w:t>筑面积</w:t>
            </w:r>
            <w:r>
              <w:rPr>
                <w:rFonts w:ascii="宋体" w:hAnsi="宋体" w:cs="宋体" w:eastAsia="宋体" w:hint="default"/>
                <w:sz w:val="13"/>
                <w:szCs w:val="13"/>
              </w:rPr>
            </w:r>
          </w:p>
        </w:tc>
        <w:tc>
          <w:tcPr>
            <w:tcW w:w="47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hAnsi="宋体" w:cs="宋体" w:eastAsia="宋体" w:hint="default"/>
                <w:b/>
                <w:bCs/>
                <w:sz w:val="13"/>
                <w:szCs w:val="13"/>
              </w:rPr>
              <w:t>截至</w:t>
            </w:r>
            <w:r>
              <w:rPr>
                <w:rFonts w:ascii="宋体" w:hAnsi="宋体" w:cs="宋体" w:eastAsia="宋体" w:hint="default"/>
                <w:b/>
                <w:bCs/>
                <w:spacing w:val="-32"/>
                <w:sz w:val="13"/>
                <w:szCs w:val="13"/>
              </w:rPr>
              <w:t> </w:t>
            </w:r>
            <w:r>
              <w:rPr>
                <w:rFonts w:ascii="宋体" w:hAnsi="宋体" w:cs="宋体" w:eastAsia="宋体" w:hint="default"/>
                <w:b/>
                <w:bCs/>
                <w:sz w:val="13"/>
                <w:szCs w:val="13"/>
              </w:rPr>
              <w:t>2017</w:t>
            </w:r>
            <w:r>
              <w:rPr>
                <w:rFonts w:ascii="宋体" w:hAnsi="宋体" w:cs="宋体" w:eastAsia="宋体" w:hint="default"/>
                <w:b/>
                <w:bCs/>
                <w:spacing w:val="-34"/>
                <w:sz w:val="13"/>
                <w:szCs w:val="13"/>
              </w:rPr>
              <w:t> </w:t>
            </w:r>
            <w:r>
              <w:rPr>
                <w:rFonts w:ascii="宋体" w:hAnsi="宋体" w:cs="宋体" w:eastAsia="宋体" w:hint="default"/>
                <w:b/>
                <w:bCs/>
                <w:sz w:val="13"/>
                <w:szCs w:val="13"/>
              </w:rPr>
              <w:t>年</w:t>
            </w:r>
            <w:r>
              <w:rPr>
                <w:rFonts w:ascii="宋体" w:hAnsi="宋体" w:cs="宋体" w:eastAsia="宋体" w:hint="default"/>
                <w:b/>
                <w:bCs/>
                <w:spacing w:val="-34"/>
                <w:sz w:val="13"/>
                <w:szCs w:val="13"/>
              </w:rPr>
              <w:t> </w:t>
            </w:r>
            <w:r>
              <w:rPr>
                <w:rFonts w:ascii="宋体" w:hAnsi="宋体" w:cs="宋体" w:eastAsia="宋体" w:hint="default"/>
                <w:b/>
                <w:bCs/>
                <w:sz w:val="13"/>
                <w:szCs w:val="13"/>
              </w:rPr>
              <w:t>12</w:t>
            </w:r>
            <w:r>
              <w:rPr>
                <w:rFonts w:ascii="宋体" w:hAnsi="宋体" w:cs="宋体" w:eastAsia="宋体" w:hint="default"/>
                <w:b/>
                <w:bCs/>
                <w:spacing w:val="-34"/>
                <w:sz w:val="13"/>
                <w:szCs w:val="13"/>
              </w:rPr>
              <w:t> </w:t>
            </w:r>
            <w:r>
              <w:rPr>
                <w:rFonts w:ascii="宋体" w:hAnsi="宋体" w:cs="宋体" w:eastAsia="宋体" w:hint="default"/>
                <w:b/>
                <w:bCs/>
                <w:sz w:val="13"/>
                <w:szCs w:val="13"/>
              </w:rPr>
              <w:t>月</w:t>
            </w:r>
            <w:r>
              <w:rPr>
                <w:rFonts w:ascii="宋体" w:hAnsi="宋体" w:cs="宋体" w:eastAsia="宋体" w:hint="default"/>
                <w:b/>
                <w:bCs/>
                <w:spacing w:val="-32"/>
                <w:sz w:val="13"/>
                <w:szCs w:val="13"/>
              </w:rPr>
              <w:t> </w:t>
            </w:r>
            <w:r>
              <w:rPr>
                <w:rFonts w:ascii="宋体" w:hAnsi="宋体" w:cs="宋体" w:eastAsia="宋体" w:hint="default"/>
                <w:b/>
                <w:bCs/>
                <w:sz w:val="13"/>
                <w:szCs w:val="13"/>
              </w:rPr>
              <w:t>31</w:t>
            </w:r>
            <w:r>
              <w:rPr>
                <w:rFonts w:ascii="宋体" w:hAnsi="宋体" w:cs="宋体" w:eastAsia="宋体" w:hint="default"/>
                <w:b/>
                <w:bCs/>
                <w:spacing w:val="-34"/>
                <w:sz w:val="13"/>
                <w:szCs w:val="13"/>
              </w:rPr>
              <w:t> </w:t>
            </w:r>
            <w:r>
              <w:rPr>
                <w:rFonts w:ascii="宋体" w:hAnsi="宋体" w:cs="宋体" w:eastAsia="宋体" w:hint="default"/>
                <w:b/>
                <w:bCs/>
                <w:sz w:val="13"/>
                <w:szCs w:val="13"/>
              </w:rPr>
              <w:t>日</w:t>
            </w:r>
            <w:r>
              <w:rPr>
                <w:rFonts w:ascii="宋体" w:hAnsi="宋体" w:cs="宋体" w:eastAsia="宋体" w:hint="default"/>
                <w:sz w:val="13"/>
                <w:szCs w:val="13"/>
              </w:rPr>
            </w:r>
          </w:p>
        </w:tc>
      </w:tr>
      <w:tr>
        <w:trPr>
          <w:trHeight w:val="461" w:hRule="exact"/>
        </w:trPr>
        <w:tc>
          <w:tcPr>
            <w:tcW w:w="456" w:type="dxa"/>
            <w:vMerge/>
            <w:tcBorders>
              <w:left w:val="single" w:sz="4" w:space="0" w:color="000000"/>
              <w:bottom w:val="single" w:sz="4" w:space="0" w:color="000000"/>
              <w:right w:val="single" w:sz="4" w:space="0" w:color="000000"/>
            </w:tcBorders>
          </w:tcPr>
          <w:p>
            <w:pPr/>
          </w:p>
        </w:tc>
        <w:tc>
          <w:tcPr>
            <w:tcW w:w="2251" w:type="dxa"/>
            <w:vMerge/>
            <w:tcBorders>
              <w:left w:val="single" w:sz="4" w:space="0" w:color="000000"/>
              <w:bottom w:val="single" w:sz="4" w:space="0" w:color="000000"/>
              <w:right w:val="single" w:sz="4" w:space="0" w:color="000000"/>
            </w:tcBorders>
          </w:tcPr>
          <w:p>
            <w:pPr/>
          </w:p>
        </w:tc>
        <w:tc>
          <w:tcPr>
            <w:tcW w:w="1232" w:type="dxa"/>
            <w:vMerge/>
            <w:tcBorders>
              <w:left w:val="single" w:sz="4" w:space="0" w:color="000000"/>
              <w:bottom w:val="single" w:sz="4" w:space="0" w:color="000000"/>
              <w:right w:val="single" w:sz="4" w:space="0" w:color="000000"/>
            </w:tcBorders>
          </w:tcPr>
          <w:p>
            <w:pPr/>
          </w:p>
        </w:tc>
        <w:tc>
          <w:tcPr>
            <w:tcW w:w="518"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50"/>
              <w:ind w:left="271" w:right="140" w:hanging="132"/>
              <w:jc w:val="left"/>
              <w:rPr>
                <w:rFonts w:ascii="宋体" w:hAnsi="宋体" w:cs="宋体" w:eastAsia="宋体" w:hint="default"/>
                <w:sz w:val="13"/>
                <w:szCs w:val="13"/>
              </w:rPr>
            </w:pPr>
            <w:r>
              <w:rPr>
                <w:rFonts w:ascii="宋体" w:hAnsi="宋体" w:cs="宋体" w:eastAsia="宋体" w:hint="default"/>
                <w:b/>
                <w:bCs/>
                <w:sz w:val="13"/>
                <w:szCs w:val="13"/>
              </w:rPr>
              <w:t>累计开工</w:t>
            </w:r>
            <w:r>
              <w:rPr>
                <w:rFonts w:ascii="宋体" w:hAnsi="宋体" w:cs="宋体" w:eastAsia="宋体" w:hint="default"/>
                <w:b/>
                <w:bCs/>
                <w:w w:val="99"/>
                <w:sz w:val="13"/>
                <w:szCs w:val="13"/>
              </w:rPr>
              <w:t> </w:t>
            </w:r>
            <w:r>
              <w:rPr>
                <w:rFonts w:ascii="宋体" w:hAnsi="宋体" w:cs="宋体" w:eastAsia="宋体" w:hint="default"/>
                <w:b/>
                <w:bCs/>
                <w:sz w:val="13"/>
                <w:szCs w:val="13"/>
              </w:rPr>
              <w:t>面积</w:t>
            </w:r>
            <w:r>
              <w:rPr>
                <w:rFonts w:ascii="宋体" w:hAnsi="宋体" w:cs="宋体" w:eastAsia="宋体" w:hint="default"/>
                <w:sz w:val="13"/>
                <w:szCs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50"/>
              <w:ind w:left="271" w:right="139" w:hanging="132"/>
              <w:jc w:val="left"/>
              <w:rPr>
                <w:rFonts w:ascii="宋体" w:hAnsi="宋体" w:cs="宋体" w:eastAsia="宋体" w:hint="default"/>
                <w:sz w:val="13"/>
                <w:szCs w:val="13"/>
              </w:rPr>
            </w:pPr>
            <w:r>
              <w:rPr>
                <w:rFonts w:ascii="宋体" w:hAnsi="宋体" w:cs="宋体" w:eastAsia="宋体" w:hint="default"/>
                <w:b/>
                <w:bCs/>
                <w:sz w:val="13"/>
                <w:szCs w:val="13"/>
              </w:rPr>
              <w:t>累计竣工</w:t>
            </w:r>
            <w:r>
              <w:rPr>
                <w:rFonts w:ascii="宋体" w:hAnsi="宋体" w:cs="宋体" w:eastAsia="宋体" w:hint="default"/>
                <w:b/>
                <w:bCs/>
                <w:w w:val="99"/>
                <w:sz w:val="13"/>
                <w:szCs w:val="13"/>
              </w:rPr>
              <w:t> </w:t>
            </w:r>
            <w:r>
              <w:rPr>
                <w:rFonts w:ascii="宋体" w:hAnsi="宋体" w:cs="宋体" w:eastAsia="宋体" w:hint="default"/>
                <w:b/>
                <w:bCs/>
                <w:sz w:val="13"/>
                <w:szCs w:val="13"/>
              </w:rPr>
              <w:t>面积</w:t>
            </w:r>
            <w:r>
              <w:rPr>
                <w:rFonts w:ascii="宋体" w:hAnsi="宋体" w:cs="宋体" w:eastAsia="宋体" w:hint="default"/>
                <w:sz w:val="13"/>
                <w:szCs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50"/>
              <w:ind w:left="110" w:right="110"/>
              <w:jc w:val="left"/>
              <w:rPr>
                <w:rFonts w:ascii="宋体" w:hAnsi="宋体" w:cs="宋体" w:eastAsia="宋体" w:hint="default"/>
                <w:sz w:val="13"/>
                <w:szCs w:val="13"/>
              </w:rPr>
            </w:pPr>
            <w:r>
              <w:rPr>
                <w:rFonts w:ascii="宋体" w:hAnsi="宋体" w:cs="宋体" w:eastAsia="宋体" w:hint="default"/>
                <w:b/>
                <w:bCs/>
                <w:sz w:val="13"/>
                <w:szCs w:val="13"/>
              </w:rPr>
              <w:t>累计合同</w:t>
            </w:r>
            <w:r>
              <w:rPr>
                <w:rFonts w:ascii="宋体" w:hAnsi="宋体" w:cs="宋体" w:eastAsia="宋体" w:hint="default"/>
                <w:b/>
                <w:bCs/>
                <w:w w:val="99"/>
                <w:sz w:val="13"/>
                <w:szCs w:val="13"/>
              </w:rPr>
              <w:t> </w:t>
            </w:r>
            <w:r>
              <w:rPr>
                <w:rFonts w:ascii="宋体" w:hAnsi="宋体" w:cs="宋体" w:eastAsia="宋体" w:hint="default"/>
                <w:b/>
                <w:bCs/>
                <w:sz w:val="13"/>
                <w:szCs w:val="13"/>
              </w:rPr>
              <w:t>销售面积</w:t>
            </w:r>
            <w:r>
              <w:rPr>
                <w:rFonts w:ascii="宋体" w:hAnsi="宋体" w:cs="宋体" w:eastAsia="宋体" w:hint="default"/>
                <w:sz w:val="13"/>
                <w:szCs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50"/>
              <w:ind w:left="139" w:right="139"/>
              <w:jc w:val="left"/>
              <w:rPr>
                <w:rFonts w:ascii="宋体" w:hAnsi="宋体" w:cs="宋体" w:eastAsia="宋体" w:hint="default"/>
                <w:sz w:val="13"/>
                <w:szCs w:val="13"/>
              </w:rPr>
            </w:pPr>
            <w:r>
              <w:rPr>
                <w:rFonts w:ascii="宋体" w:hAnsi="宋体" w:cs="宋体" w:eastAsia="宋体" w:hint="default"/>
                <w:b/>
                <w:bCs/>
                <w:sz w:val="13"/>
                <w:szCs w:val="13"/>
              </w:rPr>
              <w:t>累计合同</w:t>
            </w:r>
            <w:r>
              <w:rPr>
                <w:rFonts w:ascii="宋体" w:hAnsi="宋体" w:cs="宋体" w:eastAsia="宋体" w:hint="default"/>
                <w:b/>
                <w:bCs/>
                <w:w w:val="99"/>
                <w:sz w:val="13"/>
                <w:szCs w:val="13"/>
              </w:rPr>
              <w:t> </w:t>
            </w:r>
            <w:r>
              <w:rPr>
                <w:rFonts w:ascii="宋体" w:hAnsi="宋体" w:cs="宋体" w:eastAsia="宋体" w:hint="default"/>
                <w:b/>
                <w:bCs/>
                <w:sz w:val="13"/>
                <w:szCs w:val="13"/>
              </w:rPr>
              <w:t>销售收入</w:t>
            </w:r>
            <w:r>
              <w:rPr>
                <w:rFonts w:ascii="宋体" w:hAnsi="宋体" w:cs="宋体" w:eastAsia="宋体" w:hint="default"/>
                <w:sz w:val="13"/>
                <w:szCs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50"/>
              <w:ind w:left="242" w:right="108" w:hanging="132"/>
              <w:jc w:val="left"/>
              <w:rPr>
                <w:rFonts w:ascii="宋体" w:hAnsi="宋体" w:cs="宋体" w:eastAsia="宋体" w:hint="default"/>
                <w:sz w:val="13"/>
                <w:szCs w:val="13"/>
              </w:rPr>
            </w:pPr>
            <w:r>
              <w:rPr>
                <w:rFonts w:ascii="宋体" w:hAnsi="宋体" w:cs="宋体" w:eastAsia="宋体" w:hint="default"/>
                <w:b/>
                <w:bCs/>
                <w:sz w:val="13"/>
                <w:szCs w:val="13"/>
              </w:rPr>
              <w:t>累计结算</w:t>
            </w:r>
            <w:r>
              <w:rPr>
                <w:rFonts w:ascii="宋体" w:hAnsi="宋体" w:cs="宋体" w:eastAsia="宋体" w:hint="default"/>
                <w:b/>
                <w:bCs/>
                <w:w w:val="99"/>
                <w:sz w:val="13"/>
                <w:szCs w:val="13"/>
              </w:rPr>
              <w:t> </w:t>
            </w:r>
            <w:r>
              <w:rPr>
                <w:rFonts w:ascii="宋体" w:hAnsi="宋体" w:cs="宋体" w:eastAsia="宋体" w:hint="default"/>
                <w:b/>
                <w:bCs/>
                <w:sz w:val="13"/>
                <w:szCs w:val="13"/>
              </w:rPr>
              <w:t>面积</w:t>
            </w:r>
            <w:r>
              <w:rPr>
                <w:rFonts w:ascii="宋体" w:hAnsi="宋体" w:cs="宋体" w:eastAsia="宋体" w:hint="default"/>
                <w:sz w:val="13"/>
                <w:szCs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50"/>
              <w:ind w:left="261" w:right="130" w:hanging="130"/>
              <w:jc w:val="left"/>
              <w:rPr>
                <w:rFonts w:ascii="宋体" w:hAnsi="宋体" w:cs="宋体" w:eastAsia="宋体" w:hint="default"/>
                <w:sz w:val="13"/>
                <w:szCs w:val="13"/>
              </w:rPr>
            </w:pPr>
            <w:r>
              <w:rPr>
                <w:rFonts w:ascii="宋体" w:hAnsi="宋体" w:cs="宋体" w:eastAsia="宋体" w:hint="default"/>
                <w:b/>
                <w:bCs/>
                <w:sz w:val="13"/>
                <w:szCs w:val="13"/>
              </w:rPr>
              <w:t>累计结算</w:t>
            </w:r>
            <w:r>
              <w:rPr>
                <w:rFonts w:ascii="宋体" w:hAnsi="宋体" w:cs="宋体" w:eastAsia="宋体" w:hint="default"/>
                <w:b/>
                <w:bCs/>
                <w:w w:val="99"/>
                <w:sz w:val="13"/>
                <w:szCs w:val="13"/>
              </w:rPr>
              <w:t> </w:t>
            </w:r>
            <w:r>
              <w:rPr>
                <w:rFonts w:ascii="宋体" w:hAnsi="宋体" w:cs="宋体" w:eastAsia="宋体" w:hint="default"/>
                <w:b/>
                <w:bCs/>
                <w:sz w:val="13"/>
                <w:szCs w:val="13"/>
              </w:rPr>
              <w:t>收入</w:t>
            </w:r>
            <w:r>
              <w:rPr>
                <w:rFonts w:ascii="宋体" w:hAnsi="宋体" w:cs="宋体" w:eastAsia="宋体" w:hint="default"/>
                <w:sz w:val="13"/>
                <w:szCs w:val="13"/>
              </w:rPr>
            </w:r>
          </w:p>
        </w:tc>
      </w:tr>
      <w:tr>
        <w:trPr>
          <w:trHeight w:val="348" w:hRule="exact"/>
        </w:trPr>
        <w:tc>
          <w:tcPr>
            <w:tcW w:w="45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w w:val="99"/>
                <w:sz w:val="13"/>
              </w:rPr>
              <w:t>1</w:t>
            </w:r>
            <w:r>
              <w:rPr>
                <w:rFonts w:ascii="宋体"/>
                <w:sz w:val="13"/>
              </w:rPr>
            </w:r>
          </w:p>
        </w:tc>
        <w:tc>
          <w:tcPr>
            <w:tcW w:w="225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沈阳新湖房地产开发有限公司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3"/>
                <w:szCs w:val="13"/>
              </w:rPr>
            </w:pPr>
            <w:r>
              <w:rPr>
                <w:rFonts w:ascii="宋体" w:hAnsi="宋体" w:cs="宋体" w:eastAsia="宋体" w:hint="default"/>
                <w:sz w:val="13"/>
                <w:szCs w:val="13"/>
              </w:rPr>
              <w:t>沈阳·北国之春</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44" w:right="0"/>
              <w:jc w:val="center"/>
              <w:rPr>
                <w:rFonts w:ascii="宋体" w:hAnsi="宋体" w:cs="宋体" w:eastAsia="宋体" w:hint="default"/>
                <w:sz w:val="13"/>
                <w:szCs w:val="13"/>
              </w:rPr>
            </w:pPr>
            <w:r>
              <w:rPr>
                <w:rFonts w:ascii="宋体"/>
                <w:sz w:val="13"/>
              </w:rPr>
              <w:t>525,339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525,339</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1,099,968</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1,099,968</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1,165,185</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1,165,185</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1,165,185</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1,087,831</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1,016,35</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9"/>
                <w:sz w:val="13"/>
              </w:rPr>
              <w:t>8</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5,908,231</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宋体" w:hAnsi="宋体" w:cs="宋体" w:eastAsia="宋体" w:hint="default"/>
                <w:sz w:val="13"/>
                <w:szCs w:val="13"/>
              </w:rPr>
            </w:pPr>
            <w:r>
              <w:rPr>
                <w:rFonts w:ascii="宋体"/>
                <w:w w:val="95"/>
                <w:sz w:val="13"/>
              </w:rPr>
              <w:t>981,782</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5,719,99</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9"/>
                <w:sz w:val="13"/>
              </w:rPr>
              <w:t>5</w:t>
            </w:r>
            <w:r>
              <w:rPr>
                <w:rFonts w:ascii="宋体"/>
                <w:sz w:val="13"/>
              </w:rPr>
            </w:r>
          </w:p>
        </w:tc>
      </w:tr>
      <w:tr>
        <w:trPr>
          <w:trHeight w:val="281" w:hRule="exact"/>
        </w:trPr>
        <w:tc>
          <w:tcPr>
            <w:tcW w:w="456" w:type="dxa"/>
            <w:vMerge/>
            <w:tcBorders>
              <w:left w:val="single" w:sz="4" w:space="0" w:color="000000"/>
              <w:bottom w:val="single" w:sz="4" w:space="0" w:color="000000"/>
              <w:right w:val="single" w:sz="4" w:space="0" w:color="000000"/>
            </w:tcBorders>
          </w:tcPr>
          <w:p>
            <w:pPr/>
          </w:p>
        </w:tc>
        <w:tc>
          <w:tcPr>
            <w:tcW w:w="2251" w:type="dxa"/>
            <w:vMerge/>
            <w:tcBorders>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3"/>
                <w:szCs w:val="13"/>
              </w:rPr>
            </w:pPr>
            <w:r>
              <w:rPr>
                <w:rFonts w:ascii="宋体" w:hAnsi="宋体" w:cs="宋体" w:eastAsia="宋体" w:hint="default"/>
                <w:sz w:val="13"/>
                <w:szCs w:val="13"/>
              </w:rPr>
              <w:t>沈阳·新湖花园</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08" w:right="0"/>
              <w:jc w:val="center"/>
              <w:rPr>
                <w:rFonts w:ascii="宋体" w:hAnsi="宋体" w:cs="宋体" w:eastAsia="宋体" w:hint="default"/>
                <w:sz w:val="13"/>
                <w:szCs w:val="13"/>
              </w:rPr>
            </w:pPr>
            <w:r>
              <w:rPr>
                <w:rFonts w:ascii="宋体"/>
                <w:sz w:val="13"/>
              </w:rPr>
              <w:t>54,933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3"/>
                <w:szCs w:val="13"/>
              </w:rPr>
            </w:pPr>
            <w:r>
              <w:rPr>
                <w:rFonts w:ascii="宋体"/>
                <w:w w:val="95"/>
                <w:sz w:val="13"/>
              </w:rPr>
              <w:t>54,933</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3"/>
                <w:szCs w:val="13"/>
              </w:rPr>
            </w:pPr>
            <w:r>
              <w:rPr>
                <w:rFonts w:ascii="宋体"/>
                <w:w w:val="95"/>
                <w:sz w:val="13"/>
              </w:rPr>
              <w:t>137,333</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3"/>
                <w:szCs w:val="13"/>
              </w:rPr>
            </w:pPr>
            <w:r>
              <w:rPr>
                <w:rFonts w:ascii="宋体"/>
                <w:w w:val="95"/>
                <w:sz w:val="13"/>
              </w:rPr>
              <w:t>137,333</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宋体" w:hAnsi="宋体" w:cs="宋体" w:eastAsia="宋体" w:hint="default"/>
                <w:sz w:val="13"/>
                <w:szCs w:val="13"/>
              </w:rPr>
            </w:pPr>
            <w:r>
              <w:rPr>
                <w:rFonts w:ascii="宋体"/>
                <w:w w:val="95"/>
                <w:sz w:val="13"/>
              </w:rPr>
              <w:t>175,840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宋体" w:hAnsi="宋体" w:cs="宋体" w:eastAsia="宋体" w:hint="default"/>
                <w:sz w:val="13"/>
                <w:szCs w:val="13"/>
              </w:rPr>
            </w:pPr>
            <w:r>
              <w:rPr>
                <w:rFonts w:ascii="宋体"/>
                <w:w w:val="95"/>
                <w:sz w:val="13"/>
              </w:rPr>
              <w:t>175,840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3"/>
                <w:szCs w:val="13"/>
              </w:rPr>
            </w:pPr>
            <w:r>
              <w:rPr>
                <w:rFonts w:ascii="宋体"/>
                <w:w w:val="95"/>
                <w:sz w:val="13"/>
              </w:rPr>
              <w:t>175,840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3"/>
                <w:szCs w:val="13"/>
              </w:rPr>
            </w:pPr>
            <w:r>
              <w:rPr>
                <w:rFonts w:ascii="宋体"/>
                <w:w w:val="95"/>
                <w:sz w:val="13"/>
              </w:rPr>
              <w:t>119,716</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3"/>
                <w:szCs w:val="13"/>
              </w:rPr>
            </w:pPr>
            <w:r>
              <w:rPr>
                <w:rFonts w:ascii="宋体"/>
                <w:w w:val="95"/>
                <w:sz w:val="13"/>
              </w:rPr>
              <w:t>104,500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3"/>
                <w:szCs w:val="13"/>
              </w:rPr>
            </w:pPr>
            <w:r>
              <w:rPr>
                <w:rFonts w:ascii="宋体"/>
                <w:w w:val="95"/>
                <w:sz w:val="13"/>
              </w:rPr>
              <w:t>877,351</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13"/>
                <w:szCs w:val="13"/>
              </w:rPr>
            </w:pPr>
            <w:r>
              <w:rPr>
                <w:rFonts w:ascii="宋体"/>
                <w:w w:val="95"/>
                <w:sz w:val="13"/>
              </w:rPr>
              <w:t>89,113</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3"/>
                <w:szCs w:val="13"/>
              </w:rPr>
            </w:pPr>
            <w:r>
              <w:rPr>
                <w:rFonts w:ascii="宋体"/>
                <w:w w:val="95"/>
                <w:sz w:val="13"/>
              </w:rPr>
              <w:t>723,168</w:t>
            </w:r>
            <w:r>
              <w:rPr>
                <w:rFonts w:ascii="宋体"/>
                <w:sz w:val="13"/>
              </w:rPr>
            </w:r>
          </w:p>
        </w:tc>
      </w:tr>
      <w:tr>
        <w:trPr>
          <w:trHeight w:val="278"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w w:val="99"/>
                <w:sz w:val="13"/>
              </w:rPr>
              <w:t>2</w:t>
            </w:r>
            <w:r>
              <w:rPr>
                <w:rFonts w:ascii="宋体"/>
                <w:sz w:val="13"/>
              </w:rPr>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沈阳沈北金谷置业有限公司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沈阳·仙林金谷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4" w:right="0"/>
              <w:jc w:val="center"/>
              <w:rPr>
                <w:rFonts w:ascii="宋体" w:hAnsi="宋体" w:cs="宋体" w:eastAsia="宋体" w:hint="default"/>
                <w:sz w:val="13"/>
                <w:szCs w:val="13"/>
              </w:rPr>
            </w:pPr>
            <w:r>
              <w:rPr>
                <w:rFonts w:ascii="宋体"/>
                <w:sz w:val="13"/>
              </w:rPr>
              <w:t>268,162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268,162</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382,899</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382,899</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3"/>
                <w:szCs w:val="13"/>
              </w:rPr>
            </w:pPr>
            <w:r>
              <w:rPr>
                <w:rFonts w:ascii="宋体"/>
                <w:w w:val="95"/>
                <w:sz w:val="13"/>
              </w:rPr>
              <w:t>436,532</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3"/>
                <w:szCs w:val="13"/>
              </w:rPr>
            </w:pPr>
            <w:r>
              <w:rPr>
                <w:rFonts w:ascii="宋体"/>
                <w:w w:val="95"/>
                <w:sz w:val="13"/>
              </w:rPr>
              <w:t>436,532</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97,854</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84,283</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50,505</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294,583</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宋体" w:hAnsi="宋体" w:cs="宋体" w:eastAsia="宋体" w:hint="default"/>
                <w:sz w:val="13"/>
                <w:szCs w:val="13"/>
              </w:rPr>
            </w:pPr>
            <w:r>
              <w:rPr>
                <w:rFonts w:ascii="宋体"/>
                <w:w w:val="95"/>
                <w:sz w:val="13"/>
              </w:rPr>
              <w:t>42,029</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253,959</w:t>
            </w:r>
            <w:r>
              <w:rPr>
                <w:rFonts w:ascii="宋体"/>
                <w:sz w:val="13"/>
              </w:rPr>
            </w:r>
          </w:p>
        </w:tc>
      </w:tr>
      <w:tr>
        <w:trPr>
          <w:trHeight w:val="281"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3"/>
                <w:szCs w:val="13"/>
              </w:rPr>
            </w:pPr>
            <w:r>
              <w:rPr>
                <w:rFonts w:ascii="宋体"/>
                <w:w w:val="99"/>
                <w:sz w:val="13"/>
              </w:rPr>
              <w:t>3</w:t>
            </w:r>
            <w:r>
              <w:rPr>
                <w:rFonts w:ascii="宋体"/>
                <w:sz w:val="13"/>
              </w:rPr>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沈阳新湖明珠置业有限公司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沈阳·新湖湾</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4" w:right="0"/>
              <w:jc w:val="center"/>
              <w:rPr>
                <w:rFonts w:ascii="宋体" w:hAnsi="宋体" w:cs="宋体" w:eastAsia="宋体" w:hint="default"/>
                <w:sz w:val="13"/>
                <w:szCs w:val="13"/>
              </w:rPr>
            </w:pPr>
            <w:r>
              <w:rPr>
                <w:rFonts w:ascii="宋体"/>
                <w:sz w:val="13"/>
              </w:rPr>
              <w:t>283,038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283,038</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383,567</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383,567</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13"/>
                <w:szCs w:val="13"/>
              </w:rPr>
            </w:pPr>
            <w:r>
              <w:rPr>
                <w:rFonts w:ascii="宋体"/>
                <w:w w:val="95"/>
                <w:sz w:val="13"/>
              </w:rPr>
              <w:t>383,567</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13"/>
                <w:szCs w:val="13"/>
              </w:rPr>
            </w:pPr>
            <w:r>
              <w:rPr>
                <w:rFonts w:ascii="宋体"/>
                <w:w w:val="95"/>
                <w:sz w:val="13"/>
              </w:rPr>
              <w:t>383,567</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13,976</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9"/>
                <w:sz w:val="13"/>
              </w:rPr>
              <w:t>0</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9"/>
                <w:sz w:val="13"/>
              </w:rPr>
              <w:t>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9"/>
                <w:sz w:val="13"/>
              </w:rPr>
              <w:t>0</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13"/>
                <w:szCs w:val="13"/>
              </w:rPr>
            </w:pPr>
            <w:r>
              <w:rPr>
                <w:rFonts w:ascii="宋体"/>
                <w:w w:val="99"/>
                <w:sz w:val="13"/>
              </w:rPr>
              <w:t>0</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9"/>
                <w:sz w:val="13"/>
              </w:rPr>
              <w:t>0</w:t>
            </w:r>
            <w:r>
              <w:rPr>
                <w:rFonts w:ascii="宋体"/>
                <w:sz w:val="13"/>
              </w:rPr>
            </w:r>
          </w:p>
        </w:tc>
      </w:tr>
      <w:tr>
        <w:trPr>
          <w:trHeight w:val="281"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w w:val="99"/>
                <w:sz w:val="13"/>
              </w:rPr>
              <w:t>4</w:t>
            </w:r>
            <w:r>
              <w:rPr>
                <w:rFonts w:ascii="宋体"/>
                <w:sz w:val="13"/>
              </w:rPr>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天津新湖凯华投资有限公司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天津·香格里拉</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4" w:right="0"/>
              <w:jc w:val="center"/>
              <w:rPr>
                <w:rFonts w:ascii="宋体" w:hAnsi="宋体" w:cs="宋体" w:eastAsia="宋体" w:hint="default"/>
                <w:sz w:val="13"/>
                <w:szCs w:val="13"/>
              </w:rPr>
            </w:pPr>
            <w:r>
              <w:rPr>
                <w:rFonts w:ascii="宋体"/>
                <w:sz w:val="13"/>
              </w:rPr>
              <w:t>145,059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145,059</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130,286</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130,286</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3"/>
                <w:szCs w:val="13"/>
              </w:rPr>
            </w:pPr>
            <w:r>
              <w:rPr>
                <w:rFonts w:ascii="宋体"/>
                <w:w w:val="95"/>
                <w:sz w:val="13"/>
              </w:rPr>
              <w:t>134,628</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3"/>
                <w:szCs w:val="13"/>
              </w:rPr>
            </w:pPr>
            <w:r>
              <w:rPr>
                <w:rFonts w:ascii="宋体"/>
                <w:w w:val="95"/>
                <w:sz w:val="13"/>
              </w:rPr>
              <w:t>134,628</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134,628</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130,905</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99,057</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791,786</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宋体" w:hAnsi="宋体" w:cs="宋体" w:eastAsia="宋体" w:hint="default"/>
                <w:sz w:val="13"/>
                <w:szCs w:val="13"/>
              </w:rPr>
            </w:pPr>
            <w:r>
              <w:rPr>
                <w:rFonts w:ascii="宋体"/>
                <w:w w:val="95"/>
                <w:sz w:val="13"/>
              </w:rPr>
              <w:t>79,147</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686,872</w:t>
            </w:r>
            <w:r>
              <w:rPr>
                <w:rFonts w:ascii="宋体"/>
                <w:sz w:val="13"/>
              </w:rPr>
            </w:r>
          </w:p>
        </w:tc>
      </w:tr>
      <w:tr>
        <w:trPr>
          <w:trHeight w:val="346"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3"/>
                <w:szCs w:val="13"/>
              </w:rPr>
            </w:pPr>
            <w:r>
              <w:rPr>
                <w:rFonts w:ascii="宋体"/>
                <w:w w:val="99"/>
                <w:sz w:val="13"/>
              </w:rPr>
              <w:t>5</w:t>
            </w:r>
            <w:r>
              <w:rPr>
                <w:rFonts w:ascii="宋体"/>
                <w:sz w:val="13"/>
              </w:rPr>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pacing w:val="-3"/>
                <w:sz w:val="13"/>
                <w:szCs w:val="13"/>
              </w:rPr>
              <w:t>义乌北方（天津）国际商贸城有限公</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w w:val="99"/>
                <w:sz w:val="13"/>
                <w:szCs w:val="13"/>
              </w:rPr>
              <w:t>司</w:t>
            </w:r>
            <w:r>
              <w:rPr>
                <w:rFonts w:ascii="宋体" w:hAnsi="宋体" w:cs="宋体" w:eastAsia="宋体" w:hint="default"/>
                <w:sz w:val="13"/>
                <w:szCs w:val="13"/>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3"/>
                <w:szCs w:val="13"/>
              </w:rPr>
            </w:pPr>
            <w:r>
              <w:rPr>
                <w:rFonts w:ascii="宋体" w:hAnsi="宋体" w:cs="宋体" w:eastAsia="宋体" w:hint="default"/>
                <w:spacing w:val="-4"/>
                <w:sz w:val="13"/>
                <w:szCs w:val="13"/>
              </w:rPr>
              <w:t>天津·义乌商贸城</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44" w:right="0"/>
              <w:jc w:val="center"/>
              <w:rPr>
                <w:rFonts w:ascii="宋体" w:hAnsi="宋体" w:cs="宋体" w:eastAsia="宋体" w:hint="default"/>
                <w:sz w:val="13"/>
                <w:szCs w:val="13"/>
              </w:rPr>
            </w:pPr>
            <w:r>
              <w:rPr>
                <w:rFonts w:ascii="宋体"/>
                <w:sz w:val="13"/>
              </w:rPr>
              <w:t>625,468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625,468</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828,290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828,290</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915,402</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915,402</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522,184</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166,536</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174,066</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1,408,885</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13"/>
                <w:szCs w:val="13"/>
              </w:rPr>
            </w:pPr>
            <w:r>
              <w:rPr>
                <w:rFonts w:ascii="宋体"/>
                <w:w w:val="95"/>
                <w:sz w:val="13"/>
              </w:rPr>
              <w:t>95,864</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535,742</w:t>
            </w:r>
            <w:r>
              <w:rPr>
                <w:rFonts w:ascii="宋体"/>
                <w:sz w:val="13"/>
              </w:rPr>
            </w:r>
          </w:p>
        </w:tc>
      </w:tr>
      <w:tr>
        <w:trPr>
          <w:trHeight w:val="281"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3"/>
                <w:szCs w:val="13"/>
              </w:rPr>
            </w:pPr>
            <w:r>
              <w:rPr>
                <w:rFonts w:ascii="宋体"/>
                <w:w w:val="99"/>
                <w:sz w:val="13"/>
              </w:rPr>
              <w:t>6</w:t>
            </w:r>
            <w:r>
              <w:rPr>
                <w:rFonts w:ascii="宋体"/>
                <w:sz w:val="13"/>
              </w:rPr>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滨州新湖房地产开发有限公司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pacing w:val="-4"/>
                <w:sz w:val="13"/>
                <w:szCs w:val="13"/>
              </w:rPr>
              <w:t>滨州·新湖玫瑰园</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4" w:right="0"/>
              <w:jc w:val="center"/>
              <w:rPr>
                <w:rFonts w:ascii="宋体" w:hAnsi="宋体" w:cs="宋体" w:eastAsia="宋体" w:hint="default"/>
                <w:sz w:val="13"/>
                <w:szCs w:val="13"/>
              </w:rPr>
            </w:pPr>
            <w:r>
              <w:rPr>
                <w:rFonts w:ascii="宋体"/>
                <w:sz w:val="13"/>
              </w:rPr>
              <w:t>123,801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123,801</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154,231</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154,231</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13"/>
                <w:szCs w:val="13"/>
              </w:rPr>
            </w:pPr>
            <w:r>
              <w:rPr>
                <w:rFonts w:ascii="宋体"/>
                <w:w w:val="95"/>
                <w:sz w:val="13"/>
              </w:rPr>
              <w:t>157,525</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13"/>
                <w:szCs w:val="13"/>
              </w:rPr>
            </w:pPr>
            <w:r>
              <w:rPr>
                <w:rFonts w:ascii="宋体"/>
                <w:w w:val="95"/>
                <w:sz w:val="13"/>
              </w:rPr>
              <w:t>157,525</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86,495</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21,291</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9,915</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64,585</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13"/>
                <w:szCs w:val="13"/>
              </w:rPr>
            </w:pPr>
            <w:r>
              <w:rPr>
                <w:rFonts w:ascii="宋体"/>
                <w:w w:val="95"/>
                <w:sz w:val="13"/>
              </w:rPr>
              <w:t>6,772</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37,687</w:t>
            </w:r>
            <w:r>
              <w:rPr>
                <w:rFonts w:ascii="宋体"/>
                <w:sz w:val="13"/>
              </w:rPr>
            </w:r>
          </w:p>
        </w:tc>
      </w:tr>
      <w:tr>
        <w:trPr>
          <w:trHeight w:val="281"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w w:val="99"/>
                <w:sz w:val="13"/>
              </w:rPr>
              <w:t>7</w:t>
            </w:r>
            <w:r>
              <w:rPr>
                <w:rFonts w:ascii="宋体"/>
                <w:sz w:val="13"/>
              </w:rPr>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泰安新湖房地产开发有限公司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泰安·新湖绿园</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4" w:right="0"/>
              <w:jc w:val="center"/>
              <w:rPr>
                <w:rFonts w:ascii="宋体" w:hAnsi="宋体" w:cs="宋体" w:eastAsia="宋体" w:hint="default"/>
                <w:sz w:val="13"/>
                <w:szCs w:val="13"/>
              </w:rPr>
            </w:pPr>
            <w:r>
              <w:rPr>
                <w:rFonts w:ascii="宋体"/>
                <w:sz w:val="13"/>
              </w:rPr>
              <w:t>120,129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120,129</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163,863</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163,863</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3"/>
                <w:szCs w:val="13"/>
              </w:rPr>
            </w:pPr>
            <w:r>
              <w:rPr>
                <w:rFonts w:ascii="宋体"/>
                <w:w w:val="95"/>
                <w:sz w:val="13"/>
              </w:rPr>
              <w:t>191,372</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3"/>
                <w:szCs w:val="13"/>
              </w:rPr>
            </w:pPr>
            <w:r>
              <w:rPr>
                <w:rFonts w:ascii="宋体"/>
                <w:w w:val="95"/>
                <w:sz w:val="13"/>
              </w:rPr>
              <w:t>191,372</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191,372</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191,372</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181,419</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864,838</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宋体" w:hAnsi="宋体" w:cs="宋体" w:eastAsia="宋体" w:hint="default"/>
                <w:sz w:val="13"/>
                <w:szCs w:val="13"/>
              </w:rPr>
            </w:pPr>
            <w:r>
              <w:rPr>
                <w:rFonts w:ascii="宋体"/>
                <w:w w:val="95"/>
                <w:sz w:val="13"/>
              </w:rPr>
              <w:t>170,566</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806,657</w:t>
            </w:r>
            <w:r>
              <w:rPr>
                <w:rFonts w:ascii="宋体"/>
                <w:sz w:val="13"/>
              </w:rPr>
            </w:r>
          </w:p>
        </w:tc>
      </w:tr>
      <w:tr>
        <w:trPr>
          <w:trHeight w:val="346"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3"/>
                <w:szCs w:val="13"/>
              </w:rPr>
            </w:pPr>
            <w:r>
              <w:rPr>
                <w:rFonts w:ascii="宋体"/>
                <w:w w:val="99"/>
                <w:sz w:val="13"/>
              </w:rPr>
              <w:t>8</w:t>
            </w:r>
            <w:r>
              <w:rPr>
                <w:rFonts w:ascii="宋体"/>
                <w:sz w:val="13"/>
              </w:rPr>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3"/>
                <w:szCs w:val="13"/>
              </w:rPr>
            </w:pPr>
            <w:r>
              <w:rPr>
                <w:rFonts w:ascii="宋体" w:hAnsi="宋体" w:cs="宋体" w:eastAsia="宋体" w:hint="default"/>
                <w:sz w:val="13"/>
                <w:szCs w:val="13"/>
              </w:rPr>
              <w:t>江苏新湖宝华置业有限公司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3"/>
                <w:szCs w:val="13"/>
              </w:rPr>
            </w:pPr>
            <w:r>
              <w:rPr>
                <w:rFonts w:ascii="宋体" w:hAnsi="宋体" w:cs="宋体" w:eastAsia="宋体" w:hint="default"/>
                <w:sz w:val="13"/>
                <w:szCs w:val="13"/>
              </w:rPr>
              <w:t>南京·仙林翠谷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35%</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44" w:right="0"/>
              <w:jc w:val="center"/>
              <w:rPr>
                <w:rFonts w:ascii="宋体" w:hAnsi="宋体" w:cs="宋体" w:eastAsia="宋体" w:hint="default"/>
                <w:sz w:val="13"/>
                <w:szCs w:val="13"/>
              </w:rPr>
            </w:pPr>
            <w:r>
              <w:rPr>
                <w:rFonts w:ascii="宋体"/>
                <w:sz w:val="13"/>
              </w:rPr>
              <w:t>637,048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222,967</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445,986</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156,095</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558,152</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195,353</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558,152</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270,993</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311,253</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2,850,049</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13"/>
                <w:szCs w:val="13"/>
              </w:rPr>
            </w:pPr>
            <w:r>
              <w:rPr>
                <w:rFonts w:ascii="宋体"/>
                <w:w w:val="95"/>
                <w:sz w:val="13"/>
              </w:rPr>
              <w:t>221,179</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103"/>
              <w:jc w:val="right"/>
              <w:rPr>
                <w:rFonts w:ascii="宋体" w:hAnsi="宋体" w:cs="宋体" w:eastAsia="宋体" w:hint="default"/>
                <w:sz w:val="13"/>
                <w:szCs w:val="13"/>
              </w:rPr>
            </w:pPr>
            <w:r>
              <w:rPr>
                <w:rFonts w:ascii="宋体"/>
                <w:w w:val="95"/>
                <w:sz w:val="13"/>
              </w:rPr>
              <w:t>1,875,78</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9"/>
                <w:sz w:val="13"/>
              </w:rPr>
              <w:t>2</w:t>
            </w:r>
            <w:r>
              <w:rPr>
                <w:rFonts w:ascii="宋体"/>
                <w:sz w:val="13"/>
              </w:rPr>
            </w:r>
          </w:p>
        </w:tc>
      </w:tr>
      <w:tr>
        <w:trPr>
          <w:trHeight w:val="348" w:hRule="exact"/>
        </w:trPr>
        <w:tc>
          <w:tcPr>
            <w:tcW w:w="45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3"/>
                <w:szCs w:val="13"/>
              </w:rPr>
            </w:pPr>
            <w:r>
              <w:rPr>
                <w:rFonts w:ascii="宋体"/>
                <w:w w:val="99"/>
                <w:sz w:val="13"/>
              </w:rPr>
              <w:t>9</w:t>
            </w:r>
            <w:r>
              <w:rPr>
                <w:rFonts w:ascii="宋体"/>
                <w:sz w:val="13"/>
              </w:rPr>
            </w:r>
          </w:p>
        </w:tc>
        <w:tc>
          <w:tcPr>
            <w:tcW w:w="225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苏州新湖置业有限公司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3"/>
                <w:szCs w:val="13"/>
              </w:rPr>
            </w:pPr>
            <w:r>
              <w:rPr>
                <w:rFonts w:ascii="宋体" w:hAnsi="宋体" w:cs="宋体" w:eastAsia="宋体" w:hint="default"/>
                <w:sz w:val="13"/>
                <w:szCs w:val="13"/>
              </w:rPr>
              <w:t>苏州·明珠城</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4" w:right="0"/>
              <w:jc w:val="center"/>
              <w:rPr>
                <w:rFonts w:ascii="宋体" w:hAnsi="宋体" w:cs="宋体" w:eastAsia="宋体" w:hint="default"/>
                <w:sz w:val="13"/>
                <w:szCs w:val="13"/>
              </w:rPr>
            </w:pPr>
            <w:r>
              <w:rPr>
                <w:rFonts w:ascii="宋体"/>
                <w:sz w:val="13"/>
              </w:rPr>
              <w:t>1,041,089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1,041,089</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1,561,330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1,561,330</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2,112,214</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2,112,214</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1,910,798</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1,466,808</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1,192,36</w:t>
            </w:r>
            <w:r>
              <w:rPr>
                <w:rFonts w:ascii="宋体"/>
                <w:sz w:val="13"/>
              </w:rPr>
            </w:r>
          </w:p>
          <w:p>
            <w:pPr>
              <w:pStyle w:val="TableParagraph"/>
              <w:spacing w:line="240" w:lineRule="auto"/>
              <w:ind w:right="101"/>
              <w:jc w:val="right"/>
              <w:rPr>
                <w:rFonts w:ascii="宋体" w:hAnsi="宋体" w:cs="宋体" w:eastAsia="宋体" w:hint="default"/>
                <w:sz w:val="13"/>
                <w:szCs w:val="13"/>
              </w:rPr>
            </w:pPr>
            <w:r>
              <w:rPr>
                <w:rFonts w:ascii="宋体"/>
                <w:w w:val="99"/>
                <w:sz w:val="13"/>
              </w:rPr>
              <w:t>6</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9,615,186</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1,110,59</w:t>
            </w:r>
            <w:r>
              <w:rPr>
                <w:rFonts w:ascii="宋体"/>
                <w:sz w:val="13"/>
              </w:rPr>
            </w:r>
          </w:p>
          <w:p>
            <w:pPr>
              <w:pStyle w:val="TableParagraph"/>
              <w:spacing w:line="240" w:lineRule="auto"/>
              <w:ind w:right="98"/>
              <w:jc w:val="right"/>
              <w:rPr>
                <w:rFonts w:ascii="宋体" w:hAnsi="宋体" w:cs="宋体" w:eastAsia="宋体" w:hint="default"/>
                <w:sz w:val="13"/>
                <w:szCs w:val="13"/>
              </w:rPr>
            </w:pPr>
            <w:r>
              <w:rPr>
                <w:rFonts w:ascii="宋体"/>
                <w:w w:val="99"/>
                <w:sz w:val="13"/>
              </w:rPr>
              <w:t>8</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8,236,79</w:t>
            </w:r>
            <w:r>
              <w:rPr>
                <w:rFonts w:ascii="宋体"/>
                <w:sz w:val="13"/>
              </w:rPr>
            </w:r>
          </w:p>
          <w:p>
            <w:pPr>
              <w:pStyle w:val="TableParagraph"/>
              <w:spacing w:line="240" w:lineRule="auto"/>
              <w:ind w:right="101"/>
              <w:jc w:val="right"/>
              <w:rPr>
                <w:rFonts w:ascii="宋体" w:hAnsi="宋体" w:cs="宋体" w:eastAsia="宋体" w:hint="default"/>
                <w:sz w:val="13"/>
                <w:szCs w:val="13"/>
              </w:rPr>
            </w:pPr>
            <w:r>
              <w:rPr>
                <w:rFonts w:ascii="宋体"/>
                <w:w w:val="99"/>
                <w:sz w:val="13"/>
              </w:rPr>
              <w:t>9</w:t>
            </w:r>
            <w:r>
              <w:rPr>
                <w:rFonts w:ascii="宋体"/>
                <w:sz w:val="13"/>
              </w:rPr>
            </w:r>
          </w:p>
        </w:tc>
      </w:tr>
      <w:tr>
        <w:trPr>
          <w:trHeight w:val="348" w:hRule="exact"/>
        </w:trPr>
        <w:tc>
          <w:tcPr>
            <w:tcW w:w="456" w:type="dxa"/>
            <w:vMerge/>
            <w:tcBorders>
              <w:left w:val="single" w:sz="4" w:space="0" w:color="000000"/>
              <w:bottom w:val="single" w:sz="4" w:space="0" w:color="000000"/>
              <w:right w:val="single" w:sz="4" w:space="0" w:color="000000"/>
            </w:tcBorders>
          </w:tcPr>
          <w:p>
            <w:pPr/>
          </w:p>
        </w:tc>
        <w:tc>
          <w:tcPr>
            <w:tcW w:w="2251" w:type="dxa"/>
            <w:vMerge/>
            <w:tcBorders>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pacing w:val="-4"/>
                <w:sz w:val="13"/>
                <w:szCs w:val="13"/>
              </w:rPr>
              <w:t>其中：拟发展作出</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w w:val="99"/>
                <w:sz w:val="13"/>
                <w:szCs w:val="13"/>
              </w:rPr>
              <w:t>租</w:t>
            </w:r>
            <w:r>
              <w:rPr>
                <w:rFonts w:ascii="宋体" w:hAnsi="宋体" w:cs="宋体" w:eastAsia="宋体" w:hint="default"/>
                <w:sz w:val="13"/>
                <w:szCs w:val="13"/>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8" w:right="0"/>
              <w:jc w:val="center"/>
              <w:rPr>
                <w:rFonts w:ascii="宋体" w:hAnsi="宋体" w:cs="宋体" w:eastAsia="宋体" w:hint="default"/>
                <w:sz w:val="13"/>
                <w:szCs w:val="13"/>
              </w:rPr>
            </w:pPr>
            <w:r>
              <w:rPr>
                <w:rFonts w:ascii="宋体"/>
                <w:sz w:val="13"/>
              </w:rPr>
              <w:t>44,443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44,443</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83,074</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83,074</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176,352</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176,352</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176,352</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9"/>
                <w:sz w:val="13"/>
              </w:rPr>
              <w:t>0</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9"/>
                <w:sz w:val="13"/>
              </w:rPr>
              <w:t>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9"/>
                <w:sz w:val="13"/>
              </w:rPr>
              <w:t>0</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13"/>
                <w:szCs w:val="13"/>
              </w:rPr>
            </w:pPr>
            <w:r>
              <w:rPr>
                <w:rFonts w:ascii="宋体"/>
                <w:w w:val="99"/>
                <w:sz w:val="13"/>
              </w:rPr>
              <w:t>0</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9"/>
                <w:sz w:val="13"/>
              </w:rPr>
              <w:t>0</w:t>
            </w:r>
            <w:r>
              <w:rPr>
                <w:rFonts w:ascii="宋体"/>
                <w:sz w:val="13"/>
              </w:rPr>
            </w:r>
          </w:p>
        </w:tc>
      </w:tr>
      <w:tr>
        <w:trPr>
          <w:trHeight w:val="346"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3"/>
                <w:szCs w:val="13"/>
              </w:rPr>
            </w:pPr>
            <w:r>
              <w:rPr>
                <w:rFonts w:ascii="宋体"/>
                <w:sz w:val="13"/>
              </w:rPr>
              <w:t>10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3"/>
                <w:szCs w:val="13"/>
              </w:rPr>
            </w:pPr>
            <w:r>
              <w:rPr>
                <w:rFonts w:ascii="宋体" w:hAnsi="宋体" w:cs="宋体" w:eastAsia="宋体" w:hint="default"/>
                <w:sz w:val="13"/>
                <w:szCs w:val="13"/>
              </w:rPr>
              <w:t>南通新湖置业有限公司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pacing w:val="-4"/>
                <w:sz w:val="13"/>
                <w:szCs w:val="13"/>
              </w:rPr>
              <w:t>南通·新湖长江公</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w w:val="99"/>
                <w:sz w:val="13"/>
                <w:szCs w:val="13"/>
              </w:rPr>
              <w:t>园</w:t>
            </w:r>
            <w:r>
              <w:rPr>
                <w:rFonts w:ascii="宋体" w:hAnsi="宋体" w:cs="宋体" w:eastAsia="宋体" w:hint="default"/>
                <w:sz w:val="13"/>
                <w:szCs w:val="13"/>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44" w:right="0"/>
              <w:jc w:val="center"/>
              <w:rPr>
                <w:rFonts w:ascii="宋体" w:hAnsi="宋体" w:cs="宋体" w:eastAsia="宋体" w:hint="default"/>
                <w:sz w:val="13"/>
                <w:szCs w:val="13"/>
              </w:rPr>
            </w:pPr>
            <w:r>
              <w:rPr>
                <w:rFonts w:ascii="宋体"/>
                <w:sz w:val="13"/>
              </w:rPr>
              <w:t>314,757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314,757</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560,239</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560,239</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605,609</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605,609</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200,118</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9"/>
                <w:sz w:val="13"/>
              </w:rPr>
              <w:t>0</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9"/>
                <w:sz w:val="13"/>
              </w:rPr>
              <w:t>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9"/>
                <w:sz w:val="13"/>
              </w:rPr>
              <w:t>0</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13"/>
                <w:szCs w:val="13"/>
              </w:rPr>
            </w:pPr>
            <w:r>
              <w:rPr>
                <w:rFonts w:ascii="宋体"/>
                <w:w w:val="99"/>
                <w:sz w:val="13"/>
              </w:rPr>
              <w:t>0</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9"/>
                <w:sz w:val="13"/>
              </w:rPr>
              <w:t>0</w:t>
            </w:r>
            <w:r>
              <w:rPr>
                <w:rFonts w:ascii="宋体"/>
                <w:sz w:val="13"/>
              </w:rPr>
            </w:r>
          </w:p>
        </w:tc>
      </w:tr>
      <w:tr>
        <w:trPr>
          <w:trHeight w:val="348"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sz w:val="13"/>
              </w:rPr>
              <w:t>11</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3"/>
                <w:szCs w:val="13"/>
              </w:rPr>
            </w:pPr>
            <w:r>
              <w:rPr>
                <w:rFonts w:ascii="宋体" w:hAnsi="宋体" w:cs="宋体" w:eastAsia="宋体" w:hint="default"/>
                <w:sz w:val="13"/>
                <w:szCs w:val="13"/>
              </w:rPr>
              <w:t>上海新湖房地产开发有限公司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3"/>
                <w:szCs w:val="13"/>
              </w:rPr>
            </w:pPr>
            <w:r>
              <w:rPr>
                <w:rFonts w:ascii="宋体" w:hAnsi="宋体" w:cs="宋体" w:eastAsia="宋体" w:hint="default"/>
                <w:spacing w:val="-4"/>
                <w:sz w:val="13"/>
                <w:szCs w:val="13"/>
              </w:rPr>
              <w:t>上海·新湖明珠城</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98%</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44" w:right="0"/>
              <w:jc w:val="center"/>
              <w:rPr>
                <w:rFonts w:ascii="宋体" w:hAnsi="宋体" w:cs="宋体" w:eastAsia="宋体" w:hint="default"/>
                <w:sz w:val="13"/>
                <w:szCs w:val="13"/>
              </w:rPr>
            </w:pPr>
            <w:r>
              <w:rPr>
                <w:rFonts w:ascii="宋体"/>
                <w:sz w:val="13"/>
              </w:rPr>
              <w:t>228,717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224,143</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838,027</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821,266</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900,000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882,000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549,344</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549,344</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492,228</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8,642,410</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宋体" w:hAnsi="宋体" w:cs="宋体" w:eastAsia="宋体" w:hint="default"/>
                <w:sz w:val="13"/>
                <w:szCs w:val="13"/>
              </w:rPr>
            </w:pPr>
            <w:r>
              <w:rPr>
                <w:rFonts w:ascii="宋体"/>
                <w:w w:val="95"/>
                <w:sz w:val="13"/>
              </w:rPr>
              <w:t>489,135</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8,537,55</w:t>
            </w:r>
            <w:r>
              <w:rPr>
                <w:rFonts w:ascii="宋体"/>
                <w:sz w:val="13"/>
              </w:rPr>
            </w:r>
          </w:p>
          <w:p>
            <w:pPr>
              <w:pStyle w:val="TableParagraph"/>
              <w:spacing w:line="240" w:lineRule="auto"/>
              <w:ind w:right="101"/>
              <w:jc w:val="right"/>
              <w:rPr>
                <w:rFonts w:ascii="宋体" w:hAnsi="宋体" w:cs="宋体" w:eastAsia="宋体" w:hint="default"/>
                <w:sz w:val="13"/>
                <w:szCs w:val="13"/>
              </w:rPr>
            </w:pPr>
            <w:r>
              <w:rPr>
                <w:rFonts w:ascii="宋体"/>
                <w:w w:val="99"/>
                <w:sz w:val="13"/>
              </w:rPr>
              <w:t>2</w:t>
            </w:r>
            <w:r>
              <w:rPr>
                <w:rFonts w:ascii="宋体"/>
                <w:sz w:val="13"/>
              </w:rPr>
            </w:r>
          </w:p>
        </w:tc>
      </w:tr>
      <w:tr>
        <w:trPr>
          <w:trHeight w:val="348"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3"/>
                <w:szCs w:val="13"/>
              </w:rPr>
            </w:pPr>
            <w:r>
              <w:rPr>
                <w:rFonts w:ascii="宋体"/>
                <w:sz w:val="13"/>
              </w:rPr>
              <w:t>12</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3"/>
                <w:szCs w:val="13"/>
              </w:rPr>
            </w:pPr>
            <w:r>
              <w:rPr>
                <w:rFonts w:ascii="宋体" w:hAnsi="宋体" w:cs="宋体" w:eastAsia="宋体" w:hint="default"/>
                <w:sz w:val="13"/>
                <w:szCs w:val="13"/>
              </w:rPr>
              <w:t>上海中瀚置业有限公司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3"/>
                <w:szCs w:val="13"/>
              </w:rPr>
            </w:pPr>
            <w:r>
              <w:rPr>
                <w:rFonts w:ascii="宋体" w:hAnsi="宋体" w:cs="宋体" w:eastAsia="宋体" w:hint="default"/>
                <w:sz w:val="13"/>
                <w:szCs w:val="13"/>
              </w:rPr>
              <w:t>上海·青蓝国际</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8" w:right="0"/>
              <w:jc w:val="center"/>
              <w:rPr>
                <w:rFonts w:ascii="宋体" w:hAnsi="宋体" w:cs="宋体" w:eastAsia="宋体" w:hint="default"/>
                <w:sz w:val="13"/>
                <w:szCs w:val="13"/>
              </w:rPr>
            </w:pPr>
            <w:r>
              <w:rPr>
                <w:rFonts w:ascii="宋体"/>
                <w:sz w:val="13"/>
              </w:rPr>
              <w:t>64,784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64,784</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206,070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206,070</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333,525</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333,525</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153,921</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153,921</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85,274</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5,947,356</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13"/>
                <w:szCs w:val="13"/>
              </w:rPr>
            </w:pPr>
            <w:r>
              <w:rPr>
                <w:rFonts w:ascii="宋体"/>
                <w:w w:val="95"/>
                <w:sz w:val="13"/>
              </w:rPr>
              <w:t>77,095</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103"/>
              <w:jc w:val="right"/>
              <w:rPr>
                <w:rFonts w:ascii="宋体" w:hAnsi="宋体" w:cs="宋体" w:eastAsia="宋体" w:hint="default"/>
                <w:sz w:val="13"/>
                <w:szCs w:val="13"/>
              </w:rPr>
            </w:pPr>
            <w:r>
              <w:rPr>
                <w:rFonts w:ascii="宋体"/>
                <w:w w:val="95"/>
                <w:sz w:val="13"/>
              </w:rPr>
              <w:t>5,352,17</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9"/>
                <w:sz w:val="13"/>
              </w:rPr>
              <w:t>8</w:t>
            </w:r>
            <w:r>
              <w:rPr>
                <w:rFonts w:ascii="宋体"/>
                <w:sz w:val="13"/>
              </w:rPr>
            </w:r>
          </w:p>
        </w:tc>
      </w:tr>
      <w:tr>
        <w:trPr>
          <w:trHeight w:val="278"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sz w:val="13"/>
              </w:rPr>
              <w:t>13</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上海玛宝房地产开发有限公司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拆迁、规划中</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8" w:right="0"/>
              <w:jc w:val="center"/>
              <w:rPr>
                <w:rFonts w:ascii="宋体" w:hAnsi="宋体" w:cs="宋体" w:eastAsia="宋体" w:hint="default"/>
                <w:sz w:val="13"/>
                <w:szCs w:val="13"/>
              </w:rPr>
            </w:pPr>
            <w:r>
              <w:rPr>
                <w:rFonts w:ascii="宋体"/>
                <w:sz w:val="13"/>
              </w:rPr>
              <w:t>21,486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21,486</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60,160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60,160</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3"/>
                <w:szCs w:val="13"/>
              </w:rPr>
            </w:pPr>
            <w:r>
              <w:rPr>
                <w:rFonts w:ascii="宋体"/>
                <w:w w:val="95"/>
                <w:sz w:val="13"/>
              </w:rPr>
              <w:t>98,160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3"/>
                <w:szCs w:val="13"/>
              </w:rPr>
            </w:pPr>
            <w:r>
              <w:rPr>
                <w:rFonts w:ascii="宋体"/>
                <w:w w:val="95"/>
                <w:sz w:val="13"/>
              </w:rPr>
              <w:t>98,160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9"/>
                <w:sz w:val="13"/>
              </w:rPr>
              <w:t>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9"/>
                <w:sz w:val="13"/>
              </w:rPr>
              <w:t>0</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9"/>
                <w:sz w:val="13"/>
              </w:rPr>
              <w:t>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9"/>
                <w:sz w:val="13"/>
              </w:rPr>
              <w:t>0</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宋体" w:hAnsi="宋体" w:cs="宋体" w:eastAsia="宋体" w:hint="default"/>
                <w:sz w:val="13"/>
                <w:szCs w:val="13"/>
              </w:rPr>
            </w:pPr>
            <w:r>
              <w:rPr>
                <w:rFonts w:ascii="宋体"/>
                <w:w w:val="99"/>
                <w:sz w:val="13"/>
              </w:rPr>
              <w:t>0</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9"/>
                <w:sz w:val="13"/>
              </w:rPr>
              <w:t>0</w:t>
            </w:r>
            <w:r>
              <w:rPr>
                <w:rFonts w:ascii="宋体"/>
                <w:sz w:val="13"/>
              </w:rPr>
            </w:r>
          </w:p>
        </w:tc>
      </w:tr>
      <w:tr>
        <w:trPr>
          <w:trHeight w:val="281"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3"/>
                <w:szCs w:val="13"/>
              </w:rPr>
            </w:pPr>
            <w:r>
              <w:rPr>
                <w:rFonts w:ascii="宋体"/>
                <w:sz w:val="13"/>
              </w:rPr>
              <w:t>14</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上海亚龙古城房地产开发有限公司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拆迁、规划中</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08" w:right="0"/>
              <w:jc w:val="center"/>
              <w:rPr>
                <w:rFonts w:ascii="宋体" w:hAnsi="宋体" w:cs="宋体" w:eastAsia="宋体" w:hint="default"/>
                <w:sz w:val="13"/>
                <w:szCs w:val="13"/>
              </w:rPr>
            </w:pPr>
            <w:r>
              <w:rPr>
                <w:rFonts w:ascii="宋体"/>
                <w:sz w:val="13"/>
              </w:rPr>
              <w:t>93,950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93,950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230,000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230,000</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13"/>
                <w:szCs w:val="13"/>
              </w:rPr>
            </w:pPr>
            <w:r>
              <w:rPr>
                <w:rFonts w:ascii="宋体"/>
                <w:w w:val="95"/>
                <w:sz w:val="13"/>
              </w:rPr>
              <w:t>430,000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13"/>
                <w:szCs w:val="13"/>
              </w:rPr>
            </w:pPr>
            <w:r>
              <w:rPr>
                <w:rFonts w:ascii="宋体"/>
                <w:w w:val="95"/>
                <w:sz w:val="13"/>
              </w:rPr>
              <w:t>430,000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9"/>
                <w:sz w:val="13"/>
              </w:rPr>
              <w:t>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9"/>
                <w:sz w:val="13"/>
              </w:rPr>
              <w:t>0</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9"/>
                <w:sz w:val="13"/>
              </w:rPr>
              <w:t>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9"/>
                <w:sz w:val="13"/>
              </w:rPr>
              <w:t>0</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13"/>
                <w:szCs w:val="13"/>
              </w:rPr>
            </w:pPr>
            <w:r>
              <w:rPr>
                <w:rFonts w:ascii="宋体"/>
                <w:w w:val="99"/>
                <w:sz w:val="13"/>
              </w:rPr>
              <w:t>0</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9"/>
                <w:sz w:val="13"/>
              </w:rPr>
              <w:t>0</w:t>
            </w:r>
            <w:r>
              <w:rPr>
                <w:rFonts w:ascii="宋体"/>
                <w:sz w:val="13"/>
              </w:rPr>
            </w:r>
          </w:p>
        </w:tc>
      </w:tr>
      <w:tr>
        <w:trPr>
          <w:trHeight w:val="281"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sz w:val="13"/>
              </w:rPr>
              <w:t>15</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上海新湖天虹城市开发有限公司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拆迁、规划中</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8" w:right="0"/>
              <w:jc w:val="center"/>
              <w:rPr>
                <w:rFonts w:ascii="宋体" w:hAnsi="宋体" w:cs="宋体" w:eastAsia="宋体" w:hint="default"/>
                <w:sz w:val="13"/>
                <w:szCs w:val="13"/>
              </w:rPr>
            </w:pPr>
            <w:r>
              <w:rPr>
                <w:rFonts w:ascii="宋体"/>
                <w:sz w:val="13"/>
              </w:rPr>
              <w:t>17,352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17,352</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72,878</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72,878</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3"/>
                <w:szCs w:val="13"/>
              </w:rPr>
            </w:pPr>
            <w:r>
              <w:rPr>
                <w:rFonts w:ascii="宋体"/>
                <w:w w:val="95"/>
                <w:sz w:val="13"/>
              </w:rPr>
              <w:t>117,878</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3"/>
                <w:szCs w:val="13"/>
              </w:rPr>
            </w:pPr>
            <w:r>
              <w:rPr>
                <w:rFonts w:ascii="宋体"/>
                <w:w w:val="95"/>
                <w:sz w:val="13"/>
              </w:rPr>
              <w:t>117,878</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9"/>
                <w:sz w:val="13"/>
              </w:rPr>
              <w:t>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9"/>
                <w:sz w:val="13"/>
              </w:rPr>
              <w:t>0</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9"/>
                <w:sz w:val="13"/>
              </w:rPr>
              <w:t>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9"/>
                <w:sz w:val="13"/>
              </w:rPr>
              <w:t>0</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宋体" w:hAnsi="宋体" w:cs="宋体" w:eastAsia="宋体" w:hint="default"/>
                <w:sz w:val="13"/>
                <w:szCs w:val="13"/>
              </w:rPr>
            </w:pPr>
            <w:r>
              <w:rPr>
                <w:rFonts w:ascii="宋体"/>
                <w:w w:val="99"/>
                <w:sz w:val="13"/>
              </w:rPr>
              <w:t>0</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9"/>
                <w:sz w:val="13"/>
              </w:rPr>
              <w:t>0</w:t>
            </w:r>
            <w:r>
              <w:rPr>
                <w:rFonts w:ascii="宋体"/>
                <w:sz w:val="13"/>
              </w:rPr>
            </w:r>
          </w:p>
        </w:tc>
      </w:tr>
      <w:tr>
        <w:trPr>
          <w:trHeight w:val="346"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3"/>
                <w:szCs w:val="13"/>
              </w:rPr>
            </w:pPr>
            <w:r>
              <w:rPr>
                <w:rFonts w:ascii="宋体"/>
                <w:sz w:val="13"/>
              </w:rPr>
              <w:t>16</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3"/>
                <w:szCs w:val="13"/>
              </w:rPr>
            </w:pPr>
            <w:r>
              <w:rPr>
                <w:rFonts w:ascii="宋体" w:hAnsi="宋体" w:cs="宋体" w:eastAsia="宋体" w:hint="default"/>
                <w:sz w:val="13"/>
                <w:szCs w:val="13"/>
              </w:rPr>
              <w:t>杭州新湖美丽洲置业有限公司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3"/>
                <w:szCs w:val="13"/>
              </w:rPr>
            </w:pPr>
            <w:r>
              <w:rPr>
                <w:rFonts w:ascii="宋体" w:hAnsi="宋体" w:cs="宋体" w:eastAsia="宋体" w:hint="default"/>
                <w:sz w:val="13"/>
                <w:szCs w:val="13"/>
              </w:rPr>
              <w:t>杭州·香格里拉</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44" w:right="0"/>
              <w:jc w:val="center"/>
              <w:rPr>
                <w:rFonts w:ascii="宋体" w:hAnsi="宋体" w:cs="宋体" w:eastAsia="宋体" w:hint="default"/>
                <w:sz w:val="13"/>
                <w:szCs w:val="13"/>
              </w:rPr>
            </w:pPr>
            <w:r>
              <w:rPr>
                <w:rFonts w:ascii="宋体"/>
                <w:sz w:val="13"/>
              </w:rPr>
              <w:t>832,601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832,601</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461,464</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461,464</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533,224</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533,224</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302,555</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302,555</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173,808</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3,321,918</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13"/>
                <w:szCs w:val="13"/>
              </w:rPr>
            </w:pPr>
            <w:r>
              <w:rPr>
                <w:rFonts w:ascii="宋体"/>
                <w:w w:val="95"/>
                <w:sz w:val="13"/>
              </w:rPr>
              <w:t>154,764</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2,684,61</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9"/>
                <w:sz w:val="13"/>
              </w:rPr>
              <w:t>4</w:t>
            </w:r>
            <w:r>
              <w:rPr>
                <w:rFonts w:ascii="宋体"/>
                <w:sz w:val="13"/>
              </w:rPr>
            </w:r>
          </w:p>
        </w:tc>
      </w:tr>
      <w:tr>
        <w:trPr>
          <w:trHeight w:val="348"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sz w:val="13"/>
              </w:rPr>
              <w:t>17</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3"/>
                <w:szCs w:val="13"/>
              </w:rPr>
            </w:pPr>
            <w:r>
              <w:rPr>
                <w:rFonts w:ascii="宋体" w:hAnsi="宋体" w:cs="宋体" w:eastAsia="宋体" w:hint="default"/>
                <w:sz w:val="13"/>
                <w:szCs w:val="13"/>
              </w:rPr>
              <w:t>浙江新兰得置业有限公司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3"/>
                <w:szCs w:val="13"/>
              </w:rPr>
            </w:pPr>
            <w:r>
              <w:rPr>
                <w:rFonts w:ascii="宋体" w:hAnsi="宋体" w:cs="宋体" w:eastAsia="宋体" w:hint="default"/>
                <w:sz w:val="13"/>
                <w:szCs w:val="13"/>
              </w:rPr>
              <w:t>杭州·新湖果岭</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44" w:right="0"/>
              <w:jc w:val="center"/>
              <w:rPr>
                <w:rFonts w:ascii="宋体" w:hAnsi="宋体" w:cs="宋体" w:eastAsia="宋体" w:hint="default"/>
                <w:sz w:val="13"/>
                <w:szCs w:val="13"/>
              </w:rPr>
            </w:pPr>
            <w:r>
              <w:rPr>
                <w:rFonts w:ascii="宋体"/>
                <w:sz w:val="13"/>
              </w:rPr>
              <w:t>360,929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360,929</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433,115</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433,115</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551,665</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551,665</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550,061</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389,832</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245,009</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3,161,163</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宋体" w:hAnsi="宋体" w:cs="宋体" w:eastAsia="宋体" w:hint="default"/>
                <w:sz w:val="13"/>
                <w:szCs w:val="13"/>
              </w:rPr>
            </w:pPr>
            <w:r>
              <w:rPr>
                <w:rFonts w:ascii="宋体"/>
                <w:w w:val="95"/>
                <w:sz w:val="13"/>
              </w:rPr>
              <w:t>244,165</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3,075,34</w:t>
            </w:r>
            <w:r>
              <w:rPr>
                <w:rFonts w:ascii="宋体"/>
                <w:sz w:val="13"/>
              </w:rPr>
            </w:r>
          </w:p>
          <w:p>
            <w:pPr>
              <w:pStyle w:val="TableParagraph"/>
              <w:spacing w:line="240" w:lineRule="auto"/>
              <w:ind w:right="101"/>
              <w:jc w:val="right"/>
              <w:rPr>
                <w:rFonts w:ascii="宋体" w:hAnsi="宋体" w:cs="宋体" w:eastAsia="宋体" w:hint="default"/>
                <w:sz w:val="13"/>
                <w:szCs w:val="13"/>
              </w:rPr>
            </w:pPr>
            <w:r>
              <w:rPr>
                <w:rFonts w:ascii="宋体"/>
                <w:w w:val="99"/>
                <w:sz w:val="13"/>
              </w:rPr>
              <w:t>0</w:t>
            </w:r>
            <w:r>
              <w:rPr>
                <w:rFonts w:ascii="宋体"/>
                <w:sz w:val="13"/>
              </w:rPr>
            </w:r>
          </w:p>
        </w:tc>
      </w:tr>
      <w:tr>
        <w:trPr>
          <w:trHeight w:val="281" w:hRule="exact"/>
        </w:trPr>
        <w:tc>
          <w:tcPr>
            <w:tcW w:w="45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sz w:val="13"/>
              </w:rPr>
              <w:t>18</w:t>
            </w:r>
          </w:p>
        </w:tc>
        <w:tc>
          <w:tcPr>
            <w:tcW w:w="225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杭州新湖鸬鸟置业有限公司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杭州·金色童年</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4" w:right="0"/>
              <w:jc w:val="center"/>
              <w:rPr>
                <w:rFonts w:ascii="宋体" w:hAnsi="宋体" w:cs="宋体" w:eastAsia="宋体" w:hint="default"/>
                <w:sz w:val="13"/>
                <w:szCs w:val="13"/>
              </w:rPr>
            </w:pPr>
            <w:r>
              <w:rPr>
                <w:rFonts w:ascii="宋体"/>
                <w:sz w:val="13"/>
              </w:rPr>
              <w:t>138,982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138,982</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138,995</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138,995</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3"/>
                <w:szCs w:val="13"/>
              </w:rPr>
            </w:pPr>
            <w:r>
              <w:rPr>
                <w:rFonts w:ascii="宋体"/>
                <w:w w:val="95"/>
                <w:sz w:val="13"/>
              </w:rPr>
              <w:t>186,855</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3"/>
                <w:szCs w:val="13"/>
              </w:rPr>
            </w:pPr>
            <w:r>
              <w:rPr>
                <w:rFonts w:ascii="宋体"/>
                <w:w w:val="95"/>
                <w:sz w:val="13"/>
              </w:rPr>
              <w:t>186,855</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26,392</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26,392</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9"/>
                <w:sz w:val="13"/>
              </w:rPr>
              <w:t>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9"/>
                <w:sz w:val="13"/>
              </w:rPr>
              <w:t>0</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宋体" w:hAnsi="宋体" w:cs="宋体" w:eastAsia="宋体" w:hint="default"/>
                <w:sz w:val="13"/>
                <w:szCs w:val="13"/>
              </w:rPr>
            </w:pPr>
            <w:r>
              <w:rPr>
                <w:rFonts w:ascii="宋体"/>
                <w:w w:val="99"/>
                <w:sz w:val="13"/>
              </w:rPr>
              <w:t>0</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9"/>
                <w:sz w:val="13"/>
              </w:rPr>
              <w:t>0</w:t>
            </w:r>
            <w:r>
              <w:rPr>
                <w:rFonts w:ascii="宋体"/>
                <w:sz w:val="13"/>
              </w:rPr>
            </w:r>
          </w:p>
        </w:tc>
      </w:tr>
      <w:tr>
        <w:trPr>
          <w:trHeight w:val="346" w:hRule="exact"/>
        </w:trPr>
        <w:tc>
          <w:tcPr>
            <w:tcW w:w="456" w:type="dxa"/>
            <w:vMerge/>
            <w:tcBorders>
              <w:left w:val="single" w:sz="4" w:space="0" w:color="000000"/>
              <w:bottom w:val="single" w:sz="4" w:space="0" w:color="000000"/>
              <w:right w:val="single" w:sz="4" w:space="0" w:color="000000"/>
            </w:tcBorders>
          </w:tcPr>
          <w:p>
            <w:pPr/>
          </w:p>
        </w:tc>
        <w:tc>
          <w:tcPr>
            <w:tcW w:w="2251" w:type="dxa"/>
            <w:vMerge/>
            <w:tcBorders>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pacing w:val="-4"/>
                <w:sz w:val="13"/>
                <w:szCs w:val="13"/>
              </w:rPr>
              <w:t>其中：拟发展作出</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w w:val="99"/>
                <w:sz w:val="13"/>
                <w:szCs w:val="13"/>
              </w:rPr>
              <w:t>租</w:t>
            </w:r>
            <w:r>
              <w:rPr>
                <w:rFonts w:ascii="宋体" w:hAnsi="宋体" w:cs="宋体" w:eastAsia="宋体" w:hint="default"/>
                <w:sz w:val="13"/>
                <w:szCs w:val="13"/>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8" w:right="0"/>
              <w:jc w:val="center"/>
              <w:rPr>
                <w:rFonts w:ascii="宋体" w:hAnsi="宋体" w:cs="宋体" w:eastAsia="宋体" w:hint="default"/>
                <w:sz w:val="13"/>
                <w:szCs w:val="13"/>
              </w:rPr>
            </w:pPr>
            <w:r>
              <w:rPr>
                <w:rFonts w:ascii="宋体"/>
                <w:sz w:val="13"/>
              </w:rPr>
              <w:t>64,627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64,627</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71,545</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71,545</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78,021</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78,021</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26,392</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9"/>
                <w:sz w:val="13"/>
              </w:rPr>
              <w:t>0</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9"/>
                <w:sz w:val="13"/>
              </w:rPr>
              <w:t>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9"/>
                <w:sz w:val="13"/>
              </w:rPr>
              <w:t>0</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13"/>
                <w:szCs w:val="13"/>
              </w:rPr>
            </w:pPr>
            <w:r>
              <w:rPr>
                <w:rFonts w:ascii="宋体"/>
                <w:w w:val="99"/>
                <w:sz w:val="13"/>
              </w:rPr>
              <w:t>0</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9"/>
                <w:sz w:val="13"/>
              </w:rPr>
              <w:t>0</w:t>
            </w:r>
            <w:r>
              <w:rPr>
                <w:rFonts w:ascii="宋体"/>
                <w:sz w:val="13"/>
              </w:rPr>
            </w:r>
          </w:p>
        </w:tc>
      </w:tr>
      <w:tr>
        <w:trPr>
          <w:trHeight w:val="348"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sz w:val="13"/>
              </w:rPr>
              <w:t>19</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3"/>
                <w:szCs w:val="13"/>
              </w:rPr>
            </w:pPr>
            <w:r>
              <w:rPr>
                <w:rFonts w:ascii="宋体" w:hAnsi="宋体" w:cs="宋体" w:eastAsia="宋体" w:hint="default"/>
                <w:sz w:val="13"/>
                <w:szCs w:val="13"/>
              </w:rPr>
              <w:t>杭州新湖明珠置业有限公司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3"/>
                <w:szCs w:val="13"/>
              </w:rPr>
            </w:pPr>
            <w:r>
              <w:rPr>
                <w:rFonts w:ascii="宋体" w:hAnsi="宋体" w:cs="宋体" w:eastAsia="宋体" w:hint="default"/>
                <w:sz w:val="13"/>
                <w:szCs w:val="13"/>
              </w:rPr>
              <w:t>杭州·武林国际</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8" w:right="0"/>
              <w:jc w:val="center"/>
              <w:rPr>
                <w:rFonts w:ascii="宋体" w:hAnsi="宋体" w:cs="宋体" w:eastAsia="宋体" w:hint="default"/>
                <w:sz w:val="13"/>
                <w:szCs w:val="13"/>
              </w:rPr>
            </w:pPr>
            <w:r>
              <w:rPr>
                <w:rFonts w:ascii="宋体"/>
                <w:sz w:val="13"/>
              </w:rPr>
              <w:t>26,256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26,256</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84,019</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84,019</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128,741</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128,741</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128,741</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128,741</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76,493</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3,568,664</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宋体" w:hAnsi="宋体" w:cs="宋体" w:eastAsia="宋体" w:hint="default"/>
                <w:sz w:val="13"/>
                <w:szCs w:val="13"/>
              </w:rPr>
            </w:pPr>
            <w:r>
              <w:rPr>
                <w:rFonts w:ascii="宋体"/>
                <w:w w:val="95"/>
                <w:sz w:val="13"/>
              </w:rPr>
              <w:t>69,386</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3,175,19</w:t>
            </w:r>
            <w:r>
              <w:rPr>
                <w:rFonts w:ascii="宋体"/>
                <w:sz w:val="13"/>
              </w:rPr>
            </w:r>
          </w:p>
          <w:p>
            <w:pPr>
              <w:pStyle w:val="TableParagraph"/>
              <w:spacing w:line="240" w:lineRule="auto"/>
              <w:ind w:right="101"/>
              <w:jc w:val="right"/>
              <w:rPr>
                <w:rFonts w:ascii="宋体" w:hAnsi="宋体" w:cs="宋体" w:eastAsia="宋体" w:hint="default"/>
                <w:sz w:val="13"/>
                <w:szCs w:val="13"/>
              </w:rPr>
            </w:pPr>
            <w:r>
              <w:rPr>
                <w:rFonts w:ascii="宋体"/>
                <w:w w:val="99"/>
                <w:sz w:val="13"/>
              </w:rPr>
              <w:t>4</w:t>
            </w:r>
            <w:r>
              <w:rPr>
                <w:rFonts w:ascii="宋体"/>
                <w:sz w:val="13"/>
              </w:rPr>
            </w:r>
          </w:p>
        </w:tc>
      </w:tr>
    </w:tbl>
    <w:p>
      <w:pPr>
        <w:spacing w:after="0" w:line="240" w:lineRule="auto"/>
        <w:jc w:val="right"/>
        <w:rPr>
          <w:rFonts w:ascii="宋体" w:hAnsi="宋体" w:cs="宋体" w:eastAsia="宋体" w:hint="default"/>
          <w:sz w:val="13"/>
          <w:szCs w:val="13"/>
        </w:rPr>
        <w:sectPr>
          <w:headerReference w:type="default" r:id="rId14"/>
          <w:footerReference w:type="default" r:id="rId15"/>
          <w:pgSz w:w="16840" w:h="11910" w:orient="landscape"/>
          <w:pgMar w:header="882" w:footer="1195" w:top="1120" w:bottom="1380" w:left="1220" w:right="1300"/>
          <w:pgNumType w:start="1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456"/>
        <w:gridCol w:w="2251"/>
        <w:gridCol w:w="1232"/>
        <w:gridCol w:w="518"/>
        <w:gridCol w:w="814"/>
        <w:gridCol w:w="814"/>
        <w:gridCol w:w="814"/>
        <w:gridCol w:w="814"/>
        <w:gridCol w:w="816"/>
        <w:gridCol w:w="814"/>
        <w:gridCol w:w="814"/>
        <w:gridCol w:w="814"/>
        <w:gridCol w:w="756"/>
        <w:gridCol w:w="814"/>
        <w:gridCol w:w="754"/>
        <w:gridCol w:w="797"/>
      </w:tblGrid>
      <w:tr>
        <w:trPr>
          <w:trHeight w:val="274" w:hRule="exact"/>
        </w:trPr>
        <w:tc>
          <w:tcPr>
            <w:tcW w:w="4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sz w:val="13"/>
              </w:rPr>
              <w:t>20</w:t>
            </w:r>
          </w:p>
        </w:tc>
        <w:tc>
          <w:tcPr>
            <w:tcW w:w="22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浙江新湖海创地产发展有限公司</w:t>
            </w:r>
          </w:p>
        </w:tc>
        <w:tc>
          <w:tcPr>
            <w:tcW w:w="12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规划中</w:t>
            </w:r>
          </w:p>
        </w:tc>
        <w:tc>
          <w:tcPr>
            <w:tcW w:w="5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208" w:right="0"/>
              <w:jc w:val="center"/>
              <w:rPr>
                <w:rFonts w:ascii="宋体" w:hAnsi="宋体" w:cs="宋体" w:eastAsia="宋体" w:hint="default"/>
                <w:sz w:val="13"/>
                <w:szCs w:val="13"/>
              </w:rPr>
            </w:pPr>
            <w:r>
              <w:rPr>
                <w:rFonts w:ascii="宋体"/>
                <w:sz w:val="13"/>
              </w:rPr>
              <w:t>17,634</w:t>
            </w:r>
          </w:p>
        </w:tc>
        <w:tc>
          <w:tcPr>
            <w:tcW w:w="8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17,634</w:t>
            </w:r>
            <w:r>
              <w:rPr>
                <w:rFonts w:ascii="宋体"/>
                <w:sz w:val="13"/>
              </w:rPr>
            </w:r>
          </w:p>
        </w:tc>
        <w:tc>
          <w:tcPr>
            <w:tcW w:w="8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88,170</w:t>
            </w:r>
            <w:r>
              <w:rPr>
                <w:rFonts w:ascii="宋体"/>
                <w:sz w:val="13"/>
              </w:rPr>
            </w:r>
          </w:p>
        </w:tc>
        <w:tc>
          <w:tcPr>
            <w:tcW w:w="8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88,170</w:t>
            </w:r>
            <w:r>
              <w:rPr>
                <w:rFonts w:ascii="宋体"/>
                <w:sz w:val="13"/>
              </w:rPr>
            </w:r>
          </w:p>
        </w:tc>
        <w:tc>
          <w:tcPr>
            <w:tcW w:w="8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3"/>
                <w:szCs w:val="13"/>
              </w:rPr>
            </w:pPr>
            <w:r>
              <w:rPr>
                <w:rFonts w:ascii="宋体"/>
                <w:w w:val="95"/>
                <w:sz w:val="13"/>
              </w:rPr>
              <w:t>116,170</w:t>
            </w:r>
            <w:r>
              <w:rPr>
                <w:rFonts w:ascii="宋体"/>
                <w:sz w:val="13"/>
              </w:rPr>
            </w:r>
          </w:p>
        </w:tc>
        <w:tc>
          <w:tcPr>
            <w:tcW w:w="8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3"/>
                <w:szCs w:val="13"/>
              </w:rPr>
            </w:pPr>
            <w:r>
              <w:rPr>
                <w:rFonts w:ascii="宋体"/>
                <w:w w:val="95"/>
                <w:sz w:val="13"/>
              </w:rPr>
              <w:t>116,170</w:t>
            </w:r>
            <w:r>
              <w:rPr>
                <w:rFonts w:ascii="宋体"/>
                <w:sz w:val="13"/>
              </w:rPr>
            </w:r>
          </w:p>
        </w:tc>
        <w:tc>
          <w:tcPr>
            <w:tcW w:w="8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9"/>
                <w:sz w:val="13"/>
              </w:rPr>
              <w:t>0</w:t>
            </w:r>
            <w:r>
              <w:rPr>
                <w:rFonts w:ascii="宋体"/>
                <w:sz w:val="13"/>
              </w:rPr>
            </w:r>
          </w:p>
        </w:tc>
        <w:tc>
          <w:tcPr>
            <w:tcW w:w="8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9"/>
                <w:sz w:val="13"/>
              </w:rPr>
              <w:t>0</w:t>
            </w:r>
            <w:r>
              <w:rPr>
                <w:rFonts w:ascii="宋体"/>
                <w:sz w:val="13"/>
              </w:rPr>
            </w:r>
          </w:p>
        </w:tc>
        <w:tc>
          <w:tcPr>
            <w:tcW w:w="7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9"/>
                <w:sz w:val="13"/>
              </w:rPr>
              <w:t>0</w:t>
            </w:r>
            <w:r>
              <w:rPr>
                <w:rFonts w:ascii="宋体"/>
                <w:sz w:val="13"/>
              </w:rPr>
            </w:r>
          </w:p>
        </w:tc>
        <w:tc>
          <w:tcPr>
            <w:tcW w:w="8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9"/>
                <w:sz w:val="13"/>
              </w:rPr>
              <w:t>0</w:t>
            </w:r>
            <w:r>
              <w:rPr>
                <w:rFonts w:ascii="宋体"/>
                <w:sz w:val="13"/>
              </w:rPr>
            </w:r>
          </w:p>
        </w:tc>
        <w:tc>
          <w:tcPr>
            <w:tcW w:w="7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98"/>
              <w:jc w:val="right"/>
              <w:rPr>
                <w:rFonts w:ascii="宋体" w:hAnsi="宋体" w:cs="宋体" w:eastAsia="宋体" w:hint="default"/>
                <w:sz w:val="13"/>
                <w:szCs w:val="13"/>
              </w:rPr>
            </w:pPr>
            <w:r>
              <w:rPr>
                <w:rFonts w:ascii="宋体"/>
                <w:w w:val="99"/>
                <w:sz w:val="13"/>
              </w:rPr>
              <w:t>0</w:t>
            </w:r>
            <w:r>
              <w:rPr>
                <w:rFonts w:ascii="宋体"/>
                <w:sz w:val="13"/>
              </w:rPr>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9"/>
                <w:sz w:val="13"/>
              </w:rPr>
              <w:t>0</w:t>
            </w:r>
            <w:r>
              <w:rPr>
                <w:rFonts w:ascii="宋体"/>
                <w:sz w:val="13"/>
              </w:rPr>
            </w:r>
          </w:p>
        </w:tc>
      </w:tr>
      <w:tr>
        <w:trPr>
          <w:trHeight w:val="348"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sz w:val="13"/>
              </w:rPr>
              <w:t>21</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3"/>
                <w:szCs w:val="13"/>
              </w:rPr>
            </w:pPr>
            <w:r>
              <w:rPr>
                <w:rFonts w:ascii="宋体" w:hAnsi="宋体" w:cs="宋体" w:eastAsia="宋体" w:hint="default"/>
                <w:sz w:val="13"/>
                <w:szCs w:val="13"/>
              </w:rPr>
              <w:t>嘉兴新湖中房置业有限公司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3"/>
                <w:szCs w:val="13"/>
              </w:rPr>
            </w:pPr>
            <w:r>
              <w:rPr>
                <w:rFonts w:ascii="宋体" w:hAnsi="宋体" w:cs="宋体" w:eastAsia="宋体" w:hint="default"/>
                <w:sz w:val="13"/>
                <w:szCs w:val="13"/>
              </w:rPr>
              <w:t>嘉兴·新中花园</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51%</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44" w:right="0"/>
              <w:jc w:val="center"/>
              <w:rPr>
                <w:rFonts w:ascii="宋体" w:hAnsi="宋体" w:cs="宋体" w:eastAsia="宋体" w:hint="default"/>
                <w:sz w:val="13"/>
                <w:szCs w:val="13"/>
              </w:rPr>
            </w:pPr>
            <w:r>
              <w:rPr>
                <w:rFonts w:ascii="宋体"/>
                <w:sz w:val="13"/>
              </w:rPr>
              <w:t>191,626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97,729</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342,276</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174,561</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497,870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253,914</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349,698</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229,465</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163,058</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1,559,026</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宋体" w:hAnsi="宋体" w:cs="宋体" w:eastAsia="宋体" w:hint="default"/>
                <w:sz w:val="13"/>
                <w:szCs w:val="13"/>
              </w:rPr>
            </w:pPr>
            <w:r>
              <w:rPr>
                <w:rFonts w:ascii="宋体"/>
                <w:w w:val="95"/>
                <w:sz w:val="13"/>
              </w:rPr>
              <w:t>159,456</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1,521,03</w:t>
            </w:r>
            <w:r>
              <w:rPr>
                <w:rFonts w:ascii="宋体"/>
                <w:sz w:val="13"/>
              </w:rPr>
            </w:r>
          </w:p>
          <w:p>
            <w:pPr>
              <w:pStyle w:val="TableParagraph"/>
              <w:spacing w:line="240" w:lineRule="auto"/>
              <w:ind w:right="101"/>
              <w:jc w:val="right"/>
              <w:rPr>
                <w:rFonts w:ascii="宋体" w:hAnsi="宋体" w:cs="宋体" w:eastAsia="宋体" w:hint="default"/>
                <w:sz w:val="13"/>
                <w:szCs w:val="13"/>
              </w:rPr>
            </w:pPr>
            <w:r>
              <w:rPr>
                <w:rFonts w:ascii="宋体"/>
                <w:w w:val="99"/>
                <w:sz w:val="13"/>
              </w:rPr>
              <w:t>1</w:t>
            </w:r>
            <w:r>
              <w:rPr>
                <w:rFonts w:ascii="宋体"/>
                <w:sz w:val="13"/>
              </w:rPr>
            </w:r>
          </w:p>
        </w:tc>
      </w:tr>
      <w:tr>
        <w:trPr>
          <w:trHeight w:val="348"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3"/>
                <w:szCs w:val="13"/>
              </w:rPr>
            </w:pPr>
            <w:r>
              <w:rPr>
                <w:rFonts w:ascii="宋体"/>
                <w:sz w:val="13"/>
              </w:rPr>
              <w:t>22</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3"/>
                <w:szCs w:val="13"/>
              </w:rPr>
            </w:pPr>
            <w:r>
              <w:rPr>
                <w:rFonts w:ascii="宋体" w:hAnsi="宋体" w:cs="宋体" w:eastAsia="宋体" w:hint="default"/>
                <w:sz w:val="13"/>
                <w:szCs w:val="13"/>
              </w:rPr>
              <w:t>海宁绿城新湖房地产开发有限公司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3"/>
                <w:szCs w:val="13"/>
              </w:rPr>
            </w:pPr>
            <w:r>
              <w:rPr>
                <w:rFonts w:ascii="宋体" w:hAnsi="宋体" w:cs="宋体" w:eastAsia="宋体" w:hint="default"/>
                <w:sz w:val="13"/>
                <w:szCs w:val="13"/>
              </w:rPr>
              <w:t>海宁·百合新城</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50%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44" w:right="0"/>
              <w:jc w:val="center"/>
              <w:rPr>
                <w:rFonts w:ascii="宋体" w:hAnsi="宋体" w:cs="宋体" w:eastAsia="宋体" w:hint="default"/>
                <w:sz w:val="13"/>
                <w:szCs w:val="13"/>
              </w:rPr>
            </w:pPr>
            <w:r>
              <w:rPr>
                <w:rFonts w:ascii="宋体"/>
                <w:sz w:val="13"/>
              </w:rPr>
              <w:t>942,344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471,172</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915,811</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457,906</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1,254,737</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627,369</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1,254,737</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1,254,737</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905,680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9,046,798</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13"/>
                <w:szCs w:val="13"/>
              </w:rPr>
            </w:pPr>
            <w:r>
              <w:rPr>
                <w:rFonts w:ascii="宋体"/>
                <w:w w:val="95"/>
                <w:sz w:val="13"/>
              </w:rPr>
              <w:t>905,680</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103"/>
              <w:jc w:val="right"/>
              <w:rPr>
                <w:rFonts w:ascii="宋体" w:hAnsi="宋体" w:cs="宋体" w:eastAsia="宋体" w:hint="default"/>
                <w:sz w:val="13"/>
                <w:szCs w:val="13"/>
              </w:rPr>
            </w:pPr>
            <w:r>
              <w:rPr>
                <w:rFonts w:ascii="宋体"/>
                <w:w w:val="95"/>
                <w:sz w:val="13"/>
              </w:rPr>
              <w:t>9,046,79</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9"/>
                <w:sz w:val="13"/>
              </w:rPr>
              <w:t>8</w:t>
            </w:r>
            <w:r>
              <w:rPr>
                <w:rFonts w:ascii="宋体"/>
                <w:sz w:val="13"/>
              </w:rPr>
            </w:r>
          </w:p>
        </w:tc>
      </w:tr>
      <w:tr>
        <w:trPr>
          <w:trHeight w:val="346"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3"/>
                <w:szCs w:val="13"/>
              </w:rPr>
            </w:pPr>
            <w:r>
              <w:rPr>
                <w:rFonts w:ascii="宋体"/>
                <w:sz w:val="13"/>
              </w:rPr>
              <w:t>23</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3"/>
                <w:szCs w:val="13"/>
              </w:rPr>
            </w:pPr>
            <w:r>
              <w:rPr>
                <w:rFonts w:ascii="宋体" w:hAnsi="宋体" w:cs="宋体" w:eastAsia="宋体" w:hint="default"/>
                <w:sz w:val="13"/>
                <w:szCs w:val="13"/>
              </w:rPr>
              <w:t>衢州新湖房地产开发有限公司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3"/>
                <w:szCs w:val="13"/>
              </w:rPr>
            </w:pPr>
            <w:r>
              <w:rPr>
                <w:rFonts w:ascii="宋体" w:hAnsi="宋体" w:cs="宋体" w:eastAsia="宋体" w:hint="default"/>
                <w:sz w:val="13"/>
                <w:szCs w:val="13"/>
              </w:rPr>
              <w:t>衢州·新湖景城</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44" w:right="0"/>
              <w:jc w:val="center"/>
              <w:rPr>
                <w:rFonts w:ascii="宋体" w:hAnsi="宋体" w:cs="宋体" w:eastAsia="宋体" w:hint="default"/>
                <w:sz w:val="13"/>
                <w:szCs w:val="13"/>
              </w:rPr>
            </w:pPr>
            <w:r>
              <w:rPr>
                <w:rFonts w:ascii="宋体"/>
                <w:sz w:val="13"/>
              </w:rPr>
              <w:t>480,507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480,507</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716,329</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716,329</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1,094,160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1,094,160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1,094,127</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493,778</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659,890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4,407,264</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13"/>
                <w:szCs w:val="13"/>
              </w:rPr>
            </w:pPr>
            <w:r>
              <w:rPr>
                <w:rFonts w:ascii="宋体"/>
                <w:w w:val="95"/>
                <w:sz w:val="13"/>
              </w:rPr>
              <w:t>411,676</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103"/>
              <w:jc w:val="right"/>
              <w:rPr>
                <w:rFonts w:ascii="宋体" w:hAnsi="宋体" w:cs="宋体" w:eastAsia="宋体" w:hint="default"/>
                <w:sz w:val="13"/>
                <w:szCs w:val="13"/>
              </w:rPr>
            </w:pPr>
            <w:r>
              <w:rPr>
                <w:rFonts w:ascii="宋体"/>
                <w:w w:val="95"/>
                <w:sz w:val="13"/>
              </w:rPr>
              <w:t>2,274,39</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9"/>
                <w:sz w:val="13"/>
              </w:rPr>
              <w:t>6</w:t>
            </w:r>
            <w:r>
              <w:rPr>
                <w:rFonts w:ascii="宋体"/>
                <w:sz w:val="13"/>
              </w:rPr>
            </w:r>
          </w:p>
        </w:tc>
      </w:tr>
      <w:tr>
        <w:trPr>
          <w:trHeight w:val="348"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sz w:val="13"/>
              </w:rPr>
              <w:t>24</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3"/>
                <w:szCs w:val="13"/>
              </w:rPr>
            </w:pPr>
            <w:r>
              <w:rPr>
                <w:rFonts w:ascii="宋体" w:hAnsi="宋体" w:cs="宋体" w:eastAsia="宋体" w:hint="default"/>
                <w:sz w:val="13"/>
                <w:szCs w:val="13"/>
              </w:rPr>
              <w:t>丽水新湖置业有限公司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3"/>
                <w:szCs w:val="13"/>
              </w:rPr>
            </w:pPr>
            <w:r>
              <w:rPr>
                <w:rFonts w:ascii="宋体" w:hAnsi="宋体" w:cs="宋体" w:eastAsia="宋体" w:hint="default"/>
                <w:sz w:val="13"/>
                <w:szCs w:val="13"/>
              </w:rPr>
              <w:t>丽水·新湖国际</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44" w:right="0"/>
              <w:jc w:val="center"/>
              <w:rPr>
                <w:rFonts w:ascii="宋体" w:hAnsi="宋体" w:cs="宋体" w:eastAsia="宋体" w:hint="default"/>
                <w:sz w:val="13"/>
                <w:szCs w:val="13"/>
              </w:rPr>
            </w:pPr>
            <w:r>
              <w:rPr>
                <w:rFonts w:ascii="宋体"/>
                <w:sz w:val="13"/>
              </w:rPr>
              <w:t>191,050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191,050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427,838</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427,838</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470,074</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470,074</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470,074</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369,502</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409,405</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7,034,614</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宋体" w:hAnsi="宋体" w:cs="宋体" w:eastAsia="宋体" w:hint="default"/>
                <w:sz w:val="13"/>
                <w:szCs w:val="13"/>
              </w:rPr>
            </w:pPr>
            <w:r>
              <w:rPr>
                <w:rFonts w:ascii="宋体"/>
                <w:w w:val="95"/>
                <w:sz w:val="13"/>
              </w:rPr>
              <w:t>256,394</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4,120,19</w:t>
            </w:r>
            <w:r>
              <w:rPr>
                <w:rFonts w:ascii="宋体"/>
                <w:sz w:val="13"/>
              </w:rPr>
            </w:r>
          </w:p>
          <w:p>
            <w:pPr>
              <w:pStyle w:val="TableParagraph"/>
              <w:spacing w:line="240" w:lineRule="auto"/>
              <w:ind w:right="101"/>
              <w:jc w:val="right"/>
              <w:rPr>
                <w:rFonts w:ascii="宋体" w:hAnsi="宋体" w:cs="宋体" w:eastAsia="宋体" w:hint="default"/>
                <w:sz w:val="13"/>
                <w:szCs w:val="13"/>
              </w:rPr>
            </w:pPr>
            <w:r>
              <w:rPr>
                <w:rFonts w:ascii="宋体"/>
                <w:w w:val="99"/>
                <w:sz w:val="13"/>
              </w:rPr>
              <w:t>6</w:t>
            </w:r>
            <w:r>
              <w:rPr>
                <w:rFonts w:ascii="宋体"/>
                <w:sz w:val="13"/>
              </w:rPr>
            </w:r>
          </w:p>
        </w:tc>
      </w:tr>
      <w:tr>
        <w:trPr>
          <w:trHeight w:val="348"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3"/>
                <w:szCs w:val="13"/>
              </w:rPr>
            </w:pPr>
            <w:r>
              <w:rPr>
                <w:rFonts w:ascii="宋体"/>
                <w:sz w:val="13"/>
              </w:rPr>
              <w:t>25</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3"/>
                <w:szCs w:val="13"/>
              </w:rPr>
            </w:pPr>
            <w:r>
              <w:rPr>
                <w:rFonts w:ascii="宋体" w:hAnsi="宋体" w:cs="宋体" w:eastAsia="宋体" w:hint="default"/>
                <w:sz w:val="13"/>
                <w:szCs w:val="13"/>
              </w:rPr>
              <w:t>乐清新湖置业有限公司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3"/>
                <w:szCs w:val="13"/>
              </w:rPr>
            </w:pPr>
            <w:r>
              <w:rPr>
                <w:rFonts w:ascii="宋体" w:hAnsi="宋体" w:cs="宋体" w:eastAsia="宋体" w:hint="default"/>
                <w:sz w:val="13"/>
                <w:szCs w:val="13"/>
              </w:rPr>
              <w:t>乐清·海德花园</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65%</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44" w:right="0"/>
              <w:jc w:val="center"/>
              <w:rPr>
                <w:rFonts w:ascii="宋体" w:hAnsi="宋体" w:cs="宋体" w:eastAsia="宋体" w:hint="default"/>
                <w:sz w:val="13"/>
                <w:szCs w:val="13"/>
              </w:rPr>
            </w:pPr>
            <w:r>
              <w:rPr>
                <w:rFonts w:ascii="宋体"/>
                <w:sz w:val="13"/>
              </w:rPr>
              <w:t>186,967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121,529</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259,281</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168,533</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376,227</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244,548</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376,227</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199,565</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223,003</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4,578,958</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13"/>
                <w:szCs w:val="13"/>
              </w:rPr>
            </w:pPr>
            <w:r>
              <w:rPr>
                <w:rFonts w:ascii="宋体"/>
                <w:w w:val="95"/>
                <w:sz w:val="13"/>
              </w:rPr>
              <w:t>114,641</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103"/>
              <w:jc w:val="right"/>
              <w:rPr>
                <w:rFonts w:ascii="宋体" w:hAnsi="宋体" w:cs="宋体" w:eastAsia="宋体" w:hint="default"/>
                <w:sz w:val="13"/>
                <w:szCs w:val="13"/>
              </w:rPr>
            </w:pPr>
            <w:r>
              <w:rPr>
                <w:rFonts w:ascii="宋体"/>
                <w:w w:val="95"/>
                <w:sz w:val="13"/>
              </w:rPr>
              <w:t>2,180,08</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9"/>
                <w:sz w:val="13"/>
              </w:rPr>
              <w:t>1</w:t>
            </w:r>
            <w:r>
              <w:rPr>
                <w:rFonts w:ascii="宋体"/>
                <w:sz w:val="13"/>
              </w:rPr>
            </w:r>
          </w:p>
        </w:tc>
      </w:tr>
      <w:tr>
        <w:trPr>
          <w:trHeight w:val="279" w:hRule="exact"/>
        </w:trPr>
        <w:tc>
          <w:tcPr>
            <w:tcW w:w="45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sz w:val="13"/>
              </w:rPr>
              <w:t>26</w:t>
            </w:r>
          </w:p>
        </w:tc>
        <w:tc>
          <w:tcPr>
            <w:tcW w:w="225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瑞安市中宝置业有限公司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瑞安·新湖广场</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3"/>
                <w:szCs w:val="13"/>
              </w:rPr>
            </w:pPr>
            <w:r>
              <w:rPr>
                <w:rFonts w:ascii="宋体"/>
                <w:w w:val="95"/>
                <w:sz w:val="13"/>
              </w:rPr>
              <w:t>60%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4" w:right="0"/>
              <w:jc w:val="center"/>
              <w:rPr>
                <w:rFonts w:ascii="宋体" w:hAnsi="宋体" w:cs="宋体" w:eastAsia="宋体" w:hint="default"/>
                <w:sz w:val="13"/>
                <w:szCs w:val="13"/>
              </w:rPr>
            </w:pPr>
            <w:r>
              <w:rPr>
                <w:rFonts w:ascii="宋体"/>
                <w:sz w:val="13"/>
              </w:rPr>
              <w:t>159,845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95,907</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406,143</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243,686</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3"/>
                <w:szCs w:val="13"/>
              </w:rPr>
            </w:pPr>
            <w:r>
              <w:rPr>
                <w:rFonts w:ascii="宋体"/>
                <w:w w:val="95"/>
                <w:sz w:val="13"/>
              </w:rPr>
              <w:t>648,276</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3"/>
                <w:szCs w:val="13"/>
              </w:rPr>
            </w:pPr>
            <w:r>
              <w:rPr>
                <w:rFonts w:ascii="宋体"/>
                <w:w w:val="95"/>
                <w:sz w:val="13"/>
              </w:rPr>
              <w:t>388,966</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525,107</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9"/>
                <w:sz w:val="13"/>
              </w:rPr>
              <w:t>0</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150,470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2,547,364</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宋体" w:hAnsi="宋体" w:cs="宋体" w:eastAsia="宋体" w:hint="default"/>
                <w:sz w:val="13"/>
                <w:szCs w:val="13"/>
              </w:rPr>
            </w:pPr>
            <w:r>
              <w:rPr>
                <w:rFonts w:ascii="宋体"/>
                <w:w w:val="99"/>
                <w:sz w:val="13"/>
              </w:rPr>
              <w:t>0</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9"/>
                <w:sz w:val="13"/>
              </w:rPr>
              <w:t>0</w:t>
            </w:r>
            <w:r>
              <w:rPr>
                <w:rFonts w:ascii="宋体"/>
                <w:sz w:val="13"/>
              </w:rPr>
            </w:r>
          </w:p>
        </w:tc>
      </w:tr>
      <w:tr>
        <w:trPr>
          <w:trHeight w:val="348" w:hRule="exact"/>
        </w:trPr>
        <w:tc>
          <w:tcPr>
            <w:tcW w:w="456" w:type="dxa"/>
            <w:vMerge/>
            <w:tcBorders>
              <w:left w:val="single" w:sz="4" w:space="0" w:color="000000"/>
              <w:bottom w:val="single" w:sz="4" w:space="0" w:color="000000"/>
              <w:right w:val="single" w:sz="4" w:space="0" w:color="000000"/>
            </w:tcBorders>
          </w:tcPr>
          <w:p>
            <w:pPr/>
          </w:p>
        </w:tc>
        <w:tc>
          <w:tcPr>
            <w:tcW w:w="2251" w:type="dxa"/>
            <w:vMerge/>
            <w:tcBorders>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pacing w:val="-4"/>
                <w:sz w:val="13"/>
                <w:szCs w:val="13"/>
              </w:rPr>
              <w:t>其中：拟发展作出</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w w:val="99"/>
                <w:sz w:val="13"/>
                <w:szCs w:val="13"/>
              </w:rPr>
              <w:t>租</w:t>
            </w:r>
            <w:r>
              <w:rPr>
                <w:rFonts w:ascii="宋体" w:hAnsi="宋体" w:cs="宋体" w:eastAsia="宋体" w:hint="default"/>
                <w:sz w:val="13"/>
                <w:szCs w:val="13"/>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60%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8" w:right="0"/>
              <w:jc w:val="center"/>
              <w:rPr>
                <w:rFonts w:ascii="宋体" w:hAnsi="宋体" w:cs="宋体" w:eastAsia="宋体" w:hint="default"/>
                <w:sz w:val="13"/>
                <w:szCs w:val="13"/>
              </w:rPr>
            </w:pPr>
            <w:r>
              <w:rPr>
                <w:rFonts w:ascii="宋体"/>
                <w:sz w:val="13"/>
              </w:rPr>
              <w:t>31,888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19,133</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103,430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62,058</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183,133</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109,880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183,133</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9"/>
                <w:sz w:val="13"/>
              </w:rPr>
              <w:t>0</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9"/>
                <w:sz w:val="13"/>
              </w:rPr>
              <w:t>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9"/>
                <w:sz w:val="13"/>
              </w:rPr>
              <w:t>0</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宋体" w:hAnsi="宋体" w:cs="宋体" w:eastAsia="宋体" w:hint="default"/>
                <w:sz w:val="13"/>
                <w:szCs w:val="13"/>
              </w:rPr>
            </w:pPr>
            <w:r>
              <w:rPr>
                <w:rFonts w:ascii="宋体"/>
                <w:w w:val="99"/>
                <w:sz w:val="13"/>
              </w:rPr>
              <w:t>0</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9"/>
                <w:sz w:val="13"/>
              </w:rPr>
              <w:t>0</w:t>
            </w:r>
            <w:r>
              <w:rPr>
                <w:rFonts w:ascii="宋体"/>
                <w:sz w:val="13"/>
              </w:rPr>
            </w:r>
          </w:p>
        </w:tc>
      </w:tr>
      <w:tr>
        <w:trPr>
          <w:trHeight w:val="281"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sz w:val="13"/>
              </w:rPr>
              <w:t>27</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浙江澳辰地产发展有限公司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兰溪·香格里拉</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4" w:right="0"/>
              <w:jc w:val="center"/>
              <w:rPr>
                <w:rFonts w:ascii="宋体" w:hAnsi="宋体" w:cs="宋体" w:eastAsia="宋体" w:hint="default"/>
                <w:sz w:val="13"/>
                <w:szCs w:val="13"/>
              </w:rPr>
            </w:pPr>
            <w:r>
              <w:rPr>
                <w:rFonts w:ascii="宋体"/>
                <w:sz w:val="13"/>
              </w:rPr>
              <w:t>319,817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319,817</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366,850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366,850</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3"/>
                <w:szCs w:val="13"/>
              </w:rPr>
            </w:pPr>
            <w:r>
              <w:rPr>
                <w:rFonts w:ascii="宋体"/>
                <w:w w:val="95"/>
                <w:sz w:val="13"/>
              </w:rPr>
              <w:t>503,604</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3"/>
                <w:szCs w:val="13"/>
              </w:rPr>
            </w:pPr>
            <w:r>
              <w:rPr>
                <w:rFonts w:ascii="宋体"/>
                <w:w w:val="95"/>
                <w:sz w:val="13"/>
              </w:rPr>
              <w:t>503,604</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315,876</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227,675</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150,948</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1,335,019</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宋体" w:hAnsi="宋体" w:cs="宋体" w:eastAsia="宋体" w:hint="default"/>
                <w:sz w:val="13"/>
                <w:szCs w:val="13"/>
              </w:rPr>
            </w:pPr>
            <w:r>
              <w:rPr>
                <w:rFonts w:ascii="宋体"/>
                <w:w w:val="95"/>
                <w:sz w:val="13"/>
              </w:rPr>
              <w:t>110,594</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987,243</w:t>
            </w:r>
            <w:r>
              <w:rPr>
                <w:rFonts w:ascii="宋体"/>
                <w:sz w:val="13"/>
              </w:rPr>
            </w:r>
          </w:p>
        </w:tc>
      </w:tr>
      <w:tr>
        <w:trPr>
          <w:trHeight w:val="346"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3"/>
                <w:szCs w:val="13"/>
              </w:rPr>
            </w:pPr>
            <w:r>
              <w:rPr>
                <w:rFonts w:ascii="宋体"/>
                <w:sz w:val="13"/>
              </w:rPr>
              <w:t>28</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3"/>
                <w:szCs w:val="13"/>
              </w:rPr>
            </w:pPr>
            <w:r>
              <w:rPr>
                <w:rFonts w:ascii="宋体" w:hAnsi="宋体" w:cs="宋体" w:eastAsia="宋体" w:hint="default"/>
                <w:sz w:val="13"/>
                <w:szCs w:val="13"/>
              </w:rPr>
              <w:t>舟山新湖置业有限公司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3"/>
                <w:szCs w:val="13"/>
              </w:rPr>
            </w:pPr>
            <w:r>
              <w:rPr>
                <w:rFonts w:ascii="宋体" w:hAnsi="宋体" w:cs="宋体" w:eastAsia="宋体" w:hint="default"/>
                <w:sz w:val="13"/>
                <w:szCs w:val="13"/>
              </w:rPr>
              <w:t>舟山·御景国际</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44" w:right="0"/>
              <w:jc w:val="center"/>
              <w:rPr>
                <w:rFonts w:ascii="宋体" w:hAnsi="宋体" w:cs="宋体" w:eastAsia="宋体" w:hint="default"/>
                <w:sz w:val="13"/>
                <w:szCs w:val="13"/>
              </w:rPr>
            </w:pPr>
            <w:r>
              <w:rPr>
                <w:rFonts w:ascii="宋体"/>
                <w:sz w:val="13"/>
              </w:rPr>
              <w:t>105,623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105,623</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168,997</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168,997</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242,563</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242,563</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242,563</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242,563</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96,925</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1,293,681</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13"/>
                <w:szCs w:val="13"/>
              </w:rPr>
            </w:pPr>
            <w:r>
              <w:rPr>
                <w:rFonts w:ascii="宋体"/>
                <w:w w:val="95"/>
                <w:sz w:val="13"/>
              </w:rPr>
              <w:t>93,370</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103"/>
              <w:jc w:val="right"/>
              <w:rPr>
                <w:rFonts w:ascii="宋体" w:hAnsi="宋体" w:cs="宋体" w:eastAsia="宋体" w:hint="default"/>
                <w:sz w:val="13"/>
                <w:szCs w:val="13"/>
              </w:rPr>
            </w:pPr>
            <w:r>
              <w:rPr>
                <w:rFonts w:ascii="宋体"/>
                <w:w w:val="95"/>
                <w:sz w:val="13"/>
              </w:rPr>
              <w:t>1,203,99</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9"/>
                <w:sz w:val="13"/>
              </w:rPr>
              <w:t>6</w:t>
            </w:r>
            <w:r>
              <w:rPr>
                <w:rFonts w:ascii="宋体"/>
                <w:sz w:val="13"/>
              </w:rPr>
            </w:r>
          </w:p>
        </w:tc>
      </w:tr>
      <w:tr>
        <w:trPr>
          <w:trHeight w:val="281"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3"/>
                <w:szCs w:val="13"/>
              </w:rPr>
            </w:pPr>
            <w:r>
              <w:rPr>
                <w:rFonts w:ascii="宋体"/>
                <w:sz w:val="13"/>
              </w:rPr>
              <w:t>29</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温岭新湖地产发展有限公司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温岭·双溪春晓</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08" w:right="0"/>
              <w:jc w:val="center"/>
              <w:rPr>
                <w:rFonts w:ascii="宋体" w:hAnsi="宋体" w:cs="宋体" w:eastAsia="宋体" w:hint="default"/>
                <w:sz w:val="13"/>
                <w:szCs w:val="13"/>
              </w:rPr>
            </w:pPr>
            <w:r>
              <w:rPr>
                <w:rFonts w:ascii="宋体"/>
                <w:sz w:val="13"/>
              </w:rPr>
              <w:t>82,220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82,220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123,330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123,330</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13"/>
                <w:szCs w:val="13"/>
              </w:rPr>
            </w:pPr>
            <w:r>
              <w:rPr>
                <w:rFonts w:ascii="宋体"/>
                <w:w w:val="95"/>
                <w:sz w:val="13"/>
              </w:rPr>
              <w:t>203,819</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13"/>
                <w:szCs w:val="13"/>
              </w:rPr>
            </w:pPr>
            <w:r>
              <w:rPr>
                <w:rFonts w:ascii="宋体"/>
                <w:w w:val="95"/>
                <w:sz w:val="13"/>
              </w:rPr>
              <w:t>203,819</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125,127</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9"/>
                <w:sz w:val="13"/>
              </w:rPr>
              <w:t>0</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9"/>
                <w:sz w:val="13"/>
              </w:rPr>
              <w:t>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9"/>
                <w:sz w:val="13"/>
              </w:rPr>
              <w:t>0</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13"/>
                <w:szCs w:val="13"/>
              </w:rPr>
            </w:pPr>
            <w:r>
              <w:rPr>
                <w:rFonts w:ascii="宋体"/>
                <w:w w:val="99"/>
                <w:sz w:val="13"/>
              </w:rPr>
              <w:t>0</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9"/>
                <w:sz w:val="13"/>
              </w:rPr>
              <w:t>0</w:t>
            </w:r>
            <w:r>
              <w:rPr>
                <w:rFonts w:ascii="宋体"/>
                <w:sz w:val="13"/>
              </w:rPr>
            </w:r>
          </w:p>
        </w:tc>
      </w:tr>
      <w:tr>
        <w:trPr>
          <w:trHeight w:val="348"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3"/>
                <w:szCs w:val="13"/>
              </w:rPr>
            </w:pPr>
            <w:r>
              <w:rPr>
                <w:rFonts w:ascii="宋体"/>
                <w:sz w:val="13"/>
              </w:rPr>
              <w:t>30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3"/>
                <w:szCs w:val="13"/>
              </w:rPr>
            </w:pPr>
            <w:r>
              <w:rPr>
                <w:rFonts w:ascii="宋体" w:hAnsi="宋体" w:cs="宋体" w:eastAsia="宋体" w:hint="default"/>
                <w:sz w:val="13"/>
                <w:szCs w:val="13"/>
              </w:rPr>
              <w:t>九江新湖远洲置业有限公司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3"/>
                <w:szCs w:val="13"/>
              </w:rPr>
            </w:pPr>
            <w:r>
              <w:rPr>
                <w:rFonts w:ascii="宋体" w:hAnsi="宋体" w:cs="宋体" w:eastAsia="宋体" w:hint="default"/>
                <w:sz w:val="13"/>
                <w:szCs w:val="13"/>
              </w:rPr>
              <w:t>九江·柴桑春天</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70%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44" w:right="0"/>
              <w:jc w:val="center"/>
              <w:rPr>
                <w:rFonts w:ascii="宋体" w:hAnsi="宋体" w:cs="宋体" w:eastAsia="宋体" w:hint="default"/>
                <w:sz w:val="13"/>
                <w:szCs w:val="13"/>
              </w:rPr>
            </w:pPr>
            <w:r>
              <w:rPr>
                <w:rFonts w:ascii="宋体"/>
                <w:sz w:val="13"/>
              </w:rPr>
              <w:t>635,400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444,780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952,803</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666,962</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1,072,461</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750,723</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1,072,461</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1,072,461</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950,410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4,459,819</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13"/>
                <w:szCs w:val="13"/>
              </w:rPr>
            </w:pPr>
            <w:r>
              <w:rPr>
                <w:rFonts w:ascii="宋体"/>
                <w:w w:val="95"/>
                <w:sz w:val="13"/>
              </w:rPr>
              <w:t>946,480</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103"/>
              <w:jc w:val="right"/>
              <w:rPr>
                <w:rFonts w:ascii="宋体" w:hAnsi="宋体" w:cs="宋体" w:eastAsia="宋体" w:hint="default"/>
                <w:sz w:val="13"/>
                <w:szCs w:val="13"/>
              </w:rPr>
            </w:pPr>
            <w:r>
              <w:rPr>
                <w:rFonts w:ascii="宋体"/>
                <w:w w:val="95"/>
                <w:sz w:val="13"/>
              </w:rPr>
              <w:t>4,429,43</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9"/>
                <w:sz w:val="13"/>
              </w:rPr>
              <w:t>3</w:t>
            </w:r>
            <w:r>
              <w:rPr>
                <w:rFonts w:ascii="宋体"/>
                <w:sz w:val="13"/>
              </w:rPr>
            </w:r>
          </w:p>
        </w:tc>
      </w:tr>
      <w:tr>
        <w:trPr>
          <w:trHeight w:val="346"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3"/>
                <w:szCs w:val="13"/>
              </w:rPr>
            </w:pPr>
            <w:r>
              <w:rPr>
                <w:rFonts w:ascii="宋体"/>
                <w:sz w:val="13"/>
              </w:rPr>
              <w:t>31</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3"/>
                <w:szCs w:val="13"/>
              </w:rPr>
            </w:pPr>
            <w:r>
              <w:rPr>
                <w:rFonts w:ascii="宋体" w:hAnsi="宋体" w:cs="宋体" w:eastAsia="宋体" w:hint="default"/>
                <w:sz w:val="13"/>
                <w:szCs w:val="13"/>
              </w:rPr>
              <w:t>九江新湖中宝置业有限公司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3"/>
                <w:szCs w:val="13"/>
              </w:rPr>
            </w:pPr>
            <w:r>
              <w:rPr>
                <w:rFonts w:ascii="宋体" w:hAnsi="宋体" w:cs="宋体" w:eastAsia="宋体" w:hint="default"/>
                <w:sz w:val="13"/>
                <w:szCs w:val="13"/>
              </w:rPr>
              <w:t>九江·庐山国际</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44" w:right="0"/>
              <w:jc w:val="center"/>
              <w:rPr>
                <w:rFonts w:ascii="宋体" w:hAnsi="宋体" w:cs="宋体" w:eastAsia="宋体" w:hint="default"/>
                <w:sz w:val="13"/>
                <w:szCs w:val="13"/>
              </w:rPr>
            </w:pPr>
            <w:r>
              <w:rPr>
                <w:rFonts w:ascii="宋体"/>
                <w:sz w:val="13"/>
              </w:rPr>
              <w:t>406,935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406,935</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733,416</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733,416</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964,631</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964,631</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922,191</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653,427</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463,297</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3,001,491</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13"/>
                <w:szCs w:val="13"/>
              </w:rPr>
            </w:pPr>
            <w:r>
              <w:rPr>
                <w:rFonts w:ascii="宋体"/>
                <w:w w:val="95"/>
                <w:sz w:val="13"/>
              </w:rPr>
              <w:t>353,507</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103"/>
              <w:jc w:val="right"/>
              <w:rPr>
                <w:rFonts w:ascii="宋体" w:hAnsi="宋体" w:cs="宋体" w:eastAsia="宋体" w:hint="default"/>
                <w:sz w:val="13"/>
                <w:szCs w:val="13"/>
              </w:rPr>
            </w:pPr>
            <w:r>
              <w:rPr>
                <w:rFonts w:ascii="宋体"/>
                <w:w w:val="95"/>
                <w:sz w:val="13"/>
              </w:rPr>
              <w:t>2,168,53</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9"/>
                <w:sz w:val="13"/>
              </w:rPr>
              <w:t>3</w:t>
            </w:r>
            <w:r>
              <w:rPr>
                <w:rFonts w:ascii="宋体"/>
                <w:sz w:val="13"/>
              </w:rPr>
            </w:r>
          </w:p>
        </w:tc>
      </w:tr>
      <w:tr>
        <w:trPr>
          <w:trHeight w:val="348"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3"/>
                <w:szCs w:val="13"/>
              </w:rPr>
            </w:pPr>
            <w:r>
              <w:rPr>
                <w:rFonts w:ascii="宋体"/>
                <w:sz w:val="13"/>
              </w:rPr>
              <w:t>32</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3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4" w:right="0"/>
              <w:jc w:val="center"/>
              <w:rPr>
                <w:rFonts w:ascii="宋体" w:hAnsi="宋体" w:cs="宋体" w:eastAsia="宋体" w:hint="default"/>
                <w:sz w:val="13"/>
                <w:szCs w:val="13"/>
              </w:rPr>
            </w:pPr>
            <w:r>
              <w:rPr>
                <w:rFonts w:ascii="宋体"/>
                <w:sz w:val="13"/>
              </w:rPr>
              <w:t>3,214,707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2,903,219</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6,555,261</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5,997,554</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6,796,457</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6,132,808</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654,259</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477,468</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426,370</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2,723,331</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13"/>
                <w:szCs w:val="13"/>
              </w:rPr>
            </w:pPr>
            <w:r>
              <w:rPr>
                <w:rFonts w:ascii="宋体"/>
                <w:w w:val="95"/>
                <w:sz w:val="13"/>
              </w:rPr>
              <w:t>403,733</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2,387,28</w:t>
            </w:r>
            <w:r>
              <w:rPr>
                <w:rFonts w:ascii="宋体"/>
                <w:sz w:val="13"/>
              </w:rPr>
            </w:r>
          </w:p>
          <w:p>
            <w:pPr>
              <w:pStyle w:val="TableParagraph"/>
              <w:spacing w:line="240" w:lineRule="auto"/>
              <w:ind w:right="101"/>
              <w:jc w:val="right"/>
              <w:rPr>
                <w:rFonts w:ascii="宋体" w:hAnsi="宋体" w:cs="宋体" w:eastAsia="宋体" w:hint="default"/>
                <w:sz w:val="13"/>
                <w:szCs w:val="13"/>
              </w:rPr>
            </w:pPr>
            <w:r>
              <w:rPr>
                <w:rFonts w:ascii="宋体"/>
                <w:w w:val="99"/>
                <w:sz w:val="13"/>
              </w:rPr>
              <w:t>5</w:t>
            </w:r>
            <w:r>
              <w:rPr>
                <w:rFonts w:ascii="宋体"/>
                <w:sz w:val="13"/>
              </w:rPr>
            </w:r>
          </w:p>
        </w:tc>
      </w:tr>
      <w:tr>
        <w:trPr>
          <w:trHeight w:val="348" w:hRule="exact"/>
        </w:trPr>
        <w:tc>
          <w:tcPr>
            <w:tcW w:w="44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27" w:right="0"/>
              <w:jc w:val="center"/>
              <w:rPr>
                <w:rFonts w:ascii="宋体" w:hAnsi="宋体" w:cs="宋体" w:eastAsia="宋体" w:hint="default"/>
                <w:sz w:val="13"/>
                <w:szCs w:val="13"/>
              </w:rPr>
            </w:pPr>
            <w:r>
              <w:rPr>
                <w:rFonts w:ascii="宋体" w:hAnsi="宋体" w:cs="宋体" w:eastAsia="宋体" w:hint="default"/>
                <w:sz w:val="13"/>
                <w:szCs w:val="13"/>
              </w:rPr>
              <w:t>合计</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103"/>
              <w:jc w:val="right"/>
              <w:rPr>
                <w:rFonts w:ascii="宋体" w:hAnsi="宋体" w:cs="宋体" w:eastAsia="宋体" w:hint="default"/>
                <w:sz w:val="13"/>
                <w:szCs w:val="13"/>
              </w:rPr>
            </w:pPr>
            <w:r>
              <w:rPr>
                <w:rFonts w:ascii="宋体"/>
                <w:w w:val="95"/>
                <w:sz w:val="13"/>
              </w:rPr>
              <w:t>12,858,55</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9"/>
                <w:sz w:val="13"/>
              </w:rPr>
              <w:t>5</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103"/>
              <w:jc w:val="right"/>
              <w:rPr>
                <w:rFonts w:ascii="宋体" w:hAnsi="宋体" w:cs="宋体" w:eastAsia="宋体" w:hint="default"/>
                <w:sz w:val="13"/>
                <w:szCs w:val="13"/>
              </w:rPr>
            </w:pPr>
            <w:r>
              <w:rPr>
                <w:rFonts w:ascii="宋体"/>
                <w:w w:val="95"/>
                <w:sz w:val="13"/>
              </w:rPr>
              <w:t>11,243,34</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9"/>
                <w:sz w:val="13"/>
              </w:rPr>
              <w:t>7</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105"/>
              <w:jc w:val="right"/>
              <w:rPr>
                <w:rFonts w:ascii="宋体" w:hAnsi="宋体" w:cs="宋体" w:eastAsia="宋体" w:hint="default"/>
                <w:sz w:val="13"/>
                <w:szCs w:val="13"/>
              </w:rPr>
            </w:pPr>
            <w:r>
              <w:rPr>
                <w:rFonts w:ascii="宋体"/>
                <w:w w:val="95"/>
                <w:sz w:val="13"/>
              </w:rPr>
              <w:t>20,429,22</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9"/>
                <w:sz w:val="13"/>
              </w:rPr>
              <w:t>5</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103"/>
              <w:jc w:val="right"/>
              <w:rPr>
                <w:rFonts w:ascii="宋体" w:hAnsi="宋体" w:cs="宋体" w:eastAsia="宋体" w:hint="default"/>
                <w:sz w:val="13"/>
                <w:szCs w:val="13"/>
              </w:rPr>
            </w:pPr>
            <w:r>
              <w:rPr>
                <w:rFonts w:ascii="宋体"/>
                <w:w w:val="95"/>
                <w:sz w:val="13"/>
              </w:rPr>
              <w:t>18,400,20</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9"/>
                <w:sz w:val="13"/>
              </w:rPr>
              <w:t>0</w:t>
            </w:r>
            <w:r>
              <w:rPr>
                <w:rFonts w:ascii="宋体"/>
                <w:sz w:val="13"/>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107"/>
              <w:jc w:val="right"/>
              <w:rPr>
                <w:rFonts w:ascii="宋体" w:hAnsi="宋体" w:cs="宋体" w:eastAsia="宋体" w:hint="default"/>
                <w:sz w:val="13"/>
                <w:szCs w:val="13"/>
              </w:rPr>
            </w:pPr>
            <w:r>
              <w:rPr>
                <w:rFonts w:ascii="宋体"/>
                <w:w w:val="95"/>
                <w:sz w:val="13"/>
              </w:rPr>
              <w:t>24,357,12</w:t>
            </w:r>
            <w:r>
              <w:rPr>
                <w:rFonts w:ascii="宋体"/>
                <w:sz w:val="13"/>
              </w:rPr>
            </w:r>
          </w:p>
          <w:p>
            <w:pPr>
              <w:pStyle w:val="TableParagraph"/>
              <w:spacing w:line="169" w:lineRule="exact"/>
              <w:ind w:right="103"/>
              <w:jc w:val="right"/>
              <w:rPr>
                <w:rFonts w:ascii="宋体" w:hAnsi="宋体" w:cs="宋体" w:eastAsia="宋体" w:hint="default"/>
                <w:sz w:val="13"/>
                <w:szCs w:val="13"/>
              </w:rPr>
            </w:pPr>
            <w:r>
              <w:rPr>
                <w:rFonts w:ascii="宋体"/>
                <w:w w:val="99"/>
                <w:sz w:val="13"/>
              </w:rPr>
              <w:t>3</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107"/>
              <w:jc w:val="right"/>
              <w:rPr>
                <w:rFonts w:ascii="宋体" w:hAnsi="宋体" w:cs="宋体" w:eastAsia="宋体" w:hint="default"/>
                <w:sz w:val="13"/>
                <w:szCs w:val="13"/>
              </w:rPr>
            </w:pPr>
            <w:r>
              <w:rPr>
                <w:rFonts w:ascii="宋体"/>
                <w:w w:val="95"/>
                <w:sz w:val="13"/>
              </w:rPr>
              <w:t>21,728,62</w:t>
            </w:r>
            <w:r>
              <w:rPr>
                <w:rFonts w:ascii="宋体"/>
                <w:sz w:val="13"/>
              </w:rPr>
            </w:r>
          </w:p>
          <w:p>
            <w:pPr>
              <w:pStyle w:val="TableParagraph"/>
              <w:spacing w:line="169" w:lineRule="exact"/>
              <w:ind w:right="103"/>
              <w:jc w:val="right"/>
              <w:rPr>
                <w:rFonts w:ascii="宋体" w:hAnsi="宋体" w:cs="宋体" w:eastAsia="宋体" w:hint="default"/>
                <w:sz w:val="13"/>
                <w:szCs w:val="13"/>
              </w:rPr>
            </w:pPr>
            <w:r>
              <w:rPr>
                <w:rFonts w:ascii="宋体"/>
                <w:w w:val="99"/>
                <w:sz w:val="13"/>
              </w:rPr>
              <w:t>4</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104"/>
              <w:jc w:val="right"/>
              <w:rPr>
                <w:rFonts w:ascii="宋体" w:hAnsi="宋体" w:cs="宋体" w:eastAsia="宋体" w:hint="default"/>
                <w:sz w:val="13"/>
                <w:szCs w:val="13"/>
              </w:rPr>
            </w:pPr>
            <w:r>
              <w:rPr>
                <w:rFonts w:ascii="宋体"/>
                <w:w w:val="95"/>
                <w:sz w:val="13"/>
              </w:rPr>
              <w:t>14,170,06</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9"/>
                <w:sz w:val="13"/>
              </w:rPr>
              <w:t>3</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103"/>
              <w:jc w:val="right"/>
              <w:rPr>
                <w:rFonts w:ascii="宋体" w:hAnsi="宋体" w:cs="宋体" w:eastAsia="宋体" w:hint="default"/>
                <w:sz w:val="13"/>
                <w:szCs w:val="13"/>
              </w:rPr>
            </w:pPr>
            <w:r>
              <w:rPr>
                <w:rFonts w:ascii="宋体"/>
                <w:w w:val="95"/>
                <w:sz w:val="13"/>
              </w:rPr>
              <w:t>10,311,16</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9"/>
                <w:sz w:val="13"/>
              </w:rPr>
              <w:t>1</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103"/>
              <w:jc w:val="right"/>
              <w:rPr>
                <w:rFonts w:ascii="宋体" w:hAnsi="宋体" w:cs="宋体" w:eastAsia="宋体" w:hint="default"/>
                <w:sz w:val="13"/>
                <w:szCs w:val="13"/>
              </w:rPr>
            </w:pPr>
            <w:r>
              <w:rPr>
                <w:rFonts w:ascii="宋体"/>
                <w:w w:val="95"/>
                <w:sz w:val="13"/>
              </w:rPr>
              <w:t>8,811,70</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9"/>
                <w:sz w:val="13"/>
              </w:rPr>
              <w:t>7</w:t>
            </w:r>
            <w:r>
              <w:rPr>
                <w:rFonts w:ascii="宋体"/>
                <w:sz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103"/>
              <w:jc w:val="right"/>
              <w:rPr>
                <w:rFonts w:ascii="宋体" w:hAnsi="宋体" w:cs="宋体" w:eastAsia="宋体" w:hint="default"/>
                <w:sz w:val="13"/>
                <w:szCs w:val="13"/>
              </w:rPr>
            </w:pPr>
            <w:r>
              <w:rPr>
                <w:rFonts w:ascii="宋体"/>
                <w:w w:val="95"/>
                <w:sz w:val="13"/>
              </w:rPr>
              <w:t>89,304,37</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9"/>
                <w:sz w:val="13"/>
              </w:rPr>
              <w:t>0</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101"/>
              <w:jc w:val="right"/>
              <w:rPr>
                <w:rFonts w:ascii="宋体" w:hAnsi="宋体" w:cs="宋体" w:eastAsia="宋体" w:hint="default"/>
                <w:sz w:val="13"/>
                <w:szCs w:val="13"/>
              </w:rPr>
            </w:pPr>
            <w:r>
              <w:rPr>
                <w:rFonts w:ascii="宋体"/>
                <w:w w:val="95"/>
                <w:sz w:val="13"/>
              </w:rPr>
              <w:t>7,587,12</w:t>
            </w:r>
            <w:r>
              <w:rPr>
                <w:rFonts w:ascii="宋体"/>
                <w:sz w:val="13"/>
              </w:rPr>
            </w:r>
          </w:p>
          <w:p>
            <w:pPr>
              <w:pStyle w:val="TableParagraph"/>
              <w:spacing w:line="169" w:lineRule="exact"/>
              <w:ind w:right="98"/>
              <w:jc w:val="right"/>
              <w:rPr>
                <w:rFonts w:ascii="宋体" w:hAnsi="宋体" w:cs="宋体" w:eastAsia="宋体" w:hint="default"/>
                <w:sz w:val="13"/>
                <w:szCs w:val="13"/>
              </w:rPr>
            </w:pPr>
            <w:r>
              <w:rPr>
                <w:rFonts w:ascii="宋体"/>
                <w:w w:val="99"/>
                <w:sz w:val="13"/>
              </w:rPr>
              <w:t>6</w:t>
            </w:r>
            <w:r>
              <w:rPr>
                <w:rFonts w:ascii="宋体"/>
                <w:sz w:val="13"/>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103"/>
              <w:jc w:val="right"/>
              <w:rPr>
                <w:rFonts w:ascii="宋体" w:hAnsi="宋体" w:cs="宋体" w:eastAsia="宋体" w:hint="default"/>
                <w:sz w:val="13"/>
                <w:szCs w:val="13"/>
              </w:rPr>
            </w:pPr>
            <w:r>
              <w:rPr>
                <w:rFonts w:ascii="宋体"/>
                <w:w w:val="95"/>
                <w:sz w:val="13"/>
              </w:rPr>
              <w:t>72,020,5</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5"/>
                <w:sz w:val="13"/>
              </w:rPr>
              <w:t>31</w:t>
            </w:r>
            <w:r>
              <w:rPr>
                <w:rFonts w:ascii="宋体"/>
                <w:sz w:val="13"/>
              </w:rPr>
            </w:r>
          </w:p>
        </w:tc>
      </w:tr>
    </w:tbl>
    <w:p>
      <w:pPr>
        <w:spacing w:line="240" w:lineRule="auto" w:before="0"/>
        <w:rPr>
          <w:rFonts w:ascii="宋体" w:hAnsi="宋体" w:cs="宋体" w:eastAsia="宋体" w:hint="default"/>
          <w:sz w:val="20"/>
          <w:szCs w:val="20"/>
        </w:rPr>
      </w:pPr>
    </w:p>
    <w:p>
      <w:pPr>
        <w:pStyle w:val="BodyText"/>
        <w:spacing w:line="240" w:lineRule="auto" w:before="163"/>
        <w:ind w:left="700" w:right="0"/>
        <w:jc w:val="left"/>
      </w:pPr>
      <w:r>
        <w:rPr>
          <w:rFonts w:ascii="宋体" w:hAnsi="宋体" w:cs="宋体" w:eastAsia="宋体" w:hint="default"/>
        </w:rPr>
        <w:t>2017</w:t>
      </w:r>
      <w:r>
        <w:rPr>
          <w:rFonts w:ascii="宋体" w:hAnsi="宋体" w:cs="宋体" w:eastAsia="宋体" w:hint="default"/>
          <w:spacing w:val="-61"/>
        </w:rPr>
        <w:t> </w:t>
      </w:r>
      <w:r>
        <w:rPr/>
        <w:t>年度海涂开发项目情况表</w:t>
      </w:r>
    </w:p>
    <w:p>
      <w:pPr>
        <w:spacing w:line="240" w:lineRule="auto" w:before="6"/>
        <w:rPr>
          <w:rFonts w:ascii="宋体" w:hAnsi="宋体" w:cs="宋体" w:eastAsia="宋体" w:hint="default"/>
          <w:sz w:val="9"/>
          <w:szCs w:val="9"/>
        </w:rPr>
      </w:pPr>
    </w:p>
    <w:p>
      <w:pPr>
        <w:spacing w:before="36"/>
        <w:ind w:left="0" w:right="219" w:firstLine="0"/>
        <w:jc w:val="right"/>
        <w:rPr>
          <w:rFonts w:ascii="宋体" w:hAnsi="宋体" w:cs="宋体" w:eastAsia="宋体" w:hint="default"/>
          <w:sz w:val="21"/>
          <w:szCs w:val="21"/>
        </w:rPr>
      </w:pPr>
      <w:r>
        <w:rPr>
          <w:rFonts w:ascii="宋体" w:hAnsi="宋体" w:cs="宋体" w:eastAsia="宋体" w:hint="default"/>
          <w:spacing w:val="-2"/>
          <w:sz w:val="21"/>
          <w:szCs w:val="21"/>
        </w:rPr>
        <w:t>面积单位：平方米</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4165"/>
        <w:gridCol w:w="2095"/>
        <w:gridCol w:w="1292"/>
        <w:gridCol w:w="2050"/>
        <w:gridCol w:w="1793"/>
        <w:gridCol w:w="2696"/>
      </w:tblGrid>
      <w:tr>
        <w:trPr>
          <w:trHeight w:val="514"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24"/>
                <w:szCs w:val="24"/>
              </w:rPr>
            </w:pPr>
            <w:r>
              <w:rPr>
                <w:rFonts w:ascii="宋体" w:hAnsi="宋体" w:cs="宋体" w:eastAsia="宋体" w:hint="default"/>
                <w:b/>
                <w:bCs/>
                <w:sz w:val="24"/>
                <w:szCs w:val="24"/>
              </w:rPr>
              <w:t>公司名称</w:t>
            </w:r>
            <w:r>
              <w:rPr>
                <w:rFonts w:ascii="宋体" w:hAnsi="宋体" w:cs="宋体" w:eastAsia="宋体" w:hint="default"/>
                <w:sz w:val="24"/>
                <w:szCs w:val="24"/>
              </w:rPr>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99" w:right="0"/>
              <w:jc w:val="left"/>
              <w:rPr>
                <w:rFonts w:ascii="宋体" w:hAnsi="宋体" w:cs="宋体" w:eastAsia="宋体" w:hint="default"/>
                <w:sz w:val="22"/>
                <w:szCs w:val="22"/>
              </w:rPr>
            </w:pPr>
            <w:r>
              <w:rPr>
                <w:rFonts w:ascii="宋体" w:hAnsi="宋体" w:cs="宋体" w:eastAsia="宋体" w:hint="default"/>
                <w:b/>
                <w:bCs/>
                <w:sz w:val="22"/>
                <w:szCs w:val="22"/>
              </w:rPr>
              <w:t>项目名称</w:t>
            </w:r>
            <w:r>
              <w:rPr>
                <w:rFonts w:ascii="宋体" w:hAnsi="宋体" w:cs="宋体" w:eastAsia="宋体" w:hint="default"/>
                <w:sz w:val="22"/>
                <w:szCs w:val="22"/>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3"/>
              <w:jc w:val="center"/>
              <w:rPr>
                <w:rFonts w:ascii="宋体" w:hAnsi="宋体" w:cs="宋体" w:eastAsia="宋体" w:hint="default"/>
                <w:sz w:val="22"/>
                <w:szCs w:val="22"/>
              </w:rPr>
            </w:pPr>
            <w:r>
              <w:rPr>
                <w:rFonts w:ascii="宋体" w:hAnsi="宋体" w:cs="宋体" w:eastAsia="宋体" w:hint="default"/>
                <w:b/>
                <w:bCs/>
                <w:sz w:val="22"/>
                <w:szCs w:val="22"/>
              </w:rPr>
              <w:t>权益</w:t>
            </w:r>
            <w:r>
              <w:rPr>
                <w:rFonts w:ascii="宋体" w:hAnsi="宋体" w:cs="宋体" w:eastAsia="宋体" w:hint="default"/>
                <w:sz w:val="22"/>
                <w:szCs w:val="22"/>
              </w:rPr>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37" w:right="0"/>
              <w:jc w:val="left"/>
              <w:rPr>
                <w:rFonts w:ascii="宋体" w:hAnsi="宋体" w:cs="宋体" w:eastAsia="宋体" w:hint="default"/>
                <w:sz w:val="24"/>
                <w:szCs w:val="24"/>
              </w:rPr>
            </w:pPr>
            <w:r>
              <w:rPr>
                <w:rFonts w:ascii="宋体" w:hAnsi="宋体" w:cs="宋体" w:eastAsia="宋体" w:hint="default"/>
                <w:b/>
                <w:bCs/>
                <w:sz w:val="24"/>
                <w:szCs w:val="24"/>
              </w:rPr>
              <w:t>占地面积</w:t>
            </w:r>
            <w:r>
              <w:rPr>
                <w:rFonts w:ascii="宋体" w:hAnsi="宋体" w:cs="宋体" w:eastAsia="宋体" w:hint="default"/>
                <w:sz w:val="24"/>
                <w:szCs w:val="24"/>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4"/>
                <w:szCs w:val="24"/>
              </w:rPr>
            </w:pPr>
            <w:r>
              <w:rPr>
                <w:rFonts w:ascii="宋体" w:hAnsi="宋体" w:cs="宋体" w:eastAsia="宋体" w:hint="default"/>
                <w:b/>
                <w:bCs/>
                <w:sz w:val="24"/>
                <w:szCs w:val="24"/>
              </w:rPr>
              <w:t>权益占地面积</w:t>
            </w:r>
            <w:r>
              <w:rPr>
                <w:rFonts w:ascii="宋体" w:hAnsi="宋体" w:cs="宋体" w:eastAsia="宋体" w:hint="default"/>
                <w:sz w:val="24"/>
                <w:szCs w:val="24"/>
              </w:rPr>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59" w:right="0"/>
              <w:jc w:val="left"/>
              <w:rPr>
                <w:rFonts w:ascii="宋体" w:hAnsi="宋体" w:cs="宋体" w:eastAsia="宋体" w:hint="default"/>
                <w:sz w:val="24"/>
                <w:szCs w:val="24"/>
              </w:rPr>
            </w:pPr>
            <w:r>
              <w:rPr>
                <w:rFonts w:ascii="宋体" w:hAnsi="宋体" w:cs="宋体" w:eastAsia="宋体" w:hint="default"/>
                <w:b/>
                <w:bCs/>
                <w:sz w:val="24"/>
                <w:szCs w:val="24"/>
              </w:rPr>
              <w:t>已完成海涂开发面积</w:t>
            </w:r>
            <w:r>
              <w:rPr>
                <w:rFonts w:ascii="宋体" w:hAnsi="宋体" w:cs="宋体" w:eastAsia="宋体" w:hint="default"/>
                <w:sz w:val="24"/>
                <w:szCs w:val="24"/>
              </w:rPr>
            </w:r>
          </w:p>
        </w:tc>
      </w:tr>
      <w:tr>
        <w:trPr>
          <w:trHeight w:val="603"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21"/>
                <w:szCs w:val="21"/>
              </w:rPr>
            </w:pPr>
            <w:r>
              <w:rPr>
                <w:rFonts w:ascii="宋体" w:hAnsi="宋体" w:cs="宋体" w:eastAsia="宋体" w:hint="default"/>
                <w:sz w:val="21"/>
                <w:szCs w:val="21"/>
              </w:rPr>
              <w:t>启东新湖投资开发有限公司</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21"/>
                <w:szCs w:val="21"/>
              </w:rPr>
            </w:pPr>
            <w:r>
              <w:rPr>
                <w:rFonts w:ascii="宋体" w:hAnsi="宋体" w:cs="宋体" w:eastAsia="宋体" w:hint="default"/>
                <w:sz w:val="21"/>
                <w:szCs w:val="21"/>
              </w:rPr>
              <w:t>启东圆陀角项目</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21"/>
                <w:szCs w:val="21"/>
              </w:rPr>
            </w:pPr>
            <w:r>
              <w:rPr>
                <w:rFonts w:ascii="宋体"/>
                <w:sz w:val="21"/>
              </w:rPr>
              <w:t>100%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21"/>
                <w:szCs w:val="21"/>
              </w:rPr>
            </w:pPr>
            <w:r>
              <w:rPr>
                <w:rFonts w:ascii="宋体"/>
                <w:spacing w:val="-1"/>
                <w:sz w:val="21"/>
              </w:rPr>
              <w:t>4,000,000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21"/>
                <w:szCs w:val="21"/>
              </w:rPr>
            </w:pPr>
            <w:r>
              <w:rPr>
                <w:rFonts w:ascii="宋体"/>
                <w:spacing w:val="-1"/>
                <w:sz w:val="21"/>
              </w:rPr>
              <w:t>4,000,000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宋体" w:hAnsi="宋体" w:cs="宋体" w:eastAsia="宋体" w:hint="default"/>
                <w:sz w:val="21"/>
                <w:szCs w:val="21"/>
              </w:rPr>
            </w:pPr>
            <w:r>
              <w:rPr>
                <w:rFonts w:ascii="宋体"/>
                <w:spacing w:val="-1"/>
                <w:sz w:val="21"/>
              </w:rPr>
              <w:t>2,621,186</w:t>
            </w:r>
          </w:p>
        </w:tc>
      </w:tr>
      <w:tr>
        <w:trPr>
          <w:trHeight w:val="550"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平阳县利得海涂围垦开发有限公司</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温州西湾项目</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80%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8,060,000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6,448,000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3,490,000</w:t>
            </w:r>
          </w:p>
        </w:tc>
      </w:tr>
    </w:tbl>
    <w:p>
      <w:pPr>
        <w:spacing w:after="0" w:line="240" w:lineRule="auto"/>
        <w:jc w:val="right"/>
        <w:rPr>
          <w:rFonts w:ascii="宋体" w:hAnsi="宋体" w:cs="宋体" w:eastAsia="宋体" w:hint="default"/>
          <w:sz w:val="21"/>
          <w:szCs w:val="21"/>
        </w:rPr>
        <w:sectPr>
          <w:pgSz w:w="16840" w:h="11910" w:orient="landscape"/>
          <w:pgMar w:header="882" w:footer="1195" w:top="1120" w:bottom="1380" w:left="1220" w:right="13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before="26"/>
        <w:ind w:left="700" w:right="0"/>
        <w:jc w:val="left"/>
      </w:pP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61"/>
        </w:rPr>
        <w:t> </w:t>
      </w:r>
      <w:r>
        <w:rPr/>
        <w:t>年度房地产项目总建筑面积按地区分布图</w:t>
      </w:r>
    </w:p>
    <w:p>
      <w:pPr>
        <w:spacing w:line="240" w:lineRule="auto" w:before="9"/>
        <w:rPr>
          <w:rFonts w:ascii="宋体" w:hAnsi="宋体" w:cs="宋体" w:eastAsia="宋体" w:hint="default"/>
          <w:sz w:val="14"/>
          <w:szCs w:val="14"/>
        </w:rPr>
      </w:pPr>
    </w:p>
    <w:p>
      <w:pPr>
        <w:spacing w:line="4440" w:lineRule="exact"/>
        <w:ind w:left="4051" w:right="0" w:firstLine="0"/>
        <w:rPr>
          <w:rFonts w:ascii="宋体" w:hAnsi="宋体" w:cs="宋体" w:eastAsia="宋体" w:hint="default"/>
          <w:sz w:val="20"/>
          <w:szCs w:val="20"/>
        </w:rPr>
      </w:pPr>
      <w:r>
        <w:rPr>
          <w:rFonts w:ascii="宋体" w:hAnsi="宋体" w:cs="宋体" w:eastAsia="宋体" w:hint="default"/>
          <w:position w:val="-88"/>
          <w:sz w:val="20"/>
          <w:szCs w:val="20"/>
        </w:rPr>
        <w:drawing>
          <wp:inline distT="0" distB="0" distL="0" distR="0">
            <wp:extent cx="4267199" cy="28194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6" cstate="print"/>
                    <a:stretch>
                      <a:fillRect/>
                    </a:stretch>
                  </pic:blipFill>
                  <pic:spPr>
                    <a:xfrm>
                      <a:off x="0" y="0"/>
                      <a:ext cx="4267199" cy="2819400"/>
                    </a:xfrm>
                    <a:prstGeom prst="rect">
                      <a:avLst/>
                    </a:prstGeom>
                  </pic:spPr>
                </pic:pic>
              </a:graphicData>
            </a:graphic>
          </wp:inline>
        </w:drawing>
      </w:r>
      <w:r>
        <w:rPr>
          <w:rFonts w:ascii="宋体" w:hAnsi="宋体" w:cs="宋体" w:eastAsia="宋体" w:hint="default"/>
          <w:position w:val="-88"/>
          <w:sz w:val="20"/>
          <w:szCs w:val="20"/>
        </w:rPr>
      </w:r>
    </w:p>
    <w:p>
      <w:pPr>
        <w:pStyle w:val="BodyText"/>
        <w:spacing w:line="240" w:lineRule="auto" w:before="116"/>
        <w:ind w:left="700" w:right="0"/>
        <w:jc w:val="left"/>
      </w:pPr>
      <w:r>
        <w:rPr>
          <w:rFonts w:ascii="宋体" w:hAnsi="宋体" w:cs="宋体" w:eastAsia="宋体" w:hint="default"/>
        </w:rPr>
        <w:t>3</w:t>
      </w:r>
      <w:r>
        <w:rPr/>
        <w:t>）</w:t>
      </w:r>
      <w:r>
        <w:rPr>
          <w:rFonts w:ascii="宋体" w:hAnsi="宋体" w:cs="宋体" w:eastAsia="宋体" w:hint="default"/>
        </w:rPr>
        <w:t>2017</w:t>
      </w:r>
      <w:r>
        <w:rPr>
          <w:rFonts w:ascii="宋体" w:hAnsi="宋体" w:cs="宋体" w:eastAsia="宋体" w:hint="default"/>
          <w:spacing w:val="-61"/>
        </w:rPr>
        <w:t> </w:t>
      </w:r>
      <w:r>
        <w:rPr/>
        <w:t>年度主要房地产项目开发情况一览表</w:t>
      </w:r>
    </w:p>
    <w:p>
      <w:pPr>
        <w:spacing w:line="240" w:lineRule="auto" w:before="6"/>
        <w:rPr>
          <w:rFonts w:ascii="宋体" w:hAnsi="宋体" w:cs="宋体" w:eastAsia="宋体" w:hint="default"/>
          <w:sz w:val="9"/>
          <w:szCs w:val="9"/>
        </w:rPr>
      </w:pPr>
    </w:p>
    <w:p>
      <w:pPr>
        <w:tabs>
          <w:tab w:pos="10630" w:val="left" w:leader="none"/>
          <w:tab w:pos="12836" w:val="left" w:leader="none"/>
        </w:tabs>
        <w:spacing w:before="36"/>
        <w:ind w:left="8424" w:right="0" w:firstLine="0"/>
        <w:jc w:val="left"/>
        <w:rPr>
          <w:rFonts w:ascii="宋体" w:hAnsi="宋体" w:cs="宋体" w:eastAsia="宋体" w:hint="default"/>
          <w:sz w:val="21"/>
          <w:szCs w:val="21"/>
        </w:rPr>
      </w:pPr>
      <w:r>
        <w:rPr>
          <w:rFonts w:ascii="宋体" w:hAnsi="宋体" w:cs="宋体" w:eastAsia="宋体" w:hint="default"/>
          <w:spacing w:val="-2"/>
          <w:sz w:val="21"/>
          <w:szCs w:val="21"/>
        </w:rPr>
        <w:t>面积单位：平方米</w:t>
        <w:tab/>
        <w:t>金额单位：千元</w:t>
        <w:tab/>
        <w:t>币种：人民币</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519"/>
        <w:gridCol w:w="2467"/>
        <w:gridCol w:w="1729"/>
        <w:gridCol w:w="1246"/>
        <w:gridCol w:w="893"/>
        <w:gridCol w:w="984"/>
        <w:gridCol w:w="934"/>
        <w:gridCol w:w="1061"/>
        <w:gridCol w:w="958"/>
        <w:gridCol w:w="1025"/>
        <w:gridCol w:w="1126"/>
        <w:gridCol w:w="1150"/>
      </w:tblGrid>
      <w:tr>
        <w:trPr>
          <w:trHeight w:val="641"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sz w:val="15"/>
                <w:szCs w:val="15"/>
              </w:rPr>
              <w:t>序号</w:t>
            </w:r>
            <w:r>
              <w:rPr>
                <w:rFonts w:ascii="宋体" w:hAnsi="宋体" w:cs="宋体" w:eastAsia="宋体" w:hint="default"/>
                <w:sz w:val="15"/>
                <w:szCs w:val="15"/>
              </w:rPr>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sz w:val="15"/>
                <w:szCs w:val="15"/>
              </w:rPr>
              <w:t>公司名称</w:t>
            </w:r>
            <w:r>
              <w:rPr>
                <w:rFonts w:ascii="宋体" w:hAnsi="宋体" w:cs="宋体" w:eastAsia="宋体" w:hint="default"/>
                <w:sz w:val="15"/>
                <w:szCs w:val="15"/>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56" w:right="0"/>
              <w:jc w:val="left"/>
              <w:rPr>
                <w:rFonts w:ascii="宋体" w:hAnsi="宋体" w:cs="宋体" w:eastAsia="宋体" w:hint="default"/>
                <w:sz w:val="15"/>
                <w:szCs w:val="15"/>
              </w:rPr>
            </w:pPr>
            <w:r>
              <w:rPr>
                <w:rFonts w:ascii="宋体" w:hAnsi="宋体" w:cs="宋体" w:eastAsia="宋体" w:hint="default"/>
                <w:b/>
                <w:bCs/>
                <w:sz w:val="15"/>
                <w:szCs w:val="15"/>
              </w:rPr>
              <w:t>项目名称</w:t>
            </w:r>
            <w:r>
              <w:rPr>
                <w:rFonts w:ascii="宋体" w:hAnsi="宋体" w:cs="宋体" w:eastAsia="宋体" w:hint="default"/>
                <w:sz w:val="15"/>
                <w:szCs w:val="15"/>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68" w:right="0"/>
              <w:jc w:val="left"/>
              <w:rPr>
                <w:rFonts w:ascii="宋体" w:hAnsi="宋体" w:cs="宋体" w:eastAsia="宋体" w:hint="default"/>
                <w:sz w:val="15"/>
                <w:szCs w:val="15"/>
              </w:rPr>
            </w:pPr>
            <w:r>
              <w:rPr>
                <w:rFonts w:ascii="宋体" w:hAnsi="宋体" w:cs="宋体" w:eastAsia="宋体" w:hint="default"/>
                <w:b/>
                <w:bCs/>
                <w:sz w:val="15"/>
                <w:szCs w:val="15"/>
              </w:rPr>
              <w:t>类别</w:t>
            </w:r>
            <w:r>
              <w:rPr>
                <w:rFonts w:ascii="宋体" w:hAnsi="宋体" w:cs="宋体" w:eastAsia="宋体" w:hint="default"/>
                <w:sz w:val="15"/>
                <w:szCs w:val="15"/>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64" w:right="137" w:hanging="226"/>
              <w:jc w:val="left"/>
              <w:rPr>
                <w:rFonts w:ascii="宋体" w:hAnsi="宋体" w:cs="宋体" w:eastAsia="宋体" w:hint="default"/>
                <w:sz w:val="15"/>
                <w:szCs w:val="15"/>
              </w:rPr>
            </w:pPr>
            <w:r>
              <w:rPr>
                <w:rFonts w:ascii="宋体" w:hAnsi="宋体" w:cs="宋体" w:eastAsia="宋体" w:hint="default"/>
                <w:b/>
                <w:bCs/>
                <w:sz w:val="15"/>
                <w:szCs w:val="15"/>
              </w:rPr>
              <w:t>新开工面</w:t>
            </w:r>
            <w:r>
              <w:rPr>
                <w:rFonts w:ascii="宋体" w:hAnsi="宋体" w:cs="宋体" w:eastAsia="宋体" w:hint="default"/>
                <w:b/>
                <w:bCs/>
                <w:spacing w:val="-74"/>
                <w:sz w:val="15"/>
                <w:szCs w:val="15"/>
              </w:rPr>
              <w:t> </w:t>
            </w:r>
            <w:r>
              <w:rPr>
                <w:rFonts w:ascii="宋体" w:hAnsi="宋体" w:cs="宋体" w:eastAsia="宋体" w:hint="default"/>
                <w:b/>
                <w:bCs/>
                <w:sz w:val="15"/>
                <w:szCs w:val="15"/>
              </w:rPr>
              <w:t>积</w:t>
            </w:r>
            <w:r>
              <w:rPr>
                <w:rFonts w:ascii="宋体" w:hAnsi="宋体" w:cs="宋体" w:eastAsia="宋体" w:hint="default"/>
                <w:sz w:val="15"/>
                <w:szCs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5"/>
                <w:szCs w:val="15"/>
              </w:rPr>
            </w:pPr>
            <w:r>
              <w:rPr>
                <w:rFonts w:ascii="宋体" w:hAnsi="宋体" w:cs="宋体" w:eastAsia="宋体" w:hint="default"/>
                <w:b/>
                <w:bCs/>
                <w:sz w:val="15"/>
                <w:szCs w:val="15"/>
              </w:rPr>
              <w:t>新竣工面积</w:t>
            </w:r>
            <w:r>
              <w:rPr>
                <w:rFonts w:ascii="宋体" w:hAnsi="宋体" w:cs="宋体" w:eastAsia="宋体" w:hint="default"/>
                <w:sz w:val="15"/>
                <w:szCs w:val="15"/>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60" w:right="156"/>
              <w:jc w:val="left"/>
              <w:rPr>
                <w:rFonts w:ascii="宋体" w:hAnsi="宋体" w:cs="宋体" w:eastAsia="宋体" w:hint="default"/>
                <w:sz w:val="15"/>
                <w:szCs w:val="15"/>
              </w:rPr>
            </w:pPr>
            <w:r>
              <w:rPr>
                <w:rFonts w:ascii="宋体" w:hAnsi="宋体" w:cs="宋体" w:eastAsia="宋体" w:hint="default"/>
                <w:b/>
                <w:bCs/>
                <w:sz w:val="15"/>
                <w:szCs w:val="15"/>
              </w:rPr>
              <w:t>期末在建</w:t>
            </w:r>
            <w:r>
              <w:rPr>
                <w:rFonts w:ascii="宋体" w:hAnsi="宋体" w:cs="宋体" w:eastAsia="宋体" w:hint="default"/>
                <w:b/>
                <w:bCs/>
                <w:spacing w:val="-74"/>
                <w:sz w:val="15"/>
                <w:szCs w:val="15"/>
              </w:rPr>
              <w:t> </w:t>
            </w:r>
            <w:r>
              <w:rPr>
                <w:rFonts w:ascii="宋体" w:hAnsi="宋体" w:cs="宋体" w:eastAsia="宋体" w:hint="default"/>
                <w:b/>
                <w:bCs/>
                <w:sz w:val="15"/>
                <w:szCs w:val="15"/>
              </w:rPr>
              <w:t>楼面面积</w:t>
            </w:r>
            <w:r>
              <w:rPr>
                <w:rFonts w:ascii="宋体" w:hAnsi="宋体" w:cs="宋体" w:eastAsia="宋体" w:hint="default"/>
                <w:sz w:val="15"/>
                <w:szCs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48" w:right="144"/>
              <w:jc w:val="left"/>
              <w:rPr>
                <w:rFonts w:ascii="宋体" w:hAnsi="宋体" w:cs="宋体" w:eastAsia="宋体" w:hint="default"/>
                <w:sz w:val="15"/>
                <w:szCs w:val="15"/>
              </w:rPr>
            </w:pPr>
            <w:r>
              <w:rPr>
                <w:rFonts w:ascii="宋体" w:hAnsi="宋体" w:cs="宋体" w:eastAsia="宋体" w:hint="default"/>
                <w:b/>
                <w:bCs/>
                <w:sz w:val="15"/>
                <w:szCs w:val="15"/>
              </w:rPr>
              <w:t>期末可供出</w:t>
            </w:r>
            <w:r>
              <w:rPr>
                <w:rFonts w:ascii="宋体" w:hAnsi="宋体" w:cs="宋体" w:eastAsia="宋体" w:hint="default"/>
                <w:b/>
                <w:bCs/>
                <w:spacing w:val="-73"/>
                <w:sz w:val="15"/>
                <w:szCs w:val="15"/>
              </w:rPr>
              <w:t> </w:t>
            </w:r>
            <w:r>
              <w:rPr>
                <w:rFonts w:ascii="宋体" w:hAnsi="宋体" w:cs="宋体" w:eastAsia="宋体" w:hint="default"/>
                <w:b/>
                <w:bCs/>
                <w:sz w:val="15"/>
                <w:szCs w:val="15"/>
              </w:rPr>
              <w:t>售楼面面积</w:t>
            </w:r>
            <w:r>
              <w:rPr>
                <w:rFonts w:ascii="宋体" w:hAnsi="宋体" w:cs="宋体" w:eastAsia="宋体" w:hint="default"/>
                <w:sz w:val="15"/>
                <w:szCs w:val="15"/>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24" w:right="170" w:hanging="152"/>
              <w:jc w:val="left"/>
              <w:rPr>
                <w:rFonts w:ascii="宋体" w:hAnsi="宋体" w:cs="宋体" w:eastAsia="宋体" w:hint="default"/>
                <w:sz w:val="15"/>
                <w:szCs w:val="15"/>
              </w:rPr>
            </w:pPr>
            <w:r>
              <w:rPr>
                <w:rFonts w:ascii="宋体" w:hAnsi="宋体" w:cs="宋体" w:eastAsia="宋体" w:hint="default"/>
                <w:b/>
                <w:bCs/>
                <w:sz w:val="15"/>
                <w:szCs w:val="15"/>
              </w:rPr>
              <w:t>合同销售</w:t>
            </w:r>
            <w:r>
              <w:rPr>
                <w:rFonts w:ascii="宋体" w:hAnsi="宋体" w:cs="宋体" w:eastAsia="宋体" w:hint="default"/>
                <w:b/>
                <w:bCs/>
                <w:spacing w:val="-74"/>
                <w:sz w:val="15"/>
                <w:szCs w:val="15"/>
              </w:rPr>
              <w:t> </w:t>
            </w:r>
            <w:r>
              <w:rPr>
                <w:rFonts w:ascii="宋体" w:hAnsi="宋体" w:cs="宋体" w:eastAsia="宋体" w:hint="default"/>
                <w:b/>
                <w:bCs/>
                <w:sz w:val="15"/>
                <w:szCs w:val="15"/>
              </w:rPr>
              <w:t>面积</w:t>
            </w:r>
            <w:r>
              <w:rPr>
                <w:rFonts w:ascii="宋体" w:hAnsi="宋体" w:cs="宋体" w:eastAsia="宋体" w:hint="default"/>
                <w:sz w:val="15"/>
                <w:szCs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29" w:right="127" w:hanging="300"/>
              <w:jc w:val="left"/>
              <w:rPr>
                <w:rFonts w:ascii="宋体" w:hAnsi="宋体" w:cs="宋体" w:eastAsia="宋体" w:hint="default"/>
                <w:sz w:val="15"/>
                <w:szCs w:val="15"/>
              </w:rPr>
            </w:pPr>
            <w:r>
              <w:rPr>
                <w:rFonts w:ascii="宋体" w:hAnsi="宋体" w:cs="宋体" w:eastAsia="宋体" w:hint="default"/>
                <w:b/>
                <w:bCs/>
                <w:sz w:val="15"/>
                <w:szCs w:val="15"/>
              </w:rPr>
              <w:t>合同销售收</w:t>
            </w:r>
            <w:r>
              <w:rPr>
                <w:rFonts w:ascii="宋体" w:hAnsi="宋体" w:cs="宋体" w:eastAsia="宋体" w:hint="default"/>
                <w:b/>
                <w:bCs/>
                <w:spacing w:val="-73"/>
                <w:sz w:val="15"/>
                <w:szCs w:val="15"/>
              </w:rPr>
              <w:t> </w:t>
            </w:r>
            <w:r>
              <w:rPr>
                <w:rFonts w:ascii="宋体" w:hAnsi="宋体" w:cs="宋体" w:eastAsia="宋体" w:hint="default"/>
                <w:b/>
                <w:bCs/>
                <w:sz w:val="15"/>
                <w:szCs w:val="15"/>
              </w:rPr>
              <w:t>入</w:t>
            </w:r>
            <w:r>
              <w:rPr>
                <w:rFonts w:ascii="宋体" w:hAnsi="宋体" w:cs="宋体" w:eastAsia="宋体" w:hint="default"/>
                <w:sz w:val="15"/>
                <w:szCs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b/>
                <w:bCs/>
                <w:sz w:val="15"/>
                <w:szCs w:val="15"/>
              </w:rPr>
              <w:t>结算面积</w:t>
            </w:r>
            <w:r>
              <w:rPr>
                <w:rFonts w:ascii="宋体" w:hAnsi="宋体" w:cs="宋体" w:eastAsia="宋体" w:hint="default"/>
                <w:sz w:val="15"/>
                <w:szCs w:val="15"/>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b/>
                <w:bCs/>
                <w:sz w:val="15"/>
                <w:szCs w:val="15"/>
              </w:rPr>
              <w:t>结算收入</w:t>
            </w:r>
            <w:r>
              <w:rPr>
                <w:rFonts w:ascii="宋体" w:hAnsi="宋体" w:cs="宋体" w:eastAsia="宋体" w:hint="default"/>
                <w:sz w:val="15"/>
                <w:szCs w:val="15"/>
              </w:rPr>
            </w:r>
          </w:p>
        </w:tc>
      </w:tr>
      <w:tr>
        <w:trPr>
          <w:trHeight w:val="372" w:hRule="exact"/>
        </w:trPr>
        <w:tc>
          <w:tcPr>
            <w:tcW w:w="5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5"/>
                <w:szCs w:val="15"/>
              </w:rPr>
            </w:pPr>
            <w:r>
              <w:rPr>
                <w:rFonts w:ascii="宋体"/>
                <w:w w:val="100"/>
                <w:sz w:val="15"/>
              </w:rPr>
              <w:t>1</w:t>
            </w:r>
          </w:p>
        </w:tc>
        <w:tc>
          <w:tcPr>
            <w:tcW w:w="246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沈阳新湖房地产开发有限公司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沈阳·北国之春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68" w:right="0"/>
              <w:jc w:val="left"/>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77,354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77,354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宋体" w:hAnsi="宋体" w:cs="宋体" w:eastAsia="宋体" w:hint="default"/>
                <w:sz w:val="15"/>
                <w:szCs w:val="15"/>
              </w:rPr>
            </w:pPr>
            <w:r>
              <w:rPr>
                <w:rFonts w:ascii="宋体"/>
                <w:spacing w:val="-1"/>
                <w:sz w:val="15"/>
              </w:rPr>
              <w:t>75,295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49,638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spacing w:val="-1"/>
                <w:sz w:val="15"/>
              </w:rPr>
              <w:t>292,821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宋体" w:hAnsi="宋体" w:cs="宋体" w:eastAsia="宋体" w:hint="default"/>
                <w:sz w:val="15"/>
                <w:szCs w:val="15"/>
              </w:rPr>
            </w:pPr>
            <w:r>
              <w:rPr>
                <w:rFonts w:ascii="宋体"/>
                <w:spacing w:val="-1"/>
                <w:sz w:val="15"/>
              </w:rPr>
              <w:t>32,493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197,425</w:t>
            </w:r>
          </w:p>
        </w:tc>
      </w:tr>
      <w:tr>
        <w:trPr>
          <w:trHeight w:val="370" w:hRule="exact"/>
        </w:trPr>
        <w:tc>
          <w:tcPr>
            <w:tcW w:w="519" w:type="dxa"/>
            <w:vMerge/>
            <w:tcBorders>
              <w:left w:val="single" w:sz="4" w:space="0" w:color="000000"/>
              <w:bottom w:val="single" w:sz="4" w:space="0" w:color="000000"/>
              <w:right w:val="single" w:sz="4" w:space="0" w:color="000000"/>
            </w:tcBorders>
          </w:tcPr>
          <w:p>
            <w:pPr/>
          </w:p>
        </w:tc>
        <w:tc>
          <w:tcPr>
            <w:tcW w:w="2467" w:type="dxa"/>
            <w:vMerge/>
            <w:tcBorders>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5"/>
                <w:szCs w:val="15"/>
              </w:rPr>
            </w:pPr>
            <w:r>
              <w:rPr>
                <w:rFonts w:ascii="宋体" w:hAnsi="宋体" w:cs="宋体" w:eastAsia="宋体" w:hint="default"/>
                <w:sz w:val="15"/>
                <w:szCs w:val="15"/>
              </w:rPr>
              <w:t>沈阳·新湖花园</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68" w:right="0"/>
              <w:jc w:val="left"/>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15"/>
                <w:szCs w:val="15"/>
              </w:rPr>
            </w:pPr>
            <w:r>
              <w:rPr>
                <w:rFonts w:ascii="宋体"/>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15"/>
                <w:szCs w:val="15"/>
              </w:rPr>
            </w:pPr>
            <w:r>
              <w:rPr>
                <w:rFonts w:ascii="宋体"/>
                <w:spacing w:val="-1"/>
                <w:sz w:val="15"/>
              </w:rPr>
              <w:t>57,607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15"/>
                <w:szCs w:val="15"/>
              </w:rPr>
            </w:pPr>
            <w:r>
              <w:rPr>
                <w:rFonts w:ascii="宋体"/>
                <w:spacing w:val="-1"/>
                <w:sz w:val="15"/>
              </w:rPr>
              <w:t>56,124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7"/>
              <w:jc w:val="right"/>
              <w:rPr>
                <w:rFonts w:ascii="宋体" w:hAnsi="宋体" w:cs="宋体" w:eastAsia="宋体" w:hint="default"/>
                <w:sz w:val="15"/>
                <w:szCs w:val="15"/>
              </w:rPr>
            </w:pPr>
            <w:r>
              <w:rPr>
                <w:rFonts w:ascii="宋体"/>
                <w:spacing w:val="-1"/>
                <w:sz w:val="15"/>
              </w:rPr>
              <w:t>31,909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15"/>
                <w:szCs w:val="15"/>
              </w:rPr>
            </w:pPr>
            <w:r>
              <w:rPr>
                <w:rFonts w:ascii="宋体"/>
                <w:spacing w:val="-1"/>
                <w:sz w:val="15"/>
              </w:rPr>
              <w:t>18,464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15"/>
                <w:szCs w:val="15"/>
              </w:rPr>
            </w:pPr>
            <w:r>
              <w:rPr>
                <w:rFonts w:ascii="宋体"/>
                <w:spacing w:val="-1"/>
                <w:sz w:val="15"/>
              </w:rPr>
              <w:t>185,660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7"/>
              <w:jc w:val="right"/>
              <w:rPr>
                <w:rFonts w:ascii="宋体" w:hAnsi="宋体" w:cs="宋体" w:eastAsia="宋体" w:hint="default"/>
                <w:sz w:val="15"/>
                <w:szCs w:val="15"/>
              </w:rPr>
            </w:pPr>
            <w:r>
              <w:rPr>
                <w:rFonts w:ascii="宋体"/>
                <w:spacing w:val="-1"/>
                <w:sz w:val="15"/>
              </w:rPr>
              <w:t>43,813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15"/>
                <w:szCs w:val="15"/>
              </w:rPr>
            </w:pPr>
            <w:r>
              <w:rPr>
                <w:rFonts w:ascii="宋体"/>
                <w:spacing w:val="-1"/>
                <w:sz w:val="15"/>
              </w:rPr>
              <w:t>355,611</w:t>
            </w:r>
          </w:p>
        </w:tc>
      </w:tr>
      <w:tr>
        <w:trPr>
          <w:trHeight w:val="370"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15"/>
                <w:szCs w:val="15"/>
              </w:rPr>
            </w:pPr>
            <w:r>
              <w:rPr>
                <w:rFonts w:ascii="宋体"/>
                <w:w w:val="100"/>
                <w:sz w:val="15"/>
              </w:rPr>
              <w:t>2</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5"/>
                <w:szCs w:val="15"/>
              </w:rPr>
            </w:pPr>
            <w:r>
              <w:rPr>
                <w:rFonts w:ascii="宋体" w:hAnsi="宋体" w:cs="宋体" w:eastAsia="宋体" w:hint="default"/>
                <w:sz w:val="15"/>
                <w:szCs w:val="15"/>
              </w:rPr>
              <w:t>沈阳沈北金谷置业有限公司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5"/>
                <w:szCs w:val="15"/>
              </w:rPr>
            </w:pPr>
            <w:r>
              <w:rPr>
                <w:rFonts w:ascii="宋体" w:hAnsi="宋体" w:cs="宋体" w:eastAsia="宋体" w:hint="default"/>
                <w:sz w:val="15"/>
                <w:szCs w:val="15"/>
              </w:rPr>
              <w:t>沈阳·仙林金谷</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68" w:right="0"/>
              <w:jc w:val="left"/>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30,373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13,571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7"/>
              <w:jc w:val="right"/>
              <w:rPr>
                <w:rFonts w:ascii="宋体" w:hAnsi="宋体" w:cs="宋体" w:eastAsia="宋体" w:hint="default"/>
                <w:sz w:val="15"/>
                <w:szCs w:val="15"/>
              </w:rPr>
            </w:pPr>
            <w:r>
              <w:rPr>
                <w:rFonts w:ascii="宋体"/>
                <w:spacing w:val="-1"/>
                <w:sz w:val="15"/>
              </w:rPr>
              <w:t>31,334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23,481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spacing w:val="-1"/>
                <w:sz w:val="15"/>
              </w:rPr>
              <w:t>100,170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7"/>
              <w:jc w:val="right"/>
              <w:rPr>
                <w:rFonts w:ascii="宋体" w:hAnsi="宋体" w:cs="宋体" w:eastAsia="宋体" w:hint="default"/>
                <w:sz w:val="15"/>
                <w:szCs w:val="15"/>
              </w:rPr>
            </w:pPr>
            <w:r>
              <w:rPr>
                <w:rFonts w:ascii="宋体"/>
                <w:spacing w:val="-1"/>
                <w:sz w:val="15"/>
              </w:rPr>
              <w:t>22,730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107,471</w:t>
            </w:r>
          </w:p>
        </w:tc>
      </w:tr>
      <w:tr>
        <w:trPr>
          <w:trHeight w:val="370"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宋体" w:hAnsi="宋体" w:cs="宋体" w:eastAsia="宋体" w:hint="default"/>
                <w:sz w:val="15"/>
                <w:szCs w:val="15"/>
              </w:rPr>
            </w:pPr>
            <w:r>
              <w:rPr>
                <w:rFonts w:ascii="宋体"/>
                <w:w w:val="100"/>
                <w:sz w:val="15"/>
              </w:rPr>
              <w:t>3</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沈阳新湖明珠置业有限公司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沈阳·新湖湾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68" w:right="0"/>
              <w:jc w:val="left"/>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13,976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宋体" w:hAnsi="宋体" w:cs="宋体" w:eastAsia="宋体" w:hint="default"/>
                <w:sz w:val="15"/>
                <w:szCs w:val="15"/>
              </w:rPr>
            </w:pPr>
            <w:r>
              <w:rPr>
                <w:rFonts w:ascii="宋体"/>
                <w:spacing w:val="-1"/>
                <w:sz w:val="15"/>
              </w:rPr>
              <w:t>13,994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宋体" w:hAnsi="宋体" w:cs="宋体" w:eastAsia="宋体" w:hint="default"/>
                <w:sz w:val="15"/>
                <w:szCs w:val="15"/>
              </w:rPr>
            </w:pPr>
            <w:r>
              <w:rPr>
                <w:rFonts w:ascii="宋体"/>
                <w:w w:val="100"/>
                <w:sz w:val="15"/>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15"/>
                <w:szCs w:val="15"/>
              </w:rPr>
            </w:pPr>
            <w:r>
              <w:rPr>
                <w:rFonts w:ascii="宋体"/>
                <w:w w:val="100"/>
                <w:sz w:val="15"/>
              </w:rPr>
              <w:t>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r>
      <w:tr>
        <w:trPr>
          <w:trHeight w:val="370"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宋体" w:hAnsi="宋体" w:cs="宋体" w:eastAsia="宋体" w:hint="default"/>
                <w:sz w:val="15"/>
                <w:szCs w:val="15"/>
              </w:rPr>
            </w:pPr>
            <w:r>
              <w:rPr>
                <w:rFonts w:ascii="宋体"/>
                <w:w w:val="100"/>
                <w:sz w:val="15"/>
              </w:rPr>
              <w:t>4</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天津新湖凯华投资有限公司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天津·香格里拉</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68" w:right="0"/>
              <w:jc w:val="left"/>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41,253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spacing w:val="-1"/>
                <w:sz w:val="15"/>
              </w:rPr>
              <w:t>3,723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宋体" w:hAnsi="宋体" w:cs="宋体" w:eastAsia="宋体" w:hint="default"/>
                <w:sz w:val="15"/>
                <w:szCs w:val="15"/>
              </w:rPr>
            </w:pPr>
            <w:r>
              <w:rPr>
                <w:rFonts w:ascii="宋体"/>
                <w:spacing w:val="-1"/>
                <w:sz w:val="15"/>
              </w:rPr>
              <w:t>29,356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16,818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spacing w:val="-1"/>
                <w:sz w:val="15"/>
              </w:rPr>
              <w:t>84,376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7,352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42,775</w:t>
            </w:r>
          </w:p>
        </w:tc>
      </w:tr>
    </w:tbl>
    <w:p>
      <w:pPr>
        <w:spacing w:after="0" w:line="240" w:lineRule="auto"/>
        <w:jc w:val="right"/>
        <w:rPr>
          <w:rFonts w:ascii="宋体" w:hAnsi="宋体" w:cs="宋体" w:eastAsia="宋体" w:hint="default"/>
          <w:sz w:val="15"/>
          <w:szCs w:val="15"/>
        </w:rPr>
        <w:sectPr>
          <w:pgSz w:w="16840" w:h="11910" w:orient="landscape"/>
          <w:pgMar w:header="882"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519"/>
        <w:gridCol w:w="2467"/>
        <w:gridCol w:w="1729"/>
        <w:gridCol w:w="1246"/>
        <w:gridCol w:w="893"/>
        <w:gridCol w:w="984"/>
        <w:gridCol w:w="934"/>
        <w:gridCol w:w="1061"/>
        <w:gridCol w:w="958"/>
        <w:gridCol w:w="1025"/>
        <w:gridCol w:w="1126"/>
        <w:gridCol w:w="1150"/>
      </w:tblGrid>
      <w:tr>
        <w:trPr>
          <w:trHeight w:val="365" w:hRule="exact"/>
        </w:trPr>
        <w:tc>
          <w:tcPr>
            <w:tcW w:w="519"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
              <w:jc w:val="center"/>
              <w:rPr>
                <w:rFonts w:ascii="宋体" w:hAnsi="宋体" w:cs="宋体" w:eastAsia="宋体" w:hint="default"/>
                <w:sz w:val="15"/>
                <w:szCs w:val="15"/>
              </w:rPr>
            </w:pPr>
            <w:r>
              <w:rPr>
                <w:rFonts w:ascii="宋体"/>
                <w:w w:val="100"/>
                <w:sz w:val="15"/>
              </w:rPr>
              <w:t>5</w:t>
            </w:r>
          </w:p>
        </w:tc>
        <w:tc>
          <w:tcPr>
            <w:tcW w:w="2467" w:type="dxa"/>
            <w:vMerge w:val="restart"/>
            <w:tcBorders>
              <w:top w:val="nil" w:sz="6" w:space="0" w:color="auto"/>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103" w:right="98"/>
              <w:jc w:val="left"/>
              <w:rPr>
                <w:rFonts w:ascii="宋体" w:hAnsi="宋体" w:cs="宋体" w:eastAsia="宋体" w:hint="default"/>
                <w:sz w:val="15"/>
                <w:szCs w:val="15"/>
              </w:rPr>
            </w:pPr>
            <w:r>
              <w:rPr>
                <w:rFonts w:ascii="宋体" w:hAnsi="宋体" w:cs="宋体" w:eastAsia="宋体" w:hint="default"/>
                <w:spacing w:val="-2"/>
                <w:sz w:val="15"/>
                <w:szCs w:val="15"/>
              </w:rPr>
              <w:t>义乌北方（天津）国际商贸城有限</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公司</w:t>
            </w:r>
          </w:p>
        </w:tc>
        <w:tc>
          <w:tcPr>
            <w:tcW w:w="1729"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天津·义乌商贸城</w:t>
            </w:r>
          </w:p>
        </w:tc>
        <w:tc>
          <w:tcPr>
            <w:tcW w:w="12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w w:val="100"/>
                <w:sz w:val="15"/>
              </w:rPr>
              <w:t>0</w:t>
            </w:r>
          </w:p>
        </w:tc>
        <w:tc>
          <w:tcPr>
            <w:tcW w:w="9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w w:val="100"/>
                <w:sz w:val="15"/>
              </w:rPr>
              <w:t>0</w:t>
            </w:r>
          </w:p>
        </w:tc>
        <w:tc>
          <w:tcPr>
            <w:tcW w:w="9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w w:val="100"/>
                <w:sz w:val="15"/>
              </w:rPr>
              <w:t>0</w:t>
            </w:r>
          </w:p>
        </w:tc>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6,961</w:t>
            </w: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14,372</w:t>
            </w:r>
          </w:p>
        </w:tc>
        <w:tc>
          <w:tcPr>
            <w:tcW w:w="10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spacing w:val="-1"/>
                <w:sz w:val="15"/>
              </w:rPr>
              <w:t>99,427</w:t>
            </w: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97"/>
              <w:jc w:val="right"/>
              <w:rPr>
                <w:rFonts w:ascii="宋体" w:hAnsi="宋体" w:cs="宋体" w:eastAsia="宋体" w:hint="default"/>
                <w:sz w:val="15"/>
                <w:szCs w:val="15"/>
              </w:rPr>
            </w:pPr>
            <w:r>
              <w:rPr>
                <w:rFonts w:ascii="宋体"/>
                <w:spacing w:val="-1"/>
                <w:sz w:val="15"/>
              </w:rPr>
              <w:t>26,789</w:t>
            </w:r>
          </w:p>
        </w:tc>
        <w:tc>
          <w:tcPr>
            <w:tcW w:w="11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167,968</w:t>
            </w:r>
          </w:p>
        </w:tc>
      </w:tr>
      <w:tr>
        <w:trPr>
          <w:trHeight w:val="398" w:hRule="exact"/>
        </w:trPr>
        <w:tc>
          <w:tcPr>
            <w:tcW w:w="519" w:type="dxa"/>
            <w:vMerge/>
            <w:tcBorders>
              <w:left w:val="single" w:sz="4" w:space="0" w:color="000000"/>
              <w:bottom w:val="single" w:sz="4" w:space="0" w:color="000000"/>
              <w:right w:val="single" w:sz="4" w:space="0" w:color="000000"/>
            </w:tcBorders>
          </w:tcPr>
          <w:p>
            <w:pPr/>
          </w:p>
        </w:tc>
        <w:tc>
          <w:tcPr>
            <w:tcW w:w="2467" w:type="dxa"/>
            <w:vMerge/>
            <w:tcBorders>
              <w:left w:val="single" w:sz="4" w:space="0" w:color="000000"/>
              <w:bottom w:val="single" w:sz="4" w:space="0" w:color="000000"/>
              <w:right w:val="single" w:sz="4" w:space="0" w:color="000000"/>
            </w:tcBorders>
          </w:tcPr>
          <w:p>
            <w:pPr/>
          </w:p>
        </w:tc>
        <w:tc>
          <w:tcPr>
            <w:tcW w:w="1729" w:type="dxa"/>
            <w:vMerge/>
            <w:tcBorders>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 w:right="0"/>
              <w:jc w:val="center"/>
              <w:rPr>
                <w:rFonts w:ascii="宋体" w:hAnsi="宋体" w:cs="宋体" w:eastAsia="宋体" w:hint="default"/>
                <w:sz w:val="15"/>
                <w:szCs w:val="15"/>
              </w:rPr>
            </w:pPr>
            <w:r>
              <w:rPr>
                <w:rFonts w:ascii="宋体" w:hAnsi="宋体" w:cs="宋体" w:eastAsia="宋体" w:hint="default"/>
                <w:sz w:val="15"/>
                <w:szCs w:val="15"/>
              </w:rPr>
              <w:t>商铺及购物中</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心</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w w:val="100"/>
                <w:sz w:val="15"/>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355,648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7"/>
              <w:jc w:val="right"/>
              <w:rPr>
                <w:rFonts w:ascii="宋体" w:hAnsi="宋体" w:cs="宋体" w:eastAsia="宋体" w:hint="default"/>
                <w:sz w:val="15"/>
                <w:szCs w:val="15"/>
              </w:rPr>
            </w:pPr>
            <w:r>
              <w:rPr>
                <w:rFonts w:ascii="宋体"/>
                <w:spacing w:val="-1"/>
                <w:sz w:val="15"/>
              </w:rPr>
              <w:t>270,840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50,309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633,829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w w:val="100"/>
                <w:sz w:val="15"/>
              </w:rPr>
              <w:t>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w w:val="100"/>
                <w:sz w:val="15"/>
              </w:rPr>
              <w:t>0</w:t>
            </w:r>
          </w:p>
        </w:tc>
      </w:tr>
      <w:tr>
        <w:trPr>
          <w:trHeight w:val="370"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15" w:right="0"/>
              <w:jc w:val="left"/>
              <w:rPr>
                <w:rFonts w:ascii="宋体" w:hAnsi="宋体" w:cs="宋体" w:eastAsia="宋体" w:hint="default"/>
                <w:sz w:val="15"/>
                <w:szCs w:val="15"/>
              </w:rPr>
            </w:pPr>
            <w:r>
              <w:rPr>
                <w:rFonts w:ascii="宋体"/>
                <w:w w:val="100"/>
                <w:sz w:val="15"/>
              </w:rPr>
              <w:t>6</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滨州新湖房地产开发有限公司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滨州·新湖玫瑰园</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65,204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65,204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宋体" w:hAnsi="宋体" w:cs="宋体" w:eastAsia="宋体" w:hint="default"/>
                <w:sz w:val="15"/>
                <w:szCs w:val="15"/>
              </w:rPr>
            </w:pPr>
            <w:r>
              <w:rPr>
                <w:rFonts w:ascii="宋体"/>
                <w:spacing w:val="-1"/>
                <w:sz w:val="15"/>
              </w:rPr>
              <w:t>11,376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spacing w:val="-1"/>
                <w:sz w:val="15"/>
              </w:rPr>
              <w:t>1,931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spacing w:val="-1"/>
                <w:sz w:val="15"/>
              </w:rPr>
              <w:t>20,605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1,598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12,586</w:t>
            </w:r>
          </w:p>
        </w:tc>
      </w:tr>
      <w:tr>
        <w:trPr>
          <w:trHeight w:val="370"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15" w:right="0"/>
              <w:jc w:val="left"/>
              <w:rPr>
                <w:rFonts w:ascii="宋体" w:hAnsi="宋体" w:cs="宋体" w:eastAsia="宋体" w:hint="default"/>
                <w:sz w:val="15"/>
                <w:szCs w:val="15"/>
              </w:rPr>
            </w:pPr>
            <w:r>
              <w:rPr>
                <w:rFonts w:ascii="宋体"/>
                <w:w w:val="100"/>
                <w:sz w:val="15"/>
              </w:rPr>
              <w:t>7</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泰安新湖房地产开发有限公司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泰安·新湖绿园</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14,446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5,655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24,266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spacing w:val="-1"/>
                <w:sz w:val="15"/>
              </w:rPr>
              <w:t>152,730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宋体" w:hAnsi="宋体" w:cs="宋体" w:eastAsia="宋体" w:hint="default"/>
                <w:sz w:val="15"/>
                <w:szCs w:val="15"/>
              </w:rPr>
            </w:pPr>
            <w:r>
              <w:rPr>
                <w:rFonts w:ascii="宋体"/>
                <w:spacing w:val="-1"/>
                <w:sz w:val="15"/>
              </w:rPr>
              <w:t>33,290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170,244</w:t>
            </w:r>
          </w:p>
        </w:tc>
      </w:tr>
      <w:tr>
        <w:trPr>
          <w:trHeight w:val="372"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15" w:right="0"/>
              <w:jc w:val="left"/>
              <w:rPr>
                <w:rFonts w:ascii="宋体" w:hAnsi="宋体" w:cs="宋体" w:eastAsia="宋体" w:hint="default"/>
                <w:sz w:val="15"/>
                <w:szCs w:val="15"/>
              </w:rPr>
            </w:pPr>
            <w:r>
              <w:rPr>
                <w:rFonts w:ascii="宋体"/>
                <w:w w:val="100"/>
                <w:sz w:val="15"/>
              </w:rPr>
              <w:t>8</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江苏新湖宝华置业有限公司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南京·仙林翠谷</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138,659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287,159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宋体" w:hAnsi="宋体" w:cs="宋体" w:eastAsia="宋体" w:hint="default"/>
                <w:sz w:val="15"/>
                <w:szCs w:val="15"/>
              </w:rPr>
            </w:pPr>
            <w:r>
              <w:rPr>
                <w:rFonts w:ascii="宋体"/>
                <w:spacing w:val="-1"/>
                <w:sz w:val="15"/>
              </w:rPr>
              <w:t>51,735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33,515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spacing w:val="-1"/>
                <w:sz w:val="15"/>
              </w:rPr>
              <w:t>419,546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宋体" w:hAnsi="宋体" w:cs="宋体" w:eastAsia="宋体" w:hint="default"/>
                <w:sz w:val="15"/>
                <w:szCs w:val="15"/>
              </w:rPr>
            </w:pPr>
            <w:r>
              <w:rPr>
                <w:rFonts w:ascii="宋体"/>
                <w:spacing w:val="-1"/>
                <w:sz w:val="15"/>
              </w:rPr>
              <w:t>361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spacing w:val="-1"/>
                <w:sz w:val="15"/>
              </w:rPr>
              <w:t>7,462</w:t>
            </w:r>
          </w:p>
        </w:tc>
      </w:tr>
      <w:tr>
        <w:trPr>
          <w:trHeight w:val="370" w:hRule="exact"/>
        </w:trPr>
        <w:tc>
          <w:tcPr>
            <w:tcW w:w="5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2"/>
              <w:ind w:right="1"/>
              <w:jc w:val="center"/>
              <w:rPr>
                <w:rFonts w:ascii="宋体" w:hAnsi="宋体" w:cs="宋体" w:eastAsia="宋体" w:hint="default"/>
                <w:sz w:val="15"/>
                <w:szCs w:val="15"/>
              </w:rPr>
            </w:pPr>
            <w:r>
              <w:rPr>
                <w:rFonts w:ascii="宋体"/>
                <w:w w:val="100"/>
                <w:sz w:val="15"/>
              </w:rPr>
              <w:t>9</w:t>
            </w:r>
          </w:p>
        </w:tc>
        <w:tc>
          <w:tcPr>
            <w:tcW w:w="24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2"/>
              <w:ind w:left="103" w:right="0"/>
              <w:jc w:val="left"/>
              <w:rPr>
                <w:rFonts w:ascii="宋体" w:hAnsi="宋体" w:cs="宋体" w:eastAsia="宋体" w:hint="default"/>
                <w:sz w:val="15"/>
                <w:szCs w:val="15"/>
              </w:rPr>
            </w:pPr>
            <w:r>
              <w:rPr>
                <w:rFonts w:ascii="宋体" w:hAnsi="宋体" w:cs="宋体" w:eastAsia="宋体" w:hint="default"/>
                <w:sz w:val="15"/>
                <w:szCs w:val="15"/>
              </w:rPr>
              <w:t>苏州新湖置业有限公司</w:t>
            </w:r>
          </w:p>
        </w:tc>
        <w:tc>
          <w:tcPr>
            <w:tcW w:w="17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2"/>
              <w:ind w:left="103" w:right="0"/>
              <w:jc w:val="left"/>
              <w:rPr>
                <w:rFonts w:ascii="宋体" w:hAnsi="宋体" w:cs="宋体" w:eastAsia="宋体" w:hint="default"/>
                <w:sz w:val="15"/>
                <w:szCs w:val="15"/>
              </w:rPr>
            </w:pPr>
            <w:r>
              <w:rPr>
                <w:rFonts w:ascii="宋体" w:hAnsi="宋体" w:cs="宋体" w:eastAsia="宋体" w:hint="default"/>
                <w:sz w:val="15"/>
                <w:szCs w:val="15"/>
              </w:rPr>
              <w:t>苏州·明珠城</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15"/>
                <w:szCs w:val="15"/>
              </w:rPr>
            </w:pPr>
            <w:r>
              <w:rPr>
                <w:rFonts w:ascii="宋体"/>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15"/>
                <w:szCs w:val="15"/>
              </w:rPr>
            </w:pPr>
            <w:r>
              <w:rPr>
                <w:rFonts w:ascii="宋体"/>
                <w:w w:val="100"/>
                <w:sz w:val="15"/>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15"/>
                <w:szCs w:val="15"/>
              </w:rPr>
            </w:pPr>
            <w:r>
              <w:rPr>
                <w:rFonts w:ascii="宋体"/>
                <w:spacing w:val="-1"/>
                <w:sz w:val="15"/>
              </w:rPr>
              <w:t>274,067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7"/>
              <w:jc w:val="right"/>
              <w:rPr>
                <w:rFonts w:ascii="宋体" w:hAnsi="宋体" w:cs="宋体" w:eastAsia="宋体" w:hint="default"/>
                <w:sz w:val="15"/>
                <w:szCs w:val="15"/>
              </w:rPr>
            </w:pPr>
            <w:r>
              <w:rPr>
                <w:rFonts w:ascii="宋体"/>
                <w:spacing w:val="-1"/>
                <w:sz w:val="15"/>
              </w:rPr>
              <w:t>50,208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15"/>
                <w:szCs w:val="15"/>
              </w:rPr>
            </w:pPr>
            <w:r>
              <w:rPr>
                <w:rFonts w:ascii="宋体"/>
                <w:spacing w:val="-1"/>
                <w:sz w:val="15"/>
              </w:rPr>
              <w:t>42,310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15"/>
                <w:szCs w:val="15"/>
              </w:rPr>
            </w:pPr>
            <w:r>
              <w:rPr>
                <w:rFonts w:ascii="宋体"/>
                <w:spacing w:val="-1"/>
                <w:sz w:val="15"/>
              </w:rPr>
              <w:t>747,162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15"/>
                <w:szCs w:val="15"/>
              </w:rPr>
            </w:pPr>
            <w:r>
              <w:rPr>
                <w:rFonts w:ascii="宋体"/>
                <w:spacing w:val="-1"/>
                <w:sz w:val="15"/>
              </w:rPr>
              <w:t>5,500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15"/>
                <w:szCs w:val="15"/>
              </w:rPr>
            </w:pPr>
            <w:r>
              <w:rPr>
                <w:rFonts w:ascii="宋体"/>
                <w:spacing w:val="-1"/>
                <w:sz w:val="15"/>
              </w:rPr>
              <w:t>159,699</w:t>
            </w:r>
          </w:p>
        </w:tc>
      </w:tr>
      <w:tr>
        <w:trPr>
          <w:trHeight w:val="370" w:hRule="exact"/>
        </w:trPr>
        <w:tc>
          <w:tcPr>
            <w:tcW w:w="519" w:type="dxa"/>
            <w:vMerge/>
            <w:tcBorders>
              <w:left w:val="single" w:sz="4" w:space="0" w:color="000000"/>
              <w:bottom w:val="single" w:sz="4" w:space="0" w:color="000000"/>
              <w:right w:val="single" w:sz="4" w:space="0" w:color="000000"/>
            </w:tcBorders>
          </w:tcPr>
          <w:p>
            <w:pPr/>
          </w:p>
        </w:tc>
        <w:tc>
          <w:tcPr>
            <w:tcW w:w="2467" w:type="dxa"/>
            <w:vMerge/>
            <w:tcBorders>
              <w:left w:val="single" w:sz="4" w:space="0" w:color="000000"/>
              <w:bottom w:val="single" w:sz="4" w:space="0" w:color="000000"/>
              <w:right w:val="single" w:sz="4" w:space="0" w:color="000000"/>
            </w:tcBorders>
          </w:tcPr>
          <w:p>
            <w:pPr/>
          </w:p>
        </w:tc>
        <w:tc>
          <w:tcPr>
            <w:tcW w:w="1729" w:type="dxa"/>
            <w:vMerge/>
            <w:tcBorders>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5"/>
                <w:szCs w:val="15"/>
              </w:rPr>
            </w:pPr>
            <w:r>
              <w:rPr>
                <w:rFonts w:ascii="宋体" w:hAnsi="宋体" w:cs="宋体" w:eastAsia="宋体" w:hint="default"/>
                <w:sz w:val="15"/>
                <w:szCs w:val="15"/>
              </w:rPr>
              <w:t>商铺及购物中心</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w w:val="100"/>
                <w:sz w:val="15"/>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169,923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w w:val="100"/>
                <w:sz w:val="15"/>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w w:val="100"/>
                <w:sz w:val="15"/>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宋体" w:hAnsi="宋体" w:cs="宋体" w:eastAsia="宋体" w:hint="default"/>
                <w:sz w:val="15"/>
                <w:szCs w:val="15"/>
              </w:rPr>
            </w:pPr>
            <w:r>
              <w:rPr>
                <w:rFonts w:ascii="宋体"/>
                <w:w w:val="100"/>
                <w:sz w:val="15"/>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w w:val="100"/>
                <w:sz w:val="15"/>
              </w:rPr>
              <w:t>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w w:val="100"/>
                <w:sz w:val="15"/>
              </w:rPr>
              <w:t>0</w:t>
            </w:r>
          </w:p>
        </w:tc>
      </w:tr>
      <w:tr>
        <w:trPr>
          <w:trHeight w:val="370"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77" w:right="0"/>
              <w:jc w:val="left"/>
              <w:rPr>
                <w:rFonts w:ascii="宋体" w:hAnsi="宋体" w:cs="宋体" w:eastAsia="宋体" w:hint="default"/>
                <w:sz w:val="15"/>
                <w:szCs w:val="15"/>
              </w:rPr>
            </w:pPr>
            <w:r>
              <w:rPr>
                <w:rFonts w:ascii="宋体"/>
                <w:sz w:val="15"/>
              </w:rPr>
              <w:t>10</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5"/>
                <w:szCs w:val="15"/>
              </w:rPr>
            </w:pPr>
            <w:r>
              <w:rPr>
                <w:rFonts w:ascii="宋体" w:hAnsi="宋体" w:cs="宋体" w:eastAsia="宋体" w:hint="default"/>
                <w:sz w:val="15"/>
                <w:szCs w:val="15"/>
              </w:rPr>
              <w:t>南通新湖置业有限公司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5"/>
                <w:szCs w:val="15"/>
              </w:rPr>
            </w:pPr>
            <w:r>
              <w:rPr>
                <w:rFonts w:ascii="宋体" w:hAnsi="宋体" w:cs="宋体" w:eastAsia="宋体" w:hint="default"/>
                <w:sz w:val="15"/>
                <w:szCs w:val="15"/>
              </w:rPr>
              <w:t>南通·新湖长江公园</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w w:val="100"/>
                <w:sz w:val="15"/>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200,118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w w:val="100"/>
                <w:sz w:val="15"/>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w w:val="100"/>
                <w:sz w:val="15"/>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宋体" w:hAnsi="宋体" w:cs="宋体" w:eastAsia="宋体" w:hint="default"/>
                <w:sz w:val="15"/>
                <w:szCs w:val="15"/>
              </w:rPr>
            </w:pPr>
            <w:r>
              <w:rPr>
                <w:rFonts w:ascii="宋体"/>
                <w:w w:val="100"/>
                <w:sz w:val="15"/>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w w:val="100"/>
                <w:sz w:val="15"/>
              </w:rPr>
              <w:t>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w w:val="100"/>
                <w:sz w:val="15"/>
              </w:rPr>
              <w:t>0</w:t>
            </w:r>
          </w:p>
        </w:tc>
      </w:tr>
      <w:tr>
        <w:trPr>
          <w:trHeight w:val="370"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77" w:right="0"/>
              <w:jc w:val="left"/>
              <w:rPr>
                <w:rFonts w:ascii="宋体" w:hAnsi="宋体" w:cs="宋体" w:eastAsia="宋体" w:hint="default"/>
                <w:sz w:val="15"/>
                <w:szCs w:val="15"/>
              </w:rPr>
            </w:pPr>
            <w:r>
              <w:rPr>
                <w:rFonts w:ascii="宋体"/>
                <w:sz w:val="15"/>
              </w:rPr>
              <w:t>11</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上海新湖房地产开发有限公司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上海·新湖明珠城</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宋体" w:hAnsi="宋体" w:cs="宋体" w:eastAsia="宋体" w:hint="default"/>
                <w:sz w:val="15"/>
                <w:szCs w:val="15"/>
              </w:rPr>
            </w:pPr>
            <w:r>
              <w:rPr>
                <w:rFonts w:ascii="宋体"/>
                <w:spacing w:val="-1"/>
                <w:sz w:val="15"/>
              </w:rPr>
              <w:t>10,844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514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spacing w:val="-1"/>
                <w:sz w:val="15"/>
              </w:rPr>
              <w:t>18,822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宋体" w:hAnsi="宋体" w:cs="宋体" w:eastAsia="宋体" w:hint="default"/>
                <w:sz w:val="15"/>
                <w:szCs w:val="15"/>
              </w:rPr>
            </w:pPr>
            <w:r>
              <w:rPr>
                <w:rFonts w:ascii="宋体"/>
                <w:spacing w:val="-1"/>
                <w:sz w:val="15"/>
              </w:rPr>
              <w:t>487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15,149</w:t>
            </w:r>
          </w:p>
        </w:tc>
      </w:tr>
      <w:tr>
        <w:trPr>
          <w:trHeight w:val="370"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77" w:right="0"/>
              <w:jc w:val="left"/>
              <w:rPr>
                <w:rFonts w:ascii="宋体" w:hAnsi="宋体" w:cs="宋体" w:eastAsia="宋体" w:hint="default"/>
                <w:sz w:val="15"/>
                <w:szCs w:val="15"/>
              </w:rPr>
            </w:pPr>
            <w:r>
              <w:rPr>
                <w:rFonts w:ascii="宋体"/>
                <w:sz w:val="15"/>
              </w:rPr>
              <w:t>12</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上海中瀚置业有限公司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上海·青蓝国际</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153,921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5,697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spacing w:val="-1"/>
                <w:sz w:val="15"/>
              </w:rPr>
              <w:t>6,500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spacing w:val="-1"/>
                <w:sz w:val="15"/>
              </w:rPr>
              <w:t>489,057</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宋体" w:hAnsi="宋体" w:cs="宋体" w:eastAsia="宋体" w:hint="default"/>
                <w:sz w:val="15"/>
                <w:szCs w:val="15"/>
              </w:rPr>
            </w:pPr>
            <w:r>
              <w:rPr>
                <w:rFonts w:ascii="宋体"/>
                <w:spacing w:val="-1"/>
                <w:sz w:val="15"/>
              </w:rPr>
              <w:t>77,095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宋体" w:hAnsi="宋体" w:cs="宋体" w:eastAsia="宋体" w:hint="default"/>
                <w:sz w:val="15"/>
                <w:szCs w:val="15"/>
              </w:rPr>
            </w:pPr>
            <w:r>
              <w:rPr>
                <w:rFonts w:ascii="宋体"/>
                <w:spacing w:val="-2"/>
                <w:sz w:val="15"/>
              </w:rPr>
              <w:t>5,352,178</w:t>
            </w:r>
          </w:p>
        </w:tc>
      </w:tr>
      <w:tr>
        <w:trPr>
          <w:trHeight w:val="372"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77" w:right="0"/>
              <w:jc w:val="left"/>
              <w:rPr>
                <w:rFonts w:ascii="宋体" w:hAnsi="宋体" w:cs="宋体" w:eastAsia="宋体" w:hint="default"/>
                <w:sz w:val="15"/>
                <w:szCs w:val="15"/>
              </w:rPr>
            </w:pPr>
            <w:r>
              <w:rPr>
                <w:rFonts w:ascii="宋体"/>
                <w:sz w:val="15"/>
              </w:rPr>
              <w:t>13</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上海玛宝房地产开发有限公司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拆迁、规划中</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15"/>
                <w:szCs w:val="15"/>
              </w:rPr>
            </w:pPr>
            <w:r>
              <w:rPr>
                <w:rFonts w:ascii="宋体"/>
                <w:w w:val="100"/>
                <w:sz w:val="15"/>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宋体" w:hAnsi="宋体" w:cs="宋体" w:eastAsia="宋体" w:hint="default"/>
                <w:sz w:val="15"/>
                <w:szCs w:val="15"/>
              </w:rPr>
            </w:pPr>
            <w:r>
              <w:rPr>
                <w:rFonts w:ascii="宋体"/>
                <w:w w:val="100"/>
                <w:sz w:val="15"/>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15"/>
                <w:szCs w:val="15"/>
              </w:rPr>
            </w:pPr>
            <w:r>
              <w:rPr>
                <w:rFonts w:ascii="宋体"/>
                <w:w w:val="100"/>
                <w:sz w:val="15"/>
              </w:rPr>
              <w:t>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r>
      <w:tr>
        <w:trPr>
          <w:trHeight w:val="324"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77" w:right="0"/>
              <w:jc w:val="left"/>
              <w:rPr>
                <w:rFonts w:ascii="宋体" w:hAnsi="宋体" w:cs="宋体" w:eastAsia="宋体" w:hint="default"/>
                <w:sz w:val="15"/>
                <w:szCs w:val="15"/>
              </w:rPr>
            </w:pPr>
            <w:r>
              <w:rPr>
                <w:rFonts w:ascii="宋体"/>
                <w:sz w:val="15"/>
              </w:rPr>
              <w:t>14</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上海亚龙古城房地产开发有限公司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拆迁、规划中</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宋体" w:hAnsi="宋体" w:cs="宋体" w:eastAsia="宋体" w:hint="default"/>
                <w:sz w:val="15"/>
                <w:szCs w:val="15"/>
              </w:rPr>
            </w:pPr>
            <w:r>
              <w:rPr>
                <w:rFonts w:ascii="宋体"/>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宋体" w:hAnsi="宋体" w:cs="宋体" w:eastAsia="宋体" w:hint="default"/>
                <w:sz w:val="15"/>
                <w:szCs w:val="15"/>
              </w:rPr>
            </w:pPr>
            <w:r>
              <w:rPr>
                <w:rFonts w:ascii="宋体"/>
                <w:w w:val="100"/>
                <w:sz w:val="15"/>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宋体" w:hAnsi="宋体" w:cs="宋体" w:eastAsia="宋体" w:hint="default"/>
                <w:sz w:val="15"/>
                <w:szCs w:val="15"/>
              </w:rPr>
            </w:pPr>
            <w:r>
              <w:rPr>
                <w:rFonts w:ascii="宋体"/>
                <w:w w:val="100"/>
                <w:sz w:val="15"/>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15"/>
                <w:szCs w:val="15"/>
              </w:rPr>
            </w:pPr>
            <w:r>
              <w:rPr>
                <w:rFonts w:ascii="宋体"/>
                <w:w w:val="100"/>
                <w:sz w:val="15"/>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宋体" w:hAnsi="宋体" w:cs="宋体" w:eastAsia="宋体" w:hint="default"/>
                <w:sz w:val="15"/>
                <w:szCs w:val="15"/>
              </w:rPr>
            </w:pPr>
            <w:r>
              <w:rPr>
                <w:rFonts w:ascii="宋体"/>
                <w:w w:val="100"/>
                <w:sz w:val="15"/>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宋体" w:hAnsi="宋体" w:cs="宋体" w:eastAsia="宋体" w:hint="default"/>
                <w:sz w:val="15"/>
                <w:szCs w:val="15"/>
              </w:rPr>
            </w:pPr>
            <w:r>
              <w:rPr>
                <w:rFonts w:ascii="宋体"/>
                <w:w w:val="100"/>
                <w:sz w:val="15"/>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15"/>
                <w:szCs w:val="15"/>
              </w:rPr>
            </w:pPr>
            <w:r>
              <w:rPr>
                <w:rFonts w:ascii="宋体"/>
                <w:w w:val="100"/>
                <w:sz w:val="15"/>
              </w:rPr>
              <w:t>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宋体" w:hAnsi="宋体" w:cs="宋体" w:eastAsia="宋体" w:hint="default"/>
                <w:sz w:val="15"/>
                <w:szCs w:val="15"/>
              </w:rPr>
            </w:pPr>
            <w:r>
              <w:rPr>
                <w:rFonts w:ascii="宋体"/>
                <w:w w:val="100"/>
                <w:sz w:val="15"/>
              </w:rPr>
              <w:t>0</w:t>
            </w:r>
          </w:p>
        </w:tc>
      </w:tr>
      <w:tr>
        <w:trPr>
          <w:trHeight w:val="288"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7" w:right="0"/>
              <w:jc w:val="left"/>
              <w:rPr>
                <w:rFonts w:ascii="宋体" w:hAnsi="宋体" w:cs="宋体" w:eastAsia="宋体" w:hint="default"/>
                <w:sz w:val="15"/>
                <w:szCs w:val="15"/>
              </w:rPr>
            </w:pPr>
            <w:r>
              <w:rPr>
                <w:rFonts w:ascii="宋体"/>
                <w:sz w:val="15"/>
              </w:rPr>
              <w:t>15</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5"/>
                <w:szCs w:val="15"/>
              </w:rPr>
            </w:pPr>
            <w:r>
              <w:rPr>
                <w:rFonts w:ascii="宋体" w:hAnsi="宋体" w:cs="宋体" w:eastAsia="宋体" w:hint="default"/>
                <w:sz w:val="15"/>
                <w:szCs w:val="15"/>
              </w:rPr>
              <w:t>上海新湖天虹城市开发有限公司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5"/>
                <w:szCs w:val="15"/>
              </w:rPr>
            </w:pPr>
            <w:r>
              <w:rPr>
                <w:rFonts w:ascii="宋体" w:hAnsi="宋体" w:cs="宋体" w:eastAsia="宋体" w:hint="default"/>
                <w:sz w:val="15"/>
                <w:szCs w:val="15"/>
              </w:rPr>
              <w:t>拆迁、规划中</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5"/>
                <w:szCs w:val="15"/>
              </w:rPr>
            </w:pPr>
            <w:r>
              <w:rPr>
                <w:rFonts w:ascii="宋体"/>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5"/>
                <w:szCs w:val="15"/>
              </w:rPr>
            </w:pPr>
            <w:r>
              <w:rPr>
                <w:rFonts w:ascii="宋体"/>
                <w:w w:val="100"/>
                <w:sz w:val="15"/>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5"/>
                <w:szCs w:val="15"/>
              </w:rPr>
            </w:pPr>
            <w:r>
              <w:rPr>
                <w:rFonts w:ascii="宋体"/>
                <w:w w:val="100"/>
                <w:sz w:val="15"/>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5"/>
                <w:szCs w:val="15"/>
              </w:rPr>
            </w:pPr>
            <w:r>
              <w:rPr>
                <w:rFonts w:ascii="宋体"/>
                <w:w w:val="100"/>
                <w:sz w:val="15"/>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5"/>
                <w:szCs w:val="15"/>
              </w:rPr>
            </w:pPr>
            <w:r>
              <w:rPr>
                <w:rFonts w:ascii="宋体"/>
                <w:w w:val="100"/>
                <w:sz w:val="15"/>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4"/>
              <w:jc w:val="right"/>
              <w:rPr>
                <w:rFonts w:ascii="宋体" w:hAnsi="宋体" w:cs="宋体" w:eastAsia="宋体" w:hint="default"/>
                <w:sz w:val="15"/>
                <w:szCs w:val="15"/>
              </w:rPr>
            </w:pPr>
            <w:r>
              <w:rPr>
                <w:rFonts w:ascii="宋体"/>
                <w:w w:val="100"/>
                <w:sz w:val="15"/>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5"/>
                <w:szCs w:val="15"/>
              </w:rPr>
            </w:pPr>
            <w:r>
              <w:rPr>
                <w:rFonts w:ascii="宋体"/>
                <w:w w:val="100"/>
                <w:sz w:val="15"/>
              </w:rPr>
              <w:t>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5"/>
                <w:szCs w:val="15"/>
              </w:rPr>
            </w:pPr>
            <w:r>
              <w:rPr>
                <w:rFonts w:ascii="宋体"/>
                <w:w w:val="100"/>
                <w:sz w:val="15"/>
              </w:rPr>
              <w:t>0</w:t>
            </w:r>
          </w:p>
        </w:tc>
      </w:tr>
      <w:tr>
        <w:trPr>
          <w:trHeight w:val="370"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77" w:right="0"/>
              <w:jc w:val="left"/>
              <w:rPr>
                <w:rFonts w:ascii="宋体" w:hAnsi="宋体" w:cs="宋体" w:eastAsia="宋体" w:hint="default"/>
                <w:sz w:val="15"/>
                <w:szCs w:val="15"/>
              </w:rPr>
            </w:pPr>
            <w:r>
              <w:rPr>
                <w:rFonts w:ascii="宋体"/>
                <w:sz w:val="15"/>
              </w:rPr>
              <w:t>16</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5"/>
                <w:szCs w:val="15"/>
              </w:rPr>
            </w:pPr>
            <w:r>
              <w:rPr>
                <w:rFonts w:ascii="宋体" w:hAnsi="宋体" w:cs="宋体" w:eastAsia="宋体" w:hint="default"/>
                <w:sz w:val="15"/>
                <w:szCs w:val="15"/>
              </w:rPr>
              <w:t>杭州新湖美丽洲置业有限公司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5"/>
                <w:szCs w:val="15"/>
              </w:rPr>
            </w:pPr>
            <w:r>
              <w:rPr>
                <w:rFonts w:ascii="宋体" w:hAnsi="宋体" w:cs="宋体" w:eastAsia="宋体" w:hint="default"/>
                <w:sz w:val="15"/>
                <w:szCs w:val="15"/>
              </w:rPr>
              <w:t>杭州·香格里拉</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49,072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w w:val="100"/>
                <w:sz w:val="15"/>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7"/>
              <w:jc w:val="right"/>
              <w:rPr>
                <w:rFonts w:ascii="宋体" w:hAnsi="宋体" w:cs="宋体" w:eastAsia="宋体" w:hint="default"/>
                <w:sz w:val="15"/>
                <w:szCs w:val="15"/>
              </w:rPr>
            </w:pPr>
            <w:r>
              <w:rPr>
                <w:rFonts w:ascii="宋体"/>
                <w:spacing w:val="-1"/>
                <w:sz w:val="15"/>
              </w:rPr>
              <w:t>26,820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25,477</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spacing w:val="-1"/>
                <w:sz w:val="15"/>
              </w:rPr>
              <w:t>833,609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7"/>
              <w:jc w:val="right"/>
              <w:rPr>
                <w:rFonts w:ascii="宋体" w:hAnsi="宋体" w:cs="宋体" w:eastAsia="宋体" w:hint="default"/>
                <w:sz w:val="15"/>
                <w:szCs w:val="15"/>
              </w:rPr>
            </w:pPr>
            <w:r>
              <w:rPr>
                <w:rFonts w:ascii="宋体"/>
                <w:spacing w:val="-1"/>
                <w:sz w:val="15"/>
              </w:rPr>
              <w:t>17,634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521,232</w:t>
            </w:r>
          </w:p>
        </w:tc>
      </w:tr>
      <w:tr>
        <w:trPr>
          <w:trHeight w:val="370"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77" w:right="0"/>
              <w:jc w:val="left"/>
              <w:rPr>
                <w:rFonts w:ascii="宋体" w:hAnsi="宋体" w:cs="宋体" w:eastAsia="宋体" w:hint="default"/>
                <w:sz w:val="15"/>
                <w:szCs w:val="15"/>
              </w:rPr>
            </w:pPr>
            <w:r>
              <w:rPr>
                <w:rFonts w:ascii="宋体"/>
                <w:sz w:val="15"/>
              </w:rPr>
              <w:t>17</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5"/>
                <w:szCs w:val="15"/>
              </w:rPr>
            </w:pPr>
            <w:r>
              <w:rPr>
                <w:rFonts w:ascii="宋体" w:hAnsi="宋体" w:cs="宋体" w:eastAsia="宋体" w:hint="default"/>
                <w:sz w:val="15"/>
                <w:szCs w:val="15"/>
              </w:rPr>
              <w:t>浙江新兰得置业有限公司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5"/>
                <w:szCs w:val="15"/>
              </w:rPr>
            </w:pPr>
            <w:r>
              <w:rPr>
                <w:rFonts w:ascii="宋体" w:hAnsi="宋体" w:cs="宋体" w:eastAsia="宋体" w:hint="default"/>
                <w:sz w:val="15"/>
                <w:szCs w:val="15"/>
              </w:rPr>
              <w:t>杭州·新湖果岭</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153,932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99,158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160,229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3,942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25,310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spacing w:val="-1"/>
                <w:sz w:val="15"/>
              </w:rPr>
              <w:t>640,851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7"/>
              <w:jc w:val="right"/>
              <w:rPr>
                <w:rFonts w:ascii="宋体" w:hAnsi="宋体" w:cs="宋体" w:eastAsia="宋体" w:hint="default"/>
                <w:sz w:val="15"/>
                <w:szCs w:val="15"/>
              </w:rPr>
            </w:pPr>
            <w:r>
              <w:rPr>
                <w:rFonts w:ascii="宋体"/>
                <w:spacing w:val="-1"/>
                <w:sz w:val="15"/>
              </w:rPr>
              <w:t>68,718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宋体" w:hAnsi="宋体" w:cs="宋体" w:eastAsia="宋体" w:hint="default"/>
                <w:sz w:val="15"/>
                <w:szCs w:val="15"/>
              </w:rPr>
            </w:pPr>
            <w:r>
              <w:rPr>
                <w:rFonts w:ascii="宋体"/>
                <w:spacing w:val="-2"/>
                <w:sz w:val="15"/>
              </w:rPr>
              <w:t>1,203,288</w:t>
            </w:r>
          </w:p>
        </w:tc>
      </w:tr>
      <w:tr>
        <w:trPr>
          <w:trHeight w:val="370"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77" w:right="0"/>
              <w:jc w:val="left"/>
              <w:rPr>
                <w:rFonts w:ascii="宋体" w:hAnsi="宋体" w:cs="宋体" w:eastAsia="宋体" w:hint="default"/>
                <w:sz w:val="15"/>
                <w:szCs w:val="15"/>
              </w:rPr>
            </w:pPr>
            <w:r>
              <w:rPr>
                <w:rFonts w:ascii="宋体"/>
                <w:sz w:val="15"/>
              </w:rPr>
              <w:t>18</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杭州新湖鸬鸟置业有限公司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杭州·金色童年</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宋体" w:hAnsi="宋体" w:cs="宋体" w:eastAsia="宋体" w:hint="default"/>
                <w:sz w:val="15"/>
                <w:szCs w:val="15"/>
              </w:rPr>
            </w:pPr>
            <w:r>
              <w:rPr>
                <w:rFonts w:ascii="宋体" w:hAnsi="宋体" w:cs="宋体" w:eastAsia="宋体" w:hint="default"/>
                <w:sz w:val="15"/>
                <w:szCs w:val="15"/>
              </w:rPr>
              <w:t>酒店</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26,392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15"/>
                <w:szCs w:val="15"/>
              </w:rPr>
            </w:pPr>
            <w:r>
              <w:rPr>
                <w:rFonts w:ascii="宋体"/>
                <w:w w:val="100"/>
                <w:sz w:val="15"/>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宋体" w:hAnsi="宋体" w:cs="宋体" w:eastAsia="宋体" w:hint="default"/>
                <w:sz w:val="15"/>
                <w:szCs w:val="15"/>
              </w:rPr>
            </w:pPr>
            <w:r>
              <w:rPr>
                <w:rFonts w:ascii="宋体"/>
                <w:w w:val="100"/>
                <w:sz w:val="15"/>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15"/>
                <w:szCs w:val="15"/>
              </w:rPr>
            </w:pPr>
            <w:r>
              <w:rPr>
                <w:rFonts w:ascii="宋体"/>
                <w:w w:val="100"/>
                <w:sz w:val="15"/>
              </w:rPr>
              <w:t>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r>
      <w:tr>
        <w:trPr>
          <w:trHeight w:val="370"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77" w:right="0"/>
              <w:jc w:val="left"/>
              <w:rPr>
                <w:rFonts w:ascii="宋体" w:hAnsi="宋体" w:cs="宋体" w:eastAsia="宋体" w:hint="default"/>
                <w:sz w:val="15"/>
                <w:szCs w:val="15"/>
              </w:rPr>
            </w:pPr>
            <w:r>
              <w:rPr>
                <w:rFonts w:ascii="宋体"/>
                <w:sz w:val="15"/>
              </w:rPr>
              <w:t>19</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杭州新湖明珠置业有限公司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杭州·武林国际</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spacing w:val="-1"/>
                <w:sz w:val="15"/>
              </w:rPr>
              <w:t>3,452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6,998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spacing w:val="-1"/>
                <w:sz w:val="15"/>
              </w:rPr>
              <w:t>9,150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spacing w:val="-1"/>
                <w:sz w:val="15"/>
              </w:rPr>
              <w:t>557,184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宋体" w:hAnsi="宋体" w:cs="宋体" w:eastAsia="宋体" w:hint="default"/>
                <w:sz w:val="15"/>
                <w:szCs w:val="15"/>
              </w:rPr>
            </w:pPr>
            <w:r>
              <w:rPr>
                <w:rFonts w:ascii="宋体"/>
                <w:spacing w:val="-1"/>
                <w:sz w:val="15"/>
              </w:rPr>
              <w:t>10,448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588,344</w:t>
            </w:r>
          </w:p>
        </w:tc>
      </w:tr>
      <w:tr>
        <w:trPr>
          <w:trHeight w:val="370"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77" w:right="0"/>
              <w:jc w:val="left"/>
              <w:rPr>
                <w:rFonts w:ascii="宋体" w:hAnsi="宋体" w:cs="宋体" w:eastAsia="宋体" w:hint="default"/>
                <w:sz w:val="15"/>
                <w:szCs w:val="15"/>
              </w:rPr>
            </w:pPr>
            <w:r>
              <w:rPr>
                <w:rFonts w:ascii="宋体"/>
                <w:sz w:val="15"/>
              </w:rPr>
              <w:t>20</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浙江新湖海创地产发展有限公司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规划中</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15"/>
                <w:szCs w:val="15"/>
              </w:rPr>
            </w:pPr>
            <w:r>
              <w:rPr>
                <w:rFonts w:ascii="宋体" w:hAnsi="宋体" w:cs="宋体" w:eastAsia="宋体" w:hint="default"/>
                <w:sz w:val="15"/>
                <w:szCs w:val="15"/>
              </w:rPr>
              <w:t>商业商务</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15"/>
                <w:szCs w:val="15"/>
              </w:rPr>
            </w:pPr>
            <w:r>
              <w:rPr>
                <w:rFonts w:ascii="宋体"/>
                <w:w w:val="100"/>
                <w:sz w:val="15"/>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宋体" w:hAnsi="宋体" w:cs="宋体" w:eastAsia="宋体" w:hint="default"/>
                <w:sz w:val="15"/>
                <w:szCs w:val="15"/>
              </w:rPr>
            </w:pPr>
            <w:r>
              <w:rPr>
                <w:rFonts w:ascii="宋体"/>
                <w:w w:val="100"/>
                <w:sz w:val="15"/>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15"/>
                <w:szCs w:val="15"/>
              </w:rPr>
            </w:pPr>
            <w:r>
              <w:rPr>
                <w:rFonts w:ascii="宋体"/>
                <w:w w:val="100"/>
                <w:sz w:val="15"/>
              </w:rPr>
              <w:t>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r>
      <w:tr>
        <w:trPr>
          <w:trHeight w:val="372"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77" w:right="0"/>
              <w:jc w:val="left"/>
              <w:rPr>
                <w:rFonts w:ascii="宋体" w:hAnsi="宋体" w:cs="宋体" w:eastAsia="宋体" w:hint="default"/>
                <w:sz w:val="15"/>
                <w:szCs w:val="15"/>
              </w:rPr>
            </w:pPr>
            <w:r>
              <w:rPr>
                <w:rFonts w:ascii="宋体"/>
                <w:sz w:val="15"/>
              </w:rPr>
              <w:t>21</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嘉兴新湖中房置业有限公司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嘉兴·新中花园</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121,229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62,899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120,233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9,459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24,884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spacing w:val="-1"/>
                <w:sz w:val="15"/>
              </w:rPr>
              <w:t>308,380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宋体" w:hAnsi="宋体" w:cs="宋体" w:eastAsia="宋体" w:hint="default"/>
                <w:sz w:val="15"/>
                <w:szCs w:val="15"/>
              </w:rPr>
            </w:pPr>
            <w:r>
              <w:rPr>
                <w:rFonts w:ascii="宋体"/>
                <w:spacing w:val="-1"/>
                <w:sz w:val="15"/>
              </w:rPr>
              <w:t>64,615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705,656</w:t>
            </w:r>
          </w:p>
        </w:tc>
      </w:tr>
      <w:tr>
        <w:trPr>
          <w:trHeight w:val="370"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77" w:right="0"/>
              <w:jc w:val="left"/>
              <w:rPr>
                <w:rFonts w:ascii="宋体" w:hAnsi="宋体" w:cs="宋体" w:eastAsia="宋体" w:hint="default"/>
                <w:sz w:val="15"/>
                <w:szCs w:val="15"/>
              </w:rPr>
            </w:pPr>
            <w:r>
              <w:rPr>
                <w:rFonts w:ascii="宋体"/>
                <w:sz w:val="15"/>
              </w:rPr>
              <w:t>22</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5"/>
                <w:szCs w:val="15"/>
              </w:rPr>
            </w:pPr>
            <w:r>
              <w:rPr>
                <w:rFonts w:ascii="宋体" w:hAnsi="宋体" w:cs="宋体" w:eastAsia="宋体" w:hint="default"/>
                <w:sz w:val="15"/>
                <w:szCs w:val="15"/>
              </w:rPr>
              <w:t>海宁绿城新湖房地产开发有限公司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5"/>
                <w:szCs w:val="15"/>
              </w:rPr>
            </w:pPr>
            <w:r>
              <w:rPr>
                <w:rFonts w:ascii="宋体" w:hAnsi="宋体" w:cs="宋体" w:eastAsia="宋体" w:hint="default"/>
                <w:sz w:val="15"/>
                <w:szCs w:val="15"/>
              </w:rPr>
              <w:t>海宁·百合新城</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15"/>
                <w:szCs w:val="15"/>
              </w:rPr>
            </w:pPr>
            <w:r>
              <w:rPr>
                <w:rFonts w:ascii="宋体"/>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15"/>
                <w:szCs w:val="15"/>
              </w:rPr>
            </w:pPr>
            <w:r>
              <w:rPr>
                <w:rFonts w:ascii="宋体"/>
                <w:w w:val="100"/>
                <w:sz w:val="15"/>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15"/>
                <w:szCs w:val="15"/>
              </w:rPr>
            </w:pPr>
            <w:r>
              <w:rPr>
                <w:rFonts w:ascii="宋体"/>
                <w:w w:val="100"/>
                <w:sz w:val="15"/>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5"/>
                <w:szCs w:val="15"/>
              </w:rPr>
            </w:pPr>
            <w:r>
              <w:rPr>
                <w:rFonts w:ascii="宋体"/>
                <w:w w:val="100"/>
                <w:sz w:val="15"/>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15"/>
                <w:szCs w:val="15"/>
              </w:rPr>
            </w:pPr>
            <w:r>
              <w:rPr>
                <w:rFonts w:ascii="宋体"/>
                <w:spacing w:val="-1"/>
                <w:sz w:val="15"/>
              </w:rPr>
              <w:t>4,846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15"/>
                <w:szCs w:val="15"/>
              </w:rPr>
            </w:pPr>
            <w:r>
              <w:rPr>
                <w:rFonts w:ascii="宋体"/>
                <w:spacing w:val="-1"/>
                <w:sz w:val="15"/>
              </w:rPr>
              <w:t>21,378</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15"/>
                <w:szCs w:val="15"/>
              </w:rPr>
            </w:pPr>
            <w:r>
              <w:rPr>
                <w:rFonts w:ascii="宋体"/>
                <w:spacing w:val="-1"/>
                <w:sz w:val="15"/>
              </w:rPr>
              <w:t>4,846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15"/>
                <w:szCs w:val="15"/>
              </w:rPr>
            </w:pPr>
            <w:r>
              <w:rPr>
                <w:rFonts w:ascii="宋体"/>
                <w:spacing w:val="-1"/>
                <w:sz w:val="15"/>
              </w:rPr>
              <w:t>21,378</w:t>
            </w:r>
          </w:p>
        </w:tc>
      </w:tr>
      <w:tr>
        <w:trPr>
          <w:trHeight w:val="370"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77" w:right="0"/>
              <w:jc w:val="left"/>
              <w:rPr>
                <w:rFonts w:ascii="宋体" w:hAnsi="宋体" w:cs="宋体" w:eastAsia="宋体" w:hint="default"/>
                <w:sz w:val="15"/>
                <w:szCs w:val="15"/>
              </w:rPr>
            </w:pPr>
            <w:r>
              <w:rPr>
                <w:rFonts w:ascii="宋体"/>
                <w:sz w:val="15"/>
              </w:rPr>
              <w:t>23</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5"/>
                <w:szCs w:val="15"/>
              </w:rPr>
            </w:pPr>
            <w:r>
              <w:rPr>
                <w:rFonts w:ascii="宋体" w:hAnsi="宋体" w:cs="宋体" w:eastAsia="宋体" w:hint="default"/>
                <w:sz w:val="15"/>
                <w:szCs w:val="15"/>
              </w:rPr>
              <w:t>衢州新湖房地产开发有限公司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5"/>
                <w:szCs w:val="15"/>
              </w:rPr>
            </w:pPr>
            <w:r>
              <w:rPr>
                <w:rFonts w:ascii="宋体" w:hAnsi="宋体" w:cs="宋体" w:eastAsia="宋体" w:hint="default"/>
                <w:sz w:val="15"/>
                <w:szCs w:val="15"/>
              </w:rPr>
              <w:t>衢州·新湖景城</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w w:val="100"/>
                <w:sz w:val="15"/>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600,349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7"/>
              <w:jc w:val="right"/>
              <w:rPr>
                <w:rFonts w:ascii="宋体" w:hAnsi="宋体" w:cs="宋体" w:eastAsia="宋体" w:hint="default"/>
                <w:sz w:val="15"/>
                <w:szCs w:val="15"/>
              </w:rPr>
            </w:pPr>
            <w:r>
              <w:rPr>
                <w:rFonts w:ascii="宋体"/>
                <w:spacing w:val="-1"/>
                <w:sz w:val="15"/>
              </w:rPr>
              <w:t>148,682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84,646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spacing w:val="-1"/>
                <w:sz w:val="15"/>
              </w:rPr>
              <w:t>889,439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7,097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65,159</w:t>
            </w:r>
          </w:p>
        </w:tc>
      </w:tr>
      <w:tr>
        <w:trPr>
          <w:trHeight w:val="370"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77" w:right="0"/>
              <w:jc w:val="left"/>
              <w:rPr>
                <w:rFonts w:ascii="宋体" w:hAnsi="宋体" w:cs="宋体" w:eastAsia="宋体" w:hint="default"/>
                <w:sz w:val="15"/>
                <w:szCs w:val="15"/>
              </w:rPr>
            </w:pPr>
            <w:r>
              <w:rPr>
                <w:rFonts w:ascii="宋体"/>
                <w:sz w:val="15"/>
              </w:rPr>
              <w:t>24</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丽水新湖置业有限公司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丽水·新湖国际</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147,242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100,572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宋体" w:hAnsi="宋体" w:cs="宋体" w:eastAsia="宋体" w:hint="default"/>
                <w:sz w:val="15"/>
                <w:szCs w:val="15"/>
              </w:rPr>
            </w:pPr>
            <w:r>
              <w:rPr>
                <w:rFonts w:ascii="宋体"/>
                <w:spacing w:val="-1"/>
                <w:sz w:val="15"/>
              </w:rPr>
              <w:t>14,484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43,393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spacing w:val="-1"/>
                <w:sz w:val="15"/>
              </w:rPr>
              <w:t>920,884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宋体" w:hAnsi="宋体" w:cs="宋体" w:eastAsia="宋体" w:hint="default"/>
                <w:sz w:val="15"/>
                <w:szCs w:val="15"/>
              </w:rPr>
            </w:pPr>
            <w:r>
              <w:rPr>
                <w:rFonts w:ascii="宋体"/>
                <w:spacing w:val="-1"/>
                <w:sz w:val="15"/>
              </w:rPr>
              <w:t>95,071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宋体" w:hAnsi="宋体" w:cs="宋体" w:eastAsia="宋体" w:hint="default"/>
                <w:sz w:val="15"/>
                <w:szCs w:val="15"/>
              </w:rPr>
            </w:pPr>
            <w:r>
              <w:rPr>
                <w:rFonts w:ascii="宋体"/>
                <w:spacing w:val="-2"/>
                <w:sz w:val="15"/>
              </w:rPr>
              <w:t>1,655,173</w:t>
            </w:r>
          </w:p>
        </w:tc>
      </w:tr>
      <w:tr>
        <w:trPr>
          <w:trHeight w:val="413"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77" w:right="0"/>
              <w:jc w:val="left"/>
              <w:rPr>
                <w:rFonts w:ascii="宋体" w:hAnsi="宋体" w:cs="宋体" w:eastAsia="宋体" w:hint="default"/>
                <w:sz w:val="15"/>
                <w:szCs w:val="15"/>
              </w:rPr>
            </w:pPr>
            <w:r>
              <w:rPr>
                <w:rFonts w:ascii="宋体"/>
                <w:sz w:val="15"/>
              </w:rPr>
              <w:t>25</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5"/>
                <w:szCs w:val="15"/>
              </w:rPr>
            </w:pPr>
            <w:r>
              <w:rPr>
                <w:rFonts w:ascii="宋体" w:hAnsi="宋体" w:cs="宋体" w:eastAsia="宋体" w:hint="default"/>
                <w:sz w:val="15"/>
                <w:szCs w:val="15"/>
              </w:rPr>
              <w:t>乐清新湖置业有限公司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5"/>
                <w:szCs w:val="15"/>
              </w:rPr>
            </w:pPr>
            <w:r>
              <w:rPr>
                <w:rFonts w:ascii="宋体" w:hAnsi="宋体" w:cs="宋体" w:eastAsia="宋体" w:hint="default"/>
                <w:sz w:val="15"/>
                <w:szCs w:val="15"/>
              </w:rPr>
              <w:t>乐清·海德花园</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5"/>
                <w:szCs w:val="15"/>
              </w:rPr>
            </w:pPr>
            <w:r>
              <w:rPr>
                <w:rFonts w:ascii="宋体"/>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5"/>
                <w:szCs w:val="15"/>
              </w:rPr>
            </w:pPr>
            <w:r>
              <w:rPr>
                <w:rFonts w:ascii="宋体"/>
                <w:w w:val="100"/>
                <w:sz w:val="15"/>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宋体" w:hAnsi="宋体" w:cs="宋体" w:eastAsia="宋体" w:hint="default"/>
                <w:sz w:val="15"/>
                <w:szCs w:val="15"/>
              </w:rPr>
            </w:pPr>
            <w:r>
              <w:rPr>
                <w:rFonts w:ascii="宋体"/>
                <w:spacing w:val="-1"/>
                <w:sz w:val="15"/>
              </w:rPr>
              <w:t>176,662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7"/>
              <w:jc w:val="right"/>
              <w:rPr>
                <w:rFonts w:ascii="宋体" w:hAnsi="宋体" w:cs="宋体" w:eastAsia="宋体" w:hint="default"/>
                <w:sz w:val="15"/>
                <w:szCs w:val="15"/>
              </w:rPr>
            </w:pPr>
            <w:r>
              <w:rPr>
                <w:rFonts w:ascii="宋体"/>
                <w:spacing w:val="-1"/>
                <w:sz w:val="15"/>
              </w:rPr>
              <w:t>33,052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宋体" w:hAnsi="宋体" w:cs="宋体" w:eastAsia="宋体" w:hint="default"/>
                <w:sz w:val="15"/>
                <w:szCs w:val="15"/>
              </w:rPr>
            </w:pPr>
            <w:r>
              <w:rPr>
                <w:rFonts w:ascii="宋体"/>
                <w:spacing w:val="-1"/>
                <w:sz w:val="15"/>
              </w:rPr>
              <w:t>74,386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5"/>
              <w:jc w:val="right"/>
              <w:rPr>
                <w:rFonts w:ascii="宋体" w:hAnsi="宋体" w:cs="宋体" w:eastAsia="宋体" w:hint="default"/>
                <w:sz w:val="15"/>
                <w:szCs w:val="15"/>
              </w:rPr>
            </w:pPr>
            <w:r>
              <w:rPr>
                <w:rFonts w:ascii="宋体"/>
                <w:spacing w:val="-2"/>
                <w:sz w:val="15"/>
              </w:rPr>
              <w:t>1,863,852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7"/>
              <w:jc w:val="right"/>
              <w:rPr>
                <w:rFonts w:ascii="宋体" w:hAnsi="宋体" w:cs="宋体" w:eastAsia="宋体" w:hint="default"/>
                <w:sz w:val="15"/>
                <w:szCs w:val="15"/>
              </w:rPr>
            </w:pPr>
            <w:r>
              <w:rPr>
                <w:rFonts w:ascii="宋体"/>
                <w:spacing w:val="-1"/>
                <w:sz w:val="15"/>
              </w:rPr>
              <w:t>10,558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宋体" w:hAnsi="宋体" w:cs="宋体" w:eastAsia="宋体" w:hint="default"/>
                <w:sz w:val="15"/>
                <w:szCs w:val="15"/>
              </w:rPr>
            </w:pPr>
            <w:r>
              <w:rPr>
                <w:rFonts w:ascii="宋体"/>
                <w:spacing w:val="-1"/>
                <w:sz w:val="15"/>
              </w:rPr>
              <w:t>296,482</w:t>
            </w:r>
          </w:p>
        </w:tc>
      </w:tr>
    </w:tbl>
    <w:p>
      <w:pPr>
        <w:spacing w:after="0" w:line="240" w:lineRule="auto"/>
        <w:jc w:val="right"/>
        <w:rPr>
          <w:rFonts w:ascii="宋体" w:hAnsi="宋体" w:cs="宋体" w:eastAsia="宋体" w:hint="default"/>
          <w:sz w:val="15"/>
          <w:szCs w:val="15"/>
        </w:rPr>
        <w:sectPr>
          <w:pgSz w:w="16840" w:h="11910" w:orient="landscape"/>
          <w:pgMar w:header="882"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519"/>
        <w:gridCol w:w="2467"/>
        <w:gridCol w:w="1729"/>
        <w:gridCol w:w="1246"/>
        <w:gridCol w:w="893"/>
        <w:gridCol w:w="984"/>
        <w:gridCol w:w="934"/>
        <w:gridCol w:w="1061"/>
        <w:gridCol w:w="958"/>
        <w:gridCol w:w="1025"/>
        <w:gridCol w:w="1126"/>
        <w:gridCol w:w="1150"/>
      </w:tblGrid>
      <w:tr>
        <w:trPr>
          <w:trHeight w:val="365" w:hRule="exact"/>
        </w:trPr>
        <w:tc>
          <w:tcPr>
            <w:tcW w:w="519"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26</w:t>
            </w:r>
          </w:p>
        </w:tc>
        <w:tc>
          <w:tcPr>
            <w:tcW w:w="2467"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瑞安市中宝置业有限公司</w:t>
            </w:r>
          </w:p>
        </w:tc>
        <w:tc>
          <w:tcPr>
            <w:tcW w:w="1729"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瑞安·新湖广场</w:t>
            </w:r>
          </w:p>
        </w:tc>
        <w:tc>
          <w:tcPr>
            <w:tcW w:w="12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158,289</w:t>
            </w:r>
          </w:p>
        </w:tc>
        <w:tc>
          <w:tcPr>
            <w:tcW w:w="9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w w:val="100"/>
                <w:sz w:val="15"/>
              </w:rPr>
              <w:t>0</w:t>
            </w:r>
          </w:p>
        </w:tc>
        <w:tc>
          <w:tcPr>
            <w:tcW w:w="9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324,696</w:t>
            </w:r>
          </w:p>
        </w:tc>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97"/>
              <w:jc w:val="right"/>
              <w:rPr>
                <w:rFonts w:ascii="宋体" w:hAnsi="宋体" w:cs="宋体" w:eastAsia="宋体" w:hint="default"/>
                <w:sz w:val="15"/>
                <w:szCs w:val="15"/>
              </w:rPr>
            </w:pPr>
            <w:r>
              <w:rPr>
                <w:rFonts w:ascii="宋体"/>
                <w:spacing w:val="-1"/>
                <w:sz w:val="15"/>
              </w:rPr>
              <w:t>10,221</w:t>
            </w: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67,129</w:t>
            </w:r>
          </w:p>
        </w:tc>
        <w:tc>
          <w:tcPr>
            <w:tcW w:w="10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05"/>
              <w:jc w:val="right"/>
              <w:rPr>
                <w:rFonts w:ascii="宋体" w:hAnsi="宋体" w:cs="宋体" w:eastAsia="宋体" w:hint="default"/>
                <w:sz w:val="15"/>
                <w:szCs w:val="15"/>
              </w:rPr>
            </w:pPr>
            <w:r>
              <w:rPr>
                <w:rFonts w:ascii="宋体"/>
                <w:spacing w:val="-2"/>
                <w:sz w:val="15"/>
              </w:rPr>
              <w:t>1,264,881</w:t>
            </w: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w w:val="100"/>
                <w:sz w:val="15"/>
              </w:rPr>
              <w:t>0</w:t>
            </w:r>
          </w:p>
        </w:tc>
        <w:tc>
          <w:tcPr>
            <w:tcW w:w="11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w w:val="100"/>
                <w:sz w:val="15"/>
              </w:rPr>
              <w:t>0</w:t>
            </w:r>
          </w:p>
        </w:tc>
      </w:tr>
      <w:tr>
        <w:trPr>
          <w:trHeight w:val="502" w:hRule="exact"/>
        </w:trPr>
        <w:tc>
          <w:tcPr>
            <w:tcW w:w="519" w:type="dxa"/>
            <w:vMerge/>
            <w:tcBorders>
              <w:left w:val="single" w:sz="4" w:space="0" w:color="000000"/>
              <w:bottom w:val="single" w:sz="4" w:space="0" w:color="000000"/>
              <w:right w:val="single" w:sz="4" w:space="0" w:color="000000"/>
            </w:tcBorders>
          </w:tcPr>
          <w:p>
            <w:pPr/>
          </w:p>
        </w:tc>
        <w:tc>
          <w:tcPr>
            <w:tcW w:w="2467" w:type="dxa"/>
            <w:vMerge/>
            <w:tcBorders>
              <w:left w:val="single" w:sz="4" w:space="0" w:color="000000"/>
              <w:bottom w:val="single" w:sz="4" w:space="0" w:color="000000"/>
              <w:right w:val="single" w:sz="4" w:space="0" w:color="000000"/>
            </w:tcBorders>
          </w:tcPr>
          <w:p>
            <w:pPr/>
          </w:p>
        </w:tc>
        <w:tc>
          <w:tcPr>
            <w:tcW w:w="1729" w:type="dxa"/>
            <w:vMerge/>
            <w:tcBorders>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5"/>
                <w:szCs w:val="15"/>
              </w:rPr>
            </w:pPr>
            <w:r>
              <w:rPr>
                <w:rFonts w:ascii="宋体" w:hAnsi="宋体" w:cs="宋体" w:eastAsia="宋体" w:hint="default"/>
                <w:sz w:val="15"/>
                <w:szCs w:val="15"/>
              </w:rPr>
              <w:t>商铺及购物中心</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5"/>
                <w:szCs w:val="15"/>
              </w:rPr>
            </w:pPr>
            <w:r>
              <w:rPr>
                <w:rFonts w:ascii="宋体"/>
                <w:spacing w:val="-1"/>
                <w:sz w:val="15"/>
              </w:rPr>
              <w:t>200,411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宋体" w:hAnsi="宋体" w:cs="宋体" w:eastAsia="宋体" w:hint="default"/>
                <w:sz w:val="15"/>
                <w:szCs w:val="15"/>
              </w:rPr>
            </w:pPr>
            <w:r>
              <w:rPr>
                <w:rFonts w:ascii="宋体"/>
                <w:w w:val="100"/>
                <w:sz w:val="15"/>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5"/>
                <w:szCs w:val="15"/>
              </w:rPr>
            </w:pPr>
            <w:r>
              <w:rPr>
                <w:rFonts w:ascii="宋体"/>
                <w:spacing w:val="-1"/>
                <w:sz w:val="15"/>
              </w:rPr>
              <w:t>200,411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5"/>
                <w:szCs w:val="15"/>
              </w:rPr>
            </w:pPr>
            <w:r>
              <w:rPr>
                <w:rFonts w:ascii="宋体"/>
                <w:w w:val="100"/>
                <w:sz w:val="15"/>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宋体" w:hAnsi="宋体" w:cs="宋体" w:eastAsia="宋体" w:hint="default"/>
                <w:sz w:val="15"/>
                <w:szCs w:val="15"/>
              </w:rPr>
            </w:pPr>
            <w:r>
              <w:rPr>
                <w:rFonts w:ascii="宋体"/>
                <w:w w:val="100"/>
                <w:sz w:val="15"/>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4"/>
              <w:jc w:val="right"/>
              <w:rPr>
                <w:rFonts w:ascii="宋体" w:hAnsi="宋体" w:cs="宋体" w:eastAsia="宋体" w:hint="default"/>
                <w:sz w:val="15"/>
                <w:szCs w:val="15"/>
              </w:rPr>
            </w:pPr>
            <w:r>
              <w:rPr>
                <w:rFonts w:ascii="宋体"/>
                <w:w w:val="100"/>
                <w:sz w:val="15"/>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5"/>
                <w:szCs w:val="15"/>
              </w:rPr>
            </w:pPr>
            <w:r>
              <w:rPr>
                <w:rFonts w:ascii="宋体"/>
                <w:w w:val="100"/>
                <w:sz w:val="15"/>
              </w:rPr>
              <w:t>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宋体" w:hAnsi="宋体" w:cs="宋体" w:eastAsia="宋体" w:hint="default"/>
                <w:sz w:val="15"/>
                <w:szCs w:val="15"/>
              </w:rPr>
            </w:pPr>
            <w:r>
              <w:rPr>
                <w:rFonts w:ascii="宋体"/>
                <w:w w:val="100"/>
                <w:sz w:val="15"/>
              </w:rPr>
              <w:t>0</w:t>
            </w:r>
          </w:p>
        </w:tc>
      </w:tr>
      <w:tr>
        <w:trPr>
          <w:trHeight w:val="370"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15"/>
                <w:szCs w:val="15"/>
              </w:rPr>
            </w:pPr>
            <w:r>
              <w:rPr>
                <w:rFonts w:ascii="宋体"/>
                <w:sz w:val="15"/>
              </w:rPr>
              <w:t>27</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浙江澳辰地产发展有限公司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兰溪·香格里拉</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88,201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宋体" w:hAnsi="宋体" w:cs="宋体" w:eastAsia="宋体" w:hint="default"/>
                <w:sz w:val="15"/>
                <w:szCs w:val="15"/>
              </w:rPr>
            </w:pPr>
            <w:r>
              <w:rPr>
                <w:rFonts w:ascii="宋体"/>
                <w:spacing w:val="-1"/>
                <w:sz w:val="15"/>
              </w:rPr>
              <w:t>38,675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48,578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spacing w:val="-1"/>
                <w:sz w:val="15"/>
              </w:rPr>
              <w:t>419,770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宋体" w:hAnsi="宋体" w:cs="宋体" w:eastAsia="宋体" w:hint="default"/>
                <w:sz w:val="15"/>
                <w:szCs w:val="15"/>
              </w:rPr>
            </w:pPr>
            <w:r>
              <w:rPr>
                <w:rFonts w:ascii="宋体"/>
                <w:spacing w:val="-1"/>
                <w:sz w:val="15"/>
              </w:rPr>
              <w:t>20,018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159,433</w:t>
            </w:r>
          </w:p>
        </w:tc>
      </w:tr>
      <w:tr>
        <w:trPr>
          <w:trHeight w:val="370"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15"/>
                <w:szCs w:val="15"/>
              </w:rPr>
            </w:pPr>
            <w:r>
              <w:rPr>
                <w:rFonts w:ascii="宋体"/>
                <w:sz w:val="15"/>
              </w:rPr>
              <w:t>28</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舟山新湖置业有限公司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舟山·御景国际</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宋体" w:hAnsi="宋体" w:cs="宋体" w:eastAsia="宋体" w:hint="default"/>
                <w:sz w:val="15"/>
                <w:szCs w:val="15"/>
              </w:rPr>
            </w:pPr>
            <w:r>
              <w:rPr>
                <w:rFonts w:ascii="宋体"/>
                <w:spacing w:val="-1"/>
                <w:sz w:val="15"/>
              </w:rPr>
              <w:t>66,445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46,673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spacing w:val="-1"/>
                <w:sz w:val="15"/>
              </w:rPr>
              <w:t>626,066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宋体" w:hAnsi="宋体" w:cs="宋体" w:eastAsia="宋体" w:hint="default"/>
                <w:sz w:val="15"/>
                <w:szCs w:val="15"/>
              </w:rPr>
            </w:pPr>
            <w:r>
              <w:rPr>
                <w:rFonts w:ascii="宋体"/>
                <w:spacing w:val="-1"/>
                <w:sz w:val="15"/>
              </w:rPr>
              <w:t>47,547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605,487</w:t>
            </w:r>
          </w:p>
        </w:tc>
      </w:tr>
      <w:tr>
        <w:trPr>
          <w:trHeight w:val="370"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15"/>
                <w:szCs w:val="15"/>
              </w:rPr>
            </w:pPr>
            <w:r>
              <w:rPr>
                <w:rFonts w:ascii="宋体"/>
                <w:sz w:val="15"/>
              </w:rPr>
              <w:t>29</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温岭新湖地产发展有限公司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温岭·双溪春晓</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125,127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125,127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15"/>
                <w:szCs w:val="15"/>
              </w:rPr>
            </w:pPr>
            <w:r>
              <w:rPr>
                <w:rFonts w:ascii="宋体"/>
                <w:w w:val="100"/>
                <w:sz w:val="15"/>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宋体" w:hAnsi="宋体" w:cs="宋体" w:eastAsia="宋体" w:hint="default"/>
                <w:sz w:val="15"/>
                <w:szCs w:val="15"/>
              </w:rPr>
            </w:pPr>
            <w:r>
              <w:rPr>
                <w:rFonts w:ascii="宋体"/>
                <w:w w:val="100"/>
                <w:sz w:val="15"/>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15"/>
                <w:szCs w:val="15"/>
              </w:rPr>
            </w:pPr>
            <w:r>
              <w:rPr>
                <w:rFonts w:ascii="宋体"/>
                <w:w w:val="100"/>
                <w:sz w:val="15"/>
              </w:rPr>
              <w:t>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r>
      <w:tr>
        <w:trPr>
          <w:trHeight w:val="373"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15"/>
                <w:szCs w:val="15"/>
              </w:rPr>
            </w:pPr>
            <w:r>
              <w:rPr>
                <w:rFonts w:ascii="宋体"/>
                <w:sz w:val="15"/>
              </w:rPr>
              <w:t>30</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九江新湖远洲置业有限公司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九江·柴桑春天</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w w:val="100"/>
                <w:sz w:val="15"/>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宋体" w:hAnsi="宋体" w:cs="宋体" w:eastAsia="宋体" w:hint="default"/>
                <w:sz w:val="15"/>
                <w:szCs w:val="15"/>
              </w:rPr>
            </w:pPr>
            <w:r>
              <w:rPr>
                <w:rFonts w:ascii="宋体"/>
                <w:spacing w:val="-1"/>
                <w:sz w:val="15"/>
              </w:rPr>
              <w:t>48,298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26,742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spacing w:val="-1"/>
                <w:sz w:val="15"/>
              </w:rPr>
              <w:t>172,263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宋体" w:hAnsi="宋体" w:cs="宋体" w:eastAsia="宋体" w:hint="default"/>
                <w:sz w:val="15"/>
                <w:szCs w:val="15"/>
              </w:rPr>
            </w:pPr>
            <w:r>
              <w:rPr>
                <w:rFonts w:ascii="宋体"/>
                <w:spacing w:val="-1"/>
                <w:sz w:val="15"/>
              </w:rPr>
              <w:t>24,865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157,166</w:t>
            </w:r>
          </w:p>
        </w:tc>
      </w:tr>
      <w:tr>
        <w:trPr>
          <w:trHeight w:val="370"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5"/>
                <w:szCs w:val="15"/>
              </w:rPr>
            </w:pPr>
            <w:r>
              <w:rPr>
                <w:rFonts w:ascii="宋体"/>
                <w:sz w:val="15"/>
              </w:rPr>
              <w:t>31</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5"/>
                <w:szCs w:val="15"/>
              </w:rPr>
            </w:pPr>
            <w:r>
              <w:rPr>
                <w:rFonts w:ascii="宋体" w:hAnsi="宋体" w:cs="宋体" w:eastAsia="宋体" w:hint="default"/>
                <w:sz w:val="15"/>
                <w:szCs w:val="15"/>
              </w:rPr>
              <w:t>九江新湖中宝置业有限公司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5"/>
                <w:szCs w:val="15"/>
              </w:rPr>
            </w:pPr>
            <w:r>
              <w:rPr>
                <w:rFonts w:ascii="宋体" w:hAnsi="宋体" w:cs="宋体" w:eastAsia="宋体" w:hint="default"/>
                <w:sz w:val="15"/>
                <w:szCs w:val="15"/>
              </w:rPr>
              <w:t>九江·庐山国际</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162,452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95,845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268,764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7"/>
              <w:jc w:val="right"/>
              <w:rPr>
                <w:rFonts w:ascii="宋体" w:hAnsi="宋体" w:cs="宋体" w:eastAsia="宋体" w:hint="default"/>
                <w:sz w:val="15"/>
                <w:szCs w:val="15"/>
              </w:rPr>
            </w:pPr>
            <w:r>
              <w:rPr>
                <w:rFonts w:ascii="宋体"/>
                <w:spacing w:val="-1"/>
                <w:sz w:val="15"/>
              </w:rPr>
              <w:t>97,359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113,214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spacing w:val="-1"/>
                <w:sz w:val="15"/>
              </w:rPr>
              <w:t>922,722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7"/>
              <w:jc w:val="right"/>
              <w:rPr>
                <w:rFonts w:ascii="宋体" w:hAnsi="宋体" w:cs="宋体" w:eastAsia="宋体" w:hint="default"/>
                <w:sz w:val="15"/>
                <w:szCs w:val="15"/>
              </w:rPr>
            </w:pPr>
            <w:r>
              <w:rPr>
                <w:rFonts w:ascii="宋体"/>
                <w:spacing w:val="-1"/>
                <w:sz w:val="15"/>
              </w:rPr>
              <w:t>31,867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296,121</w:t>
            </w:r>
          </w:p>
        </w:tc>
      </w:tr>
      <w:tr>
        <w:trPr>
          <w:trHeight w:val="370"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5"/>
                <w:szCs w:val="15"/>
              </w:rPr>
            </w:pPr>
            <w:r>
              <w:rPr>
                <w:rFonts w:ascii="宋体"/>
                <w:sz w:val="15"/>
              </w:rPr>
              <w:t>32</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5"/>
                <w:szCs w:val="15"/>
              </w:rPr>
            </w:pPr>
            <w:r>
              <w:rPr>
                <w:rFonts w:ascii="宋体"/>
                <w:w w:val="100"/>
                <w:sz w:val="15"/>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93,900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spacing w:val="-1"/>
                <w:sz w:val="15"/>
              </w:rPr>
              <w:t>5,045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176,791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7"/>
              <w:jc w:val="right"/>
              <w:rPr>
                <w:rFonts w:ascii="宋体" w:hAnsi="宋体" w:cs="宋体" w:eastAsia="宋体" w:hint="default"/>
                <w:sz w:val="15"/>
                <w:szCs w:val="15"/>
              </w:rPr>
            </w:pPr>
            <w:r>
              <w:rPr>
                <w:rFonts w:ascii="宋体"/>
                <w:spacing w:val="-1"/>
                <w:sz w:val="15"/>
              </w:rPr>
              <w:t>21,853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43,869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spacing w:val="-1"/>
                <w:sz w:val="15"/>
              </w:rPr>
              <w:t>522,850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7"/>
              <w:jc w:val="right"/>
              <w:rPr>
                <w:rFonts w:ascii="宋体" w:hAnsi="宋体" w:cs="宋体" w:eastAsia="宋体" w:hint="default"/>
                <w:sz w:val="15"/>
                <w:szCs w:val="15"/>
              </w:rPr>
            </w:pPr>
            <w:r>
              <w:rPr>
                <w:rFonts w:ascii="宋体"/>
                <w:spacing w:val="-1"/>
                <w:sz w:val="15"/>
              </w:rPr>
              <w:t>210,623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宋体" w:hAnsi="宋体" w:cs="宋体" w:eastAsia="宋体" w:hint="default"/>
                <w:sz w:val="15"/>
                <w:szCs w:val="15"/>
              </w:rPr>
            </w:pPr>
            <w:r>
              <w:rPr>
                <w:rFonts w:ascii="宋体"/>
                <w:spacing w:val="-2"/>
                <w:sz w:val="15"/>
              </w:rPr>
              <w:t>1,444,705</w:t>
            </w:r>
          </w:p>
        </w:tc>
      </w:tr>
      <w:tr>
        <w:trPr>
          <w:trHeight w:val="370" w:hRule="exact"/>
        </w:trPr>
        <w:tc>
          <w:tcPr>
            <w:tcW w:w="4715" w:type="dxa"/>
            <w:gridSpan w:val="3"/>
            <w:tcBorders>
              <w:top w:val="single" w:sz="4" w:space="0" w:color="000000"/>
              <w:left w:val="single" w:sz="4" w:space="0" w:color="000000"/>
              <w:bottom w:val="single" w:sz="4" w:space="0" w:color="000000"/>
              <w:right w:val="single" w:sz="4" w:space="0" w:color="000000"/>
            </w:tcBorders>
          </w:tcPr>
          <w:p>
            <w:pPr>
              <w:pStyle w:val="TableParagraph"/>
              <w:tabs>
                <w:tab w:pos="678" w:val="left" w:leader="none"/>
              </w:tabs>
              <w:spacing w:line="240" w:lineRule="auto" w:before="60"/>
              <w:ind w:left="153" w:right="0"/>
              <w:jc w:val="center"/>
              <w:rPr>
                <w:rFonts w:ascii="宋体" w:hAnsi="宋体" w:cs="宋体" w:eastAsia="宋体" w:hint="default"/>
                <w:sz w:val="15"/>
                <w:szCs w:val="15"/>
              </w:rPr>
            </w:pPr>
            <w:r>
              <w:rPr>
                <w:rFonts w:ascii="宋体" w:hAnsi="宋体" w:cs="宋体" w:eastAsia="宋体" w:hint="default"/>
                <w:sz w:val="15"/>
                <w:szCs w:val="15"/>
              </w:rPr>
              <w:t>小</w:t>
              <w:tab/>
              <w:t>计</w:t>
            </w:r>
          </w:p>
        </w:tc>
        <w:tc>
          <w:tcPr>
            <w:tcW w:w="124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宋体" w:hAnsi="宋体" w:cs="宋体" w:eastAsia="宋体" w:hint="default"/>
                <w:sz w:val="15"/>
                <w:szCs w:val="15"/>
              </w:rPr>
            </w:pPr>
            <w:r>
              <w:rPr>
                <w:rFonts w:ascii="宋体"/>
                <w:spacing w:val="-2"/>
                <w:sz w:val="15"/>
              </w:rPr>
              <w:t>1,296,557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786,705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spacing w:val="-2"/>
                <w:sz w:val="15"/>
              </w:rPr>
              <w:t>3,858,902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2"/>
                <w:sz w:val="15"/>
              </w:rPr>
              <w:t>1,121,492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920,415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15"/>
                <w:szCs w:val="15"/>
              </w:rPr>
            </w:pPr>
            <w:r>
              <w:rPr>
                <w:rFonts w:ascii="宋体"/>
                <w:spacing w:val="-1"/>
                <w:sz w:val="15"/>
              </w:rPr>
              <w:t>13,208,334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宋体" w:hAnsi="宋体" w:cs="宋体" w:eastAsia="宋体" w:hint="default"/>
                <w:sz w:val="15"/>
                <w:szCs w:val="15"/>
              </w:rPr>
            </w:pPr>
            <w:r>
              <w:rPr>
                <w:rFonts w:ascii="宋体"/>
                <w:spacing w:val="-1"/>
                <w:sz w:val="15"/>
              </w:rPr>
              <w:t>865,415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15"/>
                <w:szCs w:val="15"/>
              </w:rPr>
            </w:pPr>
            <w:r>
              <w:rPr>
                <w:rFonts w:ascii="宋体"/>
                <w:spacing w:val="-1"/>
                <w:sz w:val="15"/>
              </w:rPr>
              <w:t>14,308,192</w:t>
            </w:r>
          </w:p>
        </w:tc>
      </w:tr>
    </w:tbl>
    <w:p>
      <w:pPr>
        <w:spacing w:line="240" w:lineRule="auto" w:before="5"/>
        <w:rPr>
          <w:rFonts w:ascii="Times New Roman" w:hAnsi="Times New Roman" w:cs="Times New Roman" w:eastAsia="Times New Roman" w:hint="default"/>
          <w:sz w:val="18"/>
          <w:szCs w:val="18"/>
        </w:rPr>
      </w:pPr>
    </w:p>
    <w:p>
      <w:pPr>
        <w:spacing w:before="54"/>
        <w:ind w:left="520" w:right="0" w:firstLine="0"/>
        <w:jc w:val="lef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z w:val="15"/>
          <w:szCs w:val="15"/>
        </w:rPr>
        <w:t>：本表数据未考虑权益比例。</w:t>
      </w:r>
    </w:p>
    <w:p>
      <w:pPr>
        <w:spacing w:before="94"/>
        <w:ind w:left="520" w:right="0" w:firstLine="0"/>
        <w:jc w:val="lef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7"/>
          <w:sz w:val="15"/>
          <w:szCs w:val="15"/>
        </w:rPr>
        <w:t> </w:t>
      </w:r>
      <w:r>
        <w:rPr>
          <w:rFonts w:ascii="宋体" w:hAnsi="宋体" w:cs="宋体" w:eastAsia="宋体" w:hint="default"/>
          <w:spacing w:val="-2"/>
          <w:sz w:val="15"/>
          <w:szCs w:val="15"/>
        </w:rPr>
        <w:t>2</w:t>
      </w:r>
      <w:r>
        <w:rPr>
          <w:rFonts w:ascii="宋体" w:hAnsi="宋体" w:cs="宋体" w:eastAsia="宋体" w:hint="default"/>
          <w:spacing w:val="-2"/>
          <w:sz w:val="15"/>
          <w:szCs w:val="15"/>
        </w:rPr>
        <w:t>：住宅区附带的商铺、车位、储藏室、公共配套设施等均含在“住宅”类别内，不单独列示。</w:t>
      </w:r>
    </w:p>
    <w:p>
      <w:pPr>
        <w:spacing w:after="0"/>
        <w:jc w:val="left"/>
        <w:rPr>
          <w:rFonts w:ascii="宋体" w:hAnsi="宋体" w:cs="宋体" w:eastAsia="宋体" w:hint="default"/>
          <w:sz w:val="15"/>
          <w:szCs w:val="15"/>
        </w:rPr>
        <w:sectPr>
          <w:pgSz w:w="16840" w:h="11910" w:orient="landscape"/>
          <w:pgMar w:header="882" w:footer="1195" w:top="1120" w:bottom="1380" w:left="1220" w:right="1300"/>
        </w:sectPr>
      </w:pPr>
    </w:p>
    <w:p>
      <w:pPr>
        <w:spacing w:line="240" w:lineRule="auto" w:before="5"/>
        <w:rPr>
          <w:rFonts w:ascii="宋体" w:hAnsi="宋体" w:cs="宋体" w:eastAsia="宋体" w:hint="default"/>
          <w:sz w:val="25"/>
          <w:szCs w:val="25"/>
        </w:rPr>
      </w:pPr>
    </w:p>
    <w:p>
      <w:pPr>
        <w:pStyle w:val="BodyText"/>
        <w:spacing w:line="240" w:lineRule="auto" w:before="26"/>
        <w:ind w:left="618" w:right="102"/>
        <w:jc w:val="left"/>
      </w:pPr>
      <w:r>
        <w:rPr>
          <w:rFonts w:ascii="Times New Roman" w:hAnsi="Times New Roman" w:cs="Times New Roman" w:eastAsia="Times New Roman" w:hint="default"/>
        </w:rPr>
        <w:t>3</w:t>
      </w:r>
      <w:r>
        <w:rPr/>
        <w:t>、金融及金融科技投资情况</w:t>
      </w:r>
    </w:p>
    <w:p>
      <w:pPr>
        <w:pStyle w:val="BodyText"/>
        <w:spacing w:line="338" w:lineRule="auto" w:before="135"/>
        <w:ind w:right="100" w:firstLine="479"/>
        <w:jc w:val="left"/>
      </w:pPr>
      <w:r>
        <w:rPr>
          <w:spacing w:val="-13"/>
        </w:rPr>
        <w:t>期内，公司继续完善在金融领域的布局。（</w:t>
      </w:r>
      <w:r>
        <w:rPr>
          <w:rFonts w:ascii="Times New Roman" w:hAnsi="Times New Roman" w:cs="Times New Roman" w:eastAsia="Times New Roman" w:hint="default"/>
          <w:spacing w:val="-13"/>
        </w:rPr>
        <w:t>1</w:t>
      </w:r>
      <w:r>
        <w:rPr>
          <w:spacing w:val="-13"/>
        </w:rPr>
        <w:t>）出资</w:t>
      </w:r>
      <w:r>
        <w:rPr>
          <w:spacing w:val="-56"/>
        </w:rPr>
        <w:t> </w:t>
      </w:r>
      <w:r>
        <w:rPr>
          <w:rFonts w:ascii="Times New Roman" w:hAnsi="Times New Roman" w:cs="Times New Roman" w:eastAsia="Times New Roman" w:hint="default"/>
        </w:rPr>
        <w:t>21.73</w:t>
      </w:r>
      <w:r>
        <w:rPr>
          <w:rFonts w:ascii="Times New Roman" w:hAnsi="Times New Roman" w:cs="Times New Roman" w:eastAsia="Times New Roman" w:hint="default"/>
          <w:spacing w:val="4"/>
        </w:rPr>
        <w:t> </w:t>
      </w:r>
      <w:r>
        <w:rPr>
          <w:spacing w:val="-7"/>
        </w:rPr>
        <w:t>亿港元参与中信银行（国</w:t>
      </w:r>
      <w:r>
        <w:rPr/>
        <w:t> 际）有限公司的增资扩股，完成后占其总股本的 </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）出资 </w:t>
      </w:r>
      <w:r>
        <w:rPr>
          <w:rFonts w:ascii="Times New Roman" w:hAnsi="Times New Roman" w:cs="Times New Roman" w:eastAsia="Times New Roman" w:hint="default"/>
        </w:rPr>
        <w:t>7.44</w:t>
      </w:r>
      <w:r>
        <w:rPr>
          <w:rFonts w:ascii="Times New Roman" w:hAnsi="Times New Roman" w:cs="Times New Roman" w:eastAsia="Times New Roman" w:hint="default"/>
          <w:spacing w:val="-6"/>
        </w:rPr>
        <w:t> </w:t>
      </w:r>
      <w:r>
        <w:rPr/>
        <w:t>亿元配股增资 温州银行，完成后占其总股本的 </w:t>
      </w:r>
      <w:r>
        <w:rPr>
          <w:rFonts w:ascii="Times New Roman" w:hAnsi="Times New Roman" w:cs="Times New Roman" w:eastAsia="Times New Roman" w:hint="default"/>
        </w:rPr>
        <w:t>18.15%</w:t>
      </w:r>
      <w:r>
        <w:rPr/>
        <w:t>。（</w:t>
      </w:r>
      <w:r>
        <w:rPr>
          <w:rFonts w:ascii="Times New Roman" w:hAnsi="Times New Roman" w:cs="Times New Roman" w:eastAsia="Times New Roman" w:hint="default"/>
        </w:rPr>
        <w:t>3</w:t>
      </w:r>
      <w:r>
        <w:rPr/>
        <w:t>）出资 </w:t>
      </w:r>
      <w:r>
        <w:rPr>
          <w:rFonts w:ascii="Times New Roman" w:hAnsi="Times New Roman" w:cs="Times New Roman" w:eastAsia="Times New Roman" w:hint="default"/>
        </w:rPr>
        <w:t>8000</w:t>
      </w:r>
      <w:r>
        <w:rPr>
          <w:rFonts w:ascii="Times New Roman" w:hAnsi="Times New Roman" w:cs="Times New Roman" w:eastAsia="Times New Roman" w:hint="default"/>
          <w:spacing w:val="-9"/>
        </w:rPr>
        <w:t> </w:t>
      </w:r>
      <w:r>
        <w:rPr/>
        <w:t>万美元入股亚太交易有限 公司（</w:t>
      </w:r>
      <w:r>
        <w:rPr>
          <w:rFonts w:ascii="Times New Roman" w:hAnsi="Times New Roman" w:cs="Times New Roman" w:eastAsia="Times New Roman" w:hint="default"/>
        </w:rPr>
        <w:t>Asia Pacific Exchange Pte. Ltd.</w:t>
      </w:r>
      <w:r>
        <w:rPr/>
        <w:t>），完成后占其总股本的 </w:t>
      </w:r>
      <w:r>
        <w:rPr>
          <w:rFonts w:ascii="Times New Roman" w:hAnsi="Times New Roman" w:cs="Times New Roman" w:eastAsia="Times New Roman" w:hint="default"/>
        </w:rPr>
        <w:t>20%</w:t>
      </w:r>
      <w:r>
        <w:rPr/>
        <w:t>。（</w:t>
      </w:r>
      <w:r>
        <w:rPr>
          <w:rFonts w:ascii="Times New Roman" w:hAnsi="Times New Roman" w:cs="Times New Roman" w:eastAsia="Times New Roman" w:hint="default"/>
        </w:rPr>
        <w:t>4</w:t>
      </w:r>
      <w:r>
        <w:rPr/>
        <w:t>）出资</w:t>
      </w:r>
      <w:r>
        <w:rPr>
          <w:spacing w:val="-65"/>
        </w:rPr>
        <w:t> </w:t>
      </w:r>
      <w:r>
        <w:rPr>
          <w:rFonts w:ascii="Times New Roman" w:hAnsi="Times New Roman" w:cs="Times New Roman" w:eastAsia="Times New Roman" w:hint="default"/>
        </w:rPr>
        <w:t>6881 </w:t>
      </w:r>
      <w:r>
        <w:rPr>
          <w:spacing w:val="-4"/>
        </w:rPr>
        <w:t>万元增资湘财证券，完成后公司和新湖控股分别持有湘财证券</w:t>
      </w:r>
      <w:r>
        <w:rPr>
          <w:spacing w:val="-52"/>
        </w:rPr>
        <w:t> </w:t>
      </w:r>
      <w:r>
        <w:rPr>
          <w:rFonts w:ascii="Times New Roman" w:hAnsi="Times New Roman" w:cs="Times New Roman" w:eastAsia="Times New Roman" w:hint="default"/>
        </w:rPr>
        <w:t>3.58%</w:t>
      </w:r>
      <w:r>
        <w:rPr/>
        <w:t>和</w:t>
      </w:r>
      <w:r>
        <w:rPr>
          <w:spacing w:val="-52"/>
        </w:rPr>
        <w:t> </w:t>
      </w:r>
      <w:r>
        <w:rPr>
          <w:rFonts w:ascii="Times New Roman" w:hAnsi="Times New Roman" w:cs="Times New Roman" w:eastAsia="Times New Roman" w:hint="default"/>
        </w:rPr>
        <w:t>74.12%</w:t>
      </w:r>
      <w:r>
        <w:rPr/>
        <w:t>的股份， 公司合计持有湘财证券</w:t>
      </w:r>
      <w:r>
        <w:rPr>
          <w:spacing w:val="-65"/>
        </w:rPr>
        <w:t> </w:t>
      </w:r>
      <w:r>
        <w:rPr>
          <w:rFonts w:ascii="Times New Roman" w:hAnsi="Times New Roman" w:cs="Times New Roman" w:eastAsia="Times New Roman" w:hint="default"/>
        </w:rPr>
        <w:t>39.16%</w:t>
      </w:r>
      <w:r>
        <w:rPr/>
        <w:t>的权益。（</w:t>
      </w:r>
      <w:r>
        <w:rPr>
          <w:rFonts w:ascii="Times New Roman" w:hAnsi="Times New Roman" w:cs="Times New Roman" w:eastAsia="Times New Roman" w:hint="default"/>
        </w:rPr>
        <w:t>5</w:t>
      </w:r>
      <w:r>
        <w:rPr/>
        <w:t>）将公司所持有的</w:t>
      </w:r>
      <w:r>
        <w:rPr>
          <w:spacing w:val="-65"/>
        </w:rPr>
        <w:t> </w:t>
      </w:r>
      <w:r>
        <w:rPr>
          <w:rFonts w:ascii="Times New Roman" w:hAnsi="Times New Roman" w:cs="Times New Roman" w:eastAsia="Times New Roman" w:hint="default"/>
        </w:rPr>
        <w:t>62%</w:t>
      </w:r>
      <w:r>
        <w:rPr/>
        <w:t>新湖期货股权转让 给新湖集团，转让完成后，公司持有新湖期货 </w:t>
      </w:r>
      <w:r>
        <w:rPr>
          <w:rFonts w:ascii="Times New Roman" w:hAnsi="Times New Roman" w:cs="Times New Roman" w:eastAsia="Times New Roman" w:hint="default"/>
        </w:rPr>
        <w:t>29.67%</w:t>
      </w:r>
      <w:r>
        <w:rPr/>
        <w:t>的股份，有利于推进新湖期货</w:t>
      </w:r>
      <w:r>
        <w:rPr>
          <w:spacing w:val="-71"/>
        </w:rPr>
        <w:t> </w:t>
      </w:r>
      <w:r>
        <w:rPr>
          <w:spacing w:val="-71"/>
        </w:rPr>
      </w:r>
      <w:r>
        <w:rPr/>
        <w:t>的上市进程。</w:t>
      </w:r>
    </w:p>
    <w:p>
      <w:pPr>
        <w:pStyle w:val="BodyText"/>
        <w:spacing w:line="338" w:lineRule="auto" w:before="53"/>
        <w:ind w:right="102" w:firstLine="479"/>
        <w:jc w:val="left"/>
      </w:pPr>
      <w:r>
        <w:rPr/>
        <w:t>期内，公司加大在金融科技领域的投资力度。（</w:t>
      </w:r>
      <w:r>
        <w:rPr>
          <w:rFonts w:ascii="Times New Roman" w:hAnsi="Times New Roman" w:cs="Times New Roman" w:eastAsia="Times New Roman" w:hint="default"/>
        </w:rPr>
        <w:t>1</w:t>
      </w:r>
      <w:r>
        <w:rPr/>
        <w:t>）出资</w:t>
      </w:r>
      <w:r>
        <w:rPr>
          <w:spacing w:val="-68"/>
        </w:rPr>
        <w:t> </w:t>
      </w:r>
      <w:r>
        <w:rPr>
          <w:rFonts w:ascii="Times New Roman" w:hAnsi="Times New Roman" w:cs="Times New Roman" w:eastAsia="Times New Roman" w:hint="default"/>
        </w:rPr>
        <w:t>5000</w:t>
      </w:r>
      <w:r>
        <w:rPr>
          <w:rFonts w:ascii="Times New Roman" w:hAnsi="Times New Roman" w:cs="Times New Roman" w:eastAsia="Times New Roman" w:hint="default"/>
          <w:spacing w:val="-8"/>
        </w:rPr>
        <w:t> </w:t>
      </w:r>
      <w:r>
        <w:rPr/>
        <w:t>万美元进一步增资 杭州恩牛网络技术有限公司境外平台</w:t>
      </w:r>
      <w:r>
        <w:rPr>
          <w:spacing w:val="-57"/>
        </w:rPr>
        <w:t> </w:t>
      </w:r>
      <w:r>
        <w:rPr>
          <w:rFonts w:ascii="Times New Roman" w:hAnsi="Times New Roman" w:cs="Times New Roman" w:eastAsia="Times New Roman" w:hint="default"/>
        </w:rPr>
        <w:t>51</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1"/>
        </w:rPr>
        <w:t>Credit</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1"/>
        </w:rPr>
        <w:t>Card</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9"/>
        </w:rPr>
        <w:t>Inc.</w:t>
      </w:r>
      <w:r>
        <w:rPr>
          <w:spacing w:val="-9"/>
        </w:rPr>
        <w:t>，完成后占其总股本的</w:t>
      </w:r>
      <w:r>
        <w:rPr>
          <w:spacing w:val="-57"/>
        </w:rPr>
        <w:t> </w:t>
      </w:r>
      <w:r>
        <w:rPr>
          <w:rFonts w:ascii="Times New Roman" w:hAnsi="Times New Roman" w:cs="Times New Roman" w:eastAsia="Times New Roman" w:hint="default"/>
          <w:spacing w:val="-1"/>
        </w:rPr>
        <w:t>26.56%</w:t>
      </w:r>
      <w:r>
        <w:rPr>
          <w:spacing w:val="-1"/>
        </w:rPr>
        <w:t>。</w:t>
      </w:r>
      <w:r>
        <w:rPr/>
        <w:t> </w:t>
      </w:r>
      <w:r>
        <w:rPr>
          <w:rFonts w:ascii="Times New Roman" w:hAnsi="Times New Roman" w:cs="Times New Roman" w:eastAsia="Times New Roman" w:hint="default"/>
        </w:rPr>
        <w:t>51 </w:t>
      </w:r>
      <w:r>
        <w:rPr/>
        <w:t>信用卡作为金融科技独角兽企业，</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月正式向香港联合证券交易所提出上</w:t>
      </w:r>
    </w:p>
    <w:p>
      <w:pPr>
        <w:pStyle w:val="BodyText"/>
        <w:spacing w:line="338" w:lineRule="auto" w:before="27"/>
        <w:ind w:right="345"/>
        <w:jc w:val="both"/>
      </w:pPr>
      <w:r>
        <w:rPr/>
        <w:t>市申请，预计上市后公司持有的股权价值将大幅上升。（</w:t>
      </w:r>
      <w:r>
        <w:rPr>
          <w:rFonts w:ascii="Times New Roman" w:hAnsi="Times New Roman" w:cs="Times New Roman" w:eastAsia="Times New Roman" w:hint="default"/>
        </w:rPr>
        <w:t>2</w:t>
      </w:r>
      <w:r>
        <w:rPr/>
        <w:t>）出资</w:t>
      </w:r>
      <w:r>
        <w:rPr>
          <w:spacing w:val="-53"/>
        </w:rPr>
        <w:t> </w:t>
      </w:r>
      <w:r>
        <w:rPr>
          <w:rFonts w:ascii="Times New Roman" w:hAnsi="Times New Roman" w:cs="Times New Roman" w:eastAsia="Times New Roman" w:hint="default"/>
        </w:rPr>
        <w:t>2.76</w:t>
      </w:r>
      <w:r>
        <w:rPr>
          <w:rFonts w:ascii="Times New Roman" w:hAnsi="Times New Roman" w:cs="Times New Roman" w:eastAsia="Times New Roman" w:hint="default"/>
          <w:spacing w:val="7"/>
        </w:rPr>
        <w:t> </w:t>
      </w:r>
      <w:r>
        <w:rPr/>
        <w:t>亿元认购金砖 丝路（银川）股权投资合伙企业（有限合伙）股权，占其总出资额的</w:t>
      </w:r>
      <w:r>
        <w:rPr>
          <w:spacing w:val="50"/>
        </w:rPr>
        <w:t> </w:t>
      </w:r>
      <w:r>
        <w:rPr>
          <w:rFonts w:ascii="Times New Roman" w:hAnsi="Times New Roman" w:cs="Times New Roman" w:eastAsia="Times New Roman" w:hint="default"/>
        </w:rPr>
        <w:t>14.43%</w:t>
      </w:r>
      <w:r>
        <w:rPr/>
        <w:t>；金砖</w:t>
      </w:r>
      <w:r>
        <w:rPr>
          <w:spacing w:val="-116"/>
        </w:rPr>
        <w:t> </w:t>
      </w:r>
      <w:r>
        <w:rPr/>
        <w:t>丝路主要投资了三六零科技股份有限公司，目前持有三六零科技</w:t>
      </w:r>
      <w:r>
        <w:rPr>
          <w:spacing w:val="-88"/>
        </w:rPr>
        <w:t> </w:t>
      </w:r>
      <w:r>
        <w:rPr>
          <w:rFonts w:ascii="Times New Roman" w:hAnsi="Times New Roman" w:cs="Times New Roman" w:eastAsia="Times New Roman" w:hint="default"/>
          <w:spacing w:val="-8"/>
        </w:rPr>
        <w:t>1.09%</w:t>
      </w:r>
      <w:r>
        <w:rPr>
          <w:spacing w:val="-8"/>
        </w:rPr>
        <w:t>的股份。（</w:t>
      </w:r>
      <w:r>
        <w:rPr>
          <w:rFonts w:ascii="Times New Roman" w:hAnsi="Times New Roman" w:cs="Times New Roman" w:eastAsia="Times New Roman" w:hint="default"/>
          <w:spacing w:val="-8"/>
        </w:rPr>
        <w:t>3</w:t>
      </w:r>
      <w:r>
        <w:rPr>
          <w:spacing w:val="-8"/>
        </w:rPr>
        <w:t>）</w:t>
      </w:r>
      <w:r>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65"/>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spacing w:val="-6"/>
        </w:rPr>
        <w:t>月，出资</w:t>
      </w:r>
      <w:r>
        <w:rPr>
          <w:spacing w:val="-65"/>
        </w:rPr>
        <w:t> </w:t>
      </w:r>
      <w:r>
        <w:rPr>
          <w:rFonts w:ascii="Times New Roman" w:hAnsi="Times New Roman" w:cs="Times New Roman" w:eastAsia="Times New Roman" w:hint="default"/>
        </w:rPr>
        <w:t>13.68</w:t>
      </w:r>
      <w:r>
        <w:rPr>
          <w:rFonts w:ascii="Times New Roman" w:hAnsi="Times New Roman" w:cs="Times New Roman" w:eastAsia="Times New Roman" w:hint="default"/>
          <w:spacing w:val="-5"/>
        </w:rPr>
        <w:t> </w:t>
      </w:r>
      <w:r>
        <w:rPr/>
        <w:t>亿元增持万得信息技术股份有限公司股份，完成后占其总股 本的</w:t>
      </w:r>
      <w:r>
        <w:rPr>
          <w:spacing w:val="-62"/>
        </w:rPr>
        <w:t> </w:t>
      </w:r>
      <w:r>
        <w:rPr>
          <w:rFonts w:ascii="Times New Roman" w:hAnsi="Times New Roman" w:cs="Times New Roman" w:eastAsia="Times New Roman" w:hint="default"/>
        </w:rPr>
        <w:t>7.02%</w:t>
      </w:r>
      <w:r>
        <w:rPr/>
        <w:t>。</w:t>
      </w:r>
    </w:p>
    <w:p>
      <w:pPr>
        <w:pStyle w:val="BodyText"/>
        <w:spacing w:line="345" w:lineRule="auto" w:before="24"/>
        <w:ind w:right="350" w:firstLine="479"/>
        <w:jc w:val="both"/>
      </w:pPr>
      <w:r>
        <w:rPr/>
        <w:t>期内，公司积极投资高科技领域。（</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月，入股通卡联城网络科技有 限公司，占其股份比例为</w:t>
      </w:r>
      <w:r>
        <w:rPr>
          <w:spacing w:val="-67"/>
        </w:rPr>
        <w:t> </w:t>
      </w:r>
      <w:r>
        <w:rPr>
          <w:rFonts w:ascii="Times New Roman" w:hAnsi="Times New Roman" w:cs="Times New Roman" w:eastAsia="Times New Roman" w:hint="default"/>
        </w:rPr>
        <w:t>25.5%</w:t>
      </w:r>
      <w:r>
        <w:rPr/>
        <w:t>。通卡联城由多家金卡工程城市卡联盟成员单位共同 </w:t>
      </w:r>
      <w:r>
        <w:rPr>
          <w:spacing w:val="-8"/>
        </w:rPr>
        <w:t>发起设立，引入蚂蚁金服等战略投资者，定位于城市卡公司的“移动互联网服务商”，</w:t>
      </w:r>
      <w:r>
        <w:rPr>
          <w:spacing w:val="-104"/>
        </w:rPr>
        <w:t> </w:t>
      </w:r>
      <w:r>
        <w:rPr>
          <w:spacing w:val="-104"/>
        </w:rPr>
      </w:r>
      <w:r>
        <w:rPr/>
        <w:t>将重点推进公交扫码支付业务和互联网金融业务。（</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月，入股浙江邦盛 科技有限公司，目前占其股份比例为</w:t>
      </w:r>
      <w:r>
        <w:rPr>
          <w:spacing w:val="-67"/>
        </w:rPr>
        <w:t> </w:t>
      </w:r>
      <w:r>
        <w:rPr>
          <w:rFonts w:ascii="Times New Roman" w:hAnsi="Times New Roman" w:cs="Times New Roman" w:eastAsia="Times New Roman" w:hint="default"/>
        </w:rPr>
        <w:t>7.98%</w:t>
      </w:r>
      <w:r>
        <w:rPr/>
        <w:t>。邦盛科技是国内最早专注于金融领域实 时风控、致力于为国内金融机构提供高性能的事中风险监控解决方案的企业，与</w:t>
      </w:r>
      <w:r>
        <w:rPr>
          <w:spacing w:val="-48"/>
        </w:rPr>
        <w:t> </w:t>
      </w:r>
      <w:r>
        <w:rPr>
          <w:rFonts w:ascii="Times New Roman" w:hAnsi="Times New Roman" w:cs="Times New Roman" w:eastAsia="Times New Roman" w:hint="default"/>
        </w:rPr>
        <w:t>200 </w:t>
      </w:r>
      <w:r>
        <w:rPr>
          <w:spacing w:val="-2"/>
        </w:rPr>
        <w:t>余家金融机构达成业务合作。邦盛科技具备独立自主的大数据技术研发能力，在流式</w:t>
      </w:r>
      <w:r>
        <w:rPr>
          <w:spacing w:val="-95"/>
        </w:rPr>
        <w:t> </w:t>
      </w:r>
      <w:r>
        <w:rPr>
          <w:spacing w:val="-95"/>
        </w:rPr>
      </w:r>
      <w:r>
        <w:rPr>
          <w:spacing w:val="-2"/>
        </w:rPr>
        <w:t>计算、实时计算、复杂事件处理、机器学习、数据挖掘等技术领域拥有国内尖端的科</w:t>
      </w:r>
      <w:r>
        <w:rPr>
          <w:spacing w:val="-94"/>
        </w:rPr>
        <w:t> </w:t>
      </w:r>
      <w:r>
        <w:rPr>
          <w:spacing w:val="-94"/>
        </w:rPr>
      </w:r>
      <w:r>
        <w:rPr>
          <w:spacing w:val="-2"/>
        </w:rPr>
        <w:t>研团队。独立研发的流式大数据极速处理平台“流立方”，数据集群吞吐能力少量节</w:t>
      </w:r>
      <w:r>
        <w:rPr>
          <w:spacing w:val="-94"/>
        </w:rPr>
        <w:t> </w:t>
      </w:r>
      <w:r>
        <w:rPr>
          <w:spacing w:val="-94"/>
        </w:rPr>
      </w:r>
      <w:r>
        <w:rPr/>
        <w:t>点即可高达百万笔每秒，平均延时</w:t>
      </w:r>
      <w:r>
        <w:rPr>
          <w:spacing w:val="-83"/>
        </w:rPr>
        <w:t>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毫秒，数据处理性能国际领先。以“流立方”产 </w:t>
      </w:r>
      <w:r>
        <w:rPr>
          <w:spacing w:val="-8"/>
        </w:rPr>
        <w:t>品为支点，未来技术可应用于政务、港务、票务、轨道交通、电信、公共安全等领域。</w:t>
      </w:r>
    </w:p>
    <w:p>
      <w:pPr>
        <w:pStyle w:val="BodyText"/>
        <w:spacing w:line="338" w:lineRule="auto" w:before="46"/>
        <w:ind w:right="352"/>
        <w:jc w:val="both"/>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月，入股杭州云英网络科技有限公司，占其股份比例为</w:t>
      </w:r>
      <w:r>
        <w:rPr>
          <w:spacing w:val="-66"/>
        </w:rPr>
        <w:t> </w:t>
      </w:r>
      <w:r>
        <w:rPr>
          <w:rFonts w:ascii="Times New Roman" w:hAnsi="Times New Roman" w:cs="Times New Roman" w:eastAsia="Times New Roman" w:hint="default"/>
          <w:spacing w:val="-3"/>
        </w:rPr>
        <w:t>5.66%</w:t>
      </w:r>
      <w:r>
        <w:rPr>
          <w:spacing w:val="-3"/>
        </w:rPr>
        <w:t>。云英</w:t>
      </w:r>
      <w:r>
        <w:rPr/>
        <w:t> </w:t>
      </w:r>
      <w:r>
        <w:rPr>
          <w:spacing w:val="-2"/>
        </w:rPr>
        <w:t>网络是恒生电子成立的创新子公司，聚焦于财富管理业务，为各大金融机构开展财富</w:t>
      </w:r>
    </w:p>
    <w:p>
      <w:pPr>
        <w:spacing w:after="0" w:line="338" w:lineRule="auto"/>
        <w:jc w:val="both"/>
        <w:sectPr>
          <w:headerReference w:type="default" r:id="rId17"/>
          <w:footerReference w:type="default" r:id="rId18"/>
          <w:pgSz w:w="11910" w:h="16840"/>
          <w:pgMar w:header="882" w:footer="1195" w:top="1120" w:bottom="1380" w:left="1660" w:right="920"/>
          <w:pgNumType w:start="16"/>
        </w:sectPr>
      </w:pPr>
    </w:p>
    <w:p>
      <w:pPr>
        <w:spacing w:line="240" w:lineRule="auto" w:before="5"/>
        <w:rPr>
          <w:rFonts w:ascii="宋体" w:hAnsi="宋体" w:cs="宋体" w:eastAsia="宋体" w:hint="default"/>
          <w:sz w:val="25"/>
          <w:szCs w:val="25"/>
        </w:rPr>
      </w:pPr>
    </w:p>
    <w:p>
      <w:pPr>
        <w:pStyle w:val="BodyText"/>
        <w:spacing w:line="340" w:lineRule="auto" w:before="26"/>
        <w:ind w:right="231"/>
        <w:jc w:val="both"/>
      </w:pPr>
      <w:r>
        <w:rPr/>
        <w:t>管理业务提供服务。（</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月，入股杭州云毅网络科技有限公司，占其股份 比例为</w:t>
      </w:r>
      <w:r>
        <w:rPr>
          <w:spacing w:val="-70"/>
        </w:rPr>
        <w:t> </w:t>
      </w:r>
      <w:r>
        <w:rPr>
          <w:rFonts w:ascii="Times New Roman" w:hAnsi="Times New Roman" w:cs="Times New Roman" w:eastAsia="Times New Roman" w:hint="default"/>
        </w:rPr>
        <w:t>4.17%</w:t>
      </w:r>
      <w:r>
        <w:rPr/>
        <w:t>。云毅网络是恒生电子成立的创新子公司，主要为资产管理机构、资管 业务外包机构、托管机构、证券经纪商等客户提供大资管领域的创新类的 </w:t>
      </w:r>
      <w:r>
        <w:rPr>
          <w:rFonts w:ascii="Times New Roman" w:hAnsi="Times New Roman" w:cs="Times New Roman" w:eastAsia="Times New Roman" w:hint="default"/>
          <w:spacing w:val="-3"/>
        </w:rPr>
        <w:t>IT</w:t>
      </w:r>
      <w:r>
        <w:rPr>
          <w:rFonts w:ascii="Times New Roman" w:hAnsi="Times New Roman" w:cs="Times New Roman" w:eastAsia="Times New Roman" w:hint="default"/>
          <w:spacing w:val="29"/>
        </w:rPr>
        <w:t> </w:t>
      </w:r>
      <w:r>
        <w:rPr/>
        <w:t>平台和 </w:t>
      </w:r>
      <w:r>
        <w:rPr>
          <w:spacing w:val="-4"/>
        </w:rPr>
        <w:t>服务。（</w:t>
      </w:r>
      <w:r>
        <w:rPr>
          <w:rFonts w:ascii="Times New Roman" w:hAnsi="Times New Roman" w:cs="Times New Roman" w:eastAsia="Times New Roman" w:hint="default"/>
          <w:spacing w:val="-4"/>
        </w:rPr>
        <w:t>5</w:t>
      </w:r>
      <w:r>
        <w:rPr>
          <w:spacing w:val="-4"/>
        </w:rPr>
        <w:t>）</w:t>
      </w:r>
      <w:r>
        <w:rPr>
          <w:rFonts w:ascii="Times New Roman" w:hAnsi="Times New Roman" w:cs="Times New Roman" w:eastAsia="Times New Roman" w:hint="default"/>
          <w:spacing w:val="-4"/>
        </w:rPr>
        <w:t>2018 </w:t>
      </w:r>
      <w:r>
        <w:rPr/>
        <w:t>年</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月，入股上海趣美信息有限公司，占其股份比例为</w:t>
      </w:r>
      <w:r>
        <w:rPr>
          <w:spacing w:val="-63"/>
        </w:rPr>
        <w:t> </w:t>
      </w:r>
      <w:r>
        <w:rPr>
          <w:rFonts w:ascii="Times New Roman" w:hAnsi="Times New Roman" w:cs="Times New Roman" w:eastAsia="Times New Roman" w:hint="default"/>
          <w:spacing w:val="-4"/>
        </w:rPr>
        <w:t>19.02%</w:t>
      </w:r>
      <w:r>
        <w:rPr>
          <w:spacing w:val="-4"/>
        </w:rPr>
        <w:t>。趣</w:t>
      </w:r>
      <w:r>
        <w:rPr>
          <w:spacing w:val="-12"/>
        </w:rPr>
        <w:t> </w:t>
      </w:r>
      <w:r>
        <w:rPr>
          <w:spacing w:val="-2"/>
        </w:rPr>
        <w:t>美信息在量化分析、机器人分析和智能投顾上采用最前沿的人工智能、机器学习和大</w:t>
      </w:r>
      <w:r>
        <w:rPr>
          <w:spacing w:val="-94"/>
        </w:rPr>
        <w:t> </w:t>
      </w:r>
      <w:r>
        <w:rPr>
          <w:spacing w:val="-94"/>
        </w:rPr>
      </w:r>
      <w:r>
        <w:rPr/>
        <w:t>数据技术，打造新一代智能化的金融投顾服务。（</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月，入股杭州趣链科 技有限公司，占其股份比例为</w:t>
      </w:r>
      <w:r>
        <w:rPr>
          <w:spacing w:val="-68"/>
        </w:rPr>
        <w:t> </w:t>
      </w:r>
      <w:r>
        <w:rPr>
          <w:rFonts w:ascii="Times New Roman" w:hAnsi="Times New Roman" w:cs="Times New Roman" w:eastAsia="Times New Roman" w:hint="default"/>
        </w:rPr>
        <w:t>6.55%</w:t>
      </w:r>
      <w:r>
        <w:rPr/>
        <w:t>。趣链科技是首批通过工信部国家标准测试的区</w:t>
      </w:r>
    </w:p>
    <w:p>
      <w:pPr>
        <w:pStyle w:val="BodyText"/>
        <w:spacing w:line="357" w:lineRule="auto" w:before="22"/>
        <w:ind w:right="119"/>
        <w:jc w:val="left"/>
      </w:pPr>
      <w:r>
        <w:rPr/>
        <w:t>块链公司，核心技术为自主可控的国产联盟链平台，并服务于数字票据、数据交易、</w:t>
      </w:r>
      <w:r>
        <w:rPr>
          <w:spacing w:val="-57"/>
        </w:rPr>
        <w:t> </w:t>
      </w:r>
      <w:r>
        <w:rPr>
          <w:spacing w:val="-57"/>
        </w:rPr>
      </w:r>
      <w:r>
        <w:rPr/>
        <w:t>股权债券、供应链金融、物流管理等众多领域。公司致力于具有颠覆性意义的区块链</w:t>
      </w:r>
      <w:r>
        <w:rPr/>
        <w:t> 技术，具有非常领先的技术价值和应用价值。</w:t>
      </w:r>
    </w:p>
    <w:p>
      <w:pPr>
        <w:pStyle w:val="BodyText"/>
        <w:spacing w:line="338" w:lineRule="auto" w:before="36"/>
        <w:ind w:right="231" w:firstLine="479"/>
        <w:jc w:val="both"/>
      </w:pPr>
      <w:r>
        <w:rPr>
          <w:spacing w:val="-3"/>
        </w:rPr>
        <w:t>此外，公司认缴浙江浙商产融投资合伙企业（有限合伙）</w:t>
      </w:r>
      <w:r>
        <w:rPr>
          <w:rFonts w:ascii="Times New Roman" w:hAnsi="Times New Roman" w:cs="Times New Roman" w:eastAsia="Times New Roman" w:hint="default"/>
          <w:spacing w:val="-3"/>
        </w:rPr>
        <w:t>20</w:t>
      </w:r>
      <w:r>
        <w:rPr>
          <w:rFonts w:ascii="Times New Roman" w:hAnsi="Times New Roman" w:cs="Times New Roman" w:eastAsia="Times New Roman" w:hint="default"/>
        </w:rPr>
        <w:t> </w:t>
      </w:r>
      <w:r>
        <w:rPr>
          <w:spacing w:val="-3"/>
        </w:rPr>
        <w:t>亿出资份额，截至期</w:t>
      </w:r>
      <w:r>
        <w:rPr/>
        <w:t> 末占该合伙企业已认缴出资额的</w:t>
      </w:r>
      <w:r>
        <w:rPr>
          <w:spacing w:val="-68"/>
        </w:rPr>
        <w:t> </w:t>
      </w:r>
      <w:r>
        <w:rPr>
          <w:rFonts w:ascii="Times New Roman" w:hAnsi="Times New Roman" w:cs="Times New Roman" w:eastAsia="Times New Roman" w:hint="default"/>
        </w:rPr>
        <w:t>3.97%</w:t>
      </w:r>
      <w:r>
        <w:rPr/>
        <w:t>。该合伙企业通过设立浙商产融控股有限公司 进行投资运营，开展股权投资、并购重组、产业整合及资产证券化等投资业务。</w:t>
      </w:r>
    </w:p>
    <w:p>
      <w:pPr>
        <w:pStyle w:val="BodyText"/>
        <w:spacing w:line="357" w:lineRule="auto" w:before="53"/>
        <w:ind w:left="692" w:right="119"/>
        <w:jc w:val="left"/>
      </w:pPr>
      <w:r>
        <w:rPr>
          <w:rFonts w:ascii="宋体" w:hAnsi="宋体" w:cs="宋体" w:eastAsia="宋体" w:hint="default"/>
        </w:rPr>
        <w:t>4</w:t>
      </w:r>
      <w:r>
        <w:rPr/>
        <w:t>、公司管理和内控情况 </w:t>
      </w:r>
      <w:r>
        <w:rPr>
          <w:spacing w:val="2"/>
        </w:rPr>
        <w:t>期内，公司进一步完善地产业务管理架构：在设计管理中心、成本管理中心、</w:t>
      </w:r>
    </w:p>
    <w:p>
      <w:pPr>
        <w:pStyle w:val="BodyText"/>
        <w:spacing w:line="357" w:lineRule="auto" w:before="34"/>
        <w:ind w:right="232"/>
        <w:jc w:val="both"/>
      </w:pPr>
      <w:r>
        <w:rPr>
          <w:spacing w:val="-2"/>
        </w:rPr>
        <w:t>工程管理中心、营销管理中心之外新增酒店管理事业部、商业管理事业部，在上海新</w:t>
      </w:r>
      <w:r>
        <w:rPr>
          <w:spacing w:val="-96"/>
        </w:rPr>
        <w:t> </w:t>
      </w:r>
      <w:r>
        <w:rPr>
          <w:spacing w:val="-96"/>
        </w:rPr>
      </w:r>
      <w:r>
        <w:rPr>
          <w:spacing w:val="-2"/>
        </w:rPr>
        <w:t>增上海地产产品中心。进一步加强成本管理，不断强化标准化应用，深化与合作伙伴</w:t>
      </w:r>
      <w:r>
        <w:rPr>
          <w:spacing w:val="-93"/>
        </w:rPr>
        <w:t> </w:t>
      </w:r>
      <w:r>
        <w:rPr>
          <w:spacing w:val="-93"/>
        </w:rPr>
      </w:r>
      <w:r>
        <w:rPr>
          <w:spacing w:val="-2"/>
        </w:rPr>
        <w:t>的战略关系，加大集团采购力度，发挥采购规模效益，有效降低成本。加强工程质量</w:t>
      </w:r>
      <w:r>
        <w:rPr>
          <w:spacing w:val="-94"/>
        </w:rPr>
        <w:t> </w:t>
      </w:r>
      <w:r>
        <w:rPr>
          <w:spacing w:val="-94"/>
        </w:rPr>
      </w:r>
      <w:r>
        <w:rPr/>
        <w:t>管控，开展内部工程质量考评，持续提升开发品质。</w:t>
      </w:r>
    </w:p>
    <w:p>
      <w:pPr>
        <w:pStyle w:val="BodyText"/>
        <w:spacing w:line="355" w:lineRule="auto" w:before="36"/>
        <w:ind w:right="236" w:firstLine="554"/>
        <w:jc w:val="both"/>
      </w:pPr>
      <w:r>
        <w:rPr>
          <w:spacing w:val="3"/>
        </w:rPr>
        <w:t>期内，公司加强对投资的投后管理，建立了有效的管理流程，赋能于被投资企</w:t>
      </w:r>
      <w:r>
        <w:rPr/>
        <w:t> 业，帮助其完善公司治理、价钱内控管理、拓展市场空间、提升经营业绩。</w:t>
      </w:r>
    </w:p>
    <w:p>
      <w:pPr>
        <w:pStyle w:val="BodyText"/>
        <w:spacing w:line="355" w:lineRule="auto" w:before="39"/>
        <w:ind w:left="618" w:right="119" w:firstLine="74"/>
        <w:jc w:val="left"/>
      </w:pPr>
      <w:r>
        <w:rPr>
          <w:rFonts w:ascii="宋体" w:hAnsi="宋体" w:cs="宋体" w:eastAsia="宋体" w:hint="default"/>
        </w:rPr>
        <w:t>5</w:t>
      </w:r>
      <w:r>
        <w:rPr/>
        <w:t>、社会责任履行情况 </w:t>
      </w:r>
      <w:r>
        <w:rPr>
          <w:spacing w:val="-2"/>
        </w:rPr>
        <w:t>期内，公司继续践行新湖“财富共享才最有价值”的理念，不断加大社会慈善公</w:t>
      </w:r>
    </w:p>
    <w:p>
      <w:pPr>
        <w:pStyle w:val="BodyText"/>
        <w:spacing w:line="240" w:lineRule="auto" w:before="38"/>
        <w:ind w:right="0"/>
        <w:jc w:val="both"/>
      </w:pPr>
      <w:r>
        <w:rPr/>
        <w:t>益事业投入，践行企业社会责任。公司约</w:t>
      </w:r>
      <w:r>
        <w:rPr>
          <w:spacing w:val="-60"/>
        </w:rPr>
        <w:t> </w:t>
      </w:r>
      <w:r>
        <w:rPr>
          <w:rFonts w:ascii="宋体" w:hAnsi="宋体" w:cs="宋体" w:eastAsia="宋体" w:hint="default"/>
        </w:rPr>
        <w:t>1</w:t>
      </w:r>
      <w:r>
        <w:rPr>
          <w:rFonts w:ascii="宋体" w:hAnsi="宋体" w:cs="宋体" w:eastAsia="宋体" w:hint="default"/>
          <w:spacing w:val="-60"/>
        </w:rPr>
        <w:t> </w:t>
      </w:r>
      <w:r>
        <w:rPr/>
        <w:t>亿元的精准扶贫和慈善事业的三年</w:t>
      </w:r>
    </w:p>
    <w:p>
      <w:pPr>
        <w:pStyle w:val="BodyText"/>
        <w:spacing w:line="357" w:lineRule="auto" w:before="151"/>
        <w:ind w:right="233"/>
        <w:jc w:val="both"/>
      </w:pPr>
      <w:r>
        <w:rPr/>
        <w:t>（</w:t>
      </w:r>
      <w:r>
        <w:rPr>
          <w:rFonts w:ascii="宋体" w:hAnsi="宋体" w:cs="宋体" w:eastAsia="宋体" w:hint="default"/>
        </w:rPr>
        <w:t>2017-2019</w:t>
      </w:r>
      <w:r>
        <w:rPr>
          <w:rFonts w:ascii="宋体" w:hAnsi="宋体" w:cs="宋体" w:eastAsia="宋体" w:hint="default"/>
          <w:spacing w:val="-61"/>
        </w:rPr>
        <w:t> </w:t>
      </w:r>
      <w:r>
        <w:rPr/>
        <w:t>年）计划，主要用于开展深度贫困地区的教育脱贫、乡村振兴等项目， </w:t>
      </w:r>
      <w:r>
        <w:rPr>
          <w:spacing w:val="-2"/>
        </w:rPr>
        <w:t>重点帮助提升贫困地区学前教育水平和资助贫困家庭学生。公司成立慈善小组积极推</w:t>
      </w:r>
      <w:r>
        <w:rPr>
          <w:spacing w:val="-94"/>
        </w:rPr>
        <w:t> </w:t>
      </w:r>
      <w:r>
        <w:rPr>
          <w:spacing w:val="-94"/>
        </w:rPr>
      </w:r>
      <w:r>
        <w:rPr>
          <w:spacing w:val="-2"/>
        </w:rPr>
        <w:t>进精准扶贫和慈善工作，作为发起人之一共同发起建立的浙江新湖慈善基金会已全部</w:t>
      </w:r>
      <w:r>
        <w:rPr>
          <w:spacing w:val="-94"/>
        </w:rPr>
        <w:t> </w:t>
      </w:r>
      <w:r>
        <w:rPr>
          <w:spacing w:val="-94"/>
        </w:rPr>
      </w:r>
      <w:r>
        <w:rPr/>
        <w:t>完成申报程序。</w:t>
      </w:r>
    </w:p>
    <w:p>
      <w:pPr>
        <w:spacing w:after="0" w:line="357" w:lineRule="auto"/>
        <w:jc w:val="both"/>
        <w:sectPr>
          <w:pgSz w:w="11910" w:h="16840"/>
          <w:pgMar w:header="882" w:footer="1195" w:top="1120" w:bottom="1380" w:left="1660" w:right="1040"/>
        </w:sectPr>
      </w:pPr>
    </w:p>
    <w:p>
      <w:pPr>
        <w:spacing w:line="240" w:lineRule="auto" w:before="5"/>
        <w:rPr>
          <w:rFonts w:ascii="宋体" w:hAnsi="宋体" w:cs="宋体" w:eastAsia="宋体" w:hint="default"/>
          <w:sz w:val="25"/>
          <w:szCs w:val="25"/>
        </w:rPr>
      </w:pPr>
    </w:p>
    <w:p>
      <w:pPr>
        <w:spacing w:line="283" w:lineRule="auto" w:before="26"/>
        <w:ind w:left="1438" w:right="5468" w:hanging="480"/>
        <w:jc w:val="left"/>
        <w:rPr>
          <w:rFonts w:ascii="宋体" w:hAnsi="宋体" w:cs="宋体" w:eastAsia="宋体" w:hint="default"/>
          <w:sz w:val="24"/>
          <w:szCs w:val="24"/>
        </w:rPr>
      </w:pPr>
      <w:r>
        <w:rPr>
          <w:rFonts w:ascii="宋体" w:hAnsi="宋体" w:cs="宋体" w:eastAsia="宋体" w:hint="default"/>
          <w:b/>
          <w:bCs/>
          <w:sz w:val="24"/>
          <w:szCs w:val="24"/>
        </w:rPr>
        <w:t>二、报告期内主要经营情况</w:t>
      </w:r>
      <w:r>
        <w:rPr>
          <w:rFonts w:ascii="宋体" w:hAnsi="宋体" w:cs="宋体" w:eastAsia="宋体" w:hint="default"/>
          <w:b/>
          <w:bCs/>
          <w:w w:val="99"/>
          <w:sz w:val="24"/>
          <w:szCs w:val="24"/>
        </w:rPr>
        <w:t> </w:t>
      </w:r>
      <w:r>
        <w:rPr>
          <w:rFonts w:ascii="宋体" w:hAnsi="宋体" w:cs="宋体" w:eastAsia="宋体" w:hint="default"/>
          <w:sz w:val="24"/>
          <w:szCs w:val="24"/>
        </w:rPr>
        <w:t>详见第四节一、管理层讨论和分析。</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840" w:right="300"/>
        </w:sectPr>
      </w:pPr>
    </w:p>
    <w:p>
      <w:pPr>
        <w:pStyle w:val="Heading2"/>
        <w:tabs>
          <w:tab w:pos="1797" w:val="left" w:leader="none"/>
        </w:tabs>
        <w:spacing w:line="240" w:lineRule="auto"/>
        <w:ind w:left="958"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w w:val="95"/>
        </w:rPr>
        <w:t>主营业务分析</w:t>
      </w:r>
      <w:r>
        <w:rPr>
          <w:b w:val="0"/>
          <w:bCs w:val="0"/>
        </w:rPr>
      </w:r>
    </w:p>
    <w:p>
      <w:pPr>
        <w:spacing w:line="240" w:lineRule="auto" w:before="5"/>
        <w:rPr>
          <w:rFonts w:ascii="宋体" w:hAnsi="宋体" w:cs="宋体" w:eastAsia="宋体" w:hint="default"/>
          <w:b/>
          <w:bCs/>
          <w:sz w:val="30"/>
          <w:szCs w:val="30"/>
        </w:rPr>
      </w:pPr>
      <w:r>
        <w:rPr/>
        <w:br w:type="column"/>
      </w:r>
      <w:r>
        <w:rPr>
          <w:rFonts w:ascii="宋体"/>
          <w:b/>
          <w:sz w:val="30"/>
        </w:rPr>
      </w:r>
    </w:p>
    <w:p>
      <w:pPr>
        <w:pStyle w:val="Heading2"/>
        <w:spacing w:line="240" w:lineRule="auto" w:before="0"/>
        <w:ind w:left="107" w:right="0"/>
        <w:jc w:val="left"/>
        <w:rPr>
          <w:b w:val="0"/>
          <w:bCs w:val="0"/>
        </w:rPr>
      </w:pPr>
      <w:r>
        <w:rPr/>
        <w:t>利润表及现金流量表相关科目变动分析表</w:t>
      </w:r>
      <w:r>
        <w:rPr>
          <w:b w:val="0"/>
          <w:bCs w:val="0"/>
        </w:rPr>
      </w:r>
    </w:p>
    <w:p>
      <w:pPr>
        <w:tabs>
          <w:tab w:pos="5354" w:val="left" w:leader="none"/>
        </w:tabs>
        <w:spacing w:before="64"/>
        <w:ind w:left="440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w:t>
      </w:r>
      <w:r>
        <w:rPr>
          <w:rFonts w:ascii="宋体" w:hAnsi="宋体" w:cs="宋体" w:eastAsia="宋体" w:hint="default"/>
          <w:spacing w:val="-1"/>
          <w:sz w:val="21"/>
          <w:szCs w:val="21"/>
        </w:rPr>
        <w:t>:</w:t>
      </w:r>
      <w:r>
        <w:rPr>
          <w:rFonts w:ascii="宋体" w:hAnsi="宋体" w:cs="宋体" w:eastAsia="宋体" w:hint="default"/>
          <w:spacing w:val="-1"/>
          <w:sz w:val="21"/>
          <w:szCs w:val="21"/>
        </w:rPr>
        <w:t>元</w:t>
        <w:tab/>
        <w:t>币种</w:t>
      </w:r>
      <w:r>
        <w:rPr>
          <w:rFonts w:ascii="宋体" w:hAnsi="宋体" w:cs="宋体" w:eastAsia="宋体" w:hint="default"/>
          <w:spacing w:val="-1"/>
          <w:sz w:val="21"/>
          <w:szCs w:val="21"/>
        </w:rPr>
        <w:t>:</w:t>
      </w:r>
      <w:r>
        <w:rPr>
          <w:rFonts w:ascii="宋体" w:hAnsi="宋体" w:cs="宋体" w:eastAsia="宋体" w:hint="default"/>
          <w:spacing w:val="-1"/>
          <w:sz w:val="21"/>
          <w:szCs w:val="21"/>
        </w:rPr>
        <w:t>人民币</w:t>
      </w:r>
    </w:p>
    <w:p>
      <w:pPr>
        <w:spacing w:after="0"/>
        <w:jc w:val="left"/>
        <w:rPr>
          <w:rFonts w:ascii="宋体" w:hAnsi="宋体" w:cs="宋体" w:eastAsia="宋体" w:hint="default"/>
          <w:sz w:val="21"/>
          <w:szCs w:val="21"/>
        </w:rPr>
        <w:sectPr>
          <w:type w:val="continuous"/>
          <w:pgSz w:w="11910" w:h="16840"/>
          <w:pgMar w:top="1000" w:bottom="280" w:left="840" w:right="300"/>
          <w:cols w:num="2" w:equalWidth="0">
            <w:col w:w="3243" w:space="40"/>
            <w:col w:w="7487"/>
          </w:cols>
        </w:sectPr>
      </w:pPr>
    </w:p>
    <w:p>
      <w:pPr>
        <w:spacing w:line="240" w:lineRule="auto" w:before="4"/>
        <w:rPr>
          <w:rFonts w:ascii="宋体" w:hAnsi="宋体" w:cs="宋体" w:eastAsia="宋体" w:hint="default"/>
          <w:sz w:val="2"/>
          <w:szCs w:val="2"/>
        </w:rPr>
      </w:pPr>
    </w:p>
    <w:tbl>
      <w:tblPr>
        <w:tblW w:w="0" w:type="auto"/>
        <w:jc w:val="left"/>
        <w:tblInd w:w="756" w:type="dxa"/>
        <w:tblLayout w:type="fixed"/>
        <w:tblCellMar>
          <w:top w:w="0" w:type="dxa"/>
          <w:left w:w="0" w:type="dxa"/>
          <w:bottom w:w="0" w:type="dxa"/>
          <w:right w:w="0" w:type="dxa"/>
        </w:tblCellMar>
        <w:tblLook w:val="01E0"/>
      </w:tblPr>
      <w:tblGrid>
        <w:gridCol w:w="3392"/>
        <w:gridCol w:w="2040"/>
        <w:gridCol w:w="2038"/>
        <w:gridCol w:w="1757"/>
      </w:tblGrid>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17,499,924,005.52</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13,626,242,154.83</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28.43</w:t>
            </w:r>
          </w:p>
        </w:tc>
      </w:tr>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12,570,080,546.16</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10,861,162,471.56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15.73</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516,619,119.51</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419,130,643.57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23.26</w:t>
            </w:r>
          </w:p>
        </w:tc>
      </w:tr>
      <w:tr>
        <w:trPr>
          <w:trHeight w:val="28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444,280,244.79</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390,172,502.46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13.87</w:t>
            </w:r>
          </w:p>
        </w:tc>
      </w:tr>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1,493,290,250.49</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1,196,099,713.23</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24.85</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1,683,174,245.91</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4,628,101,820.72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-63.63</w:t>
            </w:r>
          </w:p>
        </w:tc>
      </w:tr>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-6,432,765,189.41</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-2,245,553,993.36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5,178,194,854.55</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1,648,995,388.00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214.02</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6,787,917.24</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7,126,070.21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-4.75</w:t>
            </w:r>
          </w:p>
        </w:tc>
      </w:tr>
    </w:tbl>
    <w:p>
      <w:pPr>
        <w:spacing w:line="240" w:lineRule="auto" w:before="10"/>
        <w:rPr>
          <w:rFonts w:ascii="宋体" w:hAnsi="宋体" w:cs="宋体" w:eastAsia="宋体" w:hint="default"/>
          <w:sz w:val="18"/>
          <w:szCs w:val="18"/>
        </w:rPr>
      </w:pPr>
    </w:p>
    <w:p>
      <w:pPr>
        <w:pStyle w:val="BodyText"/>
        <w:spacing w:line="237" w:lineRule="auto" w:before="28"/>
        <w:ind w:left="958" w:right="2588"/>
        <w:jc w:val="left"/>
      </w:pPr>
      <w:r>
        <w:rPr/>
        <w:t>经营活动产生的现金流量净额变动原因说明：本期房地产投资增加。 投资活动产生的现金流量净额变动原因说明：本期股权投资增加。 筹资活动产生的现金流量净额变动原因说明：上期回购公司股票。</w:t>
      </w: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000" w:bottom="280" w:left="840" w:right="300"/>
        </w:sectPr>
      </w:pPr>
    </w:p>
    <w:p>
      <w:pPr>
        <w:pStyle w:val="Heading2"/>
        <w:spacing w:line="240" w:lineRule="auto"/>
        <w:ind w:left="958" w:right="-17"/>
        <w:jc w:val="left"/>
        <w:rPr>
          <w:b w:val="0"/>
          <w:bCs w:val="0"/>
        </w:rPr>
      </w:pPr>
      <w:r>
        <w:rPr>
          <w:rFonts w:ascii="宋体" w:hAnsi="宋体" w:cs="宋体" w:eastAsia="宋体" w:hint="default"/>
        </w:rPr>
        <w:t>1.</w:t>
      </w:r>
      <w:r>
        <w:rPr>
          <w:rFonts w:ascii="宋体" w:hAnsi="宋体" w:cs="宋体" w:eastAsia="宋体" w:hint="default"/>
          <w:spacing w:val="55"/>
        </w:rPr>
        <w:t> </w:t>
      </w:r>
      <w:r>
        <w:rPr/>
        <w:t>收入和成本分析</w:t>
      </w:r>
      <w:r>
        <w:rPr>
          <w:b w:val="0"/>
          <w:bCs w:val="0"/>
        </w:rPr>
      </w:r>
    </w:p>
    <w:p>
      <w:pPr>
        <w:pStyle w:val="BodyText"/>
        <w:tabs>
          <w:tab w:pos="1917" w:val="left" w:leader="none"/>
        </w:tabs>
        <w:spacing w:line="240" w:lineRule="auto" w:before="55"/>
        <w:ind w:left="958" w:right="-17"/>
        <w:jc w:val="left"/>
      </w:pPr>
      <w:r>
        <w:rPr/>
        <w:t>√适用</w:t>
        <w:tab/>
        <w:t>□不适用</w:t>
      </w:r>
    </w:p>
    <w:p>
      <w:pPr>
        <w:pStyle w:val="Heading2"/>
        <w:spacing w:line="240" w:lineRule="auto" w:before="58"/>
        <w:ind w:left="958" w:right="-17"/>
        <w:jc w:val="left"/>
        <w:rPr>
          <w:b w:val="0"/>
          <w:bCs w:val="0"/>
        </w:rPr>
      </w:pPr>
      <w:r>
        <w:rPr>
          <w:rFonts w:ascii="宋体" w:hAnsi="宋体" w:cs="宋体" w:eastAsia="宋体" w:hint="default"/>
        </w:rPr>
        <w:t>(1).</w:t>
      </w:r>
      <w:r>
        <w:rPr>
          <w:rFonts w:ascii="宋体" w:hAnsi="宋体" w:cs="宋体" w:eastAsia="宋体" w:hint="default"/>
          <w:spacing w:val="-41"/>
        </w:rPr>
        <w:t> </w:t>
      </w:r>
      <w:r>
        <w:rPr/>
        <w:t>主营业务分行业、分产品、分地区情况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p>
      <w:pPr>
        <w:tabs>
          <w:tab w:pos="1904" w:val="left" w:leader="none"/>
        </w:tabs>
        <w:spacing w:before="0"/>
        <w:ind w:left="95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w:t>
      </w:r>
      <w:r>
        <w:rPr>
          <w:rFonts w:ascii="宋体" w:hAnsi="宋体" w:cs="宋体" w:eastAsia="宋体" w:hint="default"/>
          <w:spacing w:val="-1"/>
          <w:sz w:val="21"/>
          <w:szCs w:val="21"/>
        </w:rPr>
        <w:t>:</w:t>
      </w:r>
      <w:r>
        <w:rPr>
          <w:rFonts w:ascii="宋体" w:hAnsi="宋体" w:cs="宋体" w:eastAsia="宋体" w:hint="default"/>
          <w:spacing w:val="-1"/>
          <w:sz w:val="21"/>
          <w:szCs w:val="21"/>
        </w:rPr>
        <w:t>元</w:t>
        <w:tab/>
        <w:t>币种</w:t>
      </w:r>
      <w:r>
        <w:rPr>
          <w:rFonts w:ascii="宋体" w:hAnsi="宋体" w:cs="宋体" w:eastAsia="宋体" w:hint="default"/>
          <w:spacing w:val="-1"/>
          <w:sz w:val="21"/>
          <w:szCs w:val="21"/>
        </w:rPr>
        <w:t>:</w:t>
      </w:r>
      <w:r>
        <w:rPr>
          <w:rFonts w:ascii="宋体" w:hAnsi="宋体" w:cs="宋体" w:eastAsia="宋体" w:hint="default"/>
          <w:spacing w:val="-1"/>
          <w:sz w:val="21"/>
          <w:szCs w:val="21"/>
        </w:rPr>
        <w:t>人民币</w:t>
      </w:r>
    </w:p>
    <w:p>
      <w:pPr>
        <w:spacing w:after="0"/>
        <w:jc w:val="left"/>
        <w:rPr>
          <w:rFonts w:ascii="宋体" w:hAnsi="宋体" w:cs="宋体" w:eastAsia="宋体" w:hint="default"/>
          <w:sz w:val="21"/>
          <w:szCs w:val="21"/>
        </w:rPr>
        <w:sectPr>
          <w:type w:val="continuous"/>
          <w:pgSz w:w="11910" w:h="16840"/>
          <w:pgMar w:top="1000" w:bottom="280" w:left="840" w:right="300"/>
          <w:cols w:num="2" w:equalWidth="0">
            <w:col w:w="5622" w:space="1111"/>
            <w:col w:w="4037"/>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460"/>
        <w:gridCol w:w="2002"/>
        <w:gridCol w:w="1896"/>
        <w:gridCol w:w="776"/>
        <w:gridCol w:w="1066"/>
        <w:gridCol w:w="1057"/>
        <w:gridCol w:w="2268"/>
      </w:tblGrid>
      <w:tr>
        <w:trPr>
          <w:trHeight w:val="283" w:hRule="exact"/>
        </w:trPr>
        <w:tc>
          <w:tcPr>
            <w:tcW w:w="105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8"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05"/>
              <w:jc w:val="right"/>
              <w:rPr>
                <w:rFonts w:ascii="宋体" w:hAnsi="宋体" w:cs="宋体" w:eastAsia="宋体" w:hint="default"/>
                <w:sz w:val="21"/>
                <w:szCs w:val="21"/>
              </w:rPr>
            </w:pPr>
            <w:r>
              <w:rPr>
                <w:rFonts w:ascii="宋体" w:hAnsi="宋体" w:cs="宋体" w:eastAsia="宋体" w:hint="default"/>
                <w:sz w:val="21"/>
                <w:szCs w:val="21"/>
              </w:rPr>
              <w:t>分行业</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5" w:firstLine="69"/>
              <w:jc w:val="left"/>
              <w:rPr>
                <w:rFonts w:ascii="宋体" w:hAnsi="宋体" w:cs="宋体" w:eastAsia="宋体" w:hint="default"/>
                <w:sz w:val="21"/>
                <w:szCs w:val="21"/>
              </w:rPr>
            </w:pPr>
            <w:r>
              <w:rPr>
                <w:rFonts w:ascii="宋体" w:hAnsi="宋体" w:cs="宋体" w:eastAsia="宋体" w:hint="default"/>
                <w:sz w:val="21"/>
                <w:szCs w:val="21"/>
              </w:rPr>
              <w:t>毛利</w:t>
            </w:r>
            <w:r>
              <w:rPr>
                <w:rFonts w:ascii="宋体" w:hAnsi="宋体" w:cs="宋体" w:eastAsia="宋体" w:hint="default"/>
                <w:w w:val="100"/>
                <w:sz w:val="21"/>
                <w:szCs w:val="21"/>
              </w:rPr>
              <w:t> </w:t>
            </w:r>
            <w:r>
              <w:rPr>
                <w:rFonts w:ascii="宋体" w:hAnsi="宋体" w:cs="宋体" w:eastAsia="宋体" w:hint="default"/>
                <w:spacing w:val="-19"/>
                <w:sz w:val="21"/>
                <w:szCs w:val="21"/>
              </w:rPr>
              <w:t>率（</w:t>
            </w:r>
            <w:r>
              <w:rPr>
                <w:rFonts w:ascii="宋体" w:hAnsi="宋体" w:cs="宋体" w:eastAsia="宋体" w:hint="default"/>
                <w:spacing w:val="-19"/>
                <w:sz w:val="21"/>
                <w:szCs w:val="21"/>
              </w:rPr>
              <w:t>%</w:t>
            </w:r>
            <w:r>
              <w:rPr>
                <w:rFonts w:ascii="宋体" w:hAnsi="宋体" w:cs="宋体" w:eastAsia="宋体" w:hint="default"/>
                <w:spacing w:val="-19"/>
                <w:sz w:val="21"/>
                <w:szCs w:val="21"/>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58" w:right="105"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53" w:right="101"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3"/>
              <w:jc w:val="left"/>
              <w:rPr>
                <w:rFonts w:ascii="宋体" w:hAnsi="宋体" w:cs="宋体" w:eastAsia="宋体" w:hint="default"/>
                <w:sz w:val="21"/>
                <w:szCs w:val="21"/>
              </w:rPr>
            </w:pPr>
            <w:r>
              <w:rPr>
                <w:rFonts w:ascii="宋体" w:hAnsi="宋体" w:cs="宋体" w:eastAsia="宋体" w:hint="default"/>
                <w:spacing w:val="-6"/>
                <w:sz w:val="21"/>
                <w:szCs w:val="21"/>
              </w:rPr>
              <w:t>毛利率比上年增减（</w:t>
            </w:r>
            <w:r>
              <w:rPr>
                <w:rFonts w:ascii="宋体" w:hAnsi="宋体" w:cs="宋体" w:eastAsia="宋体" w:hint="default"/>
                <w:spacing w:val="-6"/>
                <w:sz w:val="21"/>
                <w:szCs w:val="21"/>
              </w:rPr>
              <w:t>%</w:t>
            </w:r>
            <w:r>
              <w:rPr>
                <w:rFonts w:ascii="宋体" w:hAnsi="宋体" w:cs="宋体" w:eastAsia="宋体" w:hint="default"/>
                <w:spacing w:val="-6"/>
                <w:sz w:val="21"/>
                <w:szCs w:val="21"/>
              </w:rPr>
              <w:t>）</w:t>
            </w:r>
          </w:p>
        </w:tc>
      </w:tr>
      <w:tr>
        <w:trPr>
          <w:trHeight w:val="281"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12,755,257,749.45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7,991,769,907.88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37.35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26.61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12.36</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r>
      <w:tr>
        <w:trPr>
          <w:trHeight w:val="283"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商业贸易</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4,459,455,304.37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4,455,990,274.10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39.33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40.13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0.57</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1"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海涂开发</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69,259,103.83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56,135,556.82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18.95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-56.02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-27.77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31.7</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4"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173,226,545.60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40,378,198.01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76.69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5.68</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33.77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4.90</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3" w:hRule="exact"/>
        </w:trPr>
        <w:tc>
          <w:tcPr>
            <w:tcW w:w="105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6"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05"/>
              <w:jc w:val="right"/>
              <w:rPr>
                <w:rFonts w:ascii="宋体" w:hAnsi="宋体" w:cs="宋体" w:eastAsia="宋体" w:hint="default"/>
                <w:sz w:val="21"/>
                <w:szCs w:val="21"/>
              </w:rPr>
            </w:pPr>
            <w:r>
              <w:rPr>
                <w:rFonts w:ascii="宋体" w:hAnsi="宋体" w:cs="宋体" w:eastAsia="宋体" w:hint="default"/>
                <w:sz w:val="21"/>
                <w:szCs w:val="21"/>
              </w:rPr>
              <w:t>分地区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5" w:firstLine="69"/>
              <w:jc w:val="left"/>
              <w:rPr>
                <w:rFonts w:ascii="宋体" w:hAnsi="宋体" w:cs="宋体" w:eastAsia="宋体" w:hint="default"/>
                <w:sz w:val="21"/>
                <w:szCs w:val="21"/>
              </w:rPr>
            </w:pPr>
            <w:r>
              <w:rPr>
                <w:rFonts w:ascii="宋体" w:hAnsi="宋体" w:cs="宋体" w:eastAsia="宋体" w:hint="default"/>
                <w:sz w:val="21"/>
                <w:szCs w:val="21"/>
              </w:rPr>
              <w:t>毛利</w:t>
            </w:r>
            <w:r>
              <w:rPr>
                <w:rFonts w:ascii="宋体" w:hAnsi="宋体" w:cs="宋体" w:eastAsia="宋体" w:hint="default"/>
                <w:w w:val="100"/>
                <w:sz w:val="21"/>
                <w:szCs w:val="21"/>
              </w:rPr>
              <w:t> </w:t>
            </w:r>
            <w:r>
              <w:rPr>
                <w:rFonts w:ascii="宋体" w:hAnsi="宋体" w:cs="宋体" w:eastAsia="宋体" w:hint="default"/>
                <w:spacing w:val="-19"/>
                <w:sz w:val="21"/>
                <w:szCs w:val="21"/>
              </w:rPr>
              <w:t>率（</w:t>
            </w:r>
            <w:r>
              <w:rPr>
                <w:rFonts w:ascii="宋体" w:hAnsi="宋体" w:cs="宋体" w:eastAsia="宋体" w:hint="default"/>
                <w:spacing w:val="-19"/>
                <w:sz w:val="21"/>
                <w:szCs w:val="21"/>
              </w:rPr>
              <w:t>%</w:t>
            </w:r>
            <w:r>
              <w:rPr>
                <w:rFonts w:ascii="宋体" w:hAnsi="宋体" w:cs="宋体" w:eastAsia="宋体" w:hint="default"/>
                <w:spacing w:val="-19"/>
                <w:sz w:val="21"/>
                <w:szCs w:val="21"/>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58" w:right="105"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153" w:right="101"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3"/>
              <w:jc w:val="left"/>
              <w:rPr>
                <w:rFonts w:ascii="宋体" w:hAnsi="宋体" w:cs="宋体" w:eastAsia="宋体" w:hint="default"/>
                <w:sz w:val="21"/>
                <w:szCs w:val="21"/>
              </w:rPr>
            </w:pPr>
            <w:r>
              <w:rPr>
                <w:rFonts w:ascii="宋体" w:hAnsi="宋体" w:cs="宋体" w:eastAsia="宋体" w:hint="default"/>
                <w:spacing w:val="-6"/>
                <w:sz w:val="21"/>
                <w:szCs w:val="21"/>
              </w:rPr>
              <w:t>毛利率比上年增减（</w:t>
            </w:r>
            <w:r>
              <w:rPr>
                <w:rFonts w:ascii="宋体" w:hAnsi="宋体" w:cs="宋体" w:eastAsia="宋体" w:hint="default"/>
                <w:spacing w:val="-6"/>
                <w:sz w:val="21"/>
                <w:szCs w:val="21"/>
              </w:rPr>
              <w:t>%</w:t>
            </w:r>
            <w:r>
              <w:rPr>
                <w:rFonts w:ascii="宋体" w:hAnsi="宋体" w:cs="宋体" w:eastAsia="宋体" w:hint="default"/>
                <w:spacing w:val="-6"/>
                <w:sz w:val="21"/>
                <w:szCs w:val="21"/>
              </w:rPr>
              <w:t>）</w:t>
            </w:r>
          </w:p>
        </w:tc>
      </w:tr>
      <w:tr>
        <w:trPr>
          <w:trHeight w:val="283"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8,661,864,016.59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7,025,687,084.21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18.89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10.84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7.31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2.67</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554"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其中：浙江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5,800,426,150.61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4,185,507,925.30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27.84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12.93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7.75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3.47</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3"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7,133,503,482.18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4,166,006,239.26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41.60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569.49</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550.47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1.71</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554"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其中：上海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5,367,327,076.66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2,511,342,757.41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53.21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1,314.58</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2,610.35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22.37</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r>
      <w:tr>
        <w:trPr>
          <w:trHeight w:val="284"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149,583,292.10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118,690,805.20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20.65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-94.90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-94.63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4.00</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1"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660,507,597.58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570,371,895.86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13.83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14.78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0.71</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3"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215,590,745.43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198,882,605.55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10.34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18.23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6.16</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bl>
    <w:p>
      <w:pPr>
        <w:spacing w:after="0" w:line="241" w:lineRule="exact"/>
        <w:jc w:val="left"/>
        <w:rPr>
          <w:rFonts w:ascii="宋体" w:hAnsi="宋体" w:cs="宋体" w:eastAsia="宋体" w:hint="default"/>
          <w:sz w:val="21"/>
          <w:szCs w:val="21"/>
        </w:rPr>
        <w:sectPr>
          <w:type w:val="continuous"/>
          <w:pgSz w:w="11910" w:h="16840"/>
          <w:pgMar w:top="1000" w:bottom="280" w:left="840" w:right="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1460"/>
        <w:gridCol w:w="2002"/>
        <w:gridCol w:w="1896"/>
        <w:gridCol w:w="776"/>
        <w:gridCol w:w="1066"/>
        <w:gridCol w:w="1057"/>
        <w:gridCol w:w="2268"/>
      </w:tblGrid>
      <w:tr>
        <w:trPr>
          <w:trHeight w:val="284"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182,862,230.13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158,007,973.18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6" w:right="0"/>
              <w:jc w:val="center"/>
              <w:rPr>
                <w:rFonts w:ascii="宋体" w:hAnsi="宋体" w:cs="宋体" w:eastAsia="宋体" w:hint="default"/>
                <w:sz w:val="21"/>
                <w:szCs w:val="21"/>
              </w:rPr>
            </w:pPr>
            <w:r>
              <w:rPr>
                <w:rFonts w:ascii="宋体"/>
                <w:sz w:val="21"/>
              </w:rPr>
              <w:t>13.59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11.71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46.29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20.42</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r>
      <w:tr>
        <w:trPr>
          <w:trHeight w:val="283"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453,287,339.24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306,627,333.55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32.35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-46.12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-54.37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12.22</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r>
    </w:tbl>
    <w:p>
      <w:pPr>
        <w:spacing w:line="240" w:lineRule="auto" w:before="10"/>
        <w:rPr>
          <w:rFonts w:ascii="宋体" w:hAnsi="宋体" w:cs="宋体" w:eastAsia="宋体" w:hint="default"/>
          <w:sz w:val="18"/>
          <w:szCs w:val="18"/>
        </w:rPr>
      </w:pPr>
    </w:p>
    <w:p>
      <w:pPr>
        <w:pStyle w:val="BodyText"/>
        <w:spacing w:line="312" w:lineRule="exact" w:before="26"/>
        <w:ind w:left="958" w:right="2588"/>
        <w:jc w:val="left"/>
      </w:pPr>
      <w:r>
        <w:rPr/>
        <w:t>主营业务分行业、分产品、分地区情况的说明</w:t>
      </w:r>
    </w:p>
    <w:p>
      <w:pPr>
        <w:pStyle w:val="BodyText"/>
        <w:spacing w:line="311" w:lineRule="exact"/>
        <w:ind w:left="958" w:right="5468"/>
        <w:jc w:val="left"/>
      </w:pPr>
      <w:r>
        <w:rPr/>
        <w:t>√适用</w:t>
      </w:r>
      <w:r>
        <w:rPr>
          <w:spacing w:val="-1"/>
        </w:rPr>
        <w:t> </w:t>
      </w:r>
      <w:r>
        <w:rPr/>
        <w:t>□不适用</w:t>
      </w:r>
    </w:p>
    <w:p>
      <w:pPr>
        <w:pStyle w:val="BodyText"/>
        <w:spacing w:line="313" w:lineRule="exact"/>
        <w:ind w:left="958" w:right="2588"/>
        <w:jc w:val="left"/>
      </w:pPr>
      <w:r>
        <w:rPr>
          <w:rFonts w:ascii="宋体" w:hAnsi="宋体" w:cs="宋体" w:eastAsia="宋体" w:hint="default"/>
        </w:rPr>
        <w:t>2017</w:t>
      </w:r>
      <w:r>
        <w:rPr>
          <w:rFonts w:ascii="宋体" w:hAnsi="宋体" w:cs="宋体" w:eastAsia="宋体" w:hint="default"/>
          <w:spacing w:val="-61"/>
        </w:rPr>
        <w:t> </w:t>
      </w:r>
      <w:r>
        <w:rPr/>
        <w:t>年度主要房地产业务分地区情况一览表</w:t>
      </w:r>
    </w:p>
    <w:p>
      <w:pPr>
        <w:tabs>
          <w:tab w:pos="6848" w:val="left" w:leader="none"/>
          <w:tab w:pos="8531" w:val="left" w:leader="none"/>
        </w:tabs>
        <w:spacing w:before="157"/>
        <w:ind w:left="4957" w:right="0" w:firstLine="0"/>
        <w:jc w:val="left"/>
        <w:rPr>
          <w:rFonts w:ascii="宋体" w:hAnsi="宋体" w:cs="宋体" w:eastAsia="宋体" w:hint="default"/>
          <w:sz w:val="21"/>
          <w:szCs w:val="21"/>
        </w:rPr>
      </w:pPr>
      <w:r>
        <w:rPr>
          <w:rFonts w:ascii="宋体" w:hAnsi="宋体" w:cs="宋体" w:eastAsia="宋体" w:hint="default"/>
          <w:spacing w:val="-2"/>
          <w:sz w:val="21"/>
          <w:szCs w:val="21"/>
        </w:rPr>
        <w:t>面积单位：平方米</w:t>
        <w:tab/>
      </w:r>
      <w:r>
        <w:rPr>
          <w:rFonts w:ascii="宋体" w:hAnsi="宋体" w:cs="宋体" w:eastAsia="宋体" w:hint="default"/>
          <w:spacing w:val="-1"/>
          <w:sz w:val="21"/>
          <w:szCs w:val="21"/>
        </w:rPr>
        <w:t>金额单位：千元</w:t>
        <w:tab/>
      </w:r>
      <w:r>
        <w:rPr>
          <w:rFonts w:ascii="宋体" w:hAnsi="宋体" w:cs="宋体" w:eastAsia="宋体" w:hint="default"/>
          <w:spacing w:val="-2"/>
          <w:sz w:val="21"/>
          <w:szCs w:val="21"/>
        </w:rPr>
        <w:t>币种：人民币</w:t>
      </w: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1428"/>
        <w:gridCol w:w="1261"/>
        <w:gridCol w:w="1541"/>
        <w:gridCol w:w="1001"/>
        <w:gridCol w:w="1214"/>
        <w:gridCol w:w="1409"/>
        <w:gridCol w:w="1195"/>
      </w:tblGrid>
      <w:tr>
        <w:trPr>
          <w:trHeight w:val="58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412" w:right="202" w:hanging="209"/>
              <w:jc w:val="left"/>
              <w:rPr>
                <w:rFonts w:ascii="宋体" w:hAnsi="宋体" w:cs="宋体" w:eastAsia="宋体" w:hint="default"/>
                <w:sz w:val="21"/>
                <w:szCs w:val="21"/>
              </w:rPr>
            </w:pPr>
            <w:r>
              <w:rPr>
                <w:rFonts w:ascii="宋体" w:hAnsi="宋体" w:cs="宋体" w:eastAsia="宋体" w:hint="default"/>
                <w:sz w:val="21"/>
                <w:szCs w:val="21"/>
              </w:rPr>
              <w:t>合同销售</w:t>
            </w:r>
            <w:r>
              <w:rPr>
                <w:rFonts w:ascii="宋体" w:hAnsi="宋体" w:cs="宋体" w:eastAsia="宋体" w:hint="default"/>
                <w:w w:val="100"/>
                <w:sz w:val="21"/>
                <w:szCs w:val="21"/>
              </w:rPr>
              <w:t> </w:t>
            </w:r>
            <w:r>
              <w:rPr>
                <w:rFonts w:ascii="宋体" w:hAnsi="宋体" w:cs="宋体" w:eastAsia="宋体" w:hint="default"/>
                <w:sz w:val="21"/>
                <w:szCs w:val="21"/>
              </w:rPr>
              <w:t>面积</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32"/>
              <w:jc w:val="right"/>
              <w:rPr>
                <w:rFonts w:ascii="宋体" w:hAnsi="宋体" w:cs="宋体" w:eastAsia="宋体" w:hint="default"/>
                <w:sz w:val="21"/>
                <w:szCs w:val="21"/>
              </w:rPr>
            </w:pPr>
            <w:r>
              <w:rPr>
                <w:rFonts w:ascii="宋体" w:hAnsi="宋体" w:cs="宋体" w:eastAsia="宋体" w:hint="default"/>
                <w:spacing w:val="-1"/>
                <w:sz w:val="21"/>
                <w:szCs w:val="21"/>
              </w:rPr>
              <w:t>合同销售收入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179" w:right="177"/>
              <w:jc w:val="left"/>
              <w:rPr>
                <w:rFonts w:ascii="宋体" w:hAnsi="宋体" w:cs="宋体" w:eastAsia="宋体" w:hint="default"/>
                <w:sz w:val="21"/>
                <w:szCs w:val="21"/>
              </w:rPr>
            </w:pPr>
            <w:r>
              <w:rPr>
                <w:rFonts w:ascii="宋体" w:hAnsi="宋体" w:cs="宋体" w:eastAsia="宋体" w:hint="default"/>
                <w:sz w:val="21"/>
                <w:szCs w:val="21"/>
              </w:rPr>
              <w:t>销售收</w:t>
            </w:r>
            <w:r>
              <w:rPr>
                <w:rFonts w:ascii="宋体" w:hAnsi="宋体" w:cs="宋体" w:eastAsia="宋体" w:hint="default"/>
                <w:spacing w:val="-102"/>
                <w:sz w:val="21"/>
                <w:szCs w:val="21"/>
              </w:rPr>
              <w:t> </w:t>
            </w:r>
            <w:r>
              <w:rPr>
                <w:rFonts w:ascii="宋体" w:hAnsi="宋体" w:cs="宋体" w:eastAsia="宋体" w:hint="default"/>
                <w:sz w:val="21"/>
                <w:szCs w:val="21"/>
              </w:rPr>
              <w:t>入占比</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79" w:right="0"/>
              <w:jc w:val="left"/>
              <w:rPr>
                <w:rFonts w:ascii="宋体" w:hAnsi="宋体" w:cs="宋体" w:eastAsia="宋体" w:hint="default"/>
                <w:sz w:val="21"/>
                <w:szCs w:val="21"/>
              </w:rPr>
            </w:pPr>
            <w:r>
              <w:rPr>
                <w:rFonts w:ascii="宋体" w:hAnsi="宋体" w:cs="宋体" w:eastAsia="宋体" w:hint="default"/>
                <w:sz w:val="21"/>
                <w:szCs w:val="21"/>
              </w:rPr>
              <w:t>结算面积</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75" w:right="0"/>
              <w:jc w:val="left"/>
              <w:rPr>
                <w:rFonts w:ascii="宋体" w:hAnsi="宋体" w:cs="宋体" w:eastAsia="宋体" w:hint="default"/>
                <w:sz w:val="21"/>
                <w:szCs w:val="21"/>
              </w:rPr>
            </w:pPr>
            <w:r>
              <w:rPr>
                <w:rFonts w:ascii="宋体" w:hAnsi="宋体" w:cs="宋体" w:eastAsia="宋体" w:hint="default"/>
                <w:sz w:val="21"/>
                <w:szCs w:val="21"/>
              </w:rPr>
              <w:t>结算收入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381" w:right="168" w:hanging="209"/>
              <w:jc w:val="left"/>
              <w:rPr>
                <w:rFonts w:ascii="宋体" w:hAnsi="宋体" w:cs="宋体" w:eastAsia="宋体" w:hint="default"/>
                <w:sz w:val="21"/>
                <w:szCs w:val="21"/>
              </w:rPr>
            </w:pPr>
            <w:r>
              <w:rPr>
                <w:rFonts w:ascii="宋体" w:hAnsi="宋体" w:cs="宋体" w:eastAsia="宋体" w:hint="default"/>
                <w:sz w:val="21"/>
                <w:szCs w:val="21"/>
              </w:rPr>
              <w:t>结算收入</w:t>
            </w:r>
            <w:r>
              <w:rPr>
                <w:rFonts w:ascii="宋体" w:hAnsi="宋体" w:cs="宋体" w:eastAsia="宋体" w:hint="default"/>
                <w:w w:val="100"/>
                <w:sz w:val="21"/>
                <w:szCs w:val="21"/>
              </w:rPr>
              <w:t> </w:t>
            </w:r>
            <w:r>
              <w:rPr>
                <w:rFonts w:ascii="宋体" w:hAnsi="宋体" w:cs="宋体" w:eastAsia="宋体" w:hint="default"/>
                <w:sz w:val="21"/>
                <w:szCs w:val="21"/>
              </w:rPr>
              <w:t>占比</w:t>
            </w:r>
          </w:p>
        </w:tc>
      </w:tr>
      <w:tr>
        <w:trPr>
          <w:trHeight w:val="295"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454,472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8,346,294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55" w:right="0"/>
              <w:jc w:val="center"/>
              <w:rPr>
                <w:rFonts w:ascii="宋体" w:hAnsi="宋体" w:cs="宋体" w:eastAsia="宋体" w:hint="default"/>
                <w:sz w:val="21"/>
                <w:szCs w:val="21"/>
              </w:rPr>
            </w:pPr>
            <w:r>
              <w:rPr>
                <w:rFonts w:ascii="宋体"/>
                <w:sz w:val="21"/>
              </w:rPr>
              <w:t>63.19%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346,552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4"/>
              <w:jc w:val="right"/>
              <w:rPr>
                <w:rFonts w:ascii="宋体" w:hAnsi="宋体" w:cs="宋体" w:eastAsia="宋体" w:hint="default"/>
                <w:sz w:val="21"/>
                <w:szCs w:val="21"/>
              </w:rPr>
            </w:pPr>
            <w:r>
              <w:rPr>
                <w:rFonts w:ascii="宋体"/>
                <w:spacing w:val="-1"/>
                <w:sz w:val="21"/>
              </w:rPr>
              <w:t>5,821,632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40.68%</w:t>
            </w:r>
          </w:p>
        </w:tc>
      </w:tr>
      <w:tr>
        <w:trPr>
          <w:trHeight w:val="29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7,014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507,879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1" w:right="0"/>
              <w:jc w:val="center"/>
              <w:rPr>
                <w:rFonts w:ascii="宋体" w:hAnsi="宋体" w:cs="宋体" w:eastAsia="宋体" w:hint="default"/>
                <w:sz w:val="21"/>
                <w:szCs w:val="21"/>
              </w:rPr>
            </w:pPr>
            <w:r>
              <w:rPr>
                <w:rFonts w:ascii="宋体"/>
                <w:sz w:val="21"/>
              </w:rPr>
              <w:t>3.85%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77,582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4"/>
              <w:jc w:val="right"/>
              <w:rPr>
                <w:rFonts w:ascii="宋体" w:hAnsi="宋体" w:cs="宋体" w:eastAsia="宋体" w:hint="default"/>
                <w:sz w:val="21"/>
                <w:szCs w:val="21"/>
              </w:rPr>
            </w:pPr>
            <w:r>
              <w:rPr>
                <w:rFonts w:ascii="宋体"/>
                <w:spacing w:val="-1"/>
                <w:sz w:val="21"/>
              </w:rPr>
              <w:t>5,367,327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37.51%</w:t>
            </w:r>
          </w:p>
        </w:tc>
      </w:tr>
      <w:tr>
        <w:trPr>
          <w:trHeight w:val="295"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江苏</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z w:val="21"/>
              </w:rPr>
              <w:t>75,825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1,166,708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1" w:right="0"/>
              <w:jc w:val="center"/>
              <w:rPr>
                <w:rFonts w:ascii="宋体" w:hAnsi="宋体" w:cs="宋体" w:eastAsia="宋体" w:hint="default"/>
                <w:sz w:val="21"/>
                <w:szCs w:val="21"/>
              </w:rPr>
            </w:pPr>
            <w:r>
              <w:rPr>
                <w:rFonts w:ascii="宋体"/>
                <w:sz w:val="21"/>
              </w:rPr>
              <w:t>8.83%</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3"/>
              <w:jc w:val="right"/>
              <w:rPr>
                <w:rFonts w:ascii="宋体" w:hAnsi="宋体" w:cs="宋体" w:eastAsia="宋体" w:hint="default"/>
                <w:sz w:val="21"/>
                <w:szCs w:val="21"/>
              </w:rPr>
            </w:pPr>
            <w:r>
              <w:rPr>
                <w:rFonts w:ascii="宋体"/>
                <w:sz w:val="21"/>
              </w:rPr>
              <w:t>5,861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right"/>
              <w:rPr>
                <w:rFonts w:ascii="宋体" w:hAnsi="宋体" w:cs="宋体" w:eastAsia="宋体" w:hint="default"/>
                <w:sz w:val="21"/>
                <w:szCs w:val="21"/>
              </w:rPr>
            </w:pPr>
            <w:r>
              <w:rPr>
                <w:rFonts w:ascii="宋体"/>
                <w:spacing w:val="-1"/>
                <w:sz w:val="21"/>
              </w:rPr>
              <w:t>167,161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1.17%</w:t>
            </w:r>
          </w:p>
        </w:tc>
      </w:tr>
      <w:tr>
        <w:trPr>
          <w:trHeight w:val="295"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辽宁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z w:val="21"/>
              </w:rPr>
              <w:t>91,583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578,651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1" w:right="0"/>
              <w:jc w:val="center"/>
              <w:rPr>
                <w:rFonts w:ascii="宋体" w:hAnsi="宋体" w:cs="宋体" w:eastAsia="宋体" w:hint="default"/>
                <w:sz w:val="21"/>
                <w:szCs w:val="21"/>
              </w:rPr>
            </w:pPr>
            <w:r>
              <w:rPr>
                <w:rFonts w:ascii="宋体"/>
                <w:sz w:val="21"/>
              </w:rPr>
              <w:t>4.38%</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99,036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right"/>
              <w:rPr>
                <w:rFonts w:ascii="宋体" w:hAnsi="宋体" w:cs="宋体" w:eastAsia="宋体" w:hint="default"/>
                <w:sz w:val="21"/>
                <w:szCs w:val="21"/>
              </w:rPr>
            </w:pPr>
            <w:r>
              <w:rPr>
                <w:rFonts w:ascii="宋体"/>
                <w:spacing w:val="-1"/>
                <w:sz w:val="21"/>
              </w:rPr>
              <w:t>660,507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4.62%</w:t>
            </w:r>
          </w:p>
        </w:tc>
      </w:tr>
      <w:tr>
        <w:trPr>
          <w:trHeight w:val="295"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z w:val="21"/>
              </w:rPr>
              <w:t>81,499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817,632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1" w:right="0"/>
              <w:jc w:val="center"/>
              <w:rPr>
                <w:rFonts w:ascii="宋体" w:hAnsi="宋体" w:cs="宋体" w:eastAsia="宋体" w:hint="default"/>
                <w:sz w:val="21"/>
                <w:szCs w:val="21"/>
              </w:rPr>
            </w:pPr>
            <w:r>
              <w:rPr>
                <w:rFonts w:ascii="宋体"/>
                <w:sz w:val="21"/>
              </w:rPr>
              <w:t>6.19%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34,141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right"/>
              <w:rPr>
                <w:rFonts w:ascii="宋体" w:hAnsi="宋体" w:cs="宋体" w:eastAsia="宋体" w:hint="default"/>
                <w:sz w:val="21"/>
                <w:szCs w:val="21"/>
              </w:rPr>
            </w:pPr>
            <w:r>
              <w:rPr>
                <w:rFonts w:ascii="宋体"/>
                <w:spacing w:val="-1"/>
                <w:sz w:val="21"/>
              </w:rPr>
              <w:t>210,743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1.47%</w:t>
            </w:r>
          </w:p>
        </w:tc>
      </w:tr>
      <w:tr>
        <w:trPr>
          <w:trHeight w:val="295"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山东</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z w:val="21"/>
              </w:rPr>
              <w:t>26,197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173,335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1" w:right="0"/>
              <w:jc w:val="center"/>
              <w:rPr>
                <w:rFonts w:ascii="宋体" w:hAnsi="宋体" w:cs="宋体" w:eastAsia="宋体" w:hint="default"/>
                <w:sz w:val="21"/>
                <w:szCs w:val="21"/>
              </w:rPr>
            </w:pPr>
            <w:r>
              <w:rPr>
                <w:rFonts w:ascii="宋体"/>
                <w:sz w:val="21"/>
              </w:rPr>
              <w:t>1.31%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34,888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right"/>
              <w:rPr>
                <w:rFonts w:ascii="宋体" w:hAnsi="宋体" w:cs="宋体" w:eastAsia="宋体" w:hint="default"/>
                <w:sz w:val="21"/>
                <w:szCs w:val="21"/>
              </w:rPr>
            </w:pPr>
            <w:r>
              <w:rPr>
                <w:rFonts w:ascii="宋体"/>
                <w:spacing w:val="-1"/>
                <w:sz w:val="21"/>
              </w:rPr>
              <w:t>182,830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1.28%</w:t>
            </w:r>
          </w:p>
        </w:tc>
      </w:tr>
      <w:tr>
        <w:trPr>
          <w:trHeight w:val="295"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江西</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139,956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1,094,985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1" w:right="0"/>
              <w:jc w:val="center"/>
              <w:rPr>
                <w:rFonts w:ascii="宋体" w:hAnsi="宋体" w:cs="宋体" w:eastAsia="宋体" w:hint="default"/>
                <w:sz w:val="21"/>
                <w:szCs w:val="21"/>
              </w:rPr>
            </w:pPr>
            <w:r>
              <w:rPr>
                <w:rFonts w:ascii="宋体"/>
                <w:sz w:val="21"/>
              </w:rPr>
              <w:t>8.29%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56,732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right"/>
              <w:rPr>
                <w:rFonts w:ascii="宋体" w:hAnsi="宋体" w:cs="宋体" w:eastAsia="宋体" w:hint="default"/>
                <w:sz w:val="21"/>
                <w:szCs w:val="21"/>
              </w:rPr>
            </w:pPr>
            <w:r>
              <w:rPr>
                <w:rFonts w:ascii="宋体"/>
                <w:spacing w:val="-1"/>
                <w:sz w:val="21"/>
              </w:rPr>
              <w:t>453,287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3.17%</w:t>
            </w:r>
          </w:p>
        </w:tc>
      </w:tr>
      <w:tr>
        <w:trPr>
          <w:trHeight w:val="295"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z w:val="21"/>
              </w:rPr>
              <w:t>43,869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522,850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1" w:right="0"/>
              <w:jc w:val="center"/>
              <w:rPr>
                <w:rFonts w:ascii="宋体" w:hAnsi="宋体" w:cs="宋体" w:eastAsia="宋体" w:hint="default"/>
                <w:sz w:val="21"/>
                <w:szCs w:val="21"/>
              </w:rPr>
            </w:pPr>
            <w:r>
              <w:rPr>
                <w:rFonts w:ascii="宋体"/>
                <w:sz w:val="21"/>
              </w:rPr>
              <w:t>3.96%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210,623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right"/>
              <w:rPr>
                <w:rFonts w:ascii="宋体" w:hAnsi="宋体" w:cs="宋体" w:eastAsia="宋体" w:hint="default"/>
                <w:sz w:val="21"/>
                <w:szCs w:val="21"/>
              </w:rPr>
            </w:pPr>
            <w:r>
              <w:rPr>
                <w:rFonts w:ascii="宋体"/>
                <w:spacing w:val="-1"/>
                <w:sz w:val="21"/>
              </w:rPr>
              <w:t>1,444,705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10.10%</w:t>
            </w:r>
          </w:p>
        </w:tc>
      </w:tr>
      <w:tr>
        <w:trPr>
          <w:trHeight w:val="310"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pacing w:val="-1"/>
                <w:sz w:val="21"/>
              </w:rPr>
              <w:t>920,415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13,208,334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 w:right="0"/>
              <w:jc w:val="center"/>
              <w:rPr>
                <w:rFonts w:ascii="宋体" w:hAnsi="宋体" w:cs="宋体" w:eastAsia="宋体" w:hint="default"/>
                <w:sz w:val="21"/>
                <w:szCs w:val="21"/>
              </w:rPr>
            </w:pPr>
            <w:r>
              <w:rPr>
                <w:rFonts w:ascii="宋体"/>
                <w:sz w:val="21"/>
              </w:rPr>
              <w:t>100.00%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3"/>
              <w:jc w:val="right"/>
              <w:rPr>
                <w:rFonts w:ascii="宋体" w:hAnsi="宋体" w:cs="宋体" w:eastAsia="宋体" w:hint="default"/>
                <w:sz w:val="21"/>
                <w:szCs w:val="21"/>
              </w:rPr>
            </w:pPr>
            <w:r>
              <w:rPr>
                <w:rFonts w:ascii="宋体"/>
                <w:spacing w:val="-1"/>
                <w:sz w:val="21"/>
              </w:rPr>
              <w:t>865,415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pacing w:val="-1"/>
                <w:sz w:val="21"/>
              </w:rPr>
              <w:t>14,308,192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100.00%</w:t>
            </w:r>
          </w:p>
        </w:tc>
      </w:tr>
    </w:tbl>
    <w:p>
      <w:pPr>
        <w:spacing w:line="240" w:lineRule="auto" w:before="10"/>
        <w:rPr>
          <w:rFonts w:ascii="宋体" w:hAnsi="宋体" w:cs="宋体" w:eastAsia="宋体" w:hint="default"/>
          <w:sz w:val="18"/>
          <w:szCs w:val="18"/>
        </w:rPr>
      </w:pPr>
    </w:p>
    <w:p>
      <w:pPr>
        <w:pStyle w:val="BodyText"/>
        <w:spacing w:line="240" w:lineRule="auto" w:before="26"/>
        <w:ind w:left="958" w:right="2588"/>
        <w:jc w:val="left"/>
      </w:pPr>
      <w:r>
        <w:rPr>
          <w:rFonts w:ascii="宋体" w:hAnsi="宋体" w:cs="宋体" w:eastAsia="宋体" w:hint="default"/>
        </w:rPr>
        <w:t>2017</w:t>
      </w:r>
      <w:r>
        <w:rPr>
          <w:rFonts w:ascii="宋体" w:hAnsi="宋体" w:cs="宋体" w:eastAsia="宋体" w:hint="default"/>
          <w:spacing w:val="-61"/>
        </w:rPr>
        <w:t> </w:t>
      </w:r>
      <w:r>
        <w:rPr/>
        <w:t>年度房地产项目结算收入按地区分布图</w:t>
      </w:r>
    </w:p>
    <w:p>
      <w:pPr>
        <w:spacing w:line="240" w:lineRule="auto" w:before="11"/>
        <w:rPr>
          <w:rFonts w:ascii="宋体" w:hAnsi="宋体" w:cs="宋体" w:eastAsia="宋体" w:hint="default"/>
          <w:sz w:val="2"/>
          <w:szCs w:val="2"/>
        </w:rPr>
      </w:pPr>
    </w:p>
    <w:p>
      <w:pPr>
        <w:spacing w:line="4224" w:lineRule="exact"/>
        <w:ind w:left="1968"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4336601" cy="268224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9" cstate="print"/>
                    <a:stretch>
                      <a:fillRect/>
                    </a:stretch>
                  </pic:blipFill>
                  <pic:spPr>
                    <a:xfrm>
                      <a:off x="0" y="0"/>
                      <a:ext cx="4336601" cy="2682240"/>
                    </a:xfrm>
                    <a:prstGeom prst="rect">
                      <a:avLst/>
                    </a:prstGeom>
                  </pic:spPr>
                </pic:pic>
              </a:graphicData>
            </a:graphic>
          </wp:inline>
        </w:drawing>
      </w:r>
      <w:r>
        <w:rPr>
          <w:rFonts w:ascii="宋体" w:hAnsi="宋体" w:cs="宋体" w:eastAsia="宋体" w:hint="default"/>
          <w:position w:val="-83"/>
          <w:sz w:val="20"/>
          <w:szCs w:val="20"/>
        </w:rPr>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spacing w:line="240" w:lineRule="auto"/>
        <w:ind w:left="958" w:right="2588"/>
        <w:jc w:val="left"/>
      </w:pPr>
      <w:r>
        <w:rPr>
          <w:rFonts w:ascii="宋体" w:hAnsi="宋体" w:cs="宋体" w:eastAsia="宋体" w:hint="default"/>
        </w:rPr>
        <w:t>2017</w:t>
      </w:r>
      <w:r>
        <w:rPr>
          <w:rFonts w:ascii="宋体" w:hAnsi="宋体" w:cs="宋体" w:eastAsia="宋体" w:hint="default"/>
          <w:spacing w:val="-61"/>
        </w:rPr>
        <w:t> </w:t>
      </w:r>
      <w:r>
        <w:rPr/>
        <w:t>年度房地产项目合同销售收入按地区分布图</w:t>
      </w:r>
    </w:p>
    <w:p>
      <w:pPr>
        <w:spacing w:after="0" w:line="240" w:lineRule="auto"/>
        <w:jc w:val="left"/>
        <w:sectPr>
          <w:pgSz w:w="11910" w:h="16840"/>
          <w:pgMar w:header="882" w:footer="1195" w:top="1120" w:bottom="1380" w:left="840" w:right="3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p>
      <w:pPr>
        <w:spacing w:line="3960" w:lineRule="exact"/>
        <w:ind w:left="2008"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4344497" cy="25146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1" cstate="print"/>
                    <a:stretch>
                      <a:fillRect/>
                    </a:stretch>
                  </pic:blipFill>
                  <pic:spPr>
                    <a:xfrm>
                      <a:off x="0" y="0"/>
                      <a:ext cx="4344497" cy="2514600"/>
                    </a:xfrm>
                    <a:prstGeom prst="rect">
                      <a:avLst/>
                    </a:prstGeom>
                  </pic:spPr>
                </pic:pic>
              </a:graphicData>
            </a:graphic>
          </wp:inline>
        </w:drawing>
      </w:r>
      <w:r>
        <w:rPr>
          <w:rFonts w:ascii="宋体" w:hAnsi="宋体" w:cs="宋体" w:eastAsia="宋体" w:hint="default"/>
          <w:position w:val="-78"/>
          <w:sz w:val="20"/>
          <w:szCs w:val="20"/>
        </w:rPr>
      </w:r>
    </w:p>
    <w:p>
      <w:pPr>
        <w:spacing w:line="240" w:lineRule="auto" w:before="5"/>
        <w:rPr>
          <w:rFonts w:ascii="宋体" w:hAnsi="宋体" w:cs="宋体" w:eastAsia="宋体" w:hint="default"/>
          <w:sz w:val="23"/>
          <w:szCs w:val="23"/>
        </w:rPr>
      </w:pPr>
    </w:p>
    <w:p>
      <w:pPr>
        <w:pStyle w:val="Heading2"/>
        <w:spacing w:line="240" w:lineRule="auto"/>
        <w:ind w:left="998" w:right="1009"/>
        <w:jc w:val="left"/>
        <w:rPr>
          <w:b w:val="0"/>
          <w:bCs w:val="0"/>
        </w:rPr>
      </w:pPr>
      <w:r>
        <w:rPr>
          <w:rFonts w:ascii="宋体" w:hAnsi="宋体" w:cs="宋体" w:eastAsia="宋体" w:hint="default"/>
        </w:rPr>
        <w:t>(2).</w:t>
      </w:r>
      <w:r>
        <w:rPr>
          <w:rFonts w:ascii="宋体" w:hAnsi="宋体" w:cs="宋体" w:eastAsia="宋体" w:hint="default"/>
          <w:spacing w:val="-41"/>
        </w:rPr>
        <w:t> </w:t>
      </w:r>
      <w:r>
        <w:rPr/>
        <w:t>产销量情况分析表</w:t>
      </w:r>
      <w:r>
        <w:rPr>
          <w:b w:val="0"/>
          <w:bCs w:val="0"/>
        </w:rPr>
      </w:r>
    </w:p>
    <w:p>
      <w:pPr>
        <w:pStyle w:val="BodyText"/>
        <w:spacing w:line="240" w:lineRule="auto" w:before="58"/>
        <w:ind w:left="998" w:right="1009"/>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20"/>
          <w:pgSz w:w="11910" w:h="16840"/>
          <w:pgMar w:footer="1195" w:header="882" w:top="1120" w:bottom="1380" w:left="800" w:right="260"/>
        </w:sectPr>
      </w:pPr>
    </w:p>
    <w:p>
      <w:pPr>
        <w:pStyle w:val="Heading2"/>
        <w:spacing w:line="240" w:lineRule="auto"/>
        <w:ind w:left="998" w:right="-19"/>
        <w:jc w:val="left"/>
        <w:rPr>
          <w:b w:val="0"/>
          <w:bCs w:val="0"/>
        </w:rPr>
      </w:pPr>
      <w:r>
        <w:rPr>
          <w:rFonts w:ascii="宋体" w:hAnsi="宋体" w:cs="宋体" w:eastAsia="宋体" w:hint="default"/>
        </w:rPr>
        <w:t>(3).</w:t>
      </w:r>
      <w:r>
        <w:rPr>
          <w:rFonts w:ascii="宋体" w:hAnsi="宋体" w:cs="宋体" w:eastAsia="宋体" w:hint="default"/>
          <w:spacing w:val="-40"/>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42"/>
        <w:ind w:left="980" w:right="992" w:firstLine="0"/>
        <w:jc w:val="center"/>
        <w:rPr>
          <w:rFonts w:ascii="宋体" w:hAnsi="宋体" w:cs="宋体" w:eastAsia="宋体" w:hint="default"/>
          <w:sz w:val="21"/>
          <w:szCs w:val="21"/>
        </w:rPr>
      </w:pPr>
      <w:r>
        <w:rPr>
          <w:rFonts w:ascii="宋体" w:hAnsi="宋体" w:cs="宋体" w:eastAsia="宋体" w:hint="default"/>
          <w:sz w:val="21"/>
          <w:szCs w:val="21"/>
        </w:rPr>
        <w:t>单位：元</w:t>
      </w:r>
    </w:p>
    <w:p>
      <w:pPr>
        <w:spacing w:after="0"/>
        <w:jc w:val="center"/>
        <w:rPr>
          <w:rFonts w:ascii="宋体" w:hAnsi="宋体" w:cs="宋体" w:eastAsia="宋体" w:hint="default"/>
          <w:sz w:val="21"/>
          <w:szCs w:val="21"/>
        </w:rPr>
        <w:sectPr>
          <w:type w:val="continuous"/>
          <w:pgSz w:w="11910" w:h="16840"/>
          <w:pgMar w:top="1000" w:bottom="280" w:left="800" w:right="260"/>
          <w:cols w:num="2" w:equalWidth="0">
            <w:col w:w="2769" w:space="5224"/>
            <w:col w:w="285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131"/>
        <w:gridCol w:w="1687"/>
        <w:gridCol w:w="1897"/>
        <w:gridCol w:w="893"/>
        <w:gridCol w:w="1896"/>
        <w:gridCol w:w="826"/>
        <w:gridCol w:w="845"/>
        <w:gridCol w:w="1445"/>
      </w:tblGrid>
      <w:tr>
        <w:trPr>
          <w:trHeight w:val="283" w:hRule="exact"/>
        </w:trPr>
        <w:tc>
          <w:tcPr>
            <w:tcW w:w="1062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644"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成本构成项目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22" w:right="125"/>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both"/>
              <w:rPr>
                <w:rFonts w:ascii="宋体" w:hAnsi="宋体" w:cs="宋体" w:eastAsia="宋体" w:hint="default"/>
                <w:sz w:val="21"/>
                <w:szCs w:val="21"/>
              </w:rPr>
            </w:pPr>
            <w:r>
              <w:rPr>
                <w:rFonts w:ascii="宋体" w:hAnsi="宋体" w:cs="宋体" w:eastAsia="宋体" w:hint="default"/>
                <w:sz w:val="21"/>
                <w:szCs w:val="21"/>
              </w:rPr>
              <w:t>上年</w:t>
            </w:r>
          </w:p>
          <w:p>
            <w:pPr>
              <w:pStyle w:val="TableParagraph"/>
              <w:spacing w:line="237" w:lineRule="auto" w:before="2"/>
              <w:ind w:left="196" w:right="195"/>
              <w:jc w:val="both"/>
              <w:rPr>
                <w:rFonts w:ascii="宋体" w:hAnsi="宋体" w:cs="宋体" w:eastAsia="宋体" w:hint="default"/>
                <w:sz w:val="21"/>
                <w:szCs w:val="21"/>
              </w:rPr>
            </w:pPr>
            <w:r>
              <w:rPr>
                <w:rFonts w:ascii="宋体" w:hAnsi="宋体" w:cs="宋体" w:eastAsia="宋体" w:hint="default"/>
                <w:sz w:val="21"/>
                <w:szCs w:val="21"/>
              </w:rPr>
              <w:t>同期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98"/>
              <w:jc w:val="both"/>
              <w:rPr>
                <w:rFonts w:ascii="宋体" w:hAnsi="宋体" w:cs="宋体" w:eastAsia="宋体"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6" w:right="504"/>
              <w:jc w:val="center"/>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p>
        </w:tc>
      </w:tr>
      <w:tr>
        <w:trPr>
          <w:trHeight w:val="283"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房地产开发成本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7,991,769,907.88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63.71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7,556,754,710.73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69.68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5.76</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商业贸易</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购货成本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4,455,990,274.10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35.52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3,179,982,037.96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29.32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40.13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本期商业贸</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z w:val="21"/>
                <w:szCs w:val="21"/>
              </w:rPr>
              <w:t>易结算收入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7"/>
                <w:sz w:val="21"/>
                <w:szCs w:val="21"/>
              </w:rPr>
              <w:t>增加，相应的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商业贸易购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货成本增加</w:t>
            </w:r>
          </w:p>
        </w:tc>
      </w:tr>
      <w:tr>
        <w:trPr>
          <w:trHeight w:val="284"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海涂开发</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海涂开发成本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56,135,556.82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77,722,451.29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-27.77</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其它成本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40,378,198.01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0.32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30,184,705.43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0.28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33.77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本期收入增</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7"/>
                <w:sz w:val="21"/>
                <w:szCs w:val="21"/>
              </w:rPr>
              <w:t>加，相应的成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本增加</w:t>
            </w:r>
          </w:p>
        </w:tc>
      </w:tr>
    </w:tbl>
    <w:p>
      <w:pPr>
        <w:spacing w:line="240" w:lineRule="auto" w:before="8"/>
        <w:rPr>
          <w:rFonts w:ascii="宋体" w:hAnsi="宋体" w:cs="宋体" w:eastAsia="宋体" w:hint="default"/>
          <w:sz w:val="18"/>
          <w:szCs w:val="18"/>
        </w:rPr>
      </w:pPr>
    </w:p>
    <w:p>
      <w:pPr>
        <w:pStyle w:val="BodyText"/>
        <w:spacing w:line="313" w:lineRule="exact" w:before="26"/>
        <w:ind w:left="998" w:right="1009"/>
        <w:jc w:val="left"/>
      </w:pPr>
      <w:r>
        <w:rPr/>
        <w:t>成本分析其他情况说明</w:t>
      </w:r>
    </w:p>
    <w:p>
      <w:pPr>
        <w:pStyle w:val="BodyText"/>
        <w:spacing w:line="313" w:lineRule="exact"/>
        <w:ind w:left="998" w:right="1009"/>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998" w:right="1009"/>
        <w:jc w:val="left"/>
        <w:rPr>
          <w:b w:val="0"/>
          <w:bCs w:val="0"/>
        </w:rPr>
      </w:pPr>
      <w:r>
        <w:rPr>
          <w:rFonts w:ascii="宋体" w:hAnsi="宋体" w:cs="宋体" w:eastAsia="宋体" w:hint="default"/>
        </w:rPr>
        <w:t>(4).</w:t>
      </w:r>
      <w:r>
        <w:rPr>
          <w:rFonts w:ascii="宋体" w:hAnsi="宋体" w:cs="宋体" w:eastAsia="宋体" w:hint="default"/>
          <w:spacing w:val="-40"/>
        </w:rPr>
        <w:t> </w:t>
      </w:r>
      <w:r>
        <w:rPr/>
        <w:t>主要销售客户及主要供应商情况</w:t>
      </w:r>
      <w:r>
        <w:rPr>
          <w:b w:val="0"/>
          <w:bCs w:val="0"/>
        </w:rPr>
      </w:r>
    </w:p>
    <w:p>
      <w:pPr>
        <w:pStyle w:val="BodyText"/>
        <w:spacing w:line="313" w:lineRule="exact" w:before="58"/>
        <w:ind w:left="998" w:right="1009"/>
        <w:jc w:val="left"/>
      </w:pPr>
      <w:r>
        <w:rPr/>
        <w:t>√适用</w:t>
      </w:r>
      <w:r>
        <w:rPr>
          <w:spacing w:val="-1"/>
        </w:rPr>
        <w:t> </w:t>
      </w:r>
      <w:r>
        <w:rPr/>
        <w:t>□不适用</w:t>
      </w:r>
    </w:p>
    <w:p>
      <w:pPr>
        <w:pStyle w:val="BodyText"/>
        <w:spacing w:line="355" w:lineRule="auto"/>
        <w:ind w:left="998" w:right="1009" w:firstLine="479"/>
        <w:jc w:val="left"/>
      </w:pPr>
      <w:r>
        <w:rPr/>
        <w:t>前五名客户销售额</w:t>
      </w:r>
      <w:r>
        <w:rPr>
          <w:spacing w:val="-60"/>
        </w:rPr>
        <w:t> </w:t>
      </w:r>
      <w:r>
        <w:rPr>
          <w:rFonts w:ascii="宋体" w:hAnsi="宋体" w:cs="宋体" w:eastAsia="宋体" w:hint="default"/>
        </w:rPr>
        <w:t>267,526.42</w:t>
      </w:r>
      <w:r>
        <w:rPr>
          <w:rFonts w:ascii="宋体" w:hAnsi="宋体" w:cs="宋体" w:eastAsia="宋体" w:hint="default"/>
          <w:spacing w:val="-60"/>
        </w:rPr>
        <w:t> </w:t>
      </w:r>
      <w:r>
        <w:rPr/>
        <w:t>万元，占年度销售总额</w:t>
      </w:r>
      <w:r>
        <w:rPr>
          <w:spacing w:val="-60"/>
        </w:rPr>
        <w:t> </w:t>
      </w:r>
      <w:r>
        <w:rPr>
          <w:rFonts w:ascii="宋体" w:hAnsi="宋体" w:cs="宋体" w:eastAsia="宋体" w:hint="default"/>
        </w:rPr>
        <w:t>15.29%</w:t>
      </w:r>
      <w:r>
        <w:rPr/>
        <w:t>；其中前五名客户 销售额中关联方销售额</w:t>
      </w:r>
      <w:r>
        <w:rPr>
          <w:spacing w:val="-60"/>
        </w:rPr>
        <w:t> </w:t>
      </w:r>
      <w:r>
        <w:rPr>
          <w:rFonts w:ascii="宋体" w:hAnsi="宋体" w:cs="宋体" w:eastAsia="宋体" w:hint="default"/>
        </w:rPr>
        <w:t>0.00</w:t>
      </w:r>
      <w:r>
        <w:rPr>
          <w:rFonts w:ascii="宋体" w:hAnsi="宋体" w:cs="宋体" w:eastAsia="宋体" w:hint="default"/>
          <w:spacing w:val="-60"/>
        </w:rPr>
        <w:t> </w:t>
      </w:r>
      <w:r>
        <w:rPr/>
        <w:t>万元，占年度销售总额</w:t>
      </w:r>
      <w:r>
        <w:rPr>
          <w:spacing w:val="-60"/>
        </w:rPr>
        <w:t> </w:t>
      </w:r>
      <w:r>
        <w:rPr>
          <w:rFonts w:ascii="宋体" w:hAnsi="宋体" w:cs="宋体" w:eastAsia="宋体" w:hint="default"/>
        </w:rPr>
        <w:t>0.00 %</w:t>
      </w:r>
      <w:r>
        <w:rPr/>
        <w:t>。</w:t>
      </w:r>
    </w:p>
    <w:p>
      <w:pPr>
        <w:spacing w:after="0" w:line="355" w:lineRule="auto"/>
        <w:jc w:val="left"/>
        <w:sectPr>
          <w:type w:val="continuous"/>
          <w:pgSz w:w="11910" w:h="16840"/>
          <w:pgMar w:top="1000" w:bottom="280" w:left="800" w:right="260"/>
        </w:sectPr>
      </w:pPr>
    </w:p>
    <w:p>
      <w:pPr>
        <w:spacing w:line="240" w:lineRule="auto" w:before="5"/>
        <w:rPr>
          <w:rFonts w:ascii="宋体" w:hAnsi="宋体" w:cs="宋体" w:eastAsia="宋体" w:hint="default"/>
          <w:sz w:val="25"/>
          <w:szCs w:val="25"/>
        </w:rPr>
      </w:pPr>
    </w:p>
    <w:p>
      <w:pPr>
        <w:pStyle w:val="BodyText"/>
        <w:spacing w:line="357" w:lineRule="auto" w:before="26"/>
        <w:ind w:left="318" w:right="349" w:firstLine="479"/>
        <w:jc w:val="left"/>
      </w:pPr>
      <w:r>
        <w:rPr/>
        <w:t>前五名供应商采购额</w:t>
      </w:r>
      <w:r>
        <w:rPr>
          <w:spacing w:val="-60"/>
        </w:rPr>
        <w:t> </w:t>
      </w:r>
      <w:r>
        <w:rPr>
          <w:rFonts w:ascii="宋体" w:hAnsi="宋体" w:cs="宋体" w:eastAsia="宋体" w:hint="default"/>
        </w:rPr>
        <w:t>287,433.42</w:t>
      </w:r>
      <w:r>
        <w:rPr>
          <w:rFonts w:ascii="宋体" w:hAnsi="宋体" w:cs="宋体" w:eastAsia="宋体" w:hint="default"/>
          <w:spacing w:val="-60"/>
        </w:rPr>
        <w:t> </w:t>
      </w:r>
      <w:r>
        <w:rPr/>
        <w:t>万元，占年度采购总额</w:t>
      </w:r>
      <w:r>
        <w:rPr>
          <w:spacing w:val="-60"/>
        </w:rPr>
        <w:t> </w:t>
      </w:r>
      <w:r>
        <w:rPr>
          <w:rFonts w:ascii="宋体" w:hAnsi="宋体" w:cs="宋体" w:eastAsia="宋体" w:hint="default"/>
        </w:rPr>
        <w:t>32.56%</w:t>
      </w:r>
      <w:r>
        <w:rPr/>
        <w:t>；其中前五名供 应商采购额中关联方采购额</w:t>
      </w:r>
      <w:r>
        <w:rPr>
          <w:spacing w:val="-60"/>
        </w:rPr>
        <w:t> </w:t>
      </w:r>
      <w:r>
        <w:rPr>
          <w:rFonts w:ascii="宋体" w:hAnsi="宋体" w:cs="宋体" w:eastAsia="宋体" w:hint="default"/>
        </w:rPr>
        <w:t>0.00</w:t>
      </w:r>
      <w:r>
        <w:rPr>
          <w:rFonts w:ascii="宋体" w:hAnsi="宋体" w:cs="宋体" w:eastAsia="宋体" w:hint="default"/>
          <w:spacing w:val="-60"/>
        </w:rPr>
        <w:t> </w:t>
      </w:r>
      <w:r>
        <w:rPr/>
        <w:t>万元，占年度采购总额</w:t>
      </w:r>
      <w:r>
        <w:rPr>
          <w:spacing w:val="-60"/>
        </w:rPr>
        <w:t> </w:t>
      </w:r>
      <w:r>
        <w:rPr>
          <w:rFonts w:ascii="宋体" w:hAnsi="宋体" w:cs="宋体" w:eastAsia="宋体" w:hint="default"/>
        </w:rPr>
        <w:t>0.00%</w:t>
      </w:r>
      <w:r>
        <w:rPr/>
        <w:t>。</w:t>
      </w: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22"/>
          <w:pgSz w:w="11910" w:h="16840"/>
          <w:pgMar w:footer="1195" w:header="882" w:top="1120" w:bottom="1380" w:left="1480" w:right="920"/>
          <w:pgNumType w:start="21"/>
        </w:sectPr>
      </w:pPr>
    </w:p>
    <w:p>
      <w:pPr>
        <w:pStyle w:val="Heading2"/>
        <w:spacing w:line="240" w:lineRule="auto"/>
        <w:ind w:left="318" w:right="-19"/>
        <w:jc w:val="left"/>
        <w:rPr>
          <w:b w:val="0"/>
          <w:bCs w:val="0"/>
        </w:rPr>
      </w:pPr>
      <w:r>
        <w:rPr>
          <w:rFonts w:ascii="宋体" w:hAnsi="宋体" w:cs="宋体" w:eastAsia="宋体" w:hint="default"/>
        </w:rPr>
        <w:t>2.</w:t>
      </w:r>
      <w:r>
        <w:rPr>
          <w:rFonts w:ascii="宋体" w:hAnsi="宋体" w:cs="宋体" w:eastAsia="宋体" w:hint="default"/>
          <w:spacing w:val="58"/>
        </w:rPr>
        <w:t> </w:t>
      </w:r>
      <w:r>
        <w:rPr/>
        <w:t>费用</w:t>
      </w:r>
      <w:r>
        <w:rPr>
          <w:b w:val="0"/>
          <w:bCs w:val="0"/>
        </w:rPr>
      </w:r>
    </w:p>
    <w:p>
      <w:pPr>
        <w:pStyle w:val="BodyText"/>
        <w:spacing w:line="240" w:lineRule="auto" w:before="58"/>
        <w:ind w:left="3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tabs>
          <w:tab w:pos="1475" w:val="left" w:leader="none"/>
        </w:tabs>
        <w:spacing w:before="0"/>
        <w:ind w:left="31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1910" w:h="16840"/>
          <w:pgMar w:top="1000" w:bottom="280" w:left="1480" w:right="920"/>
          <w:cols w:num="2" w:equalWidth="0">
            <w:col w:w="2119" w:space="4300"/>
            <w:col w:w="3091"/>
          </w:cols>
        </w:sectPr>
      </w:pPr>
    </w:p>
    <w:p>
      <w:pPr>
        <w:spacing w:line="240" w:lineRule="auto" w:before="4"/>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1205"/>
        <w:gridCol w:w="1897"/>
        <w:gridCol w:w="1896"/>
        <w:gridCol w:w="1315"/>
        <w:gridCol w:w="2737"/>
      </w:tblGrid>
      <w:tr>
        <w:trPr>
          <w:trHeight w:val="55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0"/>
              <w:jc w:val="left"/>
              <w:rPr>
                <w:rFonts w:ascii="宋体" w:hAnsi="宋体" w:cs="宋体" w:eastAsia="宋体" w:hint="default"/>
                <w:sz w:val="21"/>
                <w:szCs w:val="21"/>
              </w:rPr>
            </w:pPr>
            <w:r>
              <w:rPr>
                <w:rFonts w:ascii="宋体" w:hAnsi="宋体" w:cs="宋体" w:eastAsia="宋体" w:hint="default"/>
                <w:sz w:val="21"/>
                <w:szCs w:val="21"/>
              </w:rPr>
              <w:t>科目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变动比例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283"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516,619,119.51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419,130,643.57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sz w:val="21"/>
              </w:rPr>
              <w:t>23.26</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444,280,244.79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390,172,502.46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sz w:val="21"/>
              </w:rPr>
              <w:t>13.87</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1,493,290,250.49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1,196,099,713.23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6"/>
              <w:jc w:val="right"/>
              <w:rPr>
                <w:rFonts w:ascii="宋体" w:hAnsi="宋体" w:cs="宋体" w:eastAsia="宋体" w:hint="default"/>
                <w:sz w:val="21"/>
                <w:szCs w:val="21"/>
              </w:rPr>
            </w:pPr>
            <w:r>
              <w:rPr>
                <w:rFonts w:ascii="宋体"/>
                <w:sz w:val="21"/>
              </w:rPr>
              <w:t>24.85</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828,726,084.59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218,333,676.89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5"/>
              <w:jc w:val="right"/>
              <w:rPr>
                <w:rFonts w:ascii="宋体" w:hAnsi="宋体" w:cs="宋体" w:eastAsia="宋体" w:hint="default"/>
                <w:sz w:val="21"/>
                <w:szCs w:val="21"/>
              </w:rPr>
            </w:pPr>
            <w:r>
              <w:rPr>
                <w:rFonts w:ascii="宋体"/>
                <w:sz w:val="21"/>
              </w:rPr>
              <w:t>279.57</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本期房地产结算收入增加，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计提的所得税费用增加</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00" w:bottom="280" w:left="1480" w:right="920"/>
        </w:sectPr>
      </w:pPr>
    </w:p>
    <w:p>
      <w:pPr>
        <w:pStyle w:val="Heading2"/>
        <w:spacing w:line="240" w:lineRule="auto"/>
        <w:ind w:left="318" w:right="-8"/>
        <w:jc w:val="left"/>
        <w:rPr>
          <w:b w:val="0"/>
          <w:bCs w:val="0"/>
        </w:rPr>
      </w:pPr>
      <w:r>
        <w:rPr>
          <w:rFonts w:ascii="宋体" w:hAnsi="宋体" w:cs="宋体" w:eastAsia="宋体" w:hint="default"/>
        </w:rPr>
        <w:t>3.</w:t>
      </w:r>
      <w:r>
        <w:rPr>
          <w:rFonts w:ascii="宋体" w:hAnsi="宋体" w:cs="宋体" w:eastAsia="宋体" w:hint="default"/>
          <w:spacing w:val="56"/>
        </w:rPr>
        <w:t> </w:t>
      </w:r>
      <w:r>
        <w:rPr/>
        <w:t>研发投入</w:t>
      </w:r>
      <w:r>
        <w:rPr>
          <w:b w:val="0"/>
          <w:bCs w:val="0"/>
        </w:rPr>
      </w:r>
    </w:p>
    <w:p>
      <w:pPr>
        <w:pStyle w:val="Heading2"/>
        <w:spacing w:line="240" w:lineRule="auto" w:before="58"/>
        <w:ind w:left="318" w:right="-8"/>
        <w:jc w:val="left"/>
        <w:rPr>
          <w:b w:val="0"/>
          <w:bCs w:val="0"/>
        </w:rPr>
      </w:pPr>
      <w:r>
        <w:rPr>
          <w:w w:val="95"/>
        </w:rPr>
        <w:t>研发投入情况表</w:t>
      </w:r>
      <w:r>
        <w:rPr>
          <w:b w:val="0"/>
          <w:bCs w:val="0"/>
        </w:rPr>
      </w:r>
    </w:p>
    <w:p>
      <w:pPr>
        <w:tabs>
          <w:tab w:pos="1160" w:val="left" w:leader="none"/>
        </w:tabs>
        <w:spacing w:before="61"/>
        <w:ind w:left="318" w:right="-8"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0"/>
        <w:ind w:left="318"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00" w:bottom="280" w:left="1480" w:right="920"/>
          <w:cols w:num="2" w:equalWidth="0">
            <w:col w:w="2005" w:space="5988"/>
            <w:col w:w="1517"/>
          </w:cols>
        </w:sectPr>
      </w:pPr>
    </w:p>
    <w:p>
      <w:pPr>
        <w:spacing w:line="240" w:lineRule="auto" w:before="4"/>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4364"/>
        <w:gridCol w:w="4686"/>
      </w:tblGrid>
      <w:tr>
        <w:trPr>
          <w:trHeight w:val="293" w:hRule="exact"/>
        </w:trPr>
        <w:tc>
          <w:tcPr>
            <w:tcW w:w="4364" w:type="dxa"/>
            <w:tcBorders>
              <w:top w:val="single" w:sz="4" w:space="0" w:color="000000"/>
              <w:left w:val="single" w:sz="4" w:space="0" w:color="000000"/>
              <w:bottom w:val="single" w:sz="4" w:space="0" w:color="000000"/>
              <w:right w:val="single" w:sz="8"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468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6,787,917.24</w:t>
            </w:r>
          </w:p>
        </w:tc>
      </w:tr>
      <w:tr>
        <w:trPr>
          <w:trHeight w:val="293" w:hRule="exact"/>
        </w:trPr>
        <w:tc>
          <w:tcPr>
            <w:tcW w:w="4364" w:type="dxa"/>
            <w:tcBorders>
              <w:top w:val="single" w:sz="4" w:space="0" w:color="000000"/>
              <w:left w:val="single" w:sz="4" w:space="0" w:color="000000"/>
              <w:bottom w:val="single" w:sz="4" w:space="0" w:color="000000"/>
              <w:right w:val="single" w:sz="8"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468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0.00</w:t>
            </w:r>
          </w:p>
        </w:tc>
      </w:tr>
      <w:tr>
        <w:trPr>
          <w:trHeight w:val="293" w:hRule="exact"/>
        </w:trPr>
        <w:tc>
          <w:tcPr>
            <w:tcW w:w="4364" w:type="dxa"/>
            <w:tcBorders>
              <w:top w:val="single" w:sz="4" w:space="0" w:color="000000"/>
              <w:left w:val="single" w:sz="4" w:space="0" w:color="000000"/>
              <w:bottom w:val="single" w:sz="4" w:space="0" w:color="000000"/>
              <w:right w:val="single" w:sz="8"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468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6,787,917.24</w:t>
            </w:r>
          </w:p>
        </w:tc>
      </w:tr>
      <w:tr>
        <w:trPr>
          <w:trHeight w:val="293" w:hRule="exact"/>
        </w:trPr>
        <w:tc>
          <w:tcPr>
            <w:tcW w:w="4364" w:type="dxa"/>
            <w:tcBorders>
              <w:top w:val="single" w:sz="4" w:space="0" w:color="000000"/>
              <w:left w:val="single" w:sz="4" w:space="0" w:color="000000"/>
              <w:bottom w:val="single" w:sz="4" w:space="0" w:color="000000"/>
              <w:right w:val="single" w:sz="8"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468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0.04</w:t>
            </w:r>
          </w:p>
        </w:tc>
      </w:tr>
      <w:tr>
        <w:trPr>
          <w:trHeight w:val="290" w:hRule="exact"/>
        </w:trPr>
        <w:tc>
          <w:tcPr>
            <w:tcW w:w="4364" w:type="dxa"/>
            <w:tcBorders>
              <w:top w:val="single" w:sz="4" w:space="0" w:color="000000"/>
              <w:left w:val="single" w:sz="4" w:space="0" w:color="000000"/>
              <w:bottom w:val="single" w:sz="4" w:space="0" w:color="000000"/>
              <w:right w:val="single" w:sz="8"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468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27</w:t>
            </w:r>
          </w:p>
        </w:tc>
      </w:tr>
      <w:tr>
        <w:trPr>
          <w:trHeight w:val="293" w:hRule="exact"/>
        </w:trPr>
        <w:tc>
          <w:tcPr>
            <w:tcW w:w="4364" w:type="dxa"/>
            <w:tcBorders>
              <w:top w:val="single" w:sz="4" w:space="0" w:color="000000"/>
              <w:left w:val="single" w:sz="4" w:space="0" w:color="000000"/>
              <w:bottom w:val="single" w:sz="4" w:space="0" w:color="000000"/>
              <w:right w:val="single" w:sz="8"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宋体" w:hAnsi="宋体" w:cs="宋体" w:eastAsia="宋体" w:hint="default"/>
                <w:sz w:val="21"/>
                <w:szCs w:val="21"/>
              </w:rPr>
              <w:t>%</w:t>
            </w:r>
            <w:r>
              <w:rPr>
                <w:rFonts w:ascii="宋体" w:hAnsi="宋体" w:cs="宋体" w:eastAsia="宋体" w:hint="default"/>
                <w:sz w:val="21"/>
                <w:szCs w:val="21"/>
              </w:rPr>
              <w:t>）</w:t>
            </w:r>
          </w:p>
        </w:tc>
        <w:tc>
          <w:tcPr>
            <w:tcW w:w="468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1.94</w:t>
            </w:r>
          </w:p>
        </w:tc>
      </w:tr>
      <w:tr>
        <w:trPr>
          <w:trHeight w:val="293" w:hRule="exact"/>
        </w:trPr>
        <w:tc>
          <w:tcPr>
            <w:tcW w:w="4364" w:type="dxa"/>
            <w:tcBorders>
              <w:top w:val="single" w:sz="4" w:space="0" w:color="000000"/>
              <w:left w:val="single" w:sz="4" w:space="0" w:color="000000"/>
              <w:bottom w:val="single" w:sz="4" w:space="0" w:color="000000"/>
              <w:right w:val="single" w:sz="8"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468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0.00</w:t>
            </w:r>
          </w:p>
        </w:tc>
      </w:tr>
    </w:tbl>
    <w:p>
      <w:pPr>
        <w:spacing w:line="240" w:lineRule="auto" w:before="5"/>
        <w:rPr>
          <w:rFonts w:ascii="宋体" w:hAnsi="宋体" w:cs="宋体" w:eastAsia="宋体" w:hint="default"/>
          <w:sz w:val="23"/>
          <w:szCs w:val="23"/>
        </w:rPr>
      </w:pPr>
    </w:p>
    <w:p>
      <w:pPr>
        <w:pStyle w:val="Heading2"/>
        <w:spacing w:line="240" w:lineRule="auto"/>
        <w:ind w:left="318" w:right="349"/>
        <w:jc w:val="left"/>
        <w:rPr>
          <w:b w:val="0"/>
          <w:bCs w:val="0"/>
        </w:rPr>
      </w:pPr>
      <w:r>
        <w:rPr/>
        <w:t>情况说明</w:t>
      </w:r>
      <w:r>
        <w:rPr>
          <w:b w:val="0"/>
          <w:bCs w:val="0"/>
        </w:rPr>
      </w:r>
    </w:p>
    <w:p>
      <w:pPr>
        <w:spacing w:before="64"/>
        <w:ind w:left="318" w:right="34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p>
    <w:p>
      <w:pPr>
        <w:pStyle w:val="BodyText"/>
        <w:spacing w:line="357" w:lineRule="auto" w:before="50"/>
        <w:ind w:left="318" w:right="97" w:firstLine="419"/>
        <w:jc w:val="left"/>
      </w:pPr>
      <w:r>
        <w:rPr/>
        <w:t>公司原子公司新湖期货有限公司符合《国家重点支持的高新技术领域》和国家发 </w:t>
      </w:r>
      <w:r>
        <w:rPr>
          <w:spacing w:val="-7"/>
        </w:rPr>
        <w:t>展改革委员会等部门公布的《当前优先发展的高技术产业化重点领域指南（</w:t>
      </w:r>
      <w:r>
        <w:rPr>
          <w:rFonts w:ascii="宋体" w:hAnsi="宋体" w:cs="宋体" w:eastAsia="宋体" w:hint="default"/>
          <w:spacing w:val="-7"/>
        </w:rPr>
        <w:t>2007</w:t>
      </w:r>
      <w:r>
        <w:rPr>
          <w:rFonts w:ascii="宋体" w:hAnsi="宋体" w:cs="宋体" w:eastAsia="宋体" w:hint="default"/>
          <w:spacing w:val="-30"/>
        </w:rPr>
        <w:t> </w:t>
      </w:r>
      <w:r>
        <w:rPr>
          <w:spacing w:val="-30"/>
        </w:rPr>
        <w:t>年度）》</w:t>
      </w:r>
      <w:r>
        <w:rPr>
          <w:spacing w:val="-117"/>
        </w:rPr>
        <w:t> </w:t>
      </w:r>
      <w:r>
        <w:rPr>
          <w:spacing w:val="-117"/>
        </w:rPr>
      </w:r>
      <w:r>
        <w:rPr/>
        <w:t>规定的研发项目共</w:t>
      </w:r>
      <w:r>
        <w:rPr>
          <w:spacing w:val="-61"/>
        </w:rPr>
        <w:t> </w:t>
      </w:r>
      <w:r>
        <w:rPr>
          <w:rFonts w:ascii="宋体" w:hAnsi="宋体" w:cs="宋体" w:eastAsia="宋体" w:hint="default"/>
        </w:rPr>
        <w:t>2</w:t>
      </w:r>
      <w:r>
        <w:rPr>
          <w:rFonts w:ascii="宋体" w:hAnsi="宋体" w:cs="宋体" w:eastAsia="宋体" w:hint="default"/>
          <w:spacing w:val="-60"/>
        </w:rPr>
        <w:t> </w:t>
      </w:r>
      <w:r>
        <w:rPr/>
        <w:t>项：“新湖投资家”交易决策系统开发项目和新湖新高</w:t>
      </w:r>
      <w:r>
        <w:rPr>
          <w:spacing w:val="-59"/>
        </w:rPr>
        <w:t> </w:t>
      </w:r>
      <w:r>
        <w:rPr>
          <w:rFonts w:ascii="宋体" w:hAnsi="宋体" w:cs="宋体" w:eastAsia="宋体" w:hint="default"/>
        </w:rPr>
        <w:t>A</w:t>
      </w:r>
      <w:r>
        <w:rPr/>
        <w:t>、新高</w:t>
      </w:r>
    </w:p>
    <w:p>
      <w:pPr>
        <w:pStyle w:val="BodyText"/>
        <w:spacing w:line="240" w:lineRule="auto" w:before="36"/>
        <w:ind w:left="318" w:right="349"/>
        <w:jc w:val="left"/>
      </w:pPr>
      <w:r>
        <w:rPr>
          <w:rFonts w:ascii="宋体" w:hAnsi="宋体" w:cs="宋体" w:eastAsia="宋体" w:hint="default"/>
        </w:rPr>
        <w:t>B</w:t>
      </w:r>
      <w:r>
        <w:rPr>
          <w:rFonts w:ascii="宋体" w:hAnsi="宋体" w:cs="宋体" w:eastAsia="宋体" w:hint="default"/>
          <w:spacing w:val="-60"/>
        </w:rPr>
        <w:t> </w:t>
      </w:r>
      <w:r>
        <w:rPr/>
        <w:t>交易系统。当期研发费用计入当期损益未形成无形资产。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00" w:bottom="280" w:left="1480" w:right="920"/>
        </w:sectPr>
      </w:pPr>
    </w:p>
    <w:p>
      <w:pPr>
        <w:pStyle w:val="Heading2"/>
        <w:spacing w:line="240" w:lineRule="auto"/>
        <w:ind w:left="318" w:right="-19"/>
        <w:jc w:val="left"/>
        <w:rPr>
          <w:b w:val="0"/>
          <w:bCs w:val="0"/>
        </w:rPr>
      </w:pPr>
      <w:r>
        <w:rPr>
          <w:rFonts w:ascii="宋体" w:hAnsi="宋体" w:cs="宋体" w:eastAsia="宋体" w:hint="default"/>
        </w:rPr>
        <w:t>4.</w:t>
      </w:r>
      <w:r>
        <w:rPr>
          <w:rFonts w:ascii="宋体" w:hAnsi="宋体" w:cs="宋体" w:eastAsia="宋体" w:hint="default"/>
          <w:spacing w:val="55"/>
        </w:rPr>
        <w:t> </w:t>
      </w:r>
      <w:r>
        <w:rPr/>
        <w:t>现金流</w:t>
      </w:r>
      <w:r>
        <w:rPr>
          <w:b w:val="0"/>
          <w:bCs w:val="0"/>
        </w:rPr>
      </w:r>
    </w:p>
    <w:p>
      <w:pPr>
        <w:pStyle w:val="BodyText"/>
        <w:spacing w:line="240" w:lineRule="auto" w:before="58"/>
        <w:ind w:left="3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tabs>
          <w:tab w:pos="1475" w:val="left" w:leader="none"/>
        </w:tabs>
        <w:spacing w:before="0"/>
        <w:ind w:left="31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1910" w:h="16840"/>
          <w:pgMar w:top="1000" w:bottom="280" w:left="1480" w:right="920"/>
          <w:cols w:num="2" w:equalWidth="0">
            <w:col w:w="2119" w:space="4300"/>
            <w:col w:w="3091"/>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997"/>
        <w:gridCol w:w="2257"/>
        <w:gridCol w:w="2256"/>
        <w:gridCol w:w="1359"/>
        <w:gridCol w:w="1358"/>
      </w:tblGrid>
      <w:tr>
        <w:trPr>
          <w:trHeight w:val="55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9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9"/>
              <w:jc w:val="right"/>
              <w:rPr>
                <w:rFonts w:ascii="宋体" w:hAnsi="宋体" w:cs="宋体" w:eastAsia="宋体" w:hint="default"/>
                <w:sz w:val="21"/>
                <w:szCs w:val="21"/>
              </w:rPr>
            </w:pPr>
            <w:r>
              <w:rPr>
                <w:rFonts w:ascii="宋体" w:hAnsi="宋体" w:cs="宋体" w:eastAsia="宋体" w:hint="default"/>
                <w:spacing w:val="-1"/>
                <w:sz w:val="21"/>
                <w:szCs w:val="21"/>
              </w:rPr>
              <w:t>变动原因</w:t>
            </w:r>
          </w:p>
        </w:tc>
      </w:tr>
      <w:tr>
        <w:trPr>
          <w:trHeight w:val="555"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1,683,174,245.91</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4,628,101,820.72</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z w:val="21"/>
              </w:rPr>
              <w:t>-63.63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本期房地产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投资增加</w:t>
            </w:r>
          </w:p>
        </w:tc>
      </w:tr>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投资活动产生的现</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-6,432,765,189.41</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-2,245,553,993.36</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9"/>
              <w:jc w:val="right"/>
              <w:rPr>
                <w:rFonts w:ascii="宋体" w:hAnsi="宋体" w:cs="宋体" w:eastAsia="宋体" w:hint="default"/>
                <w:sz w:val="21"/>
                <w:szCs w:val="21"/>
              </w:rPr>
            </w:pPr>
            <w:r>
              <w:rPr>
                <w:rFonts w:ascii="宋体" w:hAnsi="宋体" w:cs="宋体" w:eastAsia="宋体" w:hint="default"/>
                <w:spacing w:val="-1"/>
                <w:sz w:val="21"/>
                <w:szCs w:val="21"/>
              </w:rPr>
              <w:t>本期股权投</w:t>
            </w:r>
          </w:p>
        </w:tc>
      </w:tr>
    </w:tbl>
    <w:p>
      <w:pPr>
        <w:spacing w:after="0" w:line="241" w:lineRule="exact"/>
        <w:jc w:val="right"/>
        <w:rPr>
          <w:rFonts w:ascii="宋体" w:hAnsi="宋体" w:cs="宋体" w:eastAsia="宋体" w:hint="default"/>
          <w:sz w:val="21"/>
          <w:szCs w:val="21"/>
        </w:rPr>
        <w:sectPr>
          <w:type w:val="continuous"/>
          <w:pgSz w:w="11910" w:h="16840"/>
          <w:pgMar w:top="1000" w:bottom="280" w:left="14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736" w:type="dxa"/>
        <w:tblLayout w:type="fixed"/>
        <w:tblCellMar>
          <w:top w:w="0" w:type="dxa"/>
          <w:left w:w="0" w:type="dxa"/>
          <w:bottom w:w="0" w:type="dxa"/>
          <w:right w:w="0" w:type="dxa"/>
        </w:tblCellMar>
        <w:tblLook w:val="01E0"/>
      </w:tblPr>
      <w:tblGrid>
        <w:gridCol w:w="1997"/>
        <w:gridCol w:w="2257"/>
        <w:gridCol w:w="2256"/>
        <w:gridCol w:w="1359"/>
        <w:gridCol w:w="1358"/>
      </w:tblGrid>
      <w:tr>
        <w:trPr>
          <w:trHeight w:val="279" w:hRule="exact"/>
        </w:trPr>
        <w:tc>
          <w:tcPr>
            <w:tcW w:w="1997"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2257" w:type="dxa"/>
            <w:tcBorders>
              <w:top w:val="nil" w:sz="6" w:space="0" w:color="auto"/>
              <w:left w:val="single" w:sz="4" w:space="0" w:color="000000"/>
              <w:bottom w:val="single" w:sz="4" w:space="0" w:color="000000"/>
              <w:right w:val="single" w:sz="4" w:space="0" w:color="000000"/>
            </w:tcBorders>
          </w:tcPr>
          <w:p>
            <w:pPr/>
          </w:p>
        </w:tc>
        <w:tc>
          <w:tcPr>
            <w:tcW w:w="2256" w:type="dxa"/>
            <w:tcBorders>
              <w:top w:val="nil" w:sz="6" w:space="0" w:color="auto"/>
              <w:left w:val="single" w:sz="4" w:space="0" w:color="000000"/>
              <w:bottom w:val="single" w:sz="4" w:space="0" w:color="000000"/>
              <w:right w:val="single" w:sz="4" w:space="0" w:color="000000"/>
            </w:tcBorders>
          </w:tcPr>
          <w:p>
            <w:pPr/>
          </w:p>
        </w:tc>
        <w:tc>
          <w:tcPr>
            <w:tcW w:w="1359" w:type="dxa"/>
            <w:tcBorders>
              <w:top w:val="nil" w:sz="6" w:space="0" w:color="auto"/>
              <w:left w:val="single" w:sz="4" w:space="0" w:color="000000"/>
              <w:bottom w:val="single" w:sz="4" w:space="0" w:color="000000"/>
              <w:right w:val="single" w:sz="4" w:space="0" w:color="000000"/>
            </w:tcBorders>
          </w:tcPr>
          <w:p>
            <w:pPr/>
          </w:p>
        </w:tc>
        <w:tc>
          <w:tcPr>
            <w:tcW w:w="135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资增加</w:t>
            </w:r>
          </w:p>
        </w:tc>
      </w:tr>
      <w:tr>
        <w:trPr>
          <w:trHeight w:val="55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3" w:right="0"/>
              <w:jc w:val="left"/>
              <w:rPr>
                <w:rFonts w:ascii="宋体" w:hAnsi="宋体" w:cs="宋体" w:eastAsia="宋体" w:hint="default"/>
                <w:sz w:val="21"/>
                <w:szCs w:val="21"/>
              </w:rPr>
            </w:pPr>
            <w:r>
              <w:rPr>
                <w:rFonts w:ascii="宋体"/>
                <w:sz w:val="21"/>
              </w:rPr>
              <w:t>5,178,194,854.55</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3" w:right="0"/>
              <w:jc w:val="left"/>
              <w:rPr>
                <w:rFonts w:ascii="宋体" w:hAnsi="宋体" w:cs="宋体" w:eastAsia="宋体" w:hint="default"/>
                <w:sz w:val="21"/>
                <w:szCs w:val="21"/>
              </w:rPr>
            </w:pPr>
            <w:r>
              <w:rPr>
                <w:rFonts w:ascii="宋体"/>
                <w:sz w:val="21"/>
              </w:rPr>
              <w:t>1,648,995,388.00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4" w:right="0"/>
              <w:jc w:val="left"/>
              <w:rPr>
                <w:rFonts w:ascii="宋体" w:hAnsi="宋体" w:cs="宋体" w:eastAsia="宋体" w:hint="default"/>
                <w:sz w:val="21"/>
                <w:szCs w:val="21"/>
              </w:rPr>
            </w:pPr>
            <w:r>
              <w:rPr>
                <w:rFonts w:ascii="宋体"/>
                <w:sz w:val="21"/>
              </w:rPr>
              <w:t>214.02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上期回购公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司股票</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2"/>
        <w:tabs>
          <w:tab w:pos="1777" w:val="left" w:leader="none"/>
        </w:tabs>
        <w:spacing w:line="240" w:lineRule="auto"/>
        <w:ind w:left="938" w:right="927"/>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非主营业务导致利润重大变化的说明</w:t>
      </w:r>
      <w:r>
        <w:rPr>
          <w:b w:val="0"/>
          <w:bCs w:val="0"/>
        </w:rPr>
      </w:r>
    </w:p>
    <w:p>
      <w:pPr>
        <w:pStyle w:val="BodyText"/>
        <w:spacing w:line="312" w:lineRule="exact" w:before="86"/>
        <w:ind w:left="1418" w:right="927" w:hanging="480"/>
        <w:jc w:val="left"/>
      </w:pPr>
      <w:r>
        <w:rPr/>
        <w:t>√适用 □不适用 本期投资收益较去年同期大幅增加，主要原因为公司持有的中信银行</w:t>
      </w:r>
      <w:r>
        <w:rPr>
          <w:spacing w:val="-59"/>
        </w:rPr>
        <w:t> </w:t>
      </w:r>
      <w:r>
        <w:rPr>
          <w:rFonts w:ascii="宋体" w:hAnsi="宋体" w:cs="宋体" w:eastAsia="宋体" w:hint="default"/>
        </w:rPr>
        <w:t>4.99%</w:t>
      </w:r>
      <w:r>
        <w:rPr/>
        <w:t>的股</w:t>
      </w:r>
    </w:p>
    <w:p>
      <w:pPr>
        <w:pStyle w:val="BodyText"/>
        <w:spacing w:line="240" w:lineRule="auto" w:before="123"/>
        <w:ind w:left="938" w:right="0"/>
        <w:jc w:val="left"/>
      </w:pPr>
      <w:r>
        <w:rPr>
          <w:spacing w:val="-6"/>
        </w:rPr>
        <w:t>份，从</w:t>
      </w:r>
      <w:r>
        <w:rPr>
          <w:spacing w:val="-67"/>
        </w:rPr>
        <w:t> </w:t>
      </w:r>
      <w:r>
        <w:rPr>
          <w:rFonts w:ascii="宋体" w:hAnsi="宋体" w:cs="宋体" w:eastAsia="宋体" w:hint="default"/>
        </w:rPr>
        <w:t>2016</w:t>
      </w:r>
      <w:r>
        <w:rPr>
          <w:rFonts w:ascii="宋体" w:hAnsi="宋体" w:cs="宋体" w:eastAsia="宋体" w:hint="default"/>
          <w:spacing w:val="-66"/>
        </w:rPr>
        <w:t> </w:t>
      </w:r>
      <w:r>
        <w:rPr/>
        <w:t>年</w:t>
      </w:r>
      <w:r>
        <w:rPr>
          <w:spacing w:val="-66"/>
        </w:rPr>
        <w:t> </w:t>
      </w:r>
      <w:r>
        <w:rPr>
          <w:rFonts w:ascii="宋体" w:hAnsi="宋体" w:cs="宋体" w:eastAsia="宋体" w:hint="default"/>
        </w:rPr>
        <w:t>12</w:t>
      </w:r>
      <w:r>
        <w:rPr>
          <w:rFonts w:ascii="宋体" w:hAnsi="宋体" w:cs="宋体" w:eastAsia="宋体" w:hint="default"/>
          <w:spacing w:val="-66"/>
        </w:rPr>
        <w:t> </w:t>
      </w:r>
      <w:r>
        <w:rPr/>
        <w:t>月</w:t>
      </w:r>
      <w:r>
        <w:rPr>
          <w:spacing w:val="-66"/>
        </w:rPr>
        <w:t> </w:t>
      </w:r>
      <w:r>
        <w:rPr>
          <w:rFonts w:ascii="宋体" w:hAnsi="宋体" w:cs="宋体" w:eastAsia="宋体" w:hint="default"/>
        </w:rPr>
        <w:t>1</w:t>
      </w:r>
      <w:r>
        <w:rPr>
          <w:rFonts w:ascii="宋体" w:hAnsi="宋体" w:cs="宋体" w:eastAsia="宋体" w:hint="default"/>
          <w:spacing w:val="-64"/>
        </w:rPr>
        <w:t> </w:t>
      </w:r>
      <w:r>
        <w:rPr/>
        <w:t>日起，对持有的中信银行股份按照权益法核算。本期对中信银</w:t>
      </w:r>
    </w:p>
    <w:p>
      <w:pPr>
        <w:pStyle w:val="BodyText"/>
        <w:spacing w:line="357" w:lineRule="auto" w:before="154"/>
        <w:ind w:left="938" w:right="988"/>
        <w:jc w:val="left"/>
      </w:pPr>
      <w:r>
        <w:rPr/>
        <w:t>行权益法核算时确认的投资收益为</w:t>
      </w:r>
      <w:r>
        <w:rPr>
          <w:spacing w:val="-60"/>
        </w:rPr>
        <w:t> </w:t>
      </w:r>
      <w:r>
        <w:rPr>
          <w:rFonts w:ascii="宋体" w:hAnsi="宋体" w:cs="宋体" w:eastAsia="宋体" w:hint="default"/>
        </w:rPr>
        <w:t>2,088,936,941.86</w:t>
      </w:r>
      <w:r>
        <w:rPr>
          <w:rFonts w:ascii="宋体" w:hAnsi="宋体" w:cs="宋体" w:eastAsia="宋体" w:hint="default"/>
          <w:spacing w:val="-60"/>
        </w:rPr>
        <w:t> </w:t>
      </w:r>
      <w:r>
        <w:rPr/>
        <w:t>元。近三年，中信银行利润水 平稳定增长，公司未来在持有中信银行股份的期间内，也会获得稳定的投资收益。</w:t>
      </w: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860" w:right="340"/>
        </w:sectPr>
      </w:pPr>
    </w:p>
    <w:p>
      <w:pPr>
        <w:pStyle w:val="Heading2"/>
        <w:tabs>
          <w:tab w:pos="1777" w:val="left" w:leader="none"/>
        </w:tabs>
        <w:spacing w:line="240" w:lineRule="auto"/>
        <w:ind w:left="938" w:right="-19"/>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tabs>
          <w:tab w:pos="1897" w:val="left" w:leader="none"/>
        </w:tabs>
        <w:spacing w:line="283" w:lineRule="auto" w:before="55"/>
        <w:ind w:left="938" w:right="894" w:firstLine="0"/>
        <w:jc w:val="left"/>
        <w:rPr>
          <w:rFonts w:ascii="宋体" w:hAnsi="宋体" w:cs="宋体" w:eastAsia="宋体" w:hint="default"/>
          <w:sz w:val="24"/>
          <w:szCs w:val="24"/>
        </w:rPr>
      </w:pPr>
      <w:r>
        <w:rPr>
          <w:rFonts w:ascii="宋体" w:hAnsi="宋体" w:cs="宋体" w:eastAsia="宋体" w:hint="default"/>
          <w:spacing w:val="-1"/>
          <w:sz w:val="24"/>
          <w:szCs w:val="24"/>
        </w:rPr>
        <w:t>√适用</w:t>
        <w:tab/>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pacing w:val="60"/>
          <w:sz w:val="24"/>
          <w:szCs w:val="24"/>
        </w:rPr>
        <w:t> </w:t>
      </w:r>
      <w:r>
        <w:rPr>
          <w:rFonts w:ascii="宋体" w:hAnsi="宋体" w:cs="宋体" w:eastAsia="宋体" w:hint="default"/>
          <w:b/>
          <w:bCs/>
          <w:sz w:val="24"/>
          <w:szCs w:val="24"/>
        </w:rPr>
        <w:t>资产及负债状况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p>
      <w:pPr>
        <w:spacing w:before="0"/>
        <w:ind w:left="938" w:right="0" w:firstLine="0"/>
        <w:jc w:val="left"/>
        <w:rPr>
          <w:rFonts w:ascii="宋体" w:hAnsi="宋体" w:cs="宋体" w:eastAsia="宋体" w:hint="default"/>
          <w:sz w:val="21"/>
          <w:szCs w:val="21"/>
        </w:rPr>
      </w:pPr>
      <w:r>
        <w:rPr>
          <w:rFonts w:ascii="宋体" w:hAnsi="宋体" w:cs="宋体" w:eastAsia="宋体" w:hint="default"/>
          <w:sz w:val="21"/>
          <w:szCs w:val="21"/>
        </w:rPr>
        <w:t>单位：千元</w:t>
      </w:r>
    </w:p>
    <w:p>
      <w:pPr>
        <w:spacing w:after="0"/>
        <w:jc w:val="left"/>
        <w:rPr>
          <w:rFonts w:ascii="宋体" w:hAnsi="宋体" w:cs="宋体" w:eastAsia="宋体" w:hint="default"/>
          <w:sz w:val="21"/>
          <w:szCs w:val="21"/>
        </w:rPr>
        <w:sectPr>
          <w:type w:val="continuous"/>
          <w:pgSz w:w="11910" w:h="16840"/>
          <w:pgMar w:top="1000" w:bottom="280" w:left="860" w:right="340"/>
          <w:cols w:num="2" w:equalWidth="0">
            <w:col w:w="3947" w:space="3835"/>
            <w:col w:w="292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901"/>
        <w:gridCol w:w="1582"/>
        <w:gridCol w:w="1039"/>
        <w:gridCol w:w="1580"/>
        <w:gridCol w:w="1039"/>
        <w:gridCol w:w="1083"/>
        <w:gridCol w:w="2237"/>
      </w:tblGrid>
      <w:tr>
        <w:trPr>
          <w:trHeight w:val="137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37" w:lineRule="auto" w:before="2"/>
              <w:ind w:left="196" w:right="197"/>
              <w:jc w:val="both"/>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1" w:lineRule="exact"/>
              <w:ind w:left="249"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both"/>
              <w:rPr>
                <w:rFonts w:ascii="宋体" w:hAnsi="宋体" w:cs="宋体" w:eastAsia="宋体" w:hint="default"/>
                <w:sz w:val="21"/>
                <w:szCs w:val="21"/>
              </w:rPr>
            </w:pPr>
            <w:r>
              <w:rPr>
                <w:rFonts w:ascii="宋体" w:hAnsi="宋体" w:cs="宋体" w:eastAsia="宋体" w:hint="default"/>
                <w:sz w:val="21"/>
                <w:szCs w:val="21"/>
              </w:rPr>
              <w:t>上期期</w:t>
            </w:r>
          </w:p>
          <w:p>
            <w:pPr>
              <w:pStyle w:val="TableParagraph"/>
              <w:spacing w:line="237" w:lineRule="auto" w:before="2"/>
              <w:ind w:left="199" w:right="194"/>
              <w:jc w:val="both"/>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1" w:lineRule="exact"/>
              <w:ind w:left="251"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before="2"/>
              <w:ind w:left="115" w:right="113"/>
              <w:jc w:val="both"/>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91"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281"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17,808,436.94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14.30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19,169,431.41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17.18</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-7.10</w:t>
            </w:r>
          </w:p>
        </w:tc>
        <w:tc>
          <w:tcPr>
            <w:tcW w:w="223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其变动计入当期损</w:t>
            </w:r>
            <w:r>
              <w:rPr>
                <w:rFonts w:ascii="宋体" w:hAnsi="宋体" w:cs="宋体" w:eastAsia="宋体" w:hint="default"/>
                <w:w w:val="100"/>
                <w:sz w:val="21"/>
                <w:szCs w:val="21"/>
              </w:rPr>
              <w:t> </w:t>
            </w:r>
            <w:r>
              <w:rPr>
                <w:rFonts w:ascii="宋体" w:hAnsi="宋体" w:cs="宋体" w:eastAsia="宋体" w:hint="default"/>
                <w:sz w:val="21"/>
                <w:szCs w:val="21"/>
              </w:rPr>
              <w:t>益的金融资产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600,235.72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0.48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76,800.60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0.07</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681.55</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主要系本期香港新湖</w:t>
            </w:r>
          </w:p>
          <w:p>
            <w:pPr>
              <w:pStyle w:val="TableParagraph"/>
              <w:spacing w:line="240" w:lineRule="auto"/>
              <w:ind w:left="100" w:right="230"/>
              <w:jc w:val="left"/>
              <w:rPr>
                <w:rFonts w:ascii="宋体" w:hAnsi="宋体" w:cs="宋体" w:eastAsia="宋体" w:hint="default"/>
                <w:sz w:val="21"/>
                <w:szCs w:val="21"/>
              </w:rPr>
            </w:pPr>
            <w:r>
              <w:rPr>
                <w:rFonts w:ascii="宋体" w:hAnsi="宋体" w:cs="宋体" w:eastAsia="宋体" w:hint="default"/>
                <w:sz w:val="21"/>
                <w:szCs w:val="21"/>
              </w:rPr>
              <w:t>投资该类金融资产所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28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1,451,988.63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2,060,946.22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1.85</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-29.55</w:t>
            </w:r>
          </w:p>
        </w:tc>
        <w:tc>
          <w:tcPr>
            <w:tcW w:w="22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31,500.00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0.03</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-100.00</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本期收到温州银行股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利</w:t>
            </w:r>
          </w:p>
        </w:tc>
      </w:tr>
      <w:tr>
        <w:trPr>
          <w:trHeight w:val="554"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690,790.59</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0.55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1,063,185.46</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0.95</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-35.03</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主要系本期收回股权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转让款所致</w:t>
            </w:r>
          </w:p>
        </w:tc>
      </w:tr>
      <w:tr>
        <w:trPr>
          <w:trHeight w:val="284"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59,369,558.92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47.66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51,701,252.24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46.34</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14.83</w:t>
            </w:r>
          </w:p>
        </w:tc>
        <w:tc>
          <w:tcPr>
            <w:tcW w:w="22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29,676.50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0.02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9,500.00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0.01</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212.38</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本期由其他非流动资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产转入</w:t>
            </w:r>
          </w:p>
        </w:tc>
      </w:tr>
      <w:tr>
        <w:trPr>
          <w:trHeight w:val="281"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2,106,465.75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4,035,424.21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3.62</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-47.80</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理财产品到期赎回</w:t>
            </w:r>
          </w:p>
        </w:tc>
      </w:tr>
      <w:tr>
        <w:trPr>
          <w:trHeight w:val="554"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10,544,806.92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8.47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5,294,886.06</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4.75</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99.15</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本期对金融科技投资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w:t>
            </w:r>
          </w:p>
        </w:tc>
      </w:tr>
      <w:tr>
        <w:trPr>
          <w:trHeight w:val="28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27,695,128.31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22.23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24,257,864.60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21.74</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14.17</w:t>
            </w:r>
          </w:p>
        </w:tc>
        <w:tc>
          <w:tcPr>
            <w:tcW w:w="22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1,043,631.59</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0.84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353,373.96</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0.32</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195.33</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本期在建工程完工转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入</w:t>
            </w:r>
          </w:p>
        </w:tc>
      </w:tr>
      <w:tr>
        <w:trPr>
          <w:trHeight w:val="28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470,652.73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0.38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213,531.64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0.19</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120.41</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本期存货转入</w:t>
            </w:r>
          </w:p>
        </w:tc>
      </w:tr>
      <w:tr>
        <w:trPr>
          <w:trHeight w:val="554"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1,400.58</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636,242.82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0.57</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-99.78</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本期在建工程完工转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出</w:t>
            </w:r>
          </w:p>
        </w:tc>
      </w:tr>
      <w:tr>
        <w:trPr>
          <w:trHeight w:val="555"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603,587.86</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0.48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430,935.51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0.39</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40.06</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本期计提递延所得税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r>
    </w:tbl>
    <w:p>
      <w:pPr>
        <w:spacing w:after="0" w:line="274" w:lineRule="exact"/>
        <w:jc w:val="left"/>
        <w:rPr>
          <w:rFonts w:ascii="宋体" w:hAnsi="宋体" w:cs="宋体" w:eastAsia="宋体" w:hint="default"/>
          <w:sz w:val="21"/>
          <w:szCs w:val="21"/>
        </w:rPr>
        <w:sectPr>
          <w:type w:val="continuous"/>
          <w:pgSz w:w="11910" w:h="16840"/>
          <w:pgMar w:top="1000" w:bottom="280" w:left="860" w:right="3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901"/>
        <w:gridCol w:w="1582"/>
        <w:gridCol w:w="1039"/>
        <w:gridCol w:w="1580"/>
        <w:gridCol w:w="1039"/>
        <w:gridCol w:w="1083"/>
        <w:gridCol w:w="2237"/>
      </w:tblGrid>
      <w:tr>
        <w:trPr>
          <w:trHeight w:val="284"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2,734,058.18</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2.19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4,162,600.00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3.73</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-34.32</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短期借款到期偿还</w:t>
            </w:r>
          </w:p>
        </w:tc>
      </w:tr>
      <w:tr>
        <w:trPr>
          <w:trHeight w:val="28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7,280.00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163,870.00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0.15</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-95.56</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应付票据到期承兑</w:t>
            </w:r>
          </w:p>
        </w:tc>
      </w:tr>
      <w:tr>
        <w:trPr>
          <w:trHeight w:val="281"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1,974,178.14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1,577,815.57</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1.41</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25.12</w:t>
            </w:r>
          </w:p>
        </w:tc>
        <w:tc>
          <w:tcPr>
            <w:tcW w:w="22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15,576,663.90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12.50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13,329,502.80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11.95</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16.86</w:t>
            </w:r>
          </w:p>
        </w:tc>
        <w:tc>
          <w:tcPr>
            <w:tcW w:w="22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1,730,062.99</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1,306,563.44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1.17</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32.41</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本期计提所得税费用</w:t>
            </w:r>
          </w:p>
        </w:tc>
      </w:tr>
      <w:tr>
        <w:trPr>
          <w:trHeight w:val="554"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65,487.23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0.05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10,387.23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0.01</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530.46</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本期子公司宣告发放</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股利</w:t>
            </w:r>
          </w:p>
        </w:tc>
      </w:tr>
      <w:tr>
        <w:trPr>
          <w:trHeight w:val="554"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2,037,340.40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1.64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1,551,138.79</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1.39</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31.34</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主要系本期预收股权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转让款</w:t>
            </w:r>
          </w:p>
        </w:tc>
      </w:tr>
      <w:tr>
        <w:trPr>
          <w:trHeight w:val="826"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3"/>
              <w:jc w:val="left"/>
              <w:rPr>
                <w:rFonts w:ascii="宋体" w:hAnsi="宋体" w:cs="宋体" w:eastAsia="宋体" w:hint="default"/>
                <w:sz w:val="21"/>
                <w:szCs w:val="21"/>
              </w:rPr>
            </w:pPr>
            <w:r>
              <w:rPr>
                <w:rFonts w:ascii="宋体" w:hAnsi="宋体" w:cs="宋体" w:eastAsia="宋体" w:hint="default"/>
                <w:sz w:val="21"/>
                <w:szCs w:val="21"/>
              </w:rPr>
              <w:t>一年内到期的非流</w:t>
            </w:r>
            <w:r>
              <w:rPr>
                <w:rFonts w:ascii="宋体" w:hAnsi="宋体" w:cs="宋体" w:eastAsia="宋体" w:hint="default"/>
                <w:w w:val="100"/>
                <w:sz w:val="21"/>
                <w:szCs w:val="21"/>
              </w:rPr>
              <w:t> </w:t>
            </w:r>
            <w:r>
              <w:rPr>
                <w:rFonts w:ascii="宋体" w:hAnsi="宋体" w:cs="宋体" w:eastAsia="宋体" w:hint="default"/>
                <w:sz w:val="21"/>
                <w:szCs w:val="21"/>
              </w:rPr>
              <w:t>动负债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11,258,207.66</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9.04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4,561,484.14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4.09</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146.81</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本期其他非流动负债</w:t>
            </w:r>
          </w:p>
          <w:p>
            <w:pPr>
              <w:pStyle w:val="TableParagraph"/>
              <w:spacing w:line="272" w:lineRule="exact" w:before="27"/>
              <w:ind w:left="100" w:right="230"/>
              <w:jc w:val="left"/>
              <w:rPr>
                <w:rFonts w:ascii="宋体" w:hAnsi="宋体" w:cs="宋体" w:eastAsia="宋体" w:hint="default"/>
                <w:sz w:val="21"/>
                <w:szCs w:val="21"/>
              </w:rPr>
            </w:pPr>
            <w:r>
              <w:rPr>
                <w:rFonts w:ascii="宋体" w:hAnsi="宋体" w:cs="宋体" w:eastAsia="宋体" w:hint="default"/>
                <w:sz w:val="21"/>
                <w:szCs w:val="21"/>
              </w:rPr>
              <w:t>转入一年内到期非流</w:t>
            </w:r>
            <w:r>
              <w:rPr>
                <w:rFonts w:ascii="宋体" w:hAnsi="宋体" w:cs="宋体" w:eastAsia="宋体" w:hint="default"/>
                <w:w w:val="100"/>
                <w:sz w:val="21"/>
                <w:szCs w:val="21"/>
              </w:rPr>
              <w:t> </w:t>
            </w:r>
            <w:r>
              <w:rPr>
                <w:rFonts w:ascii="宋体" w:hAnsi="宋体" w:cs="宋体" w:eastAsia="宋体" w:hint="default"/>
                <w:sz w:val="21"/>
                <w:szCs w:val="21"/>
              </w:rPr>
              <w:t>动负债</w:t>
            </w:r>
          </w:p>
        </w:tc>
      </w:tr>
      <w:tr>
        <w:trPr>
          <w:trHeight w:val="137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1,369,095.41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1.10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6,874,329.57</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6.16</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-80.08</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本期处置新湖期货公</w:t>
            </w:r>
          </w:p>
          <w:p>
            <w:pPr>
              <w:pStyle w:val="TableParagraph"/>
              <w:spacing w:line="237" w:lineRule="auto"/>
              <w:ind w:left="100" w:right="98"/>
              <w:jc w:val="left"/>
              <w:rPr>
                <w:rFonts w:ascii="宋体" w:hAnsi="宋体" w:cs="宋体" w:eastAsia="宋体" w:hint="default"/>
                <w:sz w:val="21"/>
                <w:szCs w:val="21"/>
              </w:rPr>
            </w:pPr>
            <w:r>
              <w:rPr>
                <w:rFonts w:ascii="宋体" w:hAnsi="宋体" w:cs="宋体" w:eastAsia="宋体" w:hint="default"/>
                <w:spacing w:val="-9"/>
                <w:sz w:val="21"/>
                <w:szCs w:val="21"/>
              </w:rPr>
              <w:t>司，其账面的应付期货</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保证金不再纳入合并</w:t>
            </w:r>
            <w:r>
              <w:rPr>
                <w:rFonts w:ascii="宋体" w:hAnsi="宋体" w:cs="宋体" w:eastAsia="宋体" w:hint="default"/>
                <w:w w:val="100"/>
                <w:sz w:val="21"/>
                <w:szCs w:val="21"/>
              </w:rPr>
              <w:t> </w:t>
            </w:r>
            <w:r>
              <w:rPr>
                <w:rFonts w:ascii="宋体" w:hAnsi="宋体" w:cs="宋体" w:eastAsia="宋体" w:hint="default"/>
                <w:spacing w:val="-9"/>
                <w:sz w:val="21"/>
                <w:szCs w:val="21"/>
              </w:rPr>
              <w:t>范围，导致其他非流动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负债大幅减少</w:t>
            </w:r>
          </w:p>
        </w:tc>
      </w:tr>
      <w:tr>
        <w:trPr>
          <w:trHeight w:val="28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30,466,660.30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24.46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29,045,334.59</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26.03</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4.89</w:t>
            </w:r>
          </w:p>
        </w:tc>
        <w:tc>
          <w:tcPr>
            <w:tcW w:w="22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20,993,775.25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16.85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14,909,494.34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13.36</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40.81</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本期发行境外债券</w:t>
            </w:r>
          </w:p>
        </w:tc>
      </w:tr>
      <w:tr>
        <w:trPr>
          <w:trHeight w:val="828"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2,530,620.86</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2.03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3,350,000.00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3.00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-24.46</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本期其他非流动负债</w:t>
            </w:r>
          </w:p>
          <w:p>
            <w:pPr>
              <w:pStyle w:val="TableParagraph"/>
              <w:spacing w:line="272" w:lineRule="exact" w:before="27"/>
              <w:ind w:left="100" w:right="230"/>
              <w:jc w:val="left"/>
              <w:rPr>
                <w:rFonts w:ascii="宋体" w:hAnsi="宋体" w:cs="宋体" w:eastAsia="宋体" w:hint="default"/>
                <w:sz w:val="21"/>
                <w:szCs w:val="21"/>
              </w:rPr>
            </w:pPr>
            <w:r>
              <w:rPr>
                <w:rFonts w:ascii="宋体" w:hAnsi="宋体" w:cs="宋体" w:eastAsia="宋体" w:hint="default"/>
                <w:sz w:val="21"/>
                <w:szCs w:val="21"/>
              </w:rPr>
              <w:t>转入一年内到期非流</w:t>
            </w:r>
            <w:r>
              <w:rPr>
                <w:rFonts w:ascii="宋体" w:hAnsi="宋体" w:cs="宋体" w:eastAsia="宋体" w:hint="default"/>
                <w:w w:val="100"/>
                <w:sz w:val="21"/>
                <w:szCs w:val="21"/>
              </w:rPr>
              <w:t> </w:t>
            </w:r>
            <w:r>
              <w:rPr>
                <w:rFonts w:ascii="宋体" w:hAnsi="宋体" w:cs="宋体" w:eastAsia="宋体" w:hint="default"/>
                <w:sz w:val="21"/>
                <w:szCs w:val="21"/>
              </w:rPr>
              <w:t>动负债</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2"/>
        <w:spacing w:line="240" w:lineRule="auto"/>
        <w:ind w:left="938" w:right="927"/>
        <w:jc w:val="left"/>
        <w:rPr>
          <w:b w:val="0"/>
          <w:bCs w:val="0"/>
        </w:rPr>
      </w:pPr>
      <w:r>
        <w:rPr>
          <w:rFonts w:ascii="宋体" w:hAnsi="宋体" w:cs="宋体" w:eastAsia="宋体" w:hint="default"/>
        </w:rPr>
        <w:t>2.</w:t>
      </w:r>
      <w:r>
        <w:rPr>
          <w:rFonts w:ascii="宋体" w:hAnsi="宋体" w:cs="宋体" w:eastAsia="宋体" w:hint="default"/>
          <w:spacing w:val="61"/>
        </w:rPr>
        <w:t> </w:t>
      </w:r>
      <w:r>
        <w:rPr/>
        <w:t>截至报告期末主要资产受限情况</w:t>
      </w:r>
      <w:r>
        <w:rPr>
          <w:b w:val="0"/>
          <w:bCs w:val="0"/>
        </w:rPr>
      </w:r>
    </w:p>
    <w:p>
      <w:pPr>
        <w:pStyle w:val="BodyText"/>
        <w:tabs>
          <w:tab w:pos="1897" w:val="left" w:leader="none"/>
        </w:tabs>
        <w:spacing w:line="313" w:lineRule="exact" w:before="58"/>
        <w:ind w:left="938" w:right="927"/>
        <w:jc w:val="left"/>
      </w:pPr>
      <w:r>
        <w:rPr>
          <w:spacing w:val="-1"/>
        </w:rPr>
        <w:t>√适用</w:t>
        <w:tab/>
      </w:r>
      <w:r>
        <w:rPr/>
        <w:t>□不适用</w:t>
      </w:r>
    </w:p>
    <w:p>
      <w:pPr>
        <w:pStyle w:val="BodyText"/>
        <w:spacing w:line="355" w:lineRule="auto"/>
        <w:ind w:left="938" w:right="916" w:firstLine="479"/>
        <w:jc w:val="left"/>
      </w:pPr>
      <w:r>
        <w:rPr/>
        <w:t>截至报告期末，公司总资产中受限的金额为</w:t>
      </w:r>
      <w:r>
        <w:rPr>
          <w:spacing w:val="-69"/>
        </w:rPr>
        <w:t> </w:t>
      </w:r>
      <w:r>
        <w:rPr>
          <w:rFonts w:ascii="宋体" w:hAnsi="宋体" w:cs="宋体" w:eastAsia="宋体" w:hint="default"/>
        </w:rPr>
        <w:t>42,799,001,318.65</w:t>
      </w:r>
      <w:r>
        <w:rPr>
          <w:rFonts w:ascii="宋体" w:hAnsi="宋体" w:cs="宋体" w:eastAsia="宋体" w:hint="default"/>
          <w:spacing w:val="-70"/>
        </w:rPr>
        <w:t> </w:t>
      </w:r>
      <w:r>
        <w:rPr>
          <w:spacing w:val="-4"/>
        </w:rPr>
        <w:t>元，资产受限制</w:t>
      </w:r>
      <w:r>
        <w:rPr/>
        <w:t> 的原因主要是抵押、质押和不能随时动用的结构性存款，明细情况如下：</w:t>
      </w:r>
    </w:p>
    <w:p>
      <w:pPr>
        <w:tabs>
          <w:tab w:pos="1157" w:val="left" w:leader="none"/>
        </w:tabs>
        <w:spacing w:before="45"/>
        <w:ind w:left="0" w:right="930"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825" w:type="dxa"/>
        <w:tblLayout w:type="fixed"/>
        <w:tblCellMar>
          <w:top w:w="0" w:type="dxa"/>
          <w:left w:w="0" w:type="dxa"/>
          <w:bottom w:w="0" w:type="dxa"/>
          <w:right w:w="0" w:type="dxa"/>
        </w:tblCellMar>
        <w:tblLook w:val="01E0"/>
      </w:tblPr>
      <w:tblGrid>
        <w:gridCol w:w="2201"/>
        <w:gridCol w:w="2559"/>
        <w:gridCol w:w="4289"/>
      </w:tblGrid>
      <w:tr>
        <w:trPr>
          <w:trHeight w:val="432"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tabs>
                <w:tab w:pos="734" w:val="left" w:leader="none"/>
              </w:tabs>
              <w:spacing w:line="240" w:lineRule="auto" w:before="40"/>
              <w:ind w:left="31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43"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430"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1,588,030,929.59</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430"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宋体" w:hAnsi="宋体" w:cs="宋体" w:eastAsia="宋体" w:hint="default"/>
                <w:sz w:val="21"/>
                <w:szCs w:val="21"/>
              </w:rPr>
            </w:pPr>
            <w:r>
              <w:rPr>
                <w:rFonts w:ascii="宋体"/>
                <w:spacing w:val="-1"/>
                <w:sz w:val="21"/>
              </w:rPr>
              <w:t>111,734,716.48</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21"/>
                <w:szCs w:val="21"/>
              </w:rPr>
            </w:pPr>
            <w:r>
              <w:rPr>
                <w:rFonts w:ascii="宋体" w:hAnsi="宋体" w:cs="宋体" w:eastAsia="宋体" w:hint="default"/>
                <w:sz w:val="21"/>
                <w:szCs w:val="21"/>
              </w:rPr>
              <w:t>质押</w:t>
            </w:r>
          </w:p>
        </w:tc>
      </w:tr>
      <w:tr>
        <w:trPr>
          <w:trHeight w:val="430"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宋体" w:hAnsi="宋体" w:cs="宋体" w:eastAsia="宋体" w:hint="default"/>
                <w:sz w:val="21"/>
                <w:szCs w:val="21"/>
              </w:rPr>
            </w:pPr>
            <w:r>
              <w:rPr>
                <w:rFonts w:ascii="宋体"/>
                <w:spacing w:val="-1"/>
                <w:sz w:val="21"/>
              </w:rPr>
              <w:t>30,040,918,622.09</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21"/>
                <w:szCs w:val="21"/>
              </w:rPr>
            </w:pPr>
            <w:r>
              <w:rPr>
                <w:rFonts w:ascii="宋体" w:hAnsi="宋体" w:cs="宋体" w:eastAsia="宋体" w:hint="default"/>
                <w:sz w:val="21"/>
                <w:szCs w:val="21"/>
              </w:rPr>
              <w:t>抵押</w:t>
            </w:r>
          </w:p>
        </w:tc>
      </w:tr>
      <w:tr>
        <w:trPr>
          <w:trHeight w:val="430"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宋体" w:hAnsi="宋体" w:cs="宋体" w:eastAsia="宋体" w:hint="default"/>
                <w:sz w:val="21"/>
                <w:szCs w:val="21"/>
              </w:rPr>
            </w:pPr>
            <w:r>
              <w:rPr>
                <w:rFonts w:ascii="宋体"/>
                <w:spacing w:val="-1"/>
                <w:sz w:val="21"/>
              </w:rPr>
              <w:t>9,818,063,980.90</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21"/>
                <w:szCs w:val="21"/>
              </w:rPr>
            </w:pPr>
            <w:r>
              <w:rPr>
                <w:rFonts w:ascii="宋体" w:hAnsi="宋体" w:cs="宋体" w:eastAsia="宋体" w:hint="default"/>
                <w:sz w:val="21"/>
                <w:szCs w:val="21"/>
              </w:rPr>
              <w:t>质押</w:t>
            </w:r>
          </w:p>
        </w:tc>
      </w:tr>
      <w:tr>
        <w:trPr>
          <w:trHeight w:val="430"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宋体" w:hAnsi="宋体" w:cs="宋体" w:eastAsia="宋体" w:hint="default"/>
                <w:sz w:val="21"/>
                <w:szCs w:val="21"/>
              </w:rPr>
            </w:pPr>
            <w:r>
              <w:rPr>
                <w:rFonts w:ascii="宋体"/>
                <w:spacing w:val="-1"/>
                <w:sz w:val="21"/>
              </w:rPr>
              <w:t>334,571,231.58</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21"/>
                <w:szCs w:val="21"/>
              </w:rPr>
            </w:pPr>
            <w:r>
              <w:rPr>
                <w:rFonts w:ascii="宋体" w:hAnsi="宋体" w:cs="宋体" w:eastAsia="宋体" w:hint="default"/>
                <w:sz w:val="21"/>
                <w:szCs w:val="21"/>
              </w:rPr>
              <w:t>质押</w:t>
            </w:r>
          </w:p>
        </w:tc>
      </w:tr>
      <w:tr>
        <w:trPr>
          <w:trHeight w:val="432"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宋体" w:hAnsi="宋体" w:cs="宋体" w:eastAsia="宋体" w:hint="default"/>
                <w:sz w:val="21"/>
                <w:szCs w:val="21"/>
              </w:rPr>
            </w:pPr>
            <w:r>
              <w:rPr>
                <w:rFonts w:ascii="宋体"/>
                <w:spacing w:val="-1"/>
                <w:sz w:val="21"/>
              </w:rPr>
              <w:t>652,066,970.24</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21"/>
                <w:szCs w:val="21"/>
              </w:rPr>
            </w:pPr>
            <w:r>
              <w:rPr>
                <w:rFonts w:ascii="宋体" w:hAnsi="宋体" w:cs="宋体" w:eastAsia="宋体" w:hint="default"/>
                <w:sz w:val="21"/>
                <w:szCs w:val="21"/>
              </w:rPr>
              <w:t>抵押</w:t>
            </w:r>
          </w:p>
        </w:tc>
      </w:tr>
      <w:tr>
        <w:trPr>
          <w:trHeight w:val="430"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pacing w:val="-1"/>
                <w:sz w:val="21"/>
              </w:rPr>
              <w:t>253,614,867.77</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21"/>
                <w:szCs w:val="21"/>
              </w:rPr>
            </w:pPr>
            <w:r>
              <w:rPr>
                <w:rFonts w:ascii="宋体" w:hAnsi="宋体" w:cs="宋体" w:eastAsia="宋体" w:hint="default"/>
                <w:sz w:val="21"/>
                <w:szCs w:val="21"/>
              </w:rPr>
              <w:t>抵押</w:t>
            </w:r>
          </w:p>
        </w:tc>
      </w:tr>
      <w:tr>
        <w:trPr>
          <w:trHeight w:val="430"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tabs>
                <w:tab w:pos="734" w:val="left" w:leader="none"/>
              </w:tabs>
              <w:spacing w:line="240" w:lineRule="auto" w:before="40"/>
              <w:ind w:left="31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宋体" w:hAnsi="宋体" w:cs="宋体" w:eastAsia="宋体" w:hint="default"/>
                <w:sz w:val="21"/>
                <w:szCs w:val="21"/>
              </w:rPr>
            </w:pPr>
            <w:r>
              <w:rPr>
                <w:rFonts w:ascii="宋体"/>
                <w:spacing w:val="-1"/>
                <w:sz w:val="21"/>
              </w:rPr>
              <w:t>42,799,001,318.65</w:t>
            </w:r>
          </w:p>
        </w:tc>
        <w:tc>
          <w:tcPr>
            <w:tcW w:w="42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4" w:lineRule="exact"/>
        <w:ind w:left="1418" w:right="927"/>
        <w:jc w:val="left"/>
      </w:pPr>
      <w:r>
        <w:rPr/>
        <w:t>注：期末使用受限制的货币资金为</w:t>
      </w:r>
      <w:r>
        <w:rPr>
          <w:spacing w:val="-60"/>
        </w:rPr>
        <w:t> </w:t>
      </w:r>
      <w:r>
        <w:rPr>
          <w:rFonts w:ascii="宋体" w:hAnsi="宋体" w:cs="宋体" w:eastAsia="宋体" w:hint="default"/>
        </w:rPr>
        <w:t>1,588,030,929.59</w:t>
      </w:r>
      <w:r>
        <w:rPr>
          <w:rFonts w:ascii="宋体" w:hAnsi="宋体" w:cs="宋体" w:eastAsia="宋体" w:hint="default"/>
          <w:spacing w:val="-60"/>
        </w:rPr>
        <w:t> </w:t>
      </w:r>
      <w:r>
        <w:rPr/>
        <w:t>元，其中：银行存款中用</w:t>
      </w:r>
    </w:p>
    <w:p>
      <w:pPr>
        <w:pStyle w:val="BodyText"/>
        <w:spacing w:line="240" w:lineRule="auto" w:before="154"/>
        <w:ind w:left="938" w:right="0"/>
        <w:jc w:val="left"/>
      </w:pPr>
      <w:r>
        <w:rPr/>
        <w:t>于质押的定期存款</w:t>
      </w:r>
      <w:r>
        <w:rPr>
          <w:spacing w:val="-61"/>
        </w:rPr>
        <w:t> </w:t>
      </w:r>
      <w:r>
        <w:rPr>
          <w:rFonts w:ascii="宋体" w:hAnsi="宋体" w:cs="宋体" w:eastAsia="宋体" w:hint="default"/>
        </w:rPr>
        <w:t>61,130,346.93</w:t>
      </w:r>
      <w:r>
        <w:rPr>
          <w:rFonts w:ascii="宋体" w:hAnsi="宋体" w:cs="宋体" w:eastAsia="宋体" w:hint="default"/>
          <w:spacing w:val="-60"/>
        </w:rPr>
        <w:t> </w:t>
      </w:r>
      <w:r>
        <w:rPr/>
        <w:t>元，其他</w:t>
      </w:r>
      <w:r>
        <w:rPr>
          <w:spacing w:val="-60"/>
        </w:rPr>
        <w:t> </w:t>
      </w:r>
      <w:r>
        <w:rPr>
          <w:rFonts w:ascii="宋体" w:hAnsi="宋体" w:cs="宋体" w:eastAsia="宋体" w:hint="default"/>
        </w:rPr>
        <w:t>450,554.39 </w:t>
      </w:r>
      <w:r>
        <w:rPr/>
        <w:t>元，其他货币资金中银行承</w:t>
      </w:r>
    </w:p>
    <w:p>
      <w:pPr>
        <w:pStyle w:val="BodyText"/>
        <w:spacing w:line="240" w:lineRule="auto" w:before="151"/>
        <w:ind w:left="938" w:right="927"/>
        <w:jc w:val="left"/>
      </w:pPr>
      <w:r>
        <w:rPr/>
        <w:t>兑汇票保证金</w:t>
      </w:r>
      <w:r>
        <w:rPr>
          <w:spacing w:val="-61"/>
        </w:rPr>
        <w:t> </w:t>
      </w:r>
      <w:r>
        <w:rPr>
          <w:rFonts w:ascii="宋体" w:hAnsi="宋体" w:cs="宋体" w:eastAsia="宋体" w:hint="default"/>
        </w:rPr>
        <w:t>50,000,000.00</w:t>
      </w:r>
      <w:r>
        <w:rPr>
          <w:rFonts w:ascii="宋体" w:hAnsi="宋体" w:cs="宋体" w:eastAsia="宋体" w:hint="default"/>
          <w:spacing w:val="-60"/>
        </w:rPr>
        <w:t> </w:t>
      </w:r>
      <w:r>
        <w:rPr/>
        <w:t>元、银行贷款保证金</w:t>
      </w:r>
      <w:r>
        <w:rPr>
          <w:spacing w:val="-60"/>
        </w:rPr>
        <w:t> </w:t>
      </w:r>
      <w:r>
        <w:rPr>
          <w:rFonts w:ascii="宋体" w:hAnsi="宋体" w:cs="宋体" w:eastAsia="宋体" w:hint="default"/>
        </w:rPr>
        <w:t>370,981,310.46</w:t>
      </w:r>
      <w:r>
        <w:rPr>
          <w:rFonts w:ascii="宋体" w:hAnsi="宋体" w:cs="宋体" w:eastAsia="宋体" w:hint="default"/>
          <w:spacing w:val="-60"/>
        </w:rPr>
        <w:t> </w:t>
      </w:r>
      <w:r>
        <w:rPr/>
        <w:t>元、按揭担保保</w:t>
      </w:r>
    </w:p>
    <w:p>
      <w:pPr>
        <w:spacing w:after="0" w:line="240" w:lineRule="auto"/>
        <w:jc w:val="left"/>
        <w:sectPr>
          <w:pgSz w:w="11910" w:h="16840"/>
          <w:pgMar w:header="882" w:footer="1195" w:top="1120" w:bottom="1380" w:left="860" w:right="340"/>
        </w:sectPr>
      </w:pPr>
    </w:p>
    <w:p>
      <w:pPr>
        <w:spacing w:line="240" w:lineRule="auto" w:before="5"/>
        <w:rPr>
          <w:rFonts w:ascii="宋体" w:hAnsi="宋体" w:cs="宋体" w:eastAsia="宋体" w:hint="default"/>
          <w:sz w:val="25"/>
          <w:szCs w:val="25"/>
        </w:rPr>
      </w:pPr>
    </w:p>
    <w:p>
      <w:pPr>
        <w:pStyle w:val="BodyText"/>
        <w:spacing w:line="240" w:lineRule="auto" w:before="26"/>
        <w:ind w:left="218" w:right="233"/>
        <w:jc w:val="left"/>
      </w:pPr>
      <w:r>
        <w:rPr/>
        <w:t>证金</w:t>
      </w:r>
      <w:r>
        <w:rPr>
          <w:spacing w:val="-61"/>
        </w:rPr>
        <w:t> </w:t>
      </w:r>
      <w:r>
        <w:rPr>
          <w:rFonts w:ascii="宋体" w:hAnsi="宋体" w:cs="宋体" w:eastAsia="宋体" w:hint="default"/>
        </w:rPr>
        <w:t>116,953,528.37</w:t>
      </w:r>
      <w:r>
        <w:rPr>
          <w:rFonts w:ascii="宋体" w:hAnsi="宋体" w:cs="宋体" w:eastAsia="宋体" w:hint="default"/>
          <w:spacing w:val="-60"/>
        </w:rPr>
        <w:t> </w:t>
      </w:r>
      <w:r>
        <w:rPr/>
        <w:t>元、开工保证金</w:t>
      </w:r>
      <w:r>
        <w:rPr>
          <w:spacing w:val="-60"/>
        </w:rPr>
        <w:t> </w:t>
      </w:r>
      <w:r>
        <w:rPr>
          <w:rFonts w:ascii="宋体" w:hAnsi="宋体" w:cs="宋体" w:eastAsia="宋体" w:hint="default"/>
        </w:rPr>
        <w:t>51,226,401.11</w:t>
      </w:r>
      <w:r>
        <w:rPr>
          <w:rFonts w:ascii="宋体" w:hAnsi="宋体" w:cs="宋体" w:eastAsia="宋体" w:hint="default"/>
          <w:spacing w:val="-60"/>
        </w:rPr>
        <w:t> </w:t>
      </w:r>
      <w:r>
        <w:rPr/>
        <w:t>元、不能随时动用的结构性存</w:t>
      </w:r>
    </w:p>
    <w:p>
      <w:pPr>
        <w:pStyle w:val="BodyText"/>
        <w:tabs>
          <w:tab w:pos="3458" w:val="left" w:leader="none"/>
        </w:tabs>
        <w:spacing w:line="240" w:lineRule="auto" w:before="154"/>
        <w:ind w:left="218" w:right="233"/>
        <w:jc w:val="left"/>
      </w:pPr>
      <w:r>
        <w:rPr/>
        <w:t>款</w:t>
      </w:r>
      <w:r>
        <w:rPr>
          <w:spacing w:val="-61"/>
        </w:rPr>
        <w:t> </w:t>
      </w:r>
      <w:r>
        <w:rPr>
          <w:rFonts w:ascii="宋体" w:hAnsi="宋体" w:cs="宋体" w:eastAsia="宋体" w:hint="default"/>
        </w:rPr>
        <w:t>925,000,000.00</w:t>
      </w:r>
      <w:r>
        <w:rPr>
          <w:rFonts w:ascii="宋体" w:hAnsi="宋体" w:cs="宋体" w:eastAsia="宋体" w:hint="default"/>
          <w:spacing w:val="-60"/>
        </w:rPr>
        <w:t> </w:t>
      </w:r>
      <w:r>
        <w:rPr/>
        <w:t>元，其他</w:t>
        <w:tab/>
      </w:r>
      <w:r>
        <w:rPr>
          <w:rFonts w:ascii="宋体" w:hAnsi="宋体" w:cs="宋体" w:eastAsia="宋体" w:hint="default"/>
        </w:rPr>
        <w:t>12,288,788.33</w:t>
      </w:r>
      <w:r>
        <w:rPr>
          <w:rFonts w:ascii="宋体" w:hAnsi="宋体" w:cs="宋体" w:eastAsia="宋体" w:hint="default"/>
          <w:spacing w:val="-60"/>
        </w:rPr>
        <w:t> </w:t>
      </w:r>
      <w:r>
        <w:rPr/>
        <w:t>元。</w:t>
      </w:r>
    </w:p>
    <w:p>
      <w:pPr>
        <w:spacing w:line="240" w:lineRule="auto" w:before="0"/>
        <w:rPr>
          <w:rFonts w:ascii="宋体" w:hAnsi="宋体" w:cs="宋体" w:eastAsia="宋体" w:hint="default"/>
          <w:sz w:val="24"/>
          <w:szCs w:val="24"/>
        </w:rPr>
      </w:pPr>
    </w:p>
    <w:p>
      <w:pPr>
        <w:pStyle w:val="Heading2"/>
        <w:spacing w:line="240" w:lineRule="auto" w:before="209"/>
        <w:ind w:right="233"/>
        <w:jc w:val="left"/>
        <w:rPr>
          <w:b w:val="0"/>
          <w:bCs w:val="0"/>
        </w:rPr>
      </w:pPr>
      <w:r>
        <w:rPr>
          <w:rFonts w:ascii="宋体" w:hAnsi="宋体" w:cs="宋体" w:eastAsia="宋体" w:hint="default"/>
        </w:rPr>
        <w:t>3.</w:t>
      </w:r>
      <w:r>
        <w:rPr>
          <w:rFonts w:ascii="宋体" w:hAnsi="宋体" w:cs="宋体" w:eastAsia="宋体" w:hint="default"/>
          <w:spacing w:val="61"/>
        </w:rPr>
        <w:t> </w:t>
      </w:r>
      <w:r>
        <w:rPr/>
        <w:t>其他说明</w:t>
      </w:r>
      <w:r>
        <w:rPr>
          <w:b w:val="0"/>
          <w:bCs w:val="0"/>
        </w:rPr>
      </w:r>
    </w:p>
    <w:p>
      <w:pPr>
        <w:pStyle w:val="BodyText"/>
        <w:tabs>
          <w:tab w:pos="1177" w:val="left" w:leader="none"/>
        </w:tabs>
        <w:spacing w:line="240" w:lineRule="auto" w:before="58"/>
        <w:ind w:left="218" w:right="233"/>
        <w:jc w:val="left"/>
      </w:pPr>
      <w:r>
        <w:rPr>
          <w:spacing w:val="-1"/>
        </w:rPr>
        <w:t>□适用</w:t>
        <w:tab/>
      </w:r>
      <w:r>
        <w:rPr/>
        <w:t>√不适用</w:t>
      </w:r>
    </w:p>
    <w:p>
      <w:pPr>
        <w:spacing w:line="240" w:lineRule="auto" w:before="1"/>
        <w:rPr>
          <w:rFonts w:ascii="宋体" w:hAnsi="宋体" w:cs="宋体" w:eastAsia="宋体" w:hint="default"/>
          <w:sz w:val="28"/>
          <w:szCs w:val="28"/>
        </w:rPr>
      </w:pPr>
    </w:p>
    <w:p>
      <w:pPr>
        <w:pStyle w:val="Heading2"/>
        <w:tabs>
          <w:tab w:pos="1057" w:val="left" w:leader="none"/>
        </w:tabs>
        <w:spacing w:line="240" w:lineRule="auto" w:before="0"/>
        <w:ind w:right="233"/>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tabs>
          <w:tab w:pos="1297" w:val="left" w:leader="none"/>
        </w:tabs>
        <w:spacing w:line="283" w:lineRule="auto" w:before="58"/>
        <w:ind w:left="218" w:right="5992" w:firstLine="0"/>
        <w:jc w:val="left"/>
        <w:rPr>
          <w:rFonts w:ascii="宋体" w:hAnsi="宋体" w:cs="宋体" w:eastAsia="宋体" w:hint="default"/>
          <w:sz w:val="24"/>
          <w:szCs w:val="24"/>
        </w:rPr>
      </w:pPr>
      <w:r>
        <w:rPr>
          <w:rFonts w:ascii="宋体" w:hAnsi="宋体" w:cs="宋体" w:eastAsia="宋体" w:hint="default"/>
          <w:sz w:val="24"/>
          <w:szCs w:val="24"/>
        </w:rPr>
        <w:t>√适用</w:t>
        <w:tab/>
        <w:t>□不适用 </w:t>
      </w:r>
      <w:r>
        <w:rPr>
          <w:rFonts w:ascii="宋体" w:hAnsi="宋体" w:cs="宋体" w:eastAsia="宋体" w:hint="default"/>
          <w:b/>
          <w:bCs/>
          <w:sz w:val="24"/>
          <w:szCs w:val="24"/>
        </w:rPr>
        <w:t>房地产行业经营性信息分析</w:t>
      </w:r>
      <w:r>
        <w:rPr>
          <w:rFonts w:ascii="宋体" w:hAnsi="宋体" w:cs="宋体" w:eastAsia="宋体" w:hint="default"/>
          <w:b/>
          <w:bCs/>
          <w:w w:val="99"/>
          <w:sz w:val="24"/>
          <w:szCs w:val="24"/>
        </w:rPr>
        <w:t> </w:t>
      </w:r>
      <w:r>
        <w:rPr>
          <w:rFonts w:ascii="宋体" w:hAnsi="宋体" w:cs="宋体" w:eastAsia="宋体" w:hint="default"/>
          <w:b/>
          <w:bCs/>
          <w:sz w:val="24"/>
          <w:szCs w:val="24"/>
        </w:rPr>
        <w:t>1.</w:t>
      </w:r>
      <w:r>
        <w:rPr>
          <w:rFonts w:ascii="宋体" w:hAnsi="宋体" w:cs="宋体" w:eastAsia="宋体" w:hint="default"/>
          <w:b/>
          <w:bCs/>
          <w:spacing w:val="58"/>
          <w:sz w:val="24"/>
          <w:szCs w:val="24"/>
        </w:rPr>
        <w:t> </w:t>
      </w:r>
      <w:r>
        <w:rPr>
          <w:rFonts w:ascii="宋体" w:hAnsi="宋体" w:cs="宋体" w:eastAsia="宋体" w:hint="default"/>
          <w:b/>
          <w:bCs/>
          <w:sz w:val="24"/>
          <w:szCs w:val="24"/>
        </w:rPr>
        <w:t>报告期内房地产储备情况</w:t>
      </w:r>
      <w:r>
        <w:rPr>
          <w:rFonts w:ascii="宋体" w:hAnsi="宋体" w:cs="宋体" w:eastAsia="宋体" w:hint="default"/>
          <w:sz w:val="24"/>
          <w:szCs w:val="24"/>
        </w:rPr>
      </w:r>
    </w:p>
    <w:p>
      <w:pPr>
        <w:pStyle w:val="BodyText"/>
        <w:tabs>
          <w:tab w:pos="1177" w:val="left" w:leader="none"/>
        </w:tabs>
        <w:spacing w:line="240" w:lineRule="auto" w:before="14"/>
        <w:ind w:left="218" w:right="233"/>
        <w:jc w:val="left"/>
      </w:pPr>
      <w:r>
        <w:rPr>
          <w:spacing w:val="-1"/>
        </w:rPr>
        <w:t>√适用</w:t>
        <w:tab/>
      </w:r>
      <w:r>
        <w:rPr/>
        <w:t>□不适用</w:t>
      </w:r>
    </w:p>
    <w:p>
      <w:pPr>
        <w:spacing w:line="240" w:lineRule="auto" w:before="8"/>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511"/>
        <w:gridCol w:w="1346"/>
        <w:gridCol w:w="1162"/>
        <w:gridCol w:w="1159"/>
        <w:gridCol w:w="1212"/>
        <w:gridCol w:w="1394"/>
        <w:gridCol w:w="1215"/>
        <w:gridCol w:w="1049"/>
      </w:tblGrid>
      <w:tr>
        <w:trPr>
          <w:trHeight w:val="1217" w:hRule="exact"/>
        </w:trPr>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5"/>
                <w:szCs w:val="25"/>
              </w:rPr>
            </w:pPr>
          </w:p>
          <w:p>
            <w:pPr>
              <w:pStyle w:val="TableParagraph"/>
              <w:spacing w:line="272" w:lineRule="exact"/>
              <w:ind w:left="144" w:right="144"/>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5"/>
                <w:szCs w:val="25"/>
              </w:rPr>
            </w:pPr>
          </w:p>
          <w:p>
            <w:pPr>
              <w:pStyle w:val="TableParagraph"/>
              <w:spacing w:line="272" w:lineRule="exact"/>
              <w:ind w:left="139" w:right="141"/>
              <w:jc w:val="left"/>
              <w:rPr>
                <w:rFonts w:ascii="宋体" w:hAnsi="宋体" w:cs="宋体" w:eastAsia="宋体" w:hint="default"/>
                <w:sz w:val="21"/>
                <w:szCs w:val="21"/>
              </w:rPr>
            </w:pPr>
            <w:r>
              <w:rPr>
                <w:rFonts w:ascii="宋体" w:hAnsi="宋体" w:cs="宋体" w:eastAsia="宋体" w:hint="default"/>
                <w:sz w:val="21"/>
                <w:szCs w:val="21"/>
              </w:rPr>
              <w:t>持有待开发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土地的区域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8"/>
              <w:ind w:left="100" w:right="101" w:hanging="1"/>
              <w:jc w:val="center"/>
              <w:rPr>
                <w:rFonts w:ascii="宋体" w:hAnsi="宋体" w:cs="宋体" w:eastAsia="宋体" w:hint="default"/>
                <w:sz w:val="21"/>
                <w:szCs w:val="21"/>
              </w:rPr>
            </w:pPr>
            <w:r>
              <w:rPr>
                <w:rFonts w:ascii="宋体" w:hAnsi="宋体" w:cs="宋体" w:eastAsia="宋体" w:hint="default"/>
                <w:sz w:val="21"/>
                <w:szCs w:val="21"/>
              </w:rPr>
              <w:t>持有待开</w:t>
            </w:r>
            <w:r>
              <w:rPr>
                <w:rFonts w:ascii="宋体" w:hAnsi="宋体" w:cs="宋体" w:eastAsia="宋体" w:hint="default"/>
                <w:w w:val="100"/>
                <w:sz w:val="21"/>
                <w:szCs w:val="21"/>
              </w:rPr>
              <w:t> </w:t>
            </w:r>
            <w:r>
              <w:rPr>
                <w:rFonts w:ascii="宋体" w:hAnsi="宋体" w:cs="宋体" w:eastAsia="宋体" w:hint="default"/>
                <w:sz w:val="21"/>
                <w:szCs w:val="21"/>
              </w:rPr>
              <w:t>发土地的</w:t>
            </w:r>
            <w:r>
              <w:rPr>
                <w:rFonts w:ascii="宋体" w:hAnsi="宋体" w:cs="宋体" w:eastAsia="宋体" w:hint="default"/>
                <w:w w:val="100"/>
                <w:sz w:val="21"/>
                <w:szCs w:val="21"/>
              </w:rPr>
              <w:t> </w:t>
            </w:r>
            <w:r>
              <w:rPr>
                <w:rFonts w:ascii="宋体" w:hAnsi="宋体" w:cs="宋体" w:eastAsia="宋体" w:hint="default"/>
                <w:sz w:val="21"/>
                <w:szCs w:val="21"/>
              </w:rPr>
              <w:t>面积</w:t>
            </w:r>
            <w:r>
              <w:rPr>
                <w:rFonts w:ascii="宋体" w:hAnsi="宋体" w:cs="宋体" w:eastAsia="宋体" w:hint="default"/>
                <w:sz w:val="21"/>
                <w:szCs w:val="21"/>
              </w:rPr>
              <w:t>(</w:t>
            </w:r>
            <w:r>
              <w:rPr>
                <w:rFonts w:ascii="宋体" w:hAnsi="宋体" w:cs="宋体" w:eastAsia="宋体" w:hint="default"/>
                <w:sz w:val="21"/>
                <w:szCs w:val="21"/>
              </w:rPr>
              <w:t>平方</w:t>
            </w:r>
            <w:r>
              <w:rPr>
                <w:rFonts w:ascii="宋体" w:hAnsi="宋体" w:cs="宋体" w:eastAsia="宋体" w:hint="default"/>
                <w:w w:val="100"/>
                <w:sz w:val="21"/>
                <w:szCs w:val="21"/>
              </w:rPr>
              <w:t> </w:t>
            </w:r>
            <w:r>
              <w:rPr>
                <w:rFonts w:ascii="宋体" w:hAnsi="宋体" w:cs="宋体" w:eastAsia="宋体" w:hint="default"/>
                <w:sz w:val="21"/>
                <w:szCs w:val="21"/>
              </w:rPr>
              <w:t>米</w:t>
            </w:r>
            <w:r>
              <w:rPr>
                <w:rFonts w:ascii="宋体" w:hAnsi="宋体" w:cs="宋体" w:eastAsia="宋体" w:hint="default"/>
                <w:sz w:val="21"/>
                <w:szCs w:val="21"/>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5"/>
              <w:ind w:left="153" w:right="151"/>
              <w:jc w:val="both"/>
              <w:rPr>
                <w:rFonts w:ascii="宋体" w:hAnsi="宋体" w:cs="宋体" w:eastAsia="宋体" w:hint="default"/>
                <w:sz w:val="21"/>
                <w:szCs w:val="21"/>
              </w:rPr>
            </w:pPr>
            <w:r>
              <w:rPr>
                <w:rFonts w:ascii="宋体" w:hAnsi="宋体" w:cs="宋体" w:eastAsia="宋体" w:hint="default"/>
                <w:sz w:val="21"/>
                <w:szCs w:val="21"/>
              </w:rPr>
              <w:t>一级土地</w:t>
            </w:r>
            <w:r>
              <w:rPr>
                <w:rFonts w:ascii="宋体" w:hAnsi="宋体" w:cs="宋体" w:eastAsia="宋体" w:hint="default"/>
                <w:w w:val="100"/>
                <w:sz w:val="21"/>
                <w:szCs w:val="21"/>
              </w:rPr>
              <w:t> </w:t>
            </w:r>
            <w:r>
              <w:rPr>
                <w:rFonts w:ascii="宋体" w:hAnsi="宋体" w:cs="宋体" w:eastAsia="宋体" w:hint="default"/>
                <w:sz w:val="21"/>
                <w:szCs w:val="21"/>
              </w:rPr>
              <w:t>整理面积</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平方米</w:t>
            </w:r>
            <w:r>
              <w:rPr>
                <w:rFonts w:ascii="宋体" w:hAnsi="宋体" w:cs="宋体" w:eastAsia="宋体" w:hint="default"/>
                <w:sz w:val="21"/>
                <w:szCs w:val="21"/>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5"/>
              <w:ind w:left="180" w:right="179"/>
              <w:jc w:val="both"/>
              <w:rPr>
                <w:rFonts w:ascii="宋体" w:hAnsi="宋体" w:cs="宋体" w:eastAsia="宋体" w:hint="default"/>
                <w:sz w:val="21"/>
                <w:szCs w:val="21"/>
              </w:rPr>
            </w:pPr>
            <w:r>
              <w:rPr>
                <w:rFonts w:ascii="宋体" w:hAnsi="宋体" w:cs="宋体" w:eastAsia="宋体" w:hint="default"/>
                <w:sz w:val="21"/>
                <w:szCs w:val="21"/>
              </w:rPr>
              <w:t>规划计容</w:t>
            </w:r>
            <w:r>
              <w:rPr>
                <w:rFonts w:ascii="宋体" w:hAnsi="宋体" w:cs="宋体" w:eastAsia="宋体" w:hint="default"/>
                <w:w w:val="100"/>
                <w:sz w:val="21"/>
                <w:szCs w:val="21"/>
              </w:rPr>
              <w:t> </w:t>
            </w:r>
            <w:r>
              <w:rPr>
                <w:rFonts w:ascii="宋体" w:hAnsi="宋体" w:cs="宋体" w:eastAsia="宋体" w:hint="default"/>
                <w:sz w:val="21"/>
                <w:szCs w:val="21"/>
              </w:rPr>
              <w:t>建筑面积</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平方米</w:t>
            </w:r>
            <w:r>
              <w:rPr>
                <w:rFonts w:ascii="宋体" w:hAnsi="宋体" w:cs="宋体" w:eastAsia="宋体" w:hint="default"/>
                <w:sz w:val="21"/>
                <w:szCs w:val="21"/>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5"/>
                <w:szCs w:val="25"/>
              </w:rPr>
            </w:pPr>
          </w:p>
          <w:p>
            <w:pPr>
              <w:pStyle w:val="TableParagraph"/>
              <w:spacing w:line="272" w:lineRule="exact"/>
              <w:ind w:left="165" w:right="113" w:hanging="53"/>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w:t>
            </w:r>
            <w:r>
              <w:rPr>
                <w:rFonts w:ascii="宋体" w:hAnsi="宋体" w:cs="宋体" w:eastAsia="宋体" w:hint="default"/>
                <w:sz w:val="21"/>
                <w:szCs w:val="21"/>
              </w:rPr>
              <w:t>否涉及合</w:t>
            </w:r>
            <w:r>
              <w:rPr>
                <w:rFonts w:ascii="宋体" w:hAnsi="宋体" w:cs="宋体" w:eastAsia="宋体" w:hint="default"/>
                <w:w w:val="100"/>
                <w:sz w:val="21"/>
                <w:szCs w:val="21"/>
              </w:rPr>
              <w:t> </w:t>
            </w:r>
            <w:r>
              <w:rPr>
                <w:rFonts w:ascii="宋体" w:hAnsi="宋体" w:cs="宋体" w:eastAsia="宋体" w:hint="default"/>
                <w:sz w:val="21"/>
                <w:szCs w:val="21"/>
              </w:rPr>
              <w:t>作开发项目</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8"/>
              <w:ind w:left="127" w:right="127" w:hanging="1"/>
              <w:jc w:val="center"/>
              <w:rPr>
                <w:rFonts w:ascii="宋体" w:hAnsi="宋体" w:cs="宋体" w:eastAsia="宋体" w:hint="default"/>
                <w:sz w:val="21"/>
                <w:szCs w:val="21"/>
              </w:rPr>
            </w:pPr>
            <w:r>
              <w:rPr>
                <w:rFonts w:ascii="宋体" w:hAnsi="宋体" w:cs="宋体" w:eastAsia="宋体" w:hint="default"/>
                <w:sz w:val="21"/>
                <w:szCs w:val="21"/>
              </w:rPr>
              <w:t>合作开发</w:t>
            </w:r>
            <w:r>
              <w:rPr>
                <w:rFonts w:ascii="宋体" w:hAnsi="宋体" w:cs="宋体" w:eastAsia="宋体" w:hint="default"/>
                <w:w w:val="100"/>
                <w:sz w:val="21"/>
                <w:szCs w:val="21"/>
              </w:rPr>
              <w:t> </w:t>
            </w:r>
            <w:r>
              <w:rPr>
                <w:rFonts w:ascii="宋体" w:hAnsi="宋体" w:cs="宋体" w:eastAsia="宋体" w:hint="default"/>
                <w:sz w:val="21"/>
                <w:szCs w:val="21"/>
              </w:rPr>
              <w:t>项目涉及</w:t>
            </w:r>
            <w:r>
              <w:rPr>
                <w:rFonts w:ascii="宋体" w:hAnsi="宋体" w:cs="宋体" w:eastAsia="宋体" w:hint="default"/>
                <w:w w:val="100"/>
                <w:sz w:val="21"/>
                <w:szCs w:val="21"/>
              </w:rPr>
              <w:t> </w:t>
            </w:r>
            <w:r>
              <w:rPr>
                <w:rFonts w:ascii="宋体" w:hAnsi="宋体" w:cs="宋体" w:eastAsia="宋体" w:hint="default"/>
                <w:sz w:val="21"/>
                <w:szCs w:val="21"/>
              </w:rPr>
              <w:t>的面积</w:t>
            </w:r>
            <w:r>
              <w:rPr>
                <w:rFonts w:ascii="宋体" w:hAnsi="宋体" w:cs="宋体" w:eastAsia="宋体" w:hint="default"/>
                <w:sz w:val="21"/>
                <w:szCs w:val="21"/>
              </w:rPr>
              <w:t>(</w:t>
            </w:r>
            <w:r>
              <w:rPr>
                <w:rFonts w:ascii="宋体" w:hAnsi="宋体" w:cs="宋体" w:eastAsia="宋体" w:hint="default"/>
                <w:sz w:val="21"/>
                <w:szCs w:val="21"/>
              </w:rPr>
              <w:t>平</w:t>
            </w:r>
            <w:r>
              <w:rPr>
                <w:rFonts w:ascii="宋体" w:hAnsi="宋体" w:cs="宋体" w:eastAsia="宋体" w:hint="default"/>
                <w:w w:val="100"/>
                <w:sz w:val="21"/>
                <w:szCs w:val="21"/>
              </w:rPr>
              <w:t> </w:t>
            </w:r>
            <w:r>
              <w:rPr>
                <w:rFonts w:ascii="宋体" w:hAnsi="宋体" w:cs="宋体" w:eastAsia="宋体" w:hint="default"/>
                <w:sz w:val="21"/>
                <w:szCs w:val="21"/>
              </w:rPr>
              <w:t>方米</w:t>
            </w:r>
            <w:r>
              <w:rPr>
                <w:rFonts w:ascii="宋体" w:hAnsi="宋体" w:cs="宋体" w:eastAsia="宋体" w:hint="default"/>
                <w:sz w:val="21"/>
                <w:szCs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8"/>
              <w:ind w:left="151" w:right="149" w:firstLine="50"/>
              <w:jc w:val="both"/>
              <w:rPr>
                <w:rFonts w:ascii="宋体" w:hAnsi="宋体" w:cs="宋体" w:eastAsia="宋体" w:hint="default"/>
                <w:sz w:val="21"/>
                <w:szCs w:val="21"/>
              </w:rPr>
            </w:pPr>
            <w:r>
              <w:rPr>
                <w:rFonts w:ascii="宋体" w:hAnsi="宋体" w:cs="宋体" w:eastAsia="宋体" w:hint="default"/>
                <w:sz w:val="21"/>
                <w:szCs w:val="21"/>
              </w:rPr>
              <w:t>合作开</w:t>
            </w:r>
            <w:r>
              <w:rPr>
                <w:rFonts w:ascii="宋体" w:hAnsi="宋体" w:cs="宋体" w:eastAsia="宋体" w:hint="default"/>
                <w:w w:val="100"/>
                <w:sz w:val="21"/>
                <w:szCs w:val="21"/>
              </w:rPr>
              <w:t> </w:t>
            </w:r>
            <w:r>
              <w:rPr>
                <w:rFonts w:ascii="宋体" w:hAnsi="宋体" w:cs="宋体" w:eastAsia="宋体" w:hint="default"/>
                <w:sz w:val="21"/>
                <w:szCs w:val="21"/>
              </w:rPr>
              <w:t>发项目</w:t>
            </w:r>
            <w:r>
              <w:rPr>
                <w:rFonts w:ascii="宋体" w:hAnsi="宋体" w:cs="宋体" w:eastAsia="宋体" w:hint="default"/>
                <w:spacing w:val="-102"/>
                <w:sz w:val="21"/>
                <w:szCs w:val="21"/>
              </w:rPr>
              <w:t> </w:t>
            </w:r>
            <w:r>
              <w:rPr>
                <w:rFonts w:ascii="宋体" w:hAnsi="宋体" w:cs="宋体" w:eastAsia="宋体" w:hint="default"/>
                <w:sz w:val="21"/>
                <w:szCs w:val="21"/>
              </w:rPr>
              <w:t>的权益</w:t>
            </w:r>
            <w:r>
              <w:rPr>
                <w:rFonts w:ascii="宋体" w:hAnsi="宋体" w:cs="宋体" w:eastAsia="宋体" w:hint="default"/>
                <w:spacing w:val="-102"/>
                <w:sz w:val="21"/>
                <w:szCs w:val="21"/>
              </w:rPr>
              <w:t> </w:t>
            </w:r>
            <w:r>
              <w:rPr>
                <w:rFonts w:ascii="宋体" w:hAnsi="宋体" w:cs="宋体" w:eastAsia="宋体" w:hint="default"/>
                <w:sz w:val="21"/>
                <w:szCs w:val="21"/>
              </w:rPr>
              <w:t>占比</w:t>
            </w:r>
            <w:r>
              <w:rPr>
                <w:rFonts w:ascii="宋体" w:hAnsi="宋体" w:cs="宋体" w:eastAsia="宋体" w:hint="default"/>
                <w:sz w:val="21"/>
                <w:szCs w:val="21"/>
              </w:rPr>
              <w:t>(%)</w:t>
            </w:r>
          </w:p>
        </w:tc>
      </w:tr>
      <w:tr>
        <w:trPr>
          <w:trHeight w:val="408" w:hRule="exact"/>
        </w:trPr>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132,788</w:t>
            </w:r>
          </w:p>
        </w:tc>
        <w:tc>
          <w:tcPr>
            <w:tcW w:w="115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363,038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1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1,638,687</w:t>
            </w:r>
          </w:p>
        </w:tc>
        <w:tc>
          <w:tcPr>
            <w:tcW w:w="115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3,657,563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1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4,570,000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4,570,000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80%</w:t>
            </w:r>
          </w:p>
        </w:tc>
      </w:tr>
      <w:tr>
        <w:trPr>
          <w:trHeight w:val="408" w:hRule="exact"/>
        </w:trPr>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989,902</w:t>
            </w:r>
          </w:p>
        </w:tc>
        <w:tc>
          <w:tcPr>
            <w:tcW w:w="115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1,918,667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1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1,378,814</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1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160,640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77,107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77,107</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50.50%</w:t>
            </w:r>
          </w:p>
        </w:tc>
      </w:tr>
    </w:tbl>
    <w:p>
      <w:pPr>
        <w:spacing w:after="0" w:line="243"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23"/>
          <w:footerReference w:type="default" r:id="rId24"/>
          <w:pgSz w:w="16840" w:h="11910" w:orient="landscape"/>
          <w:pgMar w:header="882" w:footer="1195" w:top="1120" w:bottom="1380" w:left="1200" w:right="1280"/>
          <w:pgNumType w:start="25"/>
        </w:sectPr>
      </w:pPr>
    </w:p>
    <w:p>
      <w:pPr>
        <w:pStyle w:val="Heading2"/>
        <w:spacing w:line="240" w:lineRule="auto"/>
        <w:ind w:left="240" w:right="-18"/>
        <w:jc w:val="left"/>
        <w:rPr>
          <w:b w:val="0"/>
          <w:bCs w:val="0"/>
        </w:rPr>
      </w:pPr>
      <w:r>
        <w:rPr>
          <w:rFonts w:ascii="宋体" w:hAnsi="宋体" w:cs="宋体" w:eastAsia="宋体" w:hint="default"/>
        </w:rPr>
        <w:t>2.</w:t>
      </w:r>
      <w:r>
        <w:rPr>
          <w:rFonts w:ascii="宋体" w:hAnsi="宋体" w:cs="宋体" w:eastAsia="宋体" w:hint="default"/>
          <w:spacing w:val="59"/>
        </w:rPr>
        <w:t> </w:t>
      </w:r>
      <w:r>
        <w:rPr/>
        <w:t>报告期内房地产开发投资情况</w:t>
      </w:r>
      <w:r>
        <w:rPr>
          <w:b w:val="0"/>
          <w:bCs w:val="0"/>
        </w:rPr>
      </w:r>
    </w:p>
    <w:p>
      <w:pPr>
        <w:pStyle w:val="BodyText"/>
        <w:tabs>
          <w:tab w:pos="1200" w:val="left" w:leader="none"/>
        </w:tabs>
        <w:spacing w:line="240" w:lineRule="auto" w:before="58"/>
        <w:ind w:left="240"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tabs>
          <w:tab w:pos="1502" w:val="left" w:leader="none"/>
        </w:tabs>
        <w:spacing w:before="0"/>
        <w:ind w:left="240"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单位：千元</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6840" w:h="11910" w:orient="landscape"/>
          <w:pgMar w:top="1000" w:bottom="280" w:left="1200" w:right="1280"/>
          <w:cols w:num="2" w:equalWidth="0">
            <w:col w:w="3797" w:space="7555"/>
            <w:col w:w="300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52"/>
        <w:gridCol w:w="677"/>
        <w:gridCol w:w="1843"/>
        <w:gridCol w:w="1275"/>
        <w:gridCol w:w="1421"/>
        <w:gridCol w:w="1133"/>
        <w:gridCol w:w="1169"/>
        <w:gridCol w:w="1416"/>
        <w:gridCol w:w="1241"/>
        <w:gridCol w:w="1250"/>
        <w:gridCol w:w="1231"/>
        <w:gridCol w:w="1035"/>
      </w:tblGrid>
      <w:tr>
        <w:trPr>
          <w:trHeight w:val="1049"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34" w:lineRule="exact"/>
              <w:ind w:left="129" w:right="130"/>
              <w:jc w:val="left"/>
              <w:rPr>
                <w:rFonts w:ascii="宋体" w:hAnsi="宋体" w:cs="宋体" w:eastAsia="宋体" w:hint="default"/>
                <w:sz w:val="18"/>
                <w:szCs w:val="18"/>
              </w:rPr>
            </w:pPr>
            <w:r>
              <w:rPr>
                <w:rFonts w:ascii="宋体" w:hAnsi="宋体" w:cs="宋体" w:eastAsia="宋体" w:hint="default"/>
                <w:sz w:val="18"/>
                <w:szCs w:val="18"/>
              </w:rPr>
              <w:t>序 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53" w:right="0"/>
              <w:jc w:val="left"/>
              <w:rPr>
                <w:rFonts w:ascii="宋体" w:hAnsi="宋体" w:cs="宋体" w:eastAsia="宋体" w:hint="default"/>
                <w:sz w:val="18"/>
                <w:szCs w:val="18"/>
              </w:rPr>
            </w:pPr>
            <w:r>
              <w:rPr>
                <w:rFonts w:ascii="宋体" w:hAnsi="宋体" w:cs="宋体" w:eastAsia="宋体" w:hint="default"/>
                <w:sz w:val="18"/>
                <w:szCs w:val="18"/>
              </w:rPr>
              <w:t>地区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71" w:right="0"/>
              <w:jc w:val="left"/>
              <w:rPr>
                <w:rFonts w:ascii="宋体" w:hAnsi="宋体" w:cs="宋体" w:eastAsia="宋体" w:hint="default"/>
                <w:sz w:val="18"/>
                <w:szCs w:val="18"/>
              </w:rPr>
            </w:pPr>
            <w:r>
              <w:rPr>
                <w:rFonts w:ascii="宋体" w:hAnsi="宋体" w:cs="宋体" w:eastAsia="宋体" w:hint="default"/>
                <w:sz w:val="18"/>
                <w:szCs w:val="18"/>
              </w:rPr>
              <w:t>经营业态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2"/>
              <w:ind w:left="120" w:right="119"/>
              <w:jc w:val="center"/>
              <w:rPr>
                <w:rFonts w:ascii="宋体" w:hAnsi="宋体" w:cs="宋体" w:eastAsia="宋体" w:hint="default"/>
                <w:sz w:val="18"/>
                <w:szCs w:val="18"/>
              </w:rPr>
            </w:pPr>
            <w:r>
              <w:rPr>
                <w:rFonts w:ascii="宋体" w:hAnsi="宋体" w:cs="宋体" w:eastAsia="宋体" w:hint="default"/>
                <w:sz w:val="18"/>
                <w:szCs w:val="18"/>
              </w:rPr>
              <w:t>在建项目</w:t>
            </w:r>
            <w:r>
              <w:rPr>
                <w:rFonts w:ascii="宋体" w:hAnsi="宋体" w:cs="宋体" w:eastAsia="宋体" w:hint="default"/>
                <w:sz w:val="18"/>
                <w:szCs w:val="18"/>
              </w:rPr>
              <w:t>/</w:t>
            </w:r>
            <w:r>
              <w:rPr>
                <w:rFonts w:ascii="宋体" w:hAnsi="宋体" w:cs="宋体" w:eastAsia="宋体" w:hint="default"/>
                <w:sz w:val="18"/>
                <w:szCs w:val="18"/>
              </w:rPr>
              <w:t>新开 工项目</w:t>
            </w:r>
            <w:r>
              <w:rPr>
                <w:rFonts w:ascii="宋体" w:hAnsi="宋体" w:cs="宋体" w:eastAsia="宋体" w:hint="default"/>
                <w:sz w:val="18"/>
                <w:szCs w:val="18"/>
              </w:rPr>
              <w:t>/</w:t>
            </w:r>
            <w:r>
              <w:rPr>
                <w:rFonts w:ascii="宋体" w:hAnsi="宋体" w:cs="宋体" w:eastAsia="宋体" w:hint="default"/>
                <w:sz w:val="18"/>
                <w:szCs w:val="18"/>
              </w:rPr>
              <w:t>竣工项 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34" w:lineRule="exact"/>
              <w:ind w:left="110" w:right="109"/>
              <w:jc w:val="left"/>
              <w:rPr>
                <w:rFonts w:ascii="宋体" w:hAnsi="宋体" w:cs="宋体" w:eastAsia="宋体" w:hint="default"/>
                <w:sz w:val="18"/>
                <w:szCs w:val="18"/>
              </w:rPr>
            </w:pPr>
            <w:r>
              <w:rPr>
                <w:rFonts w:ascii="宋体" w:hAnsi="宋体" w:cs="宋体" w:eastAsia="宋体" w:hint="default"/>
                <w:sz w:val="18"/>
                <w:szCs w:val="18"/>
              </w:rPr>
              <w:t>项目用地面 积</w:t>
            </w:r>
            <w:r>
              <w:rPr>
                <w:rFonts w:ascii="宋体" w:hAnsi="宋体" w:cs="宋体" w:eastAsia="宋体" w:hint="default"/>
                <w:sz w:val="18"/>
                <w:szCs w:val="18"/>
              </w:rPr>
              <w:t>(</w:t>
            </w:r>
            <w:r>
              <w:rPr>
                <w:rFonts w:ascii="宋体" w:hAnsi="宋体" w:cs="宋体" w:eastAsia="宋体" w:hint="default"/>
                <w:sz w:val="18"/>
                <w:szCs w:val="18"/>
              </w:rPr>
              <w:t>平方米</w:t>
            </w:r>
            <w:r>
              <w:rPr>
                <w:rFonts w:ascii="宋体" w:hAnsi="宋体" w:cs="宋体" w:eastAsia="宋体" w:hint="default"/>
                <w:sz w:val="18"/>
                <w:szCs w:val="18"/>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2"/>
              <w:ind w:left="129" w:right="127"/>
              <w:jc w:val="both"/>
              <w:rPr>
                <w:rFonts w:ascii="宋体" w:hAnsi="宋体" w:cs="宋体" w:eastAsia="宋体" w:hint="default"/>
                <w:sz w:val="18"/>
                <w:szCs w:val="18"/>
              </w:rPr>
            </w:pPr>
            <w:r>
              <w:rPr>
                <w:rFonts w:ascii="宋体" w:hAnsi="宋体" w:cs="宋体" w:eastAsia="宋体" w:hint="default"/>
                <w:sz w:val="18"/>
                <w:szCs w:val="18"/>
              </w:rPr>
              <w:t>项目规划计 容建筑面积 </w:t>
            </w:r>
            <w:r>
              <w:rPr>
                <w:rFonts w:ascii="宋体" w:hAnsi="宋体" w:cs="宋体" w:eastAsia="宋体" w:hint="default"/>
                <w:sz w:val="18"/>
                <w:szCs w:val="18"/>
              </w:rPr>
              <w:t>(</w:t>
            </w:r>
            <w:r>
              <w:rPr>
                <w:rFonts w:ascii="宋体" w:hAnsi="宋体" w:cs="宋体" w:eastAsia="宋体" w:hint="default"/>
                <w:sz w:val="18"/>
                <w:szCs w:val="18"/>
              </w:rPr>
              <w:t>平方米</w:t>
            </w: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34" w:lineRule="exact"/>
              <w:ind w:left="477" w:right="115" w:hanging="360"/>
              <w:jc w:val="left"/>
              <w:rPr>
                <w:rFonts w:ascii="宋体" w:hAnsi="宋体" w:cs="宋体" w:eastAsia="宋体" w:hint="default"/>
                <w:sz w:val="18"/>
                <w:szCs w:val="18"/>
              </w:rPr>
            </w:pPr>
            <w:r>
              <w:rPr>
                <w:rFonts w:ascii="宋体" w:hAnsi="宋体" w:cs="宋体" w:eastAsia="宋体" w:hint="default"/>
                <w:sz w:val="18"/>
                <w:szCs w:val="18"/>
              </w:rPr>
              <w:t>总建筑面积</w:t>
            </w:r>
            <w:r>
              <w:rPr>
                <w:rFonts w:ascii="宋体" w:hAnsi="宋体" w:cs="宋体" w:eastAsia="宋体" w:hint="default"/>
                <w:sz w:val="18"/>
                <w:szCs w:val="18"/>
              </w:rPr>
              <w:t>(</w:t>
            </w:r>
            <w:r>
              <w:rPr>
                <w:rFonts w:ascii="宋体" w:hAnsi="宋体" w:cs="宋体" w:eastAsia="宋体" w:hint="default"/>
                <w:sz w:val="18"/>
                <w:szCs w:val="18"/>
              </w:rPr>
              <w:t>平 方米</w:t>
            </w:r>
            <w:r>
              <w:rPr>
                <w:rFonts w:ascii="宋体" w:hAnsi="宋体" w:cs="宋体" w:eastAsia="宋体" w:hint="default"/>
                <w:sz w:val="18"/>
                <w:szCs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34" w:lineRule="exact"/>
              <w:ind w:left="165" w:right="162"/>
              <w:jc w:val="left"/>
              <w:rPr>
                <w:rFonts w:ascii="宋体" w:hAnsi="宋体" w:cs="宋体" w:eastAsia="宋体" w:hint="default"/>
                <w:sz w:val="18"/>
                <w:szCs w:val="18"/>
              </w:rPr>
            </w:pPr>
            <w:r>
              <w:rPr>
                <w:rFonts w:ascii="宋体" w:hAnsi="宋体" w:cs="宋体" w:eastAsia="宋体" w:hint="default"/>
                <w:sz w:val="18"/>
                <w:szCs w:val="18"/>
              </w:rPr>
              <w:t>在建建筑面 积</w:t>
            </w:r>
            <w:r>
              <w:rPr>
                <w:rFonts w:ascii="宋体" w:hAnsi="宋体" w:cs="宋体" w:eastAsia="宋体" w:hint="default"/>
                <w:sz w:val="18"/>
                <w:szCs w:val="18"/>
              </w:rPr>
              <w:t>(</w:t>
            </w:r>
            <w:r>
              <w:rPr>
                <w:rFonts w:ascii="宋体" w:hAnsi="宋体" w:cs="宋体" w:eastAsia="宋体" w:hint="default"/>
                <w:sz w:val="18"/>
                <w:szCs w:val="18"/>
              </w:rPr>
              <w:t>平方米</w:t>
            </w:r>
            <w:r>
              <w:rPr>
                <w:rFonts w:ascii="宋体" w:hAnsi="宋体" w:cs="宋体" w:eastAsia="宋体" w:hint="default"/>
                <w:sz w:val="18"/>
                <w:szCs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34" w:lineRule="exact"/>
              <w:ind w:left="259" w:right="168" w:hanging="89"/>
              <w:jc w:val="left"/>
              <w:rPr>
                <w:rFonts w:ascii="宋体" w:hAnsi="宋体" w:cs="宋体" w:eastAsia="宋体" w:hint="default"/>
                <w:sz w:val="18"/>
                <w:szCs w:val="18"/>
              </w:rPr>
            </w:pPr>
            <w:r>
              <w:rPr>
                <w:rFonts w:ascii="宋体" w:hAnsi="宋体" w:cs="宋体" w:eastAsia="宋体" w:hint="default"/>
                <w:sz w:val="18"/>
                <w:szCs w:val="18"/>
              </w:rPr>
              <w:t>已竣工面积 </w:t>
            </w:r>
            <w:r>
              <w:rPr>
                <w:rFonts w:ascii="宋体" w:hAnsi="宋体" w:cs="宋体" w:eastAsia="宋体" w:hint="default"/>
                <w:sz w:val="18"/>
                <w:szCs w:val="18"/>
              </w:rPr>
              <w:t>(</w:t>
            </w:r>
            <w:r>
              <w:rPr>
                <w:rFonts w:ascii="宋体" w:hAnsi="宋体" w:cs="宋体" w:eastAsia="宋体" w:hint="default"/>
                <w:sz w:val="18"/>
                <w:szCs w:val="18"/>
              </w:rPr>
              <w:t>平方米</w:t>
            </w:r>
            <w:r>
              <w:rPr>
                <w:rFonts w:ascii="宋体" w:hAnsi="宋体" w:cs="宋体" w:eastAsia="宋体" w:hint="default"/>
                <w:sz w:val="18"/>
                <w:szCs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49" w:right="0"/>
              <w:jc w:val="left"/>
              <w:rPr>
                <w:rFonts w:ascii="宋体" w:hAnsi="宋体" w:cs="宋体" w:eastAsia="宋体" w:hint="default"/>
                <w:sz w:val="18"/>
                <w:szCs w:val="18"/>
              </w:rPr>
            </w:pPr>
            <w:r>
              <w:rPr>
                <w:rFonts w:ascii="宋体" w:hAnsi="宋体" w:cs="宋体" w:eastAsia="宋体" w:hint="default"/>
                <w:sz w:val="18"/>
                <w:szCs w:val="18"/>
              </w:rPr>
              <w:t>总投资额</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34" w:lineRule="exact"/>
              <w:ind w:left="151" w:right="153"/>
              <w:jc w:val="left"/>
              <w:rPr>
                <w:rFonts w:ascii="宋体" w:hAnsi="宋体" w:cs="宋体" w:eastAsia="宋体" w:hint="default"/>
                <w:sz w:val="18"/>
                <w:szCs w:val="18"/>
              </w:rPr>
            </w:pPr>
            <w:r>
              <w:rPr>
                <w:rFonts w:ascii="宋体" w:hAnsi="宋体" w:cs="宋体" w:eastAsia="宋体" w:hint="default"/>
                <w:sz w:val="18"/>
                <w:szCs w:val="18"/>
              </w:rPr>
              <w:t>报告期实 际投资额</w:t>
            </w:r>
          </w:p>
        </w:tc>
      </w:tr>
      <w:tr>
        <w:trPr>
          <w:trHeight w:val="242"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3"/>
              <w:jc w:val="center"/>
              <w:rPr>
                <w:rFonts w:ascii="宋体" w:hAnsi="宋体" w:cs="宋体" w:eastAsia="宋体" w:hint="default"/>
                <w:sz w:val="18"/>
                <w:szCs w:val="18"/>
              </w:rPr>
            </w:pPr>
            <w:r>
              <w:rPr>
                <w:rFonts w:ascii="宋体"/>
                <w:sz w:val="18"/>
              </w:rPr>
              <w:t>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沈阳·北国之春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525,339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1,099,968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1,165,185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77,354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1,087,831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4,683,510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76,815</w:t>
            </w:r>
          </w:p>
        </w:tc>
      </w:tr>
      <w:tr>
        <w:trPr>
          <w:trHeight w:val="242"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3"/>
              <w:jc w:val="center"/>
              <w:rPr>
                <w:rFonts w:ascii="宋体" w:hAnsi="宋体" w:cs="宋体" w:eastAsia="宋体" w:hint="default"/>
                <w:sz w:val="18"/>
                <w:szCs w:val="18"/>
              </w:rPr>
            </w:pPr>
            <w:r>
              <w:rPr>
                <w:rFonts w:ascii="宋体"/>
                <w:sz w:val="18"/>
              </w:rPr>
              <w:t>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沈阳·新湖花园</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54,933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137,333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175,840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56,124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119,716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1,000,000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112,782</w:t>
            </w:r>
          </w:p>
        </w:tc>
      </w:tr>
      <w:tr>
        <w:trPr>
          <w:trHeight w:val="245"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43"/>
              <w:jc w:val="center"/>
              <w:rPr>
                <w:rFonts w:ascii="宋体" w:hAnsi="宋体" w:cs="宋体" w:eastAsia="宋体" w:hint="default"/>
                <w:sz w:val="18"/>
                <w:szCs w:val="18"/>
              </w:rPr>
            </w:pPr>
            <w:r>
              <w:rPr>
                <w:rFonts w:ascii="宋体"/>
                <w:sz w:val="18"/>
              </w:rPr>
              <w:t>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沈阳·仙林金谷</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4"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268,162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382,899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436,532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13,571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84,283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1,630,000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84,560</w:t>
            </w:r>
          </w:p>
        </w:tc>
      </w:tr>
      <w:tr>
        <w:trPr>
          <w:trHeight w:val="242"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3"/>
              <w:jc w:val="center"/>
              <w:rPr>
                <w:rFonts w:ascii="宋体" w:hAnsi="宋体" w:cs="宋体" w:eastAsia="宋体" w:hint="default"/>
                <w:sz w:val="18"/>
                <w:szCs w:val="18"/>
              </w:rPr>
            </w:pPr>
            <w:r>
              <w:rPr>
                <w:rFonts w:ascii="宋体"/>
                <w:sz w:val="18"/>
              </w:rPr>
              <w:t>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沈阳·新湖湾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283,038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383,567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383,567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13,976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1"/>
              <w:jc w:val="right"/>
              <w:rPr>
                <w:rFonts w:ascii="宋体" w:hAnsi="宋体" w:cs="宋体" w:eastAsia="宋体" w:hint="default"/>
                <w:sz w:val="18"/>
                <w:szCs w:val="18"/>
              </w:rPr>
            </w:pPr>
            <w:r>
              <w:rPr>
                <w:rFonts w:ascii="宋体"/>
                <w:sz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1,650,000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33,310</w:t>
            </w:r>
          </w:p>
        </w:tc>
      </w:tr>
      <w:tr>
        <w:trPr>
          <w:trHeight w:val="245"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3"/>
              <w:jc w:val="center"/>
              <w:rPr>
                <w:rFonts w:ascii="宋体" w:hAnsi="宋体" w:cs="宋体" w:eastAsia="宋体" w:hint="default"/>
                <w:sz w:val="18"/>
                <w:szCs w:val="18"/>
              </w:rPr>
            </w:pPr>
            <w:r>
              <w:rPr>
                <w:rFonts w:ascii="宋体"/>
                <w:sz w:val="18"/>
              </w:rPr>
              <w:t>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天津·香格里拉</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145,059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130,286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134,628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3,723</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130,905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820,000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139,379</w:t>
            </w:r>
          </w:p>
        </w:tc>
      </w:tr>
      <w:tr>
        <w:trPr>
          <w:trHeight w:val="242"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3"/>
              <w:jc w:val="center"/>
              <w:rPr>
                <w:rFonts w:ascii="宋体" w:hAnsi="宋体" w:cs="宋体" w:eastAsia="宋体" w:hint="default"/>
                <w:sz w:val="18"/>
                <w:szCs w:val="18"/>
              </w:rPr>
            </w:pPr>
            <w:r>
              <w:rPr>
                <w:rFonts w:ascii="宋体"/>
                <w:sz w:val="18"/>
              </w:rPr>
              <w:t>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天津·义乌商贸城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住宅、商业</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625,468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828,290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915,402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355,648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166,536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3,700,000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299,338</w:t>
            </w:r>
          </w:p>
        </w:tc>
      </w:tr>
      <w:tr>
        <w:trPr>
          <w:trHeight w:val="245"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3"/>
              <w:jc w:val="center"/>
              <w:rPr>
                <w:rFonts w:ascii="宋体" w:hAnsi="宋体" w:cs="宋体" w:eastAsia="宋体" w:hint="default"/>
                <w:sz w:val="18"/>
                <w:szCs w:val="18"/>
              </w:rPr>
            </w:pPr>
            <w:r>
              <w:rPr>
                <w:rFonts w:ascii="宋体"/>
                <w:sz w:val="18"/>
              </w:rPr>
              <w:t>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滨州·新湖玫瑰园</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123,801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154,231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157,525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65,204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21,291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520,000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27,238</w:t>
            </w:r>
          </w:p>
        </w:tc>
      </w:tr>
      <w:tr>
        <w:trPr>
          <w:trHeight w:val="242"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3"/>
              <w:jc w:val="center"/>
              <w:rPr>
                <w:rFonts w:ascii="宋体" w:hAnsi="宋体" w:cs="宋体" w:eastAsia="宋体" w:hint="default"/>
                <w:sz w:val="18"/>
                <w:szCs w:val="18"/>
              </w:rPr>
            </w:pPr>
            <w:r>
              <w:rPr>
                <w:rFonts w:ascii="宋体"/>
                <w:sz w:val="18"/>
              </w:rPr>
              <w:t>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泰安·新湖绿园</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竣工项目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120,129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163,863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191,372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191,372</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713,200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52,635</w:t>
            </w:r>
          </w:p>
        </w:tc>
      </w:tr>
      <w:tr>
        <w:trPr>
          <w:trHeight w:val="243"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3"/>
              <w:jc w:val="center"/>
              <w:rPr>
                <w:rFonts w:ascii="宋体" w:hAnsi="宋体" w:cs="宋体" w:eastAsia="宋体" w:hint="default"/>
                <w:sz w:val="18"/>
                <w:szCs w:val="18"/>
              </w:rPr>
            </w:pPr>
            <w:r>
              <w:rPr>
                <w:rFonts w:ascii="宋体"/>
                <w:sz w:val="18"/>
              </w:rPr>
              <w:t>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南京·仙林翠谷</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637,048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445,986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558,152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287,159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270,993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2,387,490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260,236</w:t>
            </w:r>
          </w:p>
        </w:tc>
      </w:tr>
      <w:tr>
        <w:trPr>
          <w:trHeight w:val="245"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1"/>
              <w:jc w:val="center"/>
              <w:rPr>
                <w:rFonts w:ascii="宋体" w:hAnsi="宋体" w:cs="宋体" w:eastAsia="宋体" w:hint="default"/>
                <w:sz w:val="18"/>
                <w:szCs w:val="18"/>
              </w:rPr>
            </w:pPr>
            <w:r>
              <w:rPr>
                <w:rFonts w:ascii="宋体"/>
                <w:sz w:val="18"/>
              </w:rPr>
              <w:t>10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苏州·明珠城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住宅、商业</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1,041,089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1,561,330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2,112,214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443,990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1,466,808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9,300,000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405,578</w:t>
            </w:r>
          </w:p>
        </w:tc>
      </w:tr>
      <w:tr>
        <w:trPr>
          <w:trHeight w:val="242"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1"/>
              <w:jc w:val="center"/>
              <w:rPr>
                <w:rFonts w:ascii="宋体" w:hAnsi="宋体" w:cs="宋体" w:eastAsia="宋体" w:hint="default"/>
                <w:sz w:val="18"/>
                <w:szCs w:val="18"/>
              </w:rPr>
            </w:pPr>
            <w:r>
              <w:rPr>
                <w:rFonts w:ascii="宋体"/>
                <w:sz w:val="18"/>
              </w:rPr>
              <w:t>11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南通·新湖长江公园</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314,757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560,239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605,609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200,118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2,210,000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68,955</w:t>
            </w:r>
          </w:p>
        </w:tc>
      </w:tr>
      <w:tr>
        <w:trPr>
          <w:trHeight w:val="245"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1"/>
              <w:jc w:val="center"/>
              <w:rPr>
                <w:rFonts w:ascii="宋体" w:hAnsi="宋体" w:cs="宋体" w:eastAsia="宋体" w:hint="default"/>
                <w:sz w:val="18"/>
                <w:szCs w:val="18"/>
              </w:rPr>
            </w:pPr>
            <w:r>
              <w:rPr>
                <w:rFonts w:ascii="宋体"/>
                <w:sz w:val="18"/>
              </w:rPr>
              <w:t>12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上海·新湖明珠城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228,717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838,027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549,344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9,500,000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319,729</w:t>
            </w:r>
          </w:p>
        </w:tc>
      </w:tr>
      <w:tr>
        <w:trPr>
          <w:trHeight w:val="242"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1"/>
              <w:jc w:val="center"/>
              <w:rPr>
                <w:rFonts w:ascii="宋体" w:hAnsi="宋体" w:cs="宋体" w:eastAsia="宋体" w:hint="default"/>
                <w:sz w:val="18"/>
                <w:szCs w:val="18"/>
              </w:rPr>
            </w:pPr>
            <w:r>
              <w:rPr>
                <w:rFonts w:ascii="宋体"/>
                <w:sz w:val="18"/>
              </w:rPr>
              <w:t>13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上海·青蓝国际</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64,784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206,070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333,525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153,921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10,835,840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1,303,846</w:t>
            </w:r>
          </w:p>
        </w:tc>
      </w:tr>
      <w:tr>
        <w:trPr>
          <w:trHeight w:val="245"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1"/>
              <w:jc w:val="center"/>
              <w:rPr>
                <w:rFonts w:ascii="宋体" w:hAnsi="宋体" w:cs="宋体" w:eastAsia="宋体" w:hint="default"/>
                <w:sz w:val="18"/>
                <w:szCs w:val="18"/>
              </w:rPr>
            </w:pPr>
            <w:r>
              <w:rPr>
                <w:rFonts w:ascii="宋体"/>
                <w:sz w:val="18"/>
              </w:rPr>
              <w:t>14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杭州·香格里拉</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832,601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461,464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533,224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302,555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4,114,750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235,725</w:t>
            </w:r>
          </w:p>
        </w:tc>
      </w:tr>
      <w:tr>
        <w:trPr>
          <w:trHeight w:val="242"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1"/>
              <w:jc w:val="center"/>
              <w:rPr>
                <w:rFonts w:ascii="宋体" w:hAnsi="宋体" w:cs="宋体" w:eastAsia="宋体" w:hint="default"/>
                <w:sz w:val="18"/>
                <w:szCs w:val="18"/>
              </w:rPr>
            </w:pPr>
            <w:r>
              <w:rPr>
                <w:rFonts w:ascii="宋体"/>
                <w:sz w:val="18"/>
              </w:rPr>
              <w:t>15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杭州·新湖果岭</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360,929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433,115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551,665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160,229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389,832</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3,661,760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190,991</w:t>
            </w:r>
          </w:p>
        </w:tc>
      </w:tr>
      <w:tr>
        <w:trPr>
          <w:trHeight w:val="242"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1"/>
              <w:jc w:val="center"/>
              <w:rPr>
                <w:rFonts w:ascii="宋体" w:hAnsi="宋体" w:cs="宋体" w:eastAsia="宋体" w:hint="default"/>
                <w:sz w:val="18"/>
                <w:szCs w:val="18"/>
              </w:rPr>
            </w:pPr>
            <w:r>
              <w:rPr>
                <w:rFonts w:ascii="宋体"/>
                <w:sz w:val="18"/>
              </w:rPr>
              <w:t>16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杭州·金色童年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住宅、酒店</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138,982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138,995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186,855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26,392</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800,000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170,316</w:t>
            </w:r>
          </w:p>
        </w:tc>
      </w:tr>
      <w:tr>
        <w:trPr>
          <w:trHeight w:val="245"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1"/>
              <w:jc w:val="center"/>
              <w:rPr>
                <w:rFonts w:ascii="宋体" w:hAnsi="宋体" w:cs="宋体" w:eastAsia="宋体" w:hint="default"/>
                <w:sz w:val="18"/>
                <w:szCs w:val="18"/>
              </w:rPr>
            </w:pPr>
            <w:r>
              <w:rPr>
                <w:rFonts w:ascii="宋体"/>
                <w:sz w:val="18"/>
              </w:rPr>
              <w:t>17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杭州·武林国际</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4"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4" w:right="0"/>
              <w:jc w:val="left"/>
              <w:rPr>
                <w:rFonts w:ascii="宋体" w:hAnsi="宋体" w:cs="宋体" w:eastAsia="宋体" w:hint="default"/>
                <w:sz w:val="18"/>
                <w:szCs w:val="18"/>
              </w:rPr>
            </w:pPr>
            <w:r>
              <w:rPr>
                <w:rFonts w:ascii="宋体" w:hAnsi="宋体" w:cs="宋体" w:eastAsia="宋体" w:hint="default"/>
                <w:sz w:val="18"/>
                <w:szCs w:val="18"/>
              </w:rPr>
              <w:t>竣工项目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26,256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84,019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128,741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128,741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2,570,000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37,321</w:t>
            </w:r>
          </w:p>
        </w:tc>
      </w:tr>
      <w:tr>
        <w:trPr>
          <w:trHeight w:val="242"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1"/>
              <w:jc w:val="center"/>
              <w:rPr>
                <w:rFonts w:ascii="宋体" w:hAnsi="宋体" w:cs="宋体" w:eastAsia="宋体" w:hint="default"/>
                <w:sz w:val="18"/>
                <w:szCs w:val="18"/>
              </w:rPr>
            </w:pPr>
            <w:r>
              <w:rPr>
                <w:rFonts w:ascii="宋体"/>
                <w:sz w:val="18"/>
              </w:rPr>
              <w:t>18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嘉兴·新中花园</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191,626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342,276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497,870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120,233</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229,465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3,185,000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181,856</w:t>
            </w:r>
          </w:p>
        </w:tc>
      </w:tr>
      <w:tr>
        <w:trPr>
          <w:trHeight w:val="245"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1"/>
              <w:jc w:val="center"/>
              <w:rPr>
                <w:rFonts w:ascii="宋体" w:hAnsi="宋体" w:cs="宋体" w:eastAsia="宋体" w:hint="default"/>
                <w:sz w:val="18"/>
                <w:szCs w:val="18"/>
              </w:rPr>
            </w:pPr>
            <w:r>
              <w:rPr>
                <w:rFonts w:ascii="宋体"/>
                <w:sz w:val="18"/>
              </w:rPr>
              <w:t>19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海宁·百合新城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竣工项目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942,344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915,811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1,254,737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1,254,737</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4,709,330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1"/>
              <w:jc w:val="right"/>
              <w:rPr>
                <w:rFonts w:ascii="宋体" w:hAnsi="宋体" w:cs="宋体" w:eastAsia="宋体" w:hint="default"/>
                <w:sz w:val="18"/>
                <w:szCs w:val="18"/>
              </w:rPr>
            </w:pPr>
            <w:r>
              <w:rPr>
                <w:rFonts w:ascii="宋体"/>
                <w:sz w:val="18"/>
              </w:rPr>
              <w:t>-</w:t>
            </w:r>
          </w:p>
        </w:tc>
      </w:tr>
      <w:tr>
        <w:trPr>
          <w:trHeight w:val="243"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1"/>
              <w:jc w:val="center"/>
              <w:rPr>
                <w:rFonts w:ascii="宋体" w:hAnsi="宋体" w:cs="宋体" w:eastAsia="宋体" w:hint="default"/>
                <w:sz w:val="18"/>
                <w:szCs w:val="18"/>
              </w:rPr>
            </w:pPr>
            <w:r>
              <w:rPr>
                <w:rFonts w:ascii="宋体"/>
                <w:sz w:val="18"/>
              </w:rPr>
              <w:t>20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衢州·新湖景城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住宅、商业</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480,507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716,329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1,094,160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600,349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493,778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3,263,030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390,975</w:t>
            </w:r>
          </w:p>
        </w:tc>
      </w:tr>
      <w:tr>
        <w:trPr>
          <w:trHeight w:val="245"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1"/>
              <w:jc w:val="center"/>
              <w:rPr>
                <w:rFonts w:ascii="宋体" w:hAnsi="宋体" w:cs="宋体" w:eastAsia="宋体" w:hint="default"/>
                <w:sz w:val="18"/>
                <w:szCs w:val="18"/>
              </w:rPr>
            </w:pPr>
            <w:r>
              <w:rPr>
                <w:rFonts w:ascii="宋体"/>
                <w:sz w:val="18"/>
              </w:rPr>
              <w:t>21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丽水·新湖国际</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191,050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427,838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470,074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100,572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369,502</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5,470,000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287,973</w:t>
            </w:r>
          </w:p>
        </w:tc>
      </w:tr>
      <w:tr>
        <w:trPr>
          <w:trHeight w:val="242"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1"/>
              <w:jc w:val="center"/>
              <w:rPr>
                <w:rFonts w:ascii="宋体" w:hAnsi="宋体" w:cs="宋体" w:eastAsia="宋体" w:hint="default"/>
                <w:sz w:val="18"/>
                <w:szCs w:val="18"/>
              </w:rPr>
            </w:pPr>
            <w:r>
              <w:rPr>
                <w:rFonts w:ascii="宋体"/>
                <w:sz w:val="18"/>
              </w:rPr>
              <w:t>22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乐清·海德花园</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186,967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259,281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376,227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176,662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199,565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4,160,000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275,588</w:t>
            </w:r>
          </w:p>
        </w:tc>
      </w:tr>
      <w:tr>
        <w:trPr>
          <w:trHeight w:val="242"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1"/>
              <w:jc w:val="center"/>
              <w:rPr>
                <w:rFonts w:ascii="宋体" w:hAnsi="宋体" w:cs="宋体" w:eastAsia="宋体" w:hint="default"/>
                <w:sz w:val="18"/>
                <w:szCs w:val="18"/>
              </w:rPr>
            </w:pPr>
            <w:r>
              <w:rPr>
                <w:rFonts w:ascii="宋体"/>
                <w:sz w:val="18"/>
              </w:rPr>
              <w:t>23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瑞安·新湖广场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住宅、商业</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159,845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406,143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648,276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525,107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4,770,790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506,492</w:t>
            </w:r>
          </w:p>
        </w:tc>
      </w:tr>
      <w:tr>
        <w:trPr>
          <w:trHeight w:val="245"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1"/>
              <w:jc w:val="center"/>
              <w:rPr>
                <w:rFonts w:ascii="宋体" w:hAnsi="宋体" w:cs="宋体" w:eastAsia="宋体" w:hint="default"/>
                <w:sz w:val="18"/>
                <w:szCs w:val="18"/>
              </w:rPr>
            </w:pPr>
            <w:r>
              <w:rPr>
                <w:rFonts w:ascii="宋体"/>
                <w:sz w:val="18"/>
              </w:rPr>
              <w:t>24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兰溪·香格里拉</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4"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319,817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366,850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503,604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88,201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227,675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2,822,830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136,301</w:t>
            </w:r>
          </w:p>
        </w:tc>
      </w:tr>
      <w:tr>
        <w:trPr>
          <w:trHeight w:val="245"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1"/>
              <w:jc w:val="center"/>
              <w:rPr>
                <w:rFonts w:ascii="宋体" w:hAnsi="宋体" w:cs="宋体" w:eastAsia="宋体" w:hint="default"/>
                <w:sz w:val="18"/>
                <w:szCs w:val="18"/>
              </w:rPr>
            </w:pPr>
            <w:r>
              <w:rPr>
                <w:rFonts w:ascii="宋体"/>
                <w:sz w:val="18"/>
              </w:rPr>
              <w:t>25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舟山·御景国际</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竣工项目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105,623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168,997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242,563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242,563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2,346,000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11,175</w:t>
            </w:r>
          </w:p>
        </w:tc>
      </w:tr>
    </w:tbl>
    <w:p>
      <w:pPr>
        <w:spacing w:after="0" w:line="205" w:lineRule="exact"/>
        <w:jc w:val="right"/>
        <w:rPr>
          <w:rFonts w:ascii="宋体" w:hAnsi="宋体" w:cs="宋体" w:eastAsia="宋体" w:hint="default"/>
          <w:sz w:val="18"/>
          <w:szCs w:val="18"/>
        </w:rPr>
        <w:sectPr>
          <w:type w:val="continuous"/>
          <w:pgSz w:w="16840" w:h="11910" w:orient="landscape"/>
          <w:pgMar w:top="1000" w:bottom="280" w:left="120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452"/>
        <w:gridCol w:w="677"/>
        <w:gridCol w:w="1843"/>
        <w:gridCol w:w="1275"/>
        <w:gridCol w:w="1421"/>
        <w:gridCol w:w="1133"/>
        <w:gridCol w:w="1169"/>
        <w:gridCol w:w="1416"/>
        <w:gridCol w:w="1241"/>
        <w:gridCol w:w="1250"/>
        <w:gridCol w:w="1231"/>
        <w:gridCol w:w="1035"/>
      </w:tblGrid>
      <w:tr>
        <w:trPr>
          <w:trHeight w:val="242"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1"/>
              <w:jc w:val="center"/>
              <w:rPr>
                <w:rFonts w:ascii="宋体" w:hAnsi="宋体" w:cs="宋体" w:eastAsia="宋体" w:hint="default"/>
                <w:sz w:val="18"/>
                <w:szCs w:val="18"/>
              </w:rPr>
            </w:pPr>
            <w:r>
              <w:rPr>
                <w:rFonts w:ascii="宋体"/>
                <w:sz w:val="18"/>
              </w:rPr>
              <w:t>26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温岭·双溪春晓</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02"/>
              <w:jc w:val="center"/>
              <w:rPr>
                <w:rFonts w:ascii="宋体" w:hAnsi="宋体" w:cs="宋体" w:eastAsia="宋体" w:hint="default"/>
                <w:sz w:val="18"/>
                <w:szCs w:val="18"/>
              </w:rPr>
            </w:pPr>
            <w:r>
              <w:rPr>
                <w:rFonts w:ascii="宋体" w:hAnsi="宋体" w:cs="宋体" w:eastAsia="宋体" w:hint="default"/>
                <w:sz w:val="18"/>
                <w:szCs w:val="18"/>
              </w:rPr>
              <w:t>新开工项目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82,220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123,330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203,819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125,127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3,105,070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216,935</w:t>
            </w:r>
          </w:p>
        </w:tc>
      </w:tr>
      <w:tr>
        <w:trPr>
          <w:trHeight w:val="245"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1"/>
              <w:jc w:val="center"/>
              <w:rPr>
                <w:rFonts w:ascii="宋体" w:hAnsi="宋体" w:cs="宋体" w:eastAsia="宋体" w:hint="default"/>
                <w:sz w:val="18"/>
                <w:szCs w:val="18"/>
              </w:rPr>
            </w:pPr>
            <w:r>
              <w:rPr>
                <w:rFonts w:ascii="宋体"/>
                <w:sz w:val="18"/>
              </w:rPr>
              <w:t>27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九江·柴桑春天</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00"/>
              <w:jc w:val="center"/>
              <w:rPr>
                <w:rFonts w:ascii="宋体" w:hAnsi="宋体" w:cs="宋体" w:eastAsia="宋体" w:hint="default"/>
                <w:sz w:val="18"/>
                <w:szCs w:val="18"/>
              </w:rPr>
            </w:pPr>
            <w:r>
              <w:rPr>
                <w:rFonts w:ascii="宋体" w:hAnsi="宋体" w:cs="宋体" w:eastAsia="宋体" w:hint="default"/>
                <w:sz w:val="18"/>
                <w:szCs w:val="18"/>
              </w:rPr>
              <w:t>竣工项目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635,400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952,803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1,072,461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1,072,461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2,815,000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2,745</w:t>
            </w:r>
          </w:p>
        </w:tc>
      </w:tr>
      <w:tr>
        <w:trPr>
          <w:trHeight w:val="242"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1"/>
              <w:jc w:val="center"/>
              <w:rPr>
                <w:rFonts w:ascii="宋体" w:hAnsi="宋体" w:cs="宋体" w:eastAsia="宋体" w:hint="default"/>
                <w:sz w:val="18"/>
                <w:szCs w:val="18"/>
              </w:rPr>
            </w:pPr>
            <w:r>
              <w:rPr>
                <w:rFonts w:ascii="宋体"/>
                <w:sz w:val="18"/>
              </w:rPr>
              <w:t>28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九江·庐山国际</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00"/>
              <w:jc w:val="center"/>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406,935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733,416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964,631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268,764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653,427</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3,650,000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371,725</w:t>
            </w:r>
          </w:p>
        </w:tc>
      </w:tr>
      <w:tr>
        <w:trPr>
          <w:trHeight w:val="242"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1"/>
              <w:jc w:val="center"/>
              <w:rPr>
                <w:rFonts w:ascii="宋体" w:hAnsi="宋体" w:cs="宋体" w:eastAsia="宋体" w:hint="default"/>
                <w:sz w:val="18"/>
                <w:szCs w:val="18"/>
              </w:rPr>
            </w:pPr>
            <w:r>
              <w:rPr>
                <w:rFonts w:ascii="宋体"/>
                <w:sz w:val="18"/>
              </w:rPr>
              <w:t>29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00"/>
              <w:jc w:val="center"/>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443,112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990,094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1,213,790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176,791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477,468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4,724,870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192,169</w:t>
            </w:r>
          </w:p>
        </w:tc>
      </w:tr>
      <w:tr>
        <w:trPr>
          <w:trHeight w:val="245" w:hRule="exact"/>
        </w:trPr>
        <w:tc>
          <w:tcPr>
            <w:tcW w:w="45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9,936,538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14,412,850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18,012,248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3,858,902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10,311,161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105,118,470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6,392,688</w:t>
            </w:r>
          </w:p>
        </w:tc>
      </w:tr>
    </w:tbl>
    <w:p>
      <w:pPr>
        <w:spacing w:after="0" w:line="208" w:lineRule="exact"/>
        <w:jc w:val="right"/>
        <w:rPr>
          <w:rFonts w:ascii="宋体" w:hAnsi="宋体" w:cs="宋体" w:eastAsia="宋体" w:hint="default"/>
          <w:sz w:val="18"/>
          <w:szCs w:val="18"/>
        </w:rPr>
        <w:sectPr>
          <w:pgSz w:w="16840" w:h="11910" w:orient="landscape"/>
          <w:pgMar w:header="882" w:footer="1195" w:top="1120" w:bottom="1380" w:left="120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1"/>
          <w:szCs w:val="21"/>
        </w:rPr>
      </w:pPr>
    </w:p>
    <w:p>
      <w:pPr>
        <w:pStyle w:val="Heading2"/>
        <w:spacing w:line="240" w:lineRule="auto"/>
        <w:ind w:right="233"/>
        <w:jc w:val="left"/>
        <w:rPr>
          <w:b w:val="0"/>
          <w:bCs w:val="0"/>
        </w:rPr>
      </w:pPr>
      <w:r>
        <w:rPr>
          <w:rFonts w:ascii="宋体" w:hAnsi="宋体" w:cs="宋体" w:eastAsia="宋体" w:hint="default"/>
        </w:rPr>
        <w:t>3.</w:t>
      </w:r>
      <w:r>
        <w:rPr>
          <w:rFonts w:ascii="宋体" w:hAnsi="宋体" w:cs="宋体" w:eastAsia="宋体" w:hint="default"/>
          <w:spacing w:val="58"/>
        </w:rPr>
        <w:t> </w:t>
      </w:r>
      <w:r>
        <w:rPr/>
        <w:t>报告期内房地产销售情况</w:t>
      </w:r>
      <w:r>
        <w:rPr>
          <w:b w:val="0"/>
          <w:bCs w:val="0"/>
        </w:rPr>
      </w:r>
    </w:p>
    <w:p>
      <w:pPr>
        <w:pStyle w:val="BodyText"/>
        <w:tabs>
          <w:tab w:pos="1177" w:val="left" w:leader="none"/>
        </w:tabs>
        <w:spacing w:line="240" w:lineRule="auto" w:before="58"/>
        <w:ind w:left="218" w:right="233"/>
        <w:jc w:val="left"/>
      </w:pPr>
      <w:r>
        <w:rPr>
          <w:spacing w:val="-1"/>
        </w:rPr>
        <w:t>√适用</w:t>
        <w:tab/>
      </w:r>
      <w:r>
        <w:rPr/>
        <w:t>□不适用</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3"/>
        <w:gridCol w:w="785"/>
        <w:gridCol w:w="2547"/>
        <w:gridCol w:w="2127"/>
        <w:gridCol w:w="1419"/>
        <w:gridCol w:w="1709"/>
      </w:tblGrid>
      <w:tr>
        <w:trPr>
          <w:trHeight w:val="828"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0" w:right="120"/>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5"/>
              <w:jc w:val="right"/>
              <w:rPr>
                <w:rFonts w:ascii="宋体" w:hAnsi="宋体" w:cs="宋体" w:eastAsia="宋体" w:hint="default"/>
                <w:sz w:val="21"/>
                <w:szCs w:val="21"/>
              </w:rPr>
            </w:pPr>
            <w:r>
              <w:rPr>
                <w:rFonts w:ascii="宋体" w:hAnsi="宋体" w:cs="宋体" w:eastAsia="宋体" w:hint="default"/>
                <w:sz w:val="21"/>
                <w:szCs w:val="21"/>
              </w:rPr>
              <w:t>地区</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35" w:right="0"/>
              <w:jc w:val="left"/>
              <w:rPr>
                <w:rFonts w:ascii="宋体" w:hAnsi="宋体" w:cs="宋体" w:eastAsia="宋体" w:hint="default"/>
                <w:sz w:val="21"/>
                <w:szCs w:val="21"/>
              </w:rPr>
            </w:pPr>
            <w:r>
              <w:rPr>
                <w:rFonts w:ascii="宋体" w:hAnsi="宋体" w:cs="宋体" w:eastAsia="宋体" w:hint="default"/>
                <w:sz w:val="21"/>
                <w:szCs w:val="21"/>
              </w:rPr>
              <w:t>经营业态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可供出售面</w:t>
            </w:r>
          </w:p>
          <w:p>
            <w:pPr>
              <w:pStyle w:val="TableParagraph"/>
              <w:spacing w:line="240" w:lineRule="auto"/>
              <w:ind w:left="280" w:right="284" w:hanging="3"/>
              <w:jc w:val="center"/>
              <w:rPr>
                <w:rFonts w:ascii="宋体" w:hAnsi="宋体" w:cs="宋体" w:eastAsia="宋体" w:hint="default"/>
                <w:sz w:val="21"/>
                <w:szCs w:val="21"/>
              </w:rPr>
            </w:pP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平方米</w:t>
            </w:r>
            <w:r>
              <w:rPr>
                <w:rFonts w:ascii="宋体" w:hAnsi="宋体" w:cs="宋体" w:eastAsia="宋体" w:hint="default"/>
                <w:sz w:val="21"/>
                <w:szCs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9" w:right="319" w:hanging="106"/>
              <w:jc w:val="left"/>
              <w:rPr>
                <w:rFonts w:ascii="宋体" w:hAnsi="宋体" w:cs="宋体" w:eastAsia="宋体" w:hint="default"/>
                <w:sz w:val="21"/>
                <w:szCs w:val="21"/>
              </w:rPr>
            </w:pPr>
            <w:r>
              <w:rPr>
                <w:rFonts w:ascii="宋体" w:hAnsi="宋体" w:cs="宋体" w:eastAsia="宋体" w:hint="default"/>
                <w:sz w:val="21"/>
                <w:szCs w:val="21"/>
              </w:rPr>
              <w:t>已预售面积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w:t>
            </w:r>
            <w:r>
              <w:rPr>
                <w:rFonts w:ascii="宋体" w:hAnsi="宋体" w:cs="宋体" w:eastAsia="宋体" w:hint="default"/>
                <w:sz w:val="21"/>
                <w:szCs w:val="21"/>
              </w:rPr>
              <w:t>平方米</w:t>
            </w:r>
            <w:r>
              <w:rPr>
                <w:rFonts w:ascii="宋体" w:hAnsi="宋体" w:cs="宋体" w:eastAsia="宋体" w:hint="default"/>
                <w:sz w:val="21"/>
                <w:szCs w:val="21"/>
              </w:rPr>
              <w:t>)</w:t>
            </w:r>
          </w:p>
        </w:tc>
      </w:tr>
      <w:tr>
        <w:trPr>
          <w:trHeight w:val="28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hAnsi="宋体" w:cs="宋体" w:eastAsia="宋体" w:hint="default"/>
                <w:sz w:val="21"/>
                <w:szCs w:val="21"/>
              </w:rPr>
              <w:t>辽宁</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沈阳·北国之春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124,933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49,638</w:t>
            </w:r>
          </w:p>
        </w:tc>
      </w:tr>
      <w:tr>
        <w:trPr>
          <w:trHeight w:val="281"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hAnsi="宋体" w:cs="宋体" w:eastAsia="宋体" w:hint="default"/>
                <w:sz w:val="21"/>
                <w:szCs w:val="21"/>
              </w:rPr>
              <w:t>辽宁</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沈阳·新湖花园</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50,373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18,464</w:t>
            </w:r>
          </w:p>
        </w:tc>
      </w:tr>
      <w:tr>
        <w:trPr>
          <w:trHeight w:val="28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1"/>
              <w:jc w:val="right"/>
              <w:rPr>
                <w:rFonts w:ascii="宋体" w:hAnsi="宋体" w:cs="宋体" w:eastAsia="宋体" w:hint="default"/>
                <w:sz w:val="21"/>
                <w:szCs w:val="21"/>
              </w:rPr>
            </w:pPr>
            <w:r>
              <w:rPr>
                <w:rFonts w:ascii="宋体" w:hAnsi="宋体" w:cs="宋体" w:eastAsia="宋体" w:hint="default"/>
                <w:sz w:val="21"/>
                <w:szCs w:val="21"/>
              </w:rPr>
              <w:t>辽宁</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沈阳·仙林金谷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54,815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23,481</w:t>
            </w:r>
          </w:p>
        </w:tc>
      </w:tr>
      <w:tr>
        <w:trPr>
          <w:trHeight w:val="28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hAnsi="宋体" w:cs="宋体" w:eastAsia="宋体" w:hint="default"/>
                <w:sz w:val="21"/>
                <w:szCs w:val="21"/>
              </w:rPr>
              <w:t>辽宁</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沈阳·新湖湾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13,994</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hAnsi="宋体" w:cs="宋体" w:eastAsia="宋体" w:hint="default"/>
                <w:sz w:val="21"/>
                <w:szCs w:val="21"/>
              </w:rPr>
              <w:t>天津</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天津·香格里拉</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46,174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16,818</w:t>
            </w:r>
          </w:p>
        </w:tc>
      </w:tr>
      <w:tr>
        <w:trPr>
          <w:trHeight w:val="284" w:hRule="exact"/>
        </w:trPr>
        <w:tc>
          <w:tcPr>
            <w:tcW w:w="463" w:type="dxa"/>
            <w:vMerge w:val="restart"/>
            <w:tcBorders>
              <w:top w:val="single" w:sz="4" w:space="0" w:color="000000"/>
              <w:left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1"/>
                <w:szCs w:val="21"/>
              </w:rPr>
            </w:pPr>
            <w:r>
              <w:rPr>
                <w:rFonts w:ascii="宋体"/>
                <w:w w:val="100"/>
                <w:sz w:val="21"/>
              </w:rPr>
              <w:t>6</w:t>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before="108"/>
              <w:ind w:left="100"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2547" w:type="dxa"/>
            <w:vMerge w:val="restart"/>
            <w:tcBorders>
              <w:top w:val="single" w:sz="4" w:space="0" w:color="000000"/>
              <w:left w:val="single" w:sz="4" w:space="0" w:color="000000"/>
              <w:right w:val="single" w:sz="4" w:space="0" w:color="000000"/>
            </w:tcBorders>
          </w:tcPr>
          <w:p>
            <w:pPr>
              <w:pStyle w:val="TableParagraph"/>
              <w:spacing w:line="240" w:lineRule="auto" w:before="108"/>
              <w:ind w:left="100" w:right="0"/>
              <w:jc w:val="left"/>
              <w:rPr>
                <w:rFonts w:ascii="宋体" w:hAnsi="宋体" w:cs="宋体" w:eastAsia="宋体" w:hint="default"/>
                <w:sz w:val="21"/>
                <w:szCs w:val="21"/>
              </w:rPr>
            </w:pPr>
            <w:r>
              <w:rPr>
                <w:rFonts w:ascii="宋体" w:hAnsi="宋体" w:cs="宋体" w:eastAsia="宋体" w:hint="default"/>
                <w:sz w:val="21"/>
                <w:szCs w:val="21"/>
              </w:rPr>
              <w:t>天津·义乌商贸城</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21,333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14,372</w:t>
            </w:r>
          </w:p>
        </w:tc>
      </w:tr>
      <w:tr>
        <w:trPr>
          <w:trHeight w:val="283" w:hRule="exact"/>
        </w:trPr>
        <w:tc>
          <w:tcPr>
            <w:tcW w:w="463" w:type="dxa"/>
            <w:vMerge/>
            <w:tcBorders>
              <w:left w:val="single" w:sz="4" w:space="0" w:color="000000"/>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c>
          <w:tcPr>
            <w:tcW w:w="2547"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321,149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50,309</w:t>
            </w:r>
          </w:p>
        </w:tc>
      </w:tr>
      <w:tr>
        <w:trPr>
          <w:trHeight w:val="281"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hAnsi="宋体" w:cs="宋体" w:eastAsia="宋体" w:hint="default"/>
                <w:sz w:val="21"/>
                <w:szCs w:val="21"/>
              </w:rPr>
              <w:t>山东</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滨州·新湖玫瑰园</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13,307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1,931</w:t>
            </w:r>
          </w:p>
        </w:tc>
      </w:tr>
      <w:tr>
        <w:trPr>
          <w:trHeight w:val="28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hAnsi="宋体" w:cs="宋体" w:eastAsia="宋体" w:hint="default"/>
                <w:sz w:val="21"/>
                <w:szCs w:val="21"/>
              </w:rPr>
              <w:t>山东</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泰安·新湖绿园</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29,921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24,266</w:t>
            </w:r>
          </w:p>
        </w:tc>
      </w:tr>
      <w:tr>
        <w:trPr>
          <w:trHeight w:val="28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hAnsi="宋体" w:cs="宋体" w:eastAsia="宋体" w:hint="default"/>
                <w:sz w:val="21"/>
                <w:szCs w:val="21"/>
              </w:rPr>
              <w:t>江苏</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南京·仙林翠谷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85,250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33,515</w:t>
            </w:r>
          </w:p>
        </w:tc>
      </w:tr>
      <w:tr>
        <w:trPr>
          <w:trHeight w:val="281"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hAnsi="宋体" w:cs="宋体" w:eastAsia="宋体" w:hint="default"/>
                <w:sz w:val="21"/>
                <w:szCs w:val="21"/>
              </w:rPr>
              <w:t>江苏</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苏州·明珠城</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92,518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42,310</w:t>
            </w:r>
          </w:p>
        </w:tc>
      </w:tr>
      <w:tr>
        <w:trPr>
          <w:trHeight w:val="28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hAnsi="宋体" w:cs="宋体" w:eastAsia="宋体" w:hint="default"/>
                <w:sz w:val="21"/>
                <w:szCs w:val="21"/>
              </w:rPr>
              <w:t>上海</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上海·新湖明珠城</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11,358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514</w:t>
            </w:r>
          </w:p>
        </w:tc>
      </w:tr>
      <w:tr>
        <w:trPr>
          <w:trHeight w:val="281"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hAnsi="宋体" w:cs="宋体" w:eastAsia="宋体" w:hint="default"/>
                <w:sz w:val="21"/>
                <w:szCs w:val="21"/>
              </w:rPr>
              <w:t>上海</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上海·青蓝国际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12,197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6,500</w:t>
            </w:r>
          </w:p>
        </w:tc>
      </w:tr>
      <w:tr>
        <w:trPr>
          <w:trHeight w:val="28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1"/>
              <w:jc w:val="right"/>
              <w:rPr>
                <w:rFonts w:ascii="宋体" w:hAnsi="宋体" w:cs="宋体" w:eastAsia="宋体" w:hint="default"/>
                <w:sz w:val="21"/>
                <w:szCs w:val="21"/>
              </w:rPr>
            </w:pPr>
            <w:r>
              <w:rPr>
                <w:rFonts w:ascii="宋体" w:hAnsi="宋体" w:cs="宋体" w:eastAsia="宋体" w:hint="default"/>
                <w:sz w:val="21"/>
                <w:szCs w:val="21"/>
              </w:rPr>
              <w:t>浙江</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杭州·香格里拉</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52,297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25,477</w:t>
            </w:r>
          </w:p>
        </w:tc>
      </w:tr>
      <w:tr>
        <w:trPr>
          <w:trHeight w:val="28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hAnsi="宋体" w:cs="宋体" w:eastAsia="宋体" w:hint="default"/>
                <w:sz w:val="21"/>
                <w:szCs w:val="21"/>
              </w:rPr>
              <w:t>浙江</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杭州·新湖果岭</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29,252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25,310</w:t>
            </w:r>
          </w:p>
        </w:tc>
      </w:tr>
      <w:tr>
        <w:trPr>
          <w:trHeight w:val="281"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hAnsi="宋体" w:cs="宋体" w:eastAsia="宋体" w:hint="default"/>
                <w:sz w:val="21"/>
                <w:szCs w:val="21"/>
              </w:rPr>
              <w:t>浙江</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杭州·武林国际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16,148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9,150</w:t>
            </w:r>
          </w:p>
        </w:tc>
      </w:tr>
      <w:tr>
        <w:trPr>
          <w:trHeight w:val="284"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16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51"/>
              <w:jc w:val="right"/>
              <w:rPr>
                <w:rFonts w:ascii="宋体" w:hAnsi="宋体" w:cs="宋体" w:eastAsia="宋体" w:hint="default"/>
                <w:sz w:val="21"/>
                <w:szCs w:val="21"/>
              </w:rPr>
            </w:pPr>
            <w:r>
              <w:rPr>
                <w:rFonts w:ascii="宋体" w:hAnsi="宋体" w:cs="宋体" w:eastAsia="宋体" w:hint="default"/>
                <w:sz w:val="21"/>
                <w:szCs w:val="21"/>
              </w:rPr>
              <w:t>浙江</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嘉兴·新中花园</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34,343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24,884</w:t>
            </w:r>
          </w:p>
        </w:tc>
      </w:tr>
      <w:tr>
        <w:trPr>
          <w:trHeight w:val="28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hAnsi="宋体" w:cs="宋体" w:eastAsia="宋体" w:hint="default"/>
                <w:sz w:val="21"/>
                <w:szCs w:val="21"/>
              </w:rPr>
              <w:t>浙江</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海宁·百合新城</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4,846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4,846</w:t>
            </w:r>
          </w:p>
        </w:tc>
      </w:tr>
      <w:tr>
        <w:trPr>
          <w:trHeight w:val="281"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hAnsi="宋体" w:cs="宋体" w:eastAsia="宋体" w:hint="default"/>
                <w:sz w:val="21"/>
                <w:szCs w:val="21"/>
              </w:rPr>
              <w:t>浙江</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衢州·新湖景城</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233,328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84,646</w:t>
            </w:r>
          </w:p>
        </w:tc>
      </w:tr>
      <w:tr>
        <w:trPr>
          <w:trHeight w:val="28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hAnsi="宋体" w:cs="宋体" w:eastAsia="宋体" w:hint="default"/>
                <w:sz w:val="21"/>
                <w:szCs w:val="21"/>
              </w:rPr>
              <w:t>浙江</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丽水·新湖国际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57,877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43,393</w:t>
            </w:r>
          </w:p>
        </w:tc>
      </w:tr>
      <w:tr>
        <w:trPr>
          <w:trHeight w:val="28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hAnsi="宋体" w:cs="宋体" w:eastAsia="宋体" w:hint="default"/>
                <w:sz w:val="21"/>
                <w:szCs w:val="21"/>
              </w:rPr>
              <w:t>浙江</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乐清·海德花园</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107,438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74,386</w:t>
            </w:r>
          </w:p>
        </w:tc>
      </w:tr>
      <w:tr>
        <w:trPr>
          <w:trHeight w:val="281"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hAnsi="宋体" w:cs="宋体" w:eastAsia="宋体" w:hint="default"/>
                <w:sz w:val="21"/>
                <w:szCs w:val="21"/>
              </w:rPr>
              <w:t>浙江</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瑞安·新湖广场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77,350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67,129</w:t>
            </w:r>
          </w:p>
        </w:tc>
      </w:tr>
      <w:tr>
        <w:trPr>
          <w:trHeight w:val="28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hAnsi="宋体" w:cs="宋体" w:eastAsia="宋体" w:hint="default"/>
                <w:sz w:val="21"/>
                <w:szCs w:val="21"/>
              </w:rPr>
              <w:t>浙江</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兰溪·香格里拉</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87,253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48,578</w:t>
            </w:r>
          </w:p>
        </w:tc>
      </w:tr>
      <w:tr>
        <w:trPr>
          <w:trHeight w:val="28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hAnsi="宋体" w:cs="宋体" w:eastAsia="宋体" w:hint="default"/>
                <w:sz w:val="21"/>
                <w:szCs w:val="21"/>
              </w:rPr>
              <w:t>浙江</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舟山·御景国际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113,118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46,673</w:t>
            </w:r>
          </w:p>
        </w:tc>
      </w:tr>
      <w:tr>
        <w:trPr>
          <w:trHeight w:val="281"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hAnsi="宋体" w:cs="宋体" w:eastAsia="宋体" w:hint="default"/>
                <w:sz w:val="21"/>
                <w:szCs w:val="21"/>
              </w:rPr>
              <w:t>江西</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九江·柴桑春天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75,040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26,742</w:t>
            </w:r>
          </w:p>
        </w:tc>
      </w:tr>
      <w:tr>
        <w:trPr>
          <w:trHeight w:val="28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hAnsi="宋体" w:cs="宋体" w:eastAsia="宋体" w:hint="default"/>
                <w:sz w:val="21"/>
                <w:szCs w:val="21"/>
              </w:rPr>
              <w:t>江西</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九江·庐山国际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210,573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113,214</w:t>
            </w:r>
          </w:p>
        </w:tc>
      </w:tr>
      <w:tr>
        <w:trPr>
          <w:trHeight w:val="281"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hAnsi="宋体" w:cs="宋体" w:eastAsia="宋体" w:hint="default"/>
                <w:sz w:val="21"/>
                <w:szCs w:val="21"/>
              </w:rPr>
              <w:t>其他</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65,722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43,869</w:t>
            </w:r>
          </w:p>
        </w:tc>
      </w:tr>
      <w:tr>
        <w:trPr>
          <w:trHeight w:val="283" w:hRule="exact"/>
        </w:trPr>
        <w:tc>
          <w:tcPr>
            <w:tcW w:w="46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21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2,041,907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920,415</w:t>
            </w:r>
          </w:p>
        </w:tc>
      </w:tr>
    </w:tbl>
    <w:p>
      <w:pPr>
        <w:spacing w:line="240" w:lineRule="auto" w:before="11"/>
        <w:rPr>
          <w:rFonts w:ascii="宋体" w:hAnsi="宋体" w:cs="宋体" w:eastAsia="宋体" w:hint="default"/>
          <w:sz w:val="18"/>
          <w:szCs w:val="18"/>
        </w:rPr>
      </w:pPr>
    </w:p>
    <w:p>
      <w:pPr>
        <w:pStyle w:val="Heading2"/>
        <w:spacing w:line="240" w:lineRule="auto"/>
        <w:ind w:left="700" w:right="233"/>
        <w:jc w:val="left"/>
        <w:rPr>
          <w:b w:val="0"/>
          <w:bCs w:val="0"/>
        </w:rPr>
      </w:pPr>
      <w:r>
        <w:rPr/>
        <w:t>情况说明</w:t>
      </w:r>
      <w:r>
        <w:rPr>
          <w:b w:val="0"/>
          <w:bCs w:val="0"/>
        </w:rPr>
      </w:r>
    </w:p>
    <w:p>
      <w:pPr>
        <w:spacing w:line="240" w:lineRule="auto" w:before="7"/>
        <w:rPr>
          <w:rFonts w:ascii="宋体" w:hAnsi="宋体" w:cs="宋体" w:eastAsia="宋体" w:hint="default"/>
          <w:b/>
          <w:bCs/>
          <w:sz w:val="23"/>
          <w:szCs w:val="23"/>
        </w:rPr>
      </w:pPr>
    </w:p>
    <w:p>
      <w:pPr>
        <w:pStyle w:val="BodyText"/>
        <w:spacing w:line="357" w:lineRule="auto"/>
        <w:ind w:left="218" w:right="217" w:firstLine="479"/>
        <w:jc w:val="left"/>
      </w:pPr>
      <w:r>
        <w:rPr>
          <w:spacing w:val="-8"/>
        </w:rPr>
        <w:t>报告期内，对公司销售和利润贡献较大的地产项目所在城市为上海、杭州、温州，</w:t>
      </w:r>
      <w:r>
        <w:rPr/>
        <w:t> 其房地产行业发展状况如下：</w:t>
      </w:r>
    </w:p>
    <w:p>
      <w:pPr>
        <w:spacing w:after="0" w:line="357" w:lineRule="auto"/>
        <w:jc w:val="left"/>
        <w:sectPr>
          <w:headerReference w:type="default" r:id="rId25"/>
          <w:footerReference w:type="default" r:id="rId26"/>
          <w:pgSz w:w="11910" w:h="16840"/>
          <w:pgMar w:header="880" w:footer="1195" w:top="1120" w:bottom="1380" w:left="1580" w:right="1040"/>
          <w:pgNumType w:start="27"/>
        </w:sectPr>
      </w:pPr>
    </w:p>
    <w:p>
      <w:pPr>
        <w:spacing w:line="240" w:lineRule="auto" w:before="8"/>
        <w:rPr>
          <w:rFonts w:ascii="宋体" w:hAnsi="宋体" w:cs="宋体" w:eastAsia="宋体" w:hint="default"/>
          <w:sz w:val="25"/>
          <w:szCs w:val="25"/>
        </w:rPr>
      </w:pPr>
    </w:p>
    <w:p>
      <w:pPr>
        <w:pStyle w:val="Heading2"/>
        <w:spacing w:line="240" w:lineRule="auto"/>
        <w:ind w:left="2669" w:right="233"/>
        <w:jc w:val="left"/>
        <w:rPr>
          <w:b w:val="0"/>
          <w:bCs w:val="0"/>
        </w:rPr>
      </w:pPr>
      <w:r>
        <w:rPr/>
        <w:t>上海、杭州、温州的房地产行业发展状况</w:t>
      </w:r>
      <w:r>
        <w:rPr>
          <w:b w:val="0"/>
          <w:bCs w:val="0"/>
        </w:rPr>
      </w:r>
    </w:p>
    <w:p>
      <w:pPr>
        <w:spacing w:line="240" w:lineRule="auto" w:before="2"/>
        <w:rPr>
          <w:rFonts w:ascii="宋体" w:hAnsi="宋体" w:cs="宋体" w:eastAsia="宋体" w:hint="default"/>
          <w:b/>
          <w:bCs/>
          <w:sz w:val="24"/>
          <w:szCs w:val="24"/>
        </w:rPr>
      </w:pPr>
    </w:p>
    <w:p>
      <w:pPr>
        <w:spacing w:before="0"/>
        <w:ind w:left="4221" w:right="0" w:firstLine="0"/>
        <w:jc w:val="left"/>
        <w:rPr>
          <w:rFonts w:ascii="宋体" w:hAnsi="宋体" w:cs="宋体" w:eastAsia="宋体" w:hint="default"/>
          <w:sz w:val="21"/>
          <w:szCs w:val="21"/>
        </w:rPr>
      </w:pPr>
      <w:r>
        <w:rPr>
          <w:rFonts w:ascii="宋体" w:hAnsi="宋体" w:cs="宋体" w:eastAsia="宋体" w:hint="default"/>
          <w:sz w:val="21"/>
          <w:szCs w:val="21"/>
        </w:rPr>
        <w:t>面积单位：万平方米 金额单位：亿元</w:t>
      </w:r>
      <w:r>
        <w:rPr>
          <w:rFonts w:ascii="宋体" w:hAnsi="宋体" w:cs="宋体" w:eastAsia="宋体" w:hint="default"/>
          <w:spacing w:val="-5"/>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37"/>
        <w:gridCol w:w="1051"/>
        <w:gridCol w:w="1054"/>
        <w:gridCol w:w="1054"/>
        <w:gridCol w:w="1051"/>
        <w:gridCol w:w="1052"/>
        <w:gridCol w:w="1051"/>
      </w:tblGrid>
      <w:tr>
        <w:trPr>
          <w:trHeight w:val="283" w:hRule="exact"/>
        </w:trPr>
        <w:tc>
          <w:tcPr>
            <w:tcW w:w="2737" w:type="dxa"/>
            <w:vMerge w:val="restart"/>
            <w:tcBorders>
              <w:top w:val="single" w:sz="4" w:space="0" w:color="000000"/>
              <w:left w:val="single" w:sz="4" w:space="0" w:color="000000"/>
              <w:right w:val="single" w:sz="4" w:space="0" w:color="000000"/>
            </w:tcBorders>
          </w:tcPr>
          <w:p>
            <w:pPr/>
          </w:p>
        </w:tc>
        <w:tc>
          <w:tcPr>
            <w:tcW w:w="2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上海</w:t>
            </w:r>
            <w:r>
              <w:rPr>
                <w:rFonts w:ascii="宋体" w:hAnsi="宋体" w:cs="宋体" w:eastAsia="宋体" w:hint="default"/>
                <w:sz w:val="21"/>
                <w:szCs w:val="21"/>
              </w:rPr>
            </w:r>
          </w:p>
        </w:tc>
        <w:tc>
          <w:tcPr>
            <w:tcW w:w="2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杭州</w:t>
            </w:r>
            <w:r>
              <w:rPr>
                <w:rFonts w:ascii="宋体" w:hAnsi="宋体" w:cs="宋体" w:eastAsia="宋体" w:hint="default"/>
                <w:sz w:val="21"/>
                <w:szCs w:val="21"/>
              </w:rPr>
            </w:r>
          </w:p>
        </w:tc>
        <w:tc>
          <w:tcPr>
            <w:tcW w:w="21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温州</w:t>
            </w:r>
            <w:r>
              <w:rPr>
                <w:rFonts w:ascii="宋体" w:hAnsi="宋体" w:cs="宋体" w:eastAsia="宋体" w:hint="default"/>
                <w:sz w:val="21"/>
                <w:szCs w:val="21"/>
              </w:rPr>
            </w:r>
          </w:p>
        </w:tc>
      </w:tr>
      <w:tr>
        <w:trPr>
          <w:trHeight w:val="554" w:hRule="exact"/>
        </w:trPr>
        <w:tc>
          <w:tcPr>
            <w:tcW w:w="2737" w:type="dxa"/>
            <w:vMerge/>
            <w:tcBorders>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面积</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z w:val="21"/>
                <w:szCs w:val="21"/>
              </w:rPr>
              <w:t>同比（</w:t>
            </w:r>
            <w:r>
              <w:rPr>
                <w:rFonts w:ascii="宋体" w:hAnsi="宋体" w:cs="宋体" w:eastAsia="宋体" w:hint="default"/>
                <w:sz w:val="21"/>
                <w:szCs w:val="21"/>
              </w:rPr>
              <w:t>%</w:t>
            </w:r>
            <w:r>
              <w:rPr>
                <w:rFonts w:ascii="宋体" w:hAnsi="宋体" w:cs="宋体" w:eastAsia="宋体" w:hint="default"/>
                <w:sz w:val="21"/>
                <w:szCs w:val="21"/>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面积</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9" w:right="0"/>
              <w:jc w:val="left"/>
              <w:rPr>
                <w:rFonts w:ascii="宋体" w:hAnsi="宋体" w:cs="宋体" w:eastAsia="宋体" w:hint="default"/>
                <w:sz w:val="21"/>
                <w:szCs w:val="21"/>
              </w:rPr>
            </w:pPr>
            <w:r>
              <w:rPr>
                <w:rFonts w:ascii="宋体" w:hAnsi="宋体" w:cs="宋体" w:eastAsia="宋体" w:hint="default"/>
                <w:sz w:val="21"/>
                <w:szCs w:val="21"/>
              </w:rPr>
              <w:t>同比</w:t>
            </w:r>
          </w:p>
          <w:p>
            <w:pPr>
              <w:pStyle w:val="TableParagraph"/>
              <w:spacing w:line="274"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面积</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9" w:right="0"/>
              <w:jc w:val="left"/>
              <w:rPr>
                <w:rFonts w:ascii="宋体" w:hAnsi="宋体" w:cs="宋体" w:eastAsia="宋体" w:hint="default"/>
                <w:sz w:val="21"/>
                <w:szCs w:val="21"/>
              </w:rPr>
            </w:pPr>
            <w:r>
              <w:rPr>
                <w:rFonts w:ascii="宋体" w:hAnsi="宋体" w:cs="宋体" w:eastAsia="宋体" w:hint="default"/>
                <w:sz w:val="21"/>
                <w:szCs w:val="21"/>
              </w:rPr>
              <w:t>同比</w:t>
            </w:r>
          </w:p>
          <w:p>
            <w:pPr>
              <w:pStyle w:val="TableParagraph"/>
              <w:spacing w:line="274"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391"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房屋施工面积</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z w:val="21"/>
              </w:rPr>
              <w:t>15362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79" w:right="0"/>
              <w:jc w:val="left"/>
              <w:rPr>
                <w:rFonts w:ascii="Times New Roman" w:hAnsi="Times New Roman" w:cs="Times New Roman" w:eastAsia="Times New Roman" w:hint="default"/>
                <w:sz w:val="21"/>
                <w:szCs w:val="21"/>
              </w:rPr>
            </w:pPr>
            <w:r>
              <w:rPr>
                <w:rFonts w:ascii="Times New Roman"/>
                <w:sz w:val="21"/>
              </w:rPr>
              <w:t>1.7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15" w:right="0"/>
              <w:jc w:val="left"/>
              <w:rPr>
                <w:rFonts w:ascii="Times New Roman" w:hAnsi="Times New Roman" w:cs="Times New Roman" w:eastAsia="Times New Roman" w:hint="default"/>
                <w:sz w:val="21"/>
                <w:szCs w:val="21"/>
              </w:rPr>
            </w:pPr>
            <w:r>
              <w:rPr>
                <w:rFonts w:ascii="Times New Roman"/>
                <w:color w:val="242424"/>
                <w:sz w:val="21"/>
              </w:rPr>
              <w:t>11523</w:t>
            </w:r>
            <w:r>
              <w:rPr>
                <w:rFonts w:ascii="Times New Roman"/>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color w:val="242424"/>
                <w:spacing w:val="-1"/>
                <w:sz w:val="21"/>
              </w:rPr>
              <w:t>-0.3</w:t>
            </w:r>
            <w:r>
              <w:rPr>
                <w:rFonts w:ascii="Times New Roman"/>
                <w:spacing w:val="-1"/>
                <w:sz w:val="21"/>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4721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color w:val="242424"/>
                <w:spacing w:val="-1"/>
                <w:sz w:val="21"/>
              </w:rPr>
              <w:t>-</w:t>
            </w:r>
            <w:r>
              <w:rPr>
                <w:rFonts w:ascii="Times New Roman"/>
                <w:spacing w:val="-1"/>
                <w:sz w:val="21"/>
              </w:rPr>
              <w:t>0.1%</w:t>
            </w:r>
          </w:p>
        </w:tc>
      </w:tr>
      <w:tr>
        <w:trPr>
          <w:trHeight w:val="283"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其中：住宅施工面积</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8014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07" w:right="0"/>
              <w:jc w:val="left"/>
              <w:rPr>
                <w:rFonts w:ascii="Times New Roman" w:hAnsi="Times New Roman" w:cs="Times New Roman" w:eastAsia="Times New Roman" w:hint="default"/>
                <w:sz w:val="21"/>
                <w:szCs w:val="21"/>
              </w:rPr>
            </w:pPr>
            <w:r>
              <w:rPr>
                <w:rFonts w:ascii="Times New Roman"/>
                <w:sz w:val="21"/>
              </w:rPr>
              <w:t>-0.7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color w:val="242424"/>
                <w:sz w:val="21"/>
              </w:rPr>
              <w:t>5939</w:t>
            </w:r>
            <w:r>
              <w:rPr>
                <w:rFonts w:ascii="Times New Roman"/>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color w:val="242424"/>
                <w:spacing w:val="-1"/>
                <w:sz w:val="21"/>
              </w:rPr>
              <w:t>-1.0</w:t>
            </w:r>
            <w:r>
              <w:rPr>
                <w:rFonts w:ascii="Times New Roman"/>
                <w:spacing w:val="-1"/>
                <w:sz w:val="21"/>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color w:val="242424"/>
                <w:w w:val="100"/>
                <w:sz w:val="21"/>
              </w:rPr>
              <w:t>/</w:t>
            </w:r>
            <w:r>
              <w:rPr>
                <w:rFonts w:ascii="Times New Roman"/>
                <w:w w:val="100"/>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color w:val="242424"/>
                <w:w w:val="100"/>
                <w:sz w:val="21"/>
              </w:rPr>
              <w:t>/</w:t>
            </w:r>
            <w:r>
              <w:rPr>
                <w:rFonts w:ascii="Times New Roman"/>
                <w:w w:val="100"/>
                <w:sz w:val="21"/>
              </w:rPr>
            </w:r>
          </w:p>
        </w:tc>
      </w:tr>
      <w:tr>
        <w:trPr>
          <w:trHeight w:val="281"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房屋新开工面积</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2618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07" w:right="0"/>
              <w:jc w:val="left"/>
              <w:rPr>
                <w:rFonts w:ascii="Times New Roman" w:hAnsi="Times New Roman" w:cs="Times New Roman" w:eastAsia="Times New Roman" w:hint="default"/>
                <w:sz w:val="21"/>
                <w:szCs w:val="21"/>
              </w:rPr>
            </w:pPr>
            <w:r>
              <w:rPr>
                <w:rFonts w:ascii="Times New Roman"/>
                <w:sz w:val="21"/>
              </w:rPr>
              <w:t>-7.8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8"/>
              <w:jc w:val="right"/>
              <w:rPr>
                <w:rFonts w:ascii="Times New Roman" w:hAnsi="Times New Roman" w:cs="Times New Roman" w:eastAsia="Times New Roman" w:hint="default"/>
                <w:sz w:val="21"/>
                <w:szCs w:val="21"/>
              </w:rPr>
            </w:pPr>
            <w:r>
              <w:rPr>
                <w:rFonts w:ascii="Times New Roman"/>
                <w:color w:val="242424"/>
                <w:sz w:val="21"/>
              </w:rPr>
              <w:t>2177</w:t>
            </w:r>
            <w:r>
              <w:rPr>
                <w:rFonts w:ascii="Times New Roman"/>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8"/>
              <w:jc w:val="right"/>
              <w:rPr>
                <w:rFonts w:ascii="Times New Roman" w:hAnsi="Times New Roman" w:cs="Times New Roman" w:eastAsia="Times New Roman" w:hint="default"/>
                <w:sz w:val="21"/>
                <w:szCs w:val="21"/>
              </w:rPr>
            </w:pPr>
            <w:r>
              <w:rPr>
                <w:rFonts w:ascii="Times New Roman"/>
                <w:color w:val="242424"/>
                <w:sz w:val="21"/>
              </w:rPr>
              <w:t>1.9</w:t>
            </w:r>
            <w:r>
              <w:rPr>
                <w:rFonts w:ascii="Times New Roman"/>
                <w:sz w:val="21"/>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color w:val="242424"/>
                <w:w w:val="100"/>
                <w:sz w:val="21"/>
              </w:rPr>
              <w:t>/</w:t>
            </w:r>
            <w:r>
              <w:rPr>
                <w:rFonts w:ascii="Times New Roman"/>
                <w:w w:val="100"/>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color w:val="242424"/>
                <w:w w:val="100"/>
                <w:sz w:val="21"/>
              </w:rPr>
              <w:t>/</w:t>
            </w:r>
            <w:r>
              <w:rPr>
                <w:rFonts w:ascii="Times New Roman"/>
                <w:w w:val="100"/>
                <w:sz w:val="21"/>
              </w:rPr>
            </w:r>
          </w:p>
        </w:tc>
      </w:tr>
      <w:tr>
        <w:trPr>
          <w:trHeight w:val="283"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其中：住宅新开工面积</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1403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07" w:right="0"/>
              <w:jc w:val="left"/>
              <w:rPr>
                <w:rFonts w:ascii="Times New Roman" w:hAnsi="Times New Roman" w:cs="Times New Roman" w:eastAsia="Times New Roman" w:hint="default"/>
                <w:sz w:val="21"/>
                <w:szCs w:val="21"/>
              </w:rPr>
            </w:pPr>
            <w:r>
              <w:rPr>
                <w:rFonts w:ascii="Times New Roman"/>
                <w:sz w:val="21"/>
              </w:rPr>
              <w:t>-2.3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Times New Roman" w:hAnsi="Times New Roman" w:cs="Times New Roman" w:eastAsia="Times New Roman" w:hint="default"/>
                <w:sz w:val="21"/>
                <w:szCs w:val="21"/>
              </w:rPr>
            </w:pPr>
            <w:r>
              <w:rPr>
                <w:rFonts w:ascii="Times New Roman"/>
                <w:color w:val="242424"/>
                <w:sz w:val="21"/>
              </w:rPr>
              <w:t>1244</w:t>
            </w:r>
            <w:r>
              <w:rPr>
                <w:rFonts w:ascii="Times New Roman"/>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Times New Roman" w:hAnsi="Times New Roman" w:cs="Times New Roman" w:eastAsia="Times New Roman" w:hint="default"/>
                <w:sz w:val="21"/>
                <w:szCs w:val="21"/>
              </w:rPr>
            </w:pPr>
            <w:r>
              <w:rPr>
                <w:rFonts w:ascii="Times New Roman"/>
                <w:color w:val="242424"/>
                <w:sz w:val="21"/>
              </w:rPr>
              <w:t>1.6</w:t>
            </w:r>
            <w:r>
              <w:rPr>
                <w:rFonts w:ascii="Times New Roman"/>
                <w:sz w:val="21"/>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color w:val="242424"/>
                <w:w w:val="100"/>
                <w:sz w:val="21"/>
              </w:rPr>
              <w:t>/</w:t>
            </w:r>
            <w:r>
              <w:rPr>
                <w:rFonts w:ascii="Times New Roman"/>
                <w:w w:val="100"/>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color w:val="242424"/>
                <w:w w:val="100"/>
                <w:sz w:val="21"/>
              </w:rPr>
              <w:t>/</w:t>
            </w:r>
            <w:r>
              <w:rPr>
                <w:rFonts w:ascii="Times New Roman"/>
                <w:w w:val="100"/>
                <w:sz w:val="21"/>
              </w:rPr>
            </w:r>
          </w:p>
        </w:tc>
      </w:tr>
      <w:tr>
        <w:trPr>
          <w:trHeight w:val="283"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房屋竣工面积</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3388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73" w:right="0"/>
              <w:jc w:val="left"/>
              <w:rPr>
                <w:rFonts w:ascii="Times New Roman" w:hAnsi="Times New Roman" w:cs="Times New Roman" w:eastAsia="Times New Roman" w:hint="default"/>
                <w:sz w:val="21"/>
                <w:szCs w:val="21"/>
              </w:rPr>
            </w:pPr>
            <w:r>
              <w:rPr>
                <w:rFonts w:ascii="Times New Roman"/>
                <w:sz w:val="21"/>
              </w:rPr>
              <w:t>32.8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color w:val="242424"/>
                <w:sz w:val="21"/>
              </w:rPr>
              <w:t>2086</w:t>
            </w:r>
            <w:r>
              <w:rPr>
                <w:rFonts w:ascii="Times New Roman"/>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color w:val="242424"/>
                <w:sz w:val="21"/>
              </w:rPr>
              <w:t>8.5</w:t>
            </w:r>
            <w:r>
              <w:rPr>
                <w:rFonts w:ascii="Times New Roman"/>
                <w:sz w:val="21"/>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681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color w:val="242424"/>
                <w:spacing w:val="-1"/>
                <w:sz w:val="21"/>
              </w:rPr>
              <w:t>-11.7%</w:t>
            </w:r>
            <w:r>
              <w:rPr>
                <w:rFonts w:ascii="Times New Roman"/>
                <w:spacing w:val="-1"/>
                <w:sz w:val="21"/>
              </w:rPr>
            </w:r>
          </w:p>
        </w:tc>
      </w:tr>
      <w:tr>
        <w:trPr>
          <w:trHeight w:val="281"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其中：住宅竣工面积</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1863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73" w:right="0"/>
              <w:jc w:val="left"/>
              <w:rPr>
                <w:rFonts w:ascii="Times New Roman" w:hAnsi="Times New Roman" w:cs="Times New Roman" w:eastAsia="Times New Roman" w:hint="default"/>
                <w:sz w:val="21"/>
                <w:szCs w:val="21"/>
              </w:rPr>
            </w:pPr>
            <w:r>
              <w:rPr>
                <w:rFonts w:ascii="Times New Roman"/>
                <w:sz w:val="21"/>
              </w:rPr>
              <w:t>21.5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color w:val="242424"/>
                <w:sz w:val="21"/>
              </w:rPr>
              <w:t>1171</w:t>
            </w:r>
            <w:r>
              <w:rPr>
                <w:rFonts w:ascii="Times New Roman"/>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color w:val="242424"/>
                <w:sz w:val="21"/>
              </w:rPr>
              <w:t>5.2</w:t>
            </w:r>
            <w:r>
              <w:rPr>
                <w:rFonts w:ascii="Times New Roman"/>
                <w:sz w:val="21"/>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Times New Roman" w:hAnsi="Times New Roman" w:cs="Times New Roman" w:eastAsia="Times New Roman" w:hint="default"/>
                <w:sz w:val="21"/>
                <w:szCs w:val="21"/>
              </w:rPr>
            </w:pPr>
            <w:r>
              <w:rPr>
                <w:rFonts w:ascii="Times New Roman"/>
                <w:color w:val="242424"/>
                <w:w w:val="100"/>
                <w:sz w:val="21"/>
              </w:rPr>
              <w:t>/</w:t>
            </w:r>
            <w:r>
              <w:rPr>
                <w:rFonts w:ascii="Times New Roman"/>
                <w:w w:val="100"/>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Times New Roman" w:hAnsi="Times New Roman" w:cs="Times New Roman" w:eastAsia="Times New Roman" w:hint="default"/>
                <w:sz w:val="21"/>
                <w:szCs w:val="21"/>
              </w:rPr>
            </w:pPr>
            <w:r>
              <w:rPr>
                <w:rFonts w:ascii="Times New Roman"/>
                <w:color w:val="242424"/>
                <w:w w:val="100"/>
                <w:sz w:val="21"/>
              </w:rPr>
              <w:t>/</w:t>
            </w:r>
            <w:r>
              <w:rPr>
                <w:rFonts w:ascii="Times New Roman"/>
                <w:w w:val="100"/>
                <w:sz w:val="21"/>
              </w:rPr>
            </w:r>
          </w:p>
        </w:tc>
      </w:tr>
      <w:tr>
        <w:trPr>
          <w:trHeight w:val="283"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房屋销售面积</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1692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4" w:right="0"/>
              <w:jc w:val="left"/>
              <w:rPr>
                <w:rFonts w:ascii="Times New Roman" w:hAnsi="Times New Roman" w:cs="Times New Roman" w:eastAsia="Times New Roman" w:hint="default"/>
                <w:sz w:val="21"/>
                <w:szCs w:val="21"/>
              </w:rPr>
            </w:pPr>
            <w:r>
              <w:rPr>
                <w:rFonts w:ascii="Times New Roman"/>
                <w:sz w:val="21"/>
              </w:rPr>
              <w:t>-37.5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color w:val="242424"/>
                <w:sz w:val="21"/>
              </w:rPr>
              <w:t>2054</w:t>
            </w:r>
            <w:r>
              <w:rPr>
                <w:rFonts w:ascii="Times New Roman"/>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color w:val="242424"/>
                <w:spacing w:val="-1"/>
                <w:sz w:val="21"/>
              </w:rPr>
              <w:t>-11.7</w:t>
            </w:r>
            <w:r>
              <w:rPr>
                <w:rFonts w:ascii="Times New Roman"/>
                <w:spacing w:val="-1"/>
                <w:sz w:val="21"/>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1070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color w:val="242424"/>
                <w:sz w:val="21"/>
              </w:rPr>
              <w:t>38.3%</w:t>
            </w:r>
            <w:r>
              <w:rPr>
                <w:rFonts w:ascii="Times New Roman"/>
                <w:sz w:val="21"/>
              </w:rPr>
            </w:r>
          </w:p>
        </w:tc>
      </w:tr>
      <w:tr>
        <w:trPr>
          <w:trHeight w:val="283"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其中：住宅销售面积</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1342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4" w:right="0"/>
              <w:jc w:val="left"/>
              <w:rPr>
                <w:rFonts w:ascii="Times New Roman" w:hAnsi="Times New Roman" w:cs="Times New Roman" w:eastAsia="Times New Roman" w:hint="default"/>
                <w:sz w:val="21"/>
                <w:szCs w:val="21"/>
              </w:rPr>
            </w:pPr>
            <w:r>
              <w:rPr>
                <w:rFonts w:ascii="Times New Roman"/>
                <w:sz w:val="21"/>
              </w:rPr>
              <w:t>-33.6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color w:val="242424"/>
                <w:sz w:val="21"/>
              </w:rPr>
              <w:t>1520</w:t>
            </w:r>
            <w:r>
              <w:rPr>
                <w:rFonts w:ascii="Times New Roman"/>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color w:val="242424"/>
                <w:spacing w:val="-1"/>
                <w:sz w:val="21"/>
              </w:rPr>
              <w:t>-19.5</w:t>
            </w:r>
            <w:r>
              <w:rPr>
                <w:rFonts w:ascii="Times New Roman"/>
                <w:spacing w:val="-1"/>
                <w:sz w:val="21"/>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color w:val="242424"/>
                <w:w w:val="100"/>
                <w:sz w:val="21"/>
              </w:rPr>
              <w:t>/</w:t>
            </w:r>
            <w:r>
              <w:rPr>
                <w:rFonts w:ascii="Times New Roman"/>
                <w:w w:val="100"/>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color w:val="242424"/>
                <w:w w:val="100"/>
                <w:sz w:val="21"/>
              </w:rPr>
              <w:t>/</w:t>
            </w:r>
            <w:r>
              <w:rPr>
                <w:rFonts w:ascii="Times New Roman"/>
                <w:w w:val="100"/>
                <w:sz w:val="21"/>
              </w:rPr>
            </w:r>
          </w:p>
        </w:tc>
      </w:tr>
    </w:tbl>
    <w:p>
      <w:pPr>
        <w:spacing w:line="205" w:lineRule="exact" w:before="0"/>
        <w:ind w:left="218" w:right="233" w:firstLine="0"/>
        <w:jc w:val="left"/>
        <w:rPr>
          <w:rFonts w:ascii="宋体" w:hAnsi="宋体" w:cs="宋体" w:eastAsia="宋体" w:hint="default"/>
          <w:sz w:val="18"/>
          <w:szCs w:val="18"/>
        </w:rPr>
      </w:pPr>
      <w:r>
        <w:rPr>
          <w:rFonts w:ascii="宋体" w:hAnsi="宋体" w:cs="宋体" w:eastAsia="宋体" w:hint="default"/>
          <w:sz w:val="18"/>
          <w:szCs w:val="18"/>
        </w:rPr>
        <w:t>数据来源</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各市统计局。</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BodyText"/>
        <w:spacing w:line="240" w:lineRule="auto"/>
        <w:ind w:left="638" w:right="233"/>
        <w:jc w:val="left"/>
      </w:pPr>
      <w:r>
        <w:rPr/>
        <w:t>（</w:t>
      </w:r>
      <w:r>
        <w:rPr>
          <w:rFonts w:ascii="宋体" w:hAnsi="宋体" w:cs="宋体" w:eastAsia="宋体" w:hint="default"/>
        </w:rPr>
        <w:t>1</w:t>
      </w:r>
      <w:r>
        <w:rPr/>
        <w:t>）上海</w:t>
      </w:r>
    </w:p>
    <w:p>
      <w:pPr>
        <w:pStyle w:val="BodyText"/>
        <w:spacing w:line="357" w:lineRule="auto" w:before="154"/>
        <w:ind w:left="218" w:right="232" w:firstLine="479"/>
        <w:jc w:val="both"/>
      </w:pPr>
      <w:r>
        <w:rPr>
          <w:rFonts w:ascii="宋体" w:hAnsi="宋体" w:cs="宋体" w:eastAsia="宋体" w:hint="default"/>
        </w:rPr>
        <w:t>2017</w:t>
      </w:r>
      <w:r>
        <w:rPr>
          <w:rFonts w:ascii="宋体" w:hAnsi="宋体" w:cs="宋体" w:eastAsia="宋体" w:hint="default"/>
          <w:spacing w:val="-40"/>
        </w:rPr>
        <w:t> </w:t>
      </w:r>
      <w:r>
        <w:rPr>
          <w:spacing w:val="-4"/>
        </w:rPr>
        <w:t>年，受严厉的楼市调控政策影响，上海房地产市场价格基本平稳，但供给不</w:t>
      </w:r>
      <w:r>
        <w:rPr/>
        <w:t> 足使成交规模下降明显。全市房屋销售面积</w:t>
      </w:r>
      <w:r>
        <w:rPr>
          <w:spacing w:val="-72"/>
        </w:rPr>
        <w:t> </w:t>
      </w:r>
      <w:r>
        <w:rPr>
          <w:rFonts w:ascii="宋体" w:hAnsi="宋体" w:cs="宋体" w:eastAsia="宋体" w:hint="default"/>
        </w:rPr>
        <w:t>1692</w:t>
      </w:r>
      <w:r>
        <w:rPr>
          <w:rFonts w:ascii="宋体" w:hAnsi="宋体" w:cs="宋体" w:eastAsia="宋体" w:hint="default"/>
          <w:spacing w:val="-72"/>
        </w:rPr>
        <w:t> </w:t>
      </w:r>
      <w:r>
        <w:rPr>
          <w:spacing w:val="-4"/>
        </w:rPr>
        <w:t>万平方米，同比下降</w:t>
      </w:r>
      <w:r>
        <w:rPr>
          <w:spacing w:val="-72"/>
        </w:rPr>
        <w:t> </w:t>
      </w:r>
      <w:r>
        <w:rPr>
          <w:rFonts w:ascii="宋体" w:hAnsi="宋体" w:cs="宋体" w:eastAsia="宋体" w:hint="default"/>
          <w:spacing w:val="-4"/>
        </w:rPr>
        <w:t>37.5%</w:t>
      </w:r>
      <w:r>
        <w:rPr>
          <w:spacing w:val="-4"/>
        </w:rPr>
        <w:t>；其中住</w:t>
      </w:r>
      <w:r>
        <w:rPr/>
        <w:t> 宅销售面积</w:t>
      </w:r>
      <w:r>
        <w:rPr>
          <w:spacing w:val="-61"/>
        </w:rPr>
        <w:t> </w:t>
      </w:r>
      <w:r>
        <w:rPr>
          <w:rFonts w:ascii="宋体" w:hAnsi="宋体" w:cs="宋体" w:eastAsia="宋体" w:hint="default"/>
        </w:rPr>
        <w:t>1342</w:t>
      </w:r>
      <w:r>
        <w:rPr>
          <w:rFonts w:ascii="宋体" w:hAnsi="宋体" w:cs="宋体" w:eastAsia="宋体" w:hint="default"/>
          <w:spacing w:val="-60"/>
        </w:rPr>
        <w:t> </w:t>
      </w:r>
      <w:r>
        <w:rPr/>
        <w:t>万平方米，同比下降</w:t>
      </w:r>
      <w:r>
        <w:rPr>
          <w:spacing w:val="-60"/>
        </w:rPr>
        <w:t> </w:t>
      </w:r>
      <w:r>
        <w:rPr>
          <w:rFonts w:ascii="宋体" w:hAnsi="宋体" w:cs="宋体" w:eastAsia="宋体" w:hint="default"/>
        </w:rPr>
        <w:t>33.6%</w:t>
      </w:r>
      <w:r>
        <w:rPr/>
        <w:t>。</w:t>
      </w:r>
    </w:p>
    <w:p>
      <w:pPr>
        <w:pStyle w:val="BodyText"/>
        <w:spacing w:line="355" w:lineRule="auto" w:before="36"/>
        <w:ind w:left="218" w:right="231" w:firstLine="419"/>
        <w:jc w:val="both"/>
      </w:pPr>
      <w:r>
        <w:rPr/>
        <w:t>公司在上海共有</w:t>
      </w:r>
      <w:r>
        <w:rPr>
          <w:spacing w:val="-49"/>
        </w:rPr>
        <w:t> </w:t>
      </w:r>
      <w:r>
        <w:rPr>
          <w:rFonts w:ascii="宋体" w:hAnsi="宋体" w:cs="宋体" w:eastAsia="宋体" w:hint="default"/>
        </w:rPr>
        <w:t>5</w:t>
      </w:r>
      <w:r>
        <w:rPr>
          <w:rFonts w:ascii="宋体" w:hAnsi="宋体" w:cs="宋体" w:eastAsia="宋体" w:hint="default"/>
          <w:spacing w:val="-49"/>
        </w:rPr>
        <w:t> </w:t>
      </w:r>
      <w:r>
        <w:rPr>
          <w:spacing w:val="-9"/>
        </w:rPr>
        <w:t>个旧城区改造项目，其中期内在销项目为“上海·新湖明珠城”</w:t>
      </w:r>
      <w:r>
        <w:rPr/>
        <w:t> 和“上海·青蓝国际”。</w:t>
      </w:r>
    </w:p>
    <w:p>
      <w:pPr>
        <w:pStyle w:val="BodyText"/>
        <w:spacing w:line="357" w:lineRule="auto" w:before="38"/>
        <w:ind w:left="218" w:right="233" w:firstLine="419"/>
        <w:jc w:val="both"/>
      </w:pPr>
      <w:r>
        <w:rPr/>
        <w:t>上海·新湖明珠城项目是普陀区</w:t>
      </w:r>
      <w:r>
        <w:rPr>
          <w:spacing w:val="-60"/>
        </w:rPr>
        <w:t> </w:t>
      </w:r>
      <w:r>
        <w:rPr>
          <w:rFonts w:ascii="宋体" w:hAnsi="宋体" w:cs="宋体" w:eastAsia="宋体" w:hint="default"/>
        </w:rPr>
        <w:t>365</w:t>
      </w:r>
      <w:r>
        <w:rPr>
          <w:rFonts w:ascii="宋体" w:hAnsi="宋体" w:cs="宋体" w:eastAsia="宋体" w:hint="default"/>
          <w:spacing w:val="-60"/>
        </w:rPr>
        <w:t> </w:t>
      </w:r>
      <w:r>
        <w:rPr/>
        <w:t>旧城区改造重点项目，也是上海市内环线以 </w:t>
      </w:r>
      <w:r>
        <w:rPr>
          <w:spacing w:val="-5"/>
        </w:rPr>
        <w:t>内最大的“365”旧城改造项目之一。项目位于普陀区东新地块，东、南毗邻苏州河，</w:t>
      </w:r>
      <w:r>
        <w:rPr>
          <w:spacing w:val="-94"/>
        </w:rPr>
        <w:t> </w:t>
      </w:r>
      <w:r>
        <w:rPr>
          <w:spacing w:val="-94"/>
        </w:rPr>
      </w:r>
      <w:r>
        <w:rPr/>
        <w:t>北抵轻轨明珠线，西至东新支路及合德里地块边缘。项目自</w:t>
      </w:r>
      <w:r>
        <w:rPr>
          <w:spacing w:val="-60"/>
        </w:rPr>
        <w:t> </w:t>
      </w:r>
      <w:r>
        <w:rPr>
          <w:rFonts w:ascii="宋体" w:hAnsi="宋体" w:cs="宋体" w:eastAsia="宋体" w:hint="default"/>
        </w:rPr>
        <w:t>2001</w:t>
      </w:r>
      <w:r>
        <w:rPr>
          <w:rFonts w:ascii="宋体" w:hAnsi="宋体" w:cs="宋体" w:eastAsia="宋体" w:hint="default"/>
          <w:spacing w:val="-60"/>
        </w:rPr>
        <w:t> </w:t>
      </w:r>
      <w:r>
        <w:rPr/>
        <w:t>年起，已完成建设</w:t>
      </w:r>
    </w:p>
    <w:p>
      <w:pPr>
        <w:pStyle w:val="BodyText"/>
        <w:spacing w:line="357" w:lineRule="auto" w:before="34"/>
        <w:ind w:left="218" w:right="0"/>
        <w:jc w:val="left"/>
      </w:pPr>
      <w:r>
        <w:rPr/>
        <w:t>约</w:t>
      </w:r>
      <w:r>
        <w:rPr>
          <w:spacing w:val="-49"/>
        </w:rPr>
        <w:t> </w:t>
      </w:r>
      <w:r>
        <w:rPr>
          <w:rFonts w:ascii="宋体" w:hAnsi="宋体" w:cs="宋体" w:eastAsia="宋体" w:hint="default"/>
        </w:rPr>
        <w:t>55</w:t>
      </w:r>
      <w:r>
        <w:rPr>
          <w:rFonts w:ascii="宋体" w:hAnsi="宋体" w:cs="宋体" w:eastAsia="宋体" w:hint="default"/>
          <w:spacing w:val="-48"/>
        </w:rPr>
        <w:t> </w:t>
      </w:r>
      <w:r>
        <w:rPr/>
        <w:t>万平方米，累计销售和结算面积</w:t>
      </w:r>
      <w:r>
        <w:rPr>
          <w:spacing w:val="-44"/>
        </w:rPr>
        <w:t> </w:t>
      </w:r>
      <w:r>
        <w:rPr>
          <w:rFonts w:ascii="宋体" w:hAnsi="宋体" w:cs="宋体" w:eastAsia="宋体" w:hint="default"/>
        </w:rPr>
        <w:t>49</w:t>
      </w:r>
      <w:r>
        <w:rPr>
          <w:rFonts w:ascii="宋体" w:hAnsi="宋体" w:cs="宋体" w:eastAsia="宋体" w:hint="default"/>
          <w:spacing w:val="-45"/>
        </w:rPr>
        <w:t> </w:t>
      </w:r>
      <w:r>
        <w:rPr/>
        <w:t>万平方米，取得了良好的社会效益和经济，</w:t>
      </w:r>
      <w:r>
        <w:rPr>
          <w:spacing w:val="-116"/>
        </w:rPr>
        <w:t> </w:t>
      </w:r>
      <w:r>
        <w:rPr/>
        <w:t>彻底改变了该区域的面貌。</w:t>
      </w:r>
    </w:p>
    <w:p>
      <w:pPr>
        <w:pStyle w:val="BodyText"/>
        <w:spacing w:line="357" w:lineRule="auto" w:before="34"/>
        <w:ind w:left="218" w:right="233" w:firstLine="419"/>
        <w:jc w:val="both"/>
      </w:pPr>
      <w:r>
        <w:rPr/>
        <w:t>上海·青蓝国际项目是上海市新一轮</w:t>
      </w:r>
      <w:r>
        <w:rPr>
          <w:spacing w:val="-60"/>
        </w:rPr>
        <w:t> </w:t>
      </w:r>
      <w:r>
        <w:rPr>
          <w:rFonts w:ascii="宋体" w:hAnsi="宋体" w:cs="宋体" w:eastAsia="宋体" w:hint="default"/>
        </w:rPr>
        <w:t>365</w:t>
      </w:r>
      <w:r>
        <w:rPr>
          <w:rFonts w:ascii="宋体" w:hAnsi="宋体" w:cs="宋体" w:eastAsia="宋体" w:hint="default"/>
          <w:spacing w:val="-60"/>
        </w:rPr>
        <w:t> </w:t>
      </w:r>
      <w:r>
        <w:rPr/>
        <w:t>旧城改造的重点项目之一，是闸北区旧 </w:t>
      </w:r>
      <w:r>
        <w:rPr>
          <w:spacing w:val="-2"/>
        </w:rPr>
        <w:t>城棚户区改造的民生工程项目。项目位于上海闸北区内环线内，与虹口区接邻，东依</w:t>
      </w:r>
      <w:r>
        <w:rPr>
          <w:spacing w:val="-95"/>
        </w:rPr>
        <w:t> </w:t>
      </w:r>
      <w:r>
        <w:rPr>
          <w:spacing w:val="-95"/>
        </w:rPr>
      </w:r>
      <w:r>
        <w:rPr>
          <w:spacing w:val="-2"/>
        </w:rPr>
        <w:t>东宝兴路、南临芷江中路、西达宝昌路，北至青云路。本项目作为成片开发、整体翻</w:t>
      </w:r>
      <w:r>
        <w:rPr>
          <w:spacing w:val="-96"/>
        </w:rPr>
        <w:t> </w:t>
      </w:r>
      <w:r>
        <w:rPr>
          <w:spacing w:val="-96"/>
        </w:rPr>
      </w:r>
      <w:r>
        <w:rPr>
          <w:spacing w:val="-2"/>
        </w:rPr>
        <w:t>新的整街坊项目在环境和档次上与周边零星开发、新老楼盘混杂的情况相比，具有明</w:t>
      </w:r>
      <w:r>
        <w:rPr>
          <w:spacing w:val="-94"/>
        </w:rPr>
        <w:t> </w:t>
      </w:r>
      <w:r>
        <w:rPr>
          <w:spacing w:val="-94"/>
        </w:rPr>
      </w:r>
      <w:r>
        <w:rPr/>
        <w:t>显的市场号召力和比较优势。项目总建筑面积约</w:t>
      </w:r>
      <w:r>
        <w:rPr>
          <w:spacing w:val="-60"/>
        </w:rPr>
        <w:t> </w:t>
      </w:r>
      <w:r>
        <w:rPr>
          <w:rFonts w:ascii="宋体" w:hAnsi="宋体" w:cs="宋体" w:eastAsia="宋体" w:hint="default"/>
        </w:rPr>
        <w:t>33</w:t>
      </w:r>
      <w:r>
        <w:rPr>
          <w:rFonts w:ascii="宋体" w:hAnsi="宋体" w:cs="宋体" w:eastAsia="宋体" w:hint="default"/>
          <w:spacing w:val="-60"/>
        </w:rPr>
        <w:t> </w:t>
      </w:r>
      <w:r>
        <w:rPr/>
        <w:t>万平方米，截至报告期末，项目</w:t>
      </w:r>
    </w:p>
    <w:p>
      <w:pPr>
        <w:pStyle w:val="BodyText"/>
        <w:spacing w:line="240" w:lineRule="auto" w:before="36"/>
        <w:ind w:left="218" w:right="0"/>
        <w:jc w:val="left"/>
      </w:pPr>
      <w:r>
        <w:rPr/>
        <w:t>一期已竣工，累计销售面积</w:t>
      </w:r>
      <w:r>
        <w:rPr>
          <w:spacing w:val="-66"/>
        </w:rPr>
        <w:t> </w:t>
      </w:r>
      <w:r>
        <w:rPr>
          <w:rFonts w:ascii="宋体" w:hAnsi="宋体" w:cs="宋体" w:eastAsia="宋体" w:hint="default"/>
        </w:rPr>
        <w:t>8.53</w:t>
      </w:r>
      <w:r>
        <w:rPr>
          <w:rFonts w:ascii="宋体" w:hAnsi="宋体" w:cs="宋体" w:eastAsia="宋体" w:hint="default"/>
          <w:spacing w:val="-66"/>
        </w:rPr>
        <w:t> </w:t>
      </w:r>
      <w:r>
        <w:rPr/>
        <w:t>万平方米，累计结算面积</w:t>
      </w:r>
      <w:r>
        <w:rPr>
          <w:spacing w:val="-66"/>
        </w:rPr>
        <w:t> </w:t>
      </w:r>
      <w:r>
        <w:rPr>
          <w:rFonts w:ascii="宋体" w:hAnsi="宋体" w:cs="宋体" w:eastAsia="宋体" w:hint="default"/>
        </w:rPr>
        <w:t>7.71</w:t>
      </w:r>
      <w:r>
        <w:rPr>
          <w:rFonts w:ascii="宋体" w:hAnsi="宋体" w:cs="宋体" w:eastAsia="宋体" w:hint="default"/>
          <w:spacing w:val="-66"/>
        </w:rPr>
        <w:t> </w:t>
      </w:r>
      <w:r>
        <w:rPr>
          <w:spacing w:val="-3"/>
        </w:rPr>
        <w:t>万平方米；项目二期</w:t>
      </w:r>
    </w:p>
    <w:p>
      <w:pPr>
        <w:pStyle w:val="BodyText"/>
        <w:spacing w:line="240" w:lineRule="auto" w:before="151"/>
        <w:ind w:left="218" w:right="233"/>
        <w:jc w:val="left"/>
      </w:pPr>
      <w:r>
        <w:rPr/>
        <w:t>将于</w:t>
      </w:r>
      <w:r>
        <w:rPr>
          <w:spacing w:val="-61"/>
        </w:rPr>
        <w:t> </w:t>
      </w:r>
      <w:r>
        <w:rPr>
          <w:rFonts w:ascii="宋体" w:hAnsi="宋体" w:cs="宋体" w:eastAsia="宋体" w:hint="default"/>
        </w:rPr>
        <w:t>2018</w:t>
      </w:r>
      <w:r>
        <w:rPr>
          <w:rFonts w:ascii="宋体" w:hAnsi="宋体" w:cs="宋体" w:eastAsia="宋体" w:hint="default"/>
          <w:spacing w:val="-60"/>
        </w:rPr>
        <w:t> </w:t>
      </w:r>
      <w:r>
        <w:rPr/>
        <w:t>年进入全面开工阶段，预计新开工面积为</w:t>
      </w:r>
      <w:r>
        <w:rPr>
          <w:spacing w:val="-59"/>
        </w:rPr>
        <w:t> </w:t>
      </w:r>
      <w:r>
        <w:rPr>
          <w:rFonts w:ascii="宋体" w:hAnsi="宋体" w:cs="宋体" w:eastAsia="宋体" w:hint="default"/>
        </w:rPr>
        <w:t>18</w:t>
      </w:r>
      <w:r>
        <w:rPr>
          <w:rFonts w:ascii="宋体" w:hAnsi="宋体" w:cs="宋体" w:eastAsia="宋体" w:hint="default"/>
          <w:spacing w:val="-60"/>
        </w:rPr>
        <w:t> </w:t>
      </w:r>
      <w:r>
        <w:rPr/>
        <w:t>万平方米。</w:t>
      </w:r>
    </w:p>
    <w:p>
      <w:pPr>
        <w:pStyle w:val="BodyText"/>
        <w:spacing w:line="240" w:lineRule="auto" w:before="154"/>
        <w:ind w:left="638" w:right="233"/>
        <w:jc w:val="left"/>
      </w:pPr>
      <w:r>
        <w:rPr/>
        <w:t>（</w:t>
      </w:r>
      <w:r>
        <w:rPr>
          <w:rFonts w:ascii="宋体" w:hAnsi="宋体" w:cs="宋体" w:eastAsia="宋体" w:hint="default"/>
        </w:rPr>
        <w:t>2</w:t>
      </w:r>
      <w:r>
        <w:rPr/>
        <w:t>）杭州</w:t>
      </w:r>
    </w:p>
    <w:p>
      <w:pPr>
        <w:spacing w:after="0" w:line="240" w:lineRule="auto"/>
        <w:jc w:val="left"/>
        <w:sectPr>
          <w:pgSz w:w="11910" w:h="16840"/>
          <w:pgMar w:header="880" w:footer="1195" w:top="1120" w:bottom="1380" w:left="1580" w:right="1040"/>
        </w:sectPr>
      </w:pPr>
    </w:p>
    <w:p>
      <w:pPr>
        <w:spacing w:line="240" w:lineRule="auto" w:before="8"/>
        <w:rPr>
          <w:rFonts w:ascii="宋体" w:hAnsi="宋体" w:cs="宋体" w:eastAsia="宋体" w:hint="default"/>
          <w:sz w:val="25"/>
          <w:szCs w:val="25"/>
        </w:rPr>
      </w:pPr>
    </w:p>
    <w:p>
      <w:pPr>
        <w:pStyle w:val="BodyText"/>
        <w:spacing w:line="240" w:lineRule="auto" w:before="26"/>
        <w:ind w:left="558" w:right="0"/>
        <w:jc w:val="left"/>
      </w:pPr>
      <w:r>
        <w:rPr>
          <w:rFonts w:ascii="宋体" w:hAnsi="宋体" w:cs="宋体" w:eastAsia="宋体" w:hint="default"/>
        </w:rPr>
        <w:t>2017</w:t>
      </w:r>
      <w:r>
        <w:rPr>
          <w:rFonts w:ascii="宋体" w:hAnsi="宋体" w:cs="宋体" w:eastAsia="宋体" w:hint="default"/>
          <w:spacing w:val="-43"/>
        </w:rPr>
        <w:t> </w:t>
      </w:r>
      <w:r>
        <w:rPr>
          <w:spacing w:val="-2"/>
        </w:rPr>
        <w:t>年，因城中村改造加速等多种原因，杭州房地产需求持续“火爆”，但受制</w:t>
      </w:r>
    </w:p>
    <w:p>
      <w:pPr>
        <w:pStyle w:val="BodyText"/>
        <w:spacing w:line="355" w:lineRule="auto" w:before="154"/>
        <w:ind w:right="185"/>
        <w:jc w:val="both"/>
      </w:pPr>
      <w:r>
        <w:rPr/>
        <w:t>于供给不足，全年成交规模小幅下降。全市房屋销售面积</w:t>
      </w:r>
      <w:r>
        <w:rPr>
          <w:spacing w:val="-60"/>
        </w:rPr>
        <w:t> </w:t>
      </w:r>
      <w:r>
        <w:rPr>
          <w:rFonts w:ascii="宋体" w:hAnsi="宋体" w:cs="宋体" w:eastAsia="宋体" w:hint="default"/>
          <w:color w:val="242424"/>
        </w:rPr>
        <w:t>2054</w:t>
      </w:r>
      <w:r>
        <w:rPr>
          <w:rFonts w:ascii="宋体" w:hAnsi="宋体" w:cs="宋体" w:eastAsia="宋体" w:hint="default"/>
          <w:color w:val="242424"/>
          <w:spacing w:val="-60"/>
        </w:rPr>
        <w:t> </w:t>
      </w:r>
      <w:r>
        <w:rPr/>
        <w:t>万平方米，同比下降 </w:t>
      </w:r>
      <w:r>
        <w:rPr>
          <w:rFonts w:ascii="宋体" w:hAnsi="宋体" w:cs="宋体" w:eastAsia="宋体" w:hint="default"/>
        </w:rPr>
        <w:t>11.7%</w:t>
      </w:r>
      <w:r>
        <w:rPr/>
        <w:t>；其中住宅销售面积</w:t>
      </w:r>
      <w:r>
        <w:rPr>
          <w:spacing w:val="-61"/>
        </w:rPr>
        <w:t> </w:t>
      </w:r>
      <w:r>
        <w:rPr>
          <w:rFonts w:ascii="宋体" w:hAnsi="宋体" w:cs="宋体" w:eastAsia="宋体" w:hint="default"/>
          <w:color w:val="242424"/>
        </w:rPr>
        <w:t>1520</w:t>
      </w:r>
      <w:r>
        <w:rPr>
          <w:rFonts w:ascii="宋体" w:hAnsi="宋体" w:cs="宋体" w:eastAsia="宋体" w:hint="default"/>
          <w:color w:val="242424"/>
          <w:spacing w:val="-61"/>
        </w:rPr>
        <w:t> </w:t>
      </w:r>
      <w:r>
        <w:rPr/>
        <w:t>万平方米，同比下降</w:t>
      </w:r>
      <w:r>
        <w:rPr>
          <w:spacing w:val="-61"/>
        </w:rPr>
        <w:t> </w:t>
      </w:r>
      <w:r>
        <w:rPr>
          <w:rFonts w:ascii="宋体" w:hAnsi="宋体" w:cs="宋体" w:eastAsia="宋体" w:hint="default"/>
        </w:rPr>
        <w:t>19.5%</w:t>
      </w:r>
      <w:r>
        <w:rPr/>
        <w:t>。</w:t>
      </w:r>
    </w:p>
    <w:p>
      <w:pPr>
        <w:pStyle w:val="BodyText"/>
        <w:spacing w:line="357" w:lineRule="auto" w:before="38"/>
        <w:ind w:right="109" w:firstLine="419"/>
        <w:jc w:val="left"/>
      </w:pPr>
      <w:r>
        <w:rPr/>
        <w:t>期内，公司位于杭州的在销项目为“杭州·香格里拉”、“杭州·武林国际”和 “杭州·新湖果岭”。</w:t>
      </w:r>
    </w:p>
    <w:p>
      <w:pPr>
        <w:pStyle w:val="BodyText"/>
        <w:spacing w:line="240" w:lineRule="auto" w:before="34"/>
        <w:ind w:left="558" w:right="0"/>
        <w:jc w:val="left"/>
        <w:rPr>
          <w:rFonts w:ascii="宋体" w:hAnsi="宋体" w:cs="宋体" w:eastAsia="宋体" w:hint="default"/>
        </w:rPr>
      </w:pPr>
      <w:r>
        <w:rPr>
          <w:spacing w:val="-5"/>
        </w:rPr>
        <w:t>杭州·香格里拉项目位于杭州城西古墩路北段，距离武林广场</w:t>
      </w:r>
      <w:r>
        <w:rPr>
          <w:spacing w:val="-51"/>
        </w:rPr>
        <w:t> </w:t>
      </w:r>
      <w:r>
        <w:rPr>
          <w:rFonts w:ascii="宋体" w:hAnsi="宋体" w:cs="宋体" w:eastAsia="宋体" w:hint="default"/>
        </w:rPr>
        <w:t>23</w:t>
      </w:r>
      <w:r>
        <w:rPr>
          <w:rFonts w:ascii="宋体" w:hAnsi="宋体" w:cs="宋体" w:eastAsia="宋体" w:hint="default"/>
          <w:spacing w:val="-51"/>
        </w:rPr>
        <w:t> </w:t>
      </w:r>
      <w:r>
        <w:rPr>
          <w:spacing w:val="-12"/>
        </w:rPr>
        <w:t>公里，</w:t>
      </w:r>
      <w:hyperlink r:id="rId27">
        <w:r>
          <w:rPr>
            <w:spacing w:val="-12"/>
          </w:rPr>
          <w:t>占地</w:t>
        </w:r>
      </w:hyperlink>
      <w:r>
        <w:rPr>
          <w:spacing w:val="-51"/>
        </w:rPr>
        <w:t> </w:t>
      </w:r>
      <w:r>
        <w:rPr>
          <w:rFonts w:ascii="宋体" w:hAnsi="宋体" w:cs="宋体" w:eastAsia="宋体" w:hint="default"/>
        </w:rPr>
        <w:t>1259</w:t>
      </w:r>
    </w:p>
    <w:p>
      <w:pPr>
        <w:pStyle w:val="BodyText"/>
        <w:spacing w:line="240" w:lineRule="auto" w:before="154"/>
        <w:ind w:right="0"/>
        <w:jc w:val="both"/>
      </w:pPr>
      <w:r>
        <w:rPr>
          <w:spacing w:val="-3"/>
        </w:rPr>
        <w:t>亩，总建筑面积约</w:t>
      </w:r>
      <w:r>
        <w:rPr>
          <w:spacing w:val="-67"/>
        </w:rPr>
        <w:t> </w:t>
      </w:r>
      <w:r>
        <w:rPr>
          <w:rFonts w:ascii="宋体" w:hAnsi="宋体" w:cs="宋体" w:eastAsia="宋体" w:hint="default"/>
        </w:rPr>
        <w:t>53</w:t>
      </w:r>
      <w:r>
        <w:rPr>
          <w:rFonts w:ascii="宋体" w:hAnsi="宋体" w:cs="宋体" w:eastAsia="宋体" w:hint="default"/>
          <w:spacing w:val="-64"/>
        </w:rPr>
        <w:t> </w:t>
      </w:r>
      <w:r>
        <w:rPr/>
        <w:t>万平方米，已开发建设逾</w:t>
      </w:r>
      <w:r>
        <w:rPr>
          <w:spacing w:val="-67"/>
        </w:rPr>
        <w:t> </w:t>
      </w:r>
      <w:r>
        <w:rPr>
          <w:rFonts w:ascii="宋体" w:hAnsi="宋体" w:cs="宋体" w:eastAsia="宋体" w:hint="default"/>
        </w:rPr>
        <w:t>30</w:t>
      </w:r>
      <w:r>
        <w:rPr>
          <w:rFonts w:ascii="宋体" w:hAnsi="宋体" w:cs="宋体" w:eastAsia="宋体" w:hint="default"/>
          <w:spacing w:val="-67"/>
        </w:rPr>
        <w:t> </w:t>
      </w:r>
      <w:r>
        <w:rPr/>
        <w:t>万平方米。项目拥有稀缺的环境资</w:t>
      </w:r>
    </w:p>
    <w:p>
      <w:pPr>
        <w:pStyle w:val="BodyText"/>
        <w:spacing w:line="357" w:lineRule="auto" w:before="152"/>
        <w:ind w:right="112"/>
        <w:jc w:val="both"/>
      </w:pPr>
      <w:r>
        <w:rPr/>
        <w:t>源，整个园区被大观山、小观山、太璞山等五座山峦近</w:t>
      </w:r>
      <w:r>
        <w:rPr>
          <w:spacing w:val="-60"/>
        </w:rPr>
        <w:t> </w:t>
      </w:r>
      <w:r>
        <w:rPr>
          <w:rFonts w:ascii="宋体" w:hAnsi="宋体" w:cs="宋体" w:eastAsia="宋体" w:hint="default"/>
        </w:rPr>
        <w:t>3000</w:t>
      </w:r>
      <w:r>
        <w:rPr>
          <w:rFonts w:ascii="宋体" w:hAnsi="宋体" w:cs="宋体" w:eastAsia="宋体" w:hint="default"/>
          <w:spacing w:val="-60"/>
        </w:rPr>
        <w:t> </w:t>
      </w:r>
      <w:r>
        <w:rPr/>
        <w:t>余亩原生态山林环抱， 内有</w:t>
      </w:r>
      <w:r>
        <w:rPr>
          <w:spacing w:val="-58"/>
        </w:rPr>
        <w:t> </w:t>
      </w:r>
      <w:r>
        <w:rPr>
          <w:rFonts w:ascii="宋体" w:hAnsi="宋体" w:cs="宋体" w:eastAsia="宋体" w:hint="default"/>
        </w:rPr>
        <w:t>300</w:t>
      </w:r>
      <w:r>
        <w:rPr>
          <w:rFonts w:ascii="宋体" w:hAnsi="宋体" w:cs="宋体" w:eastAsia="宋体" w:hint="default"/>
          <w:spacing w:val="-58"/>
        </w:rPr>
        <w:t> </w:t>
      </w:r>
      <w:r>
        <w:rPr>
          <w:spacing w:val="-4"/>
        </w:rPr>
        <w:t>余亩天然水系，</w:t>
      </w:r>
      <w:r>
        <w:rPr>
          <w:rFonts w:ascii="宋体" w:hAnsi="宋体" w:cs="宋体" w:eastAsia="宋体" w:hint="default"/>
          <w:spacing w:val="-4"/>
        </w:rPr>
        <w:t>1300</w:t>
      </w:r>
      <w:r>
        <w:rPr>
          <w:rFonts w:ascii="宋体" w:hAnsi="宋体" w:cs="宋体" w:eastAsia="宋体" w:hint="default"/>
          <w:spacing w:val="-58"/>
        </w:rPr>
        <w:t> </w:t>
      </w:r>
      <w:r>
        <w:rPr>
          <w:spacing w:val="-3"/>
        </w:rPr>
        <w:t>余米水杉大道贯穿园区，千余年青山绿水生态滋养，造</w:t>
      </w:r>
      <w:r>
        <w:rPr/>
        <w:t> 就了每立方米</w:t>
      </w:r>
      <w:r>
        <w:rPr>
          <w:spacing w:val="-83"/>
        </w:rPr>
        <w:t> </w:t>
      </w:r>
      <w:r>
        <w:rPr>
          <w:rFonts w:ascii="宋体" w:hAnsi="宋体" w:cs="宋体" w:eastAsia="宋体" w:hint="default"/>
        </w:rPr>
        <w:t>29000</w:t>
      </w:r>
      <w:r>
        <w:rPr>
          <w:rFonts w:ascii="宋体" w:hAnsi="宋体" w:cs="宋体" w:eastAsia="宋体" w:hint="default"/>
          <w:spacing w:val="-83"/>
        </w:rPr>
        <w:t> </w:t>
      </w:r>
      <w:r>
        <w:rPr/>
        <w:t>余个负氧离子的天然氧吧，达到国家一级疗养院环境标准。项目 销售状况持续良好，已成为杭城稀缺高端山地别墅标杆。</w:t>
      </w:r>
    </w:p>
    <w:p>
      <w:pPr>
        <w:pStyle w:val="BodyText"/>
        <w:spacing w:line="357" w:lineRule="auto" w:before="34"/>
        <w:ind w:right="98" w:firstLine="419"/>
        <w:jc w:val="left"/>
      </w:pPr>
      <w:r>
        <w:rPr/>
        <w:t>杭州·武林国际项目位于杭州主城区武林板块核心区域，距离杭州商业核心武林 广场仅</w:t>
      </w:r>
      <w:r>
        <w:rPr>
          <w:spacing w:val="-85"/>
        </w:rPr>
        <w:t> </w:t>
      </w:r>
      <w:r>
        <w:rPr>
          <w:rFonts w:ascii="宋体" w:hAnsi="宋体" w:cs="宋体" w:eastAsia="宋体" w:hint="default"/>
        </w:rPr>
        <w:t>700</w:t>
      </w:r>
      <w:r>
        <w:rPr>
          <w:rFonts w:ascii="宋体" w:hAnsi="宋体" w:cs="宋体" w:eastAsia="宋体" w:hint="default"/>
          <w:spacing w:val="-85"/>
        </w:rPr>
        <w:t> </w:t>
      </w:r>
      <w:r>
        <w:rPr/>
        <w:t>米，属于公司高层顶配产品“国际”系，是杭州极其稀缺的核心地段城市</w:t>
      </w:r>
    </w:p>
    <w:p>
      <w:pPr>
        <w:pStyle w:val="BodyText"/>
        <w:spacing w:line="357" w:lineRule="auto" w:before="34"/>
        <w:ind w:right="185"/>
        <w:jc w:val="both"/>
      </w:pPr>
      <w:r>
        <w:rPr/>
        <w:t>豪宅。项目总占地面积约为</w:t>
      </w:r>
      <w:r>
        <w:rPr>
          <w:spacing w:val="-60"/>
        </w:rPr>
        <w:t> </w:t>
      </w:r>
      <w:r>
        <w:rPr>
          <w:rFonts w:ascii="宋体" w:hAnsi="宋体" w:cs="宋体" w:eastAsia="宋体" w:hint="default"/>
        </w:rPr>
        <w:t>2.6</w:t>
      </w:r>
      <w:r>
        <w:rPr>
          <w:rFonts w:ascii="宋体" w:hAnsi="宋体" w:cs="宋体" w:eastAsia="宋体" w:hint="default"/>
          <w:spacing w:val="-60"/>
        </w:rPr>
        <w:t> </w:t>
      </w:r>
      <w:r>
        <w:rPr/>
        <w:t>万平方米，规划总建筑面积约</w:t>
      </w:r>
      <w:r>
        <w:rPr>
          <w:spacing w:val="-60"/>
        </w:rPr>
        <w:t> </w:t>
      </w:r>
      <w:r>
        <w:rPr>
          <w:rFonts w:ascii="宋体" w:hAnsi="宋体" w:cs="宋体" w:eastAsia="宋体" w:hint="default"/>
        </w:rPr>
        <w:t>13</w:t>
      </w:r>
      <w:r>
        <w:rPr>
          <w:rFonts w:ascii="宋体" w:hAnsi="宋体" w:cs="宋体" w:eastAsia="宋体" w:hint="default"/>
          <w:spacing w:val="-60"/>
        </w:rPr>
        <w:t> </w:t>
      </w:r>
      <w:r>
        <w:rPr/>
        <w:t>万平方米。项目目 前已实景交付，基本完成销售。</w:t>
      </w:r>
    </w:p>
    <w:p>
      <w:pPr>
        <w:pStyle w:val="BodyText"/>
        <w:spacing w:line="357" w:lineRule="auto" w:before="34"/>
        <w:ind w:right="112" w:firstLine="419"/>
        <w:jc w:val="both"/>
      </w:pPr>
      <w:r>
        <w:rPr/>
        <w:t>杭州·新湖果岭项目位于杭州未来科技城核心区域。项目规划、建筑及景观设计 </w:t>
      </w:r>
      <w:r>
        <w:rPr>
          <w:spacing w:val="-8"/>
        </w:rPr>
        <w:t>全面融入“城市山居生活”的理念，将建设成为生态环境良好、交通便捷、景色优美、</w:t>
      </w:r>
      <w:r>
        <w:rPr>
          <w:spacing w:val="-105"/>
        </w:rPr>
        <w:t> </w:t>
      </w:r>
      <w:r>
        <w:rPr>
          <w:spacing w:val="-105"/>
        </w:rPr>
      </w:r>
      <w:r>
        <w:rPr/>
        <w:t>配套齐全、人文气息浓郁的杭州新型山居社区。本项目规划总建筑面积约</w:t>
      </w:r>
      <w:r>
        <w:rPr>
          <w:spacing w:val="-60"/>
        </w:rPr>
        <w:t> </w:t>
      </w:r>
      <w:r>
        <w:rPr>
          <w:rFonts w:ascii="宋体" w:hAnsi="宋体" w:cs="宋体" w:eastAsia="宋体" w:hint="default"/>
        </w:rPr>
        <w:t>55</w:t>
      </w:r>
      <w:r>
        <w:rPr>
          <w:rFonts w:ascii="宋体" w:hAnsi="宋体" w:cs="宋体" w:eastAsia="宋体" w:hint="default"/>
          <w:spacing w:val="-60"/>
        </w:rPr>
        <w:t> </w:t>
      </w:r>
      <w:r>
        <w:rPr/>
        <w:t>万平方</w:t>
      </w:r>
    </w:p>
    <w:p>
      <w:pPr>
        <w:pStyle w:val="BodyText"/>
        <w:spacing w:line="240" w:lineRule="auto" w:before="36"/>
        <w:ind w:right="0"/>
        <w:jc w:val="both"/>
      </w:pPr>
      <w:r>
        <w:rPr/>
        <w:t>米，截至期末项目累计销售面积</w:t>
      </w:r>
      <w:r>
        <w:rPr>
          <w:spacing w:val="-61"/>
        </w:rPr>
        <w:t> </w:t>
      </w:r>
      <w:r>
        <w:rPr>
          <w:rFonts w:ascii="宋体" w:hAnsi="宋体" w:cs="宋体" w:eastAsia="宋体" w:hint="default"/>
        </w:rPr>
        <w:t>25</w:t>
      </w:r>
      <w:r>
        <w:rPr>
          <w:rFonts w:ascii="宋体" w:hAnsi="宋体" w:cs="宋体" w:eastAsia="宋体" w:hint="default"/>
          <w:spacing w:val="-61"/>
        </w:rPr>
        <w:t> </w:t>
      </w:r>
      <w:r>
        <w:rPr/>
        <w:t>万平方米，成为该区域刚需及改善型住宅的标杆</w:t>
      </w:r>
    </w:p>
    <w:p>
      <w:pPr>
        <w:pStyle w:val="BodyText"/>
        <w:spacing w:line="240" w:lineRule="auto" w:before="154"/>
        <w:ind w:right="0"/>
        <w:jc w:val="both"/>
      </w:pPr>
      <w:r>
        <w:rPr/>
        <w:t>楼盘。</w:t>
      </w:r>
      <w:r>
        <w:rPr>
          <w:rFonts w:ascii="宋体" w:hAnsi="宋体" w:cs="宋体" w:eastAsia="宋体" w:hint="default"/>
        </w:rPr>
        <w:t>2017</w:t>
      </w:r>
      <w:r>
        <w:rPr>
          <w:rFonts w:ascii="宋体" w:hAnsi="宋体" w:cs="宋体" w:eastAsia="宋体" w:hint="default"/>
          <w:spacing w:val="-61"/>
        </w:rPr>
        <w:t> </w:t>
      </w:r>
      <w:r>
        <w:rPr/>
        <w:t>年新开工的</w:t>
      </w:r>
      <w:r>
        <w:rPr>
          <w:spacing w:val="-61"/>
        </w:rPr>
        <w:t> </w:t>
      </w:r>
      <w:r>
        <w:rPr>
          <w:rFonts w:ascii="宋体" w:hAnsi="宋体" w:cs="宋体" w:eastAsia="宋体" w:hint="default"/>
        </w:rPr>
        <w:t>15</w:t>
      </w:r>
      <w:r>
        <w:rPr>
          <w:rFonts w:ascii="宋体" w:hAnsi="宋体" w:cs="宋体" w:eastAsia="宋体" w:hint="default"/>
          <w:spacing w:val="-61"/>
        </w:rPr>
        <w:t> </w:t>
      </w:r>
      <w:r>
        <w:rPr/>
        <w:t>万平方米，预计将于</w:t>
      </w:r>
      <w:r>
        <w:rPr>
          <w:spacing w:val="-61"/>
        </w:rPr>
        <w:t> </w:t>
      </w:r>
      <w:r>
        <w:rPr>
          <w:rFonts w:ascii="宋体" w:hAnsi="宋体" w:cs="宋体" w:eastAsia="宋体" w:hint="default"/>
        </w:rPr>
        <w:t>2018</w:t>
      </w:r>
      <w:r>
        <w:rPr>
          <w:rFonts w:ascii="宋体" w:hAnsi="宋体" w:cs="宋体" w:eastAsia="宋体" w:hint="default"/>
          <w:spacing w:val="-61"/>
        </w:rPr>
        <w:t> </w:t>
      </w:r>
      <w:r>
        <w:rPr/>
        <w:t>年起陆续进入销售阶段。</w:t>
      </w:r>
    </w:p>
    <w:p>
      <w:pPr>
        <w:pStyle w:val="BodyText"/>
        <w:spacing w:line="240" w:lineRule="auto" w:before="151"/>
        <w:ind w:left="558" w:right="0"/>
        <w:jc w:val="left"/>
      </w:pPr>
      <w:r>
        <w:rPr/>
        <w:t>（</w:t>
      </w:r>
      <w:r>
        <w:rPr>
          <w:rFonts w:ascii="宋体" w:hAnsi="宋体" w:cs="宋体" w:eastAsia="宋体" w:hint="default"/>
        </w:rPr>
        <w:t>3</w:t>
      </w:r>
      <w:r>
        <w:rPr/>
        <w:t>）温州</w:t>
      </w:r>
    </w:p>
    <w:p>
      <w:pPr>
        <w:pStyle w:val="BodyText"/>
        <w:spacing w:line="240" w:lineRule="auto" w:before="154"/>
        <w:ind w:left="618" w:right="0"/>
        <w:jc w:val="left"/>
      </w:pPr>
      <w:r>
        <w:rPr/>
        <w:t>温州房地产市场经过几年的调整，在城中村改造加速等因素影响下于</w:t>
      </w:r>
      <w:r>
        <w:rPr>
          <w:spacing w:val="-60"/>
        </w:rPr>
        <w:t> </w:t>
      </w:r>
      <w:r>
        <w:rPr>
          <w:rFonts w:ascii="宋体" w:hAnsi="宋体" w:cs="宋体" w:eastAsia="宋体" w:hint="default"/>
        </w:rPr>
        <w:t>2017</w:t>
      </w:r>
      <w:r>
        <w:rPr>
          <w:rFonts w:ascii="宋体" w:hAnsi="宋体" w:cs="宋体" w:eastAsia="宋体" w:hint="default"/>
          <w:spacing w:val="-60"/>
        </w:rPr>
        <w:t> </w:t>
      </w:r>
      <w:r>
        <w:rPr/>
        <w:t>年出</w:t>
      </w:r>
    </w:p>
    <w:p>
      <w:pPr>
        <w:pStyle w:val="BodyText"/>
        <w:spacing w:line="357" w:lineRule="auto" w:before="151"/>
        <w:ind w:right="110"/>
        <w:jc w:val="both"/>
      </w:pPr>
      <w:r>
        <w:rPr/>
        <w:t>现井喷。全市房屋竣工面积</w:t>
      </w:r>
      <w:r>
        <w:rPr>
          <w:spacing w:val="-72"/>
        </w:rPr>
        <w:t> </w:t>
      </w:r>
      <w:r>
        <w:rPr>
          <w:rFonts w:ascii="宋体" w:hAnsi="宋体" w:cs="宋体" w:eastAsia="宋体" w:hint="default"/>
        </w:rPr>
        <w:t>680.8</w:t>
      </w:r>
      <w:r>
        <w:rPr>
          <w:rFonts w:ascii="宋体" w:hAnsi="宋体" w:cs="宋体" w:eastAsia="宋体" w:hint="default"/>
          <w:spacing w:val="-72"/>
        </w:rPr>
        <w:t> </w:t>
      </w:r>
      <w:r>
        <w:rPr/>
        <w:t>万平方米，同比下降</w:t>
      </w:r>
      <w:r>
        <w:rPr>
          <w:spacing w:val="-72"/>
        </w:rPr>
        <w:t> </w:t>
      </w:r>
      <w:r>
        <w:rPr>
          <w:rFonts w:ascii="宋体" w:hAnsi="宋体" w:cs="宋体" w:eastAsia="宋体" w:hint="default"/>
        </w:rPr>
        <w:t>11.7%</w:t>
      </w:r>
      <w:r>
        <w:rPr/>
        <w:t>，房屋销售面积</w:t>
      </w:r>
      <w:r>
        <w:rPr>
          <w:spacing w:val="-72"/>
        </w:rPr>
        <w:t> </w:t>
      </w:r>
      <w:r>
        <w:rPr>
          <w:rFonts w:ascii="宋体" w:hAnsi="宋体" w:cs="宋体" w:eastAsia="宋体" w:hint="default"/>
        </w:rPr>
        <w:t>1070.3 </w:t>
      </w:r>
      <w:r>
        <w:rPr/>
        <w:t>万平方米，同比增长</w:t>
      </w:r>
      <w:r>
        <w:rPr>
          <w:spacing w:val="-60"/>
        </w:rPr>
        <w:t> </w:t>
      </w:r>
      <w:r>
        <w:rPr>
          <w:rFonts w:ascii="宋体" w:hAnsi="宋体" w:cs="宋体" w:eastAsia="宋体" w:hint="default"/>
        </w:rPr>
        <w:t>38.3%</w:t>
      </w:r>
      <w:r>
        <w:rPr/>
        <w:t>。</w:t>
      </w:r>
    </w:p>
    <w:p>
      <w:pPr>
        <w:pStyle w:val="BodyText"/>
        <w:spacing w:line="357" w:lineRule="auto" w:before="34"/>
        <w:ind w:left="618" w:right="96"/>
        <w:jc w:val="left"/>
      </w:pPr>
      <w:r>
        <w:rPr/>
        <w:t>期内，公司在温州的销售项目为“乐清·海德花园”和“瑞安·新湖广场”。 </w:t>
      </w:r>
      <w:r>
        <w:rPr>
          <w:spacing w:val="-7"/>
        </w:rPr>
        <w:t>乐清·海德花园项目位于温州乐清市滨海新城中心城区，紧邻 </w:t>
      </w:r>
      <w:r>
        <w:rPr>
          <w:rFonts w:ascii="宋体" w:hAnsi="宋体" w:cs="宋体" w:eastAsia="宋体" w:hint="default"/>
        </w:rPr>
        <w:t>2000</w:t>
      </w:r>
      <w:r>
        <w:rPr>
          <w:rFonts w:ascii="宋体" w:hAnsi="宋体" w:cs="宋体" w:eastAsia="宋体" w:hint="default"/>
          <w:spacing w:val="-92"/>
        </w:rPr>
        <w:t> </w:t>
      </w:r>
      <w:r>
        <w:rPr/>
        <w:t>亩湿地公园，</w:t>
      </w:r>
    </w:p>
    <w:p>
      <w:pPr>
        <w:pStyle w:val="BodyText"/>
        <w:spacing w:line="240" w:lineRule="auto" w:before="34"/>
        <w:ind w:right="0"/>
        <w:jc w:val="both"/>
      </w:pPr>
      <w:r>
        <w:rPr/>
        <w:t>以国际化的建筑形制</w:t>
      </w:r>
      <w:r>
        <w:rPr>
          <w:spacing w:val="-120"/>
        </w:rPr>
        <w:t>，</w:t>
      </w:r>
      <w:r>
        <w:rPr/>
        <w:t>呈现</w:t>
      </w:r>
      <w:r>
        <w:rPr>
          <w:spacing w:val="-72"/>
        </w:rPr>
        <w:t> </w:t>
      </w:r>
      <w:r>
        <w:rPr>
          <w:rFonts w:ascii="宋体" w:hAnsi="宋体" w:cs="宋体" w:eastAsia="宋体" w:hint="default"/>
        </w:rPr>
        <w:t>38</w:t>
      </w:r>
      <w:r>
        <w:rPr>
          <w:rFonts w:ascii="宋体" w:hAnsi="宋体" w:cs="宋体" w:eastAsia="宋体" w:hint="default"/>
          <w:spacing w:val="-72"/>
        </w:rPr>
        <w:t> </w:t>
      </w:r>
      <w:r>
        <w:rPr/>
        <w:t>万方当地人居价值标杆</w:t>
      </w:r>
      <w:r>
        <w:rPr>
          <w:spacing w:val="-120"/>
        </w:rPr>
        <w:t>。</w:t>
      </w:r>
      <w:r>
        <w:rPr/>
        <w:t>项目总建筑面积</w:t>
      </w:r>
      <w:r>
        <w:rPr>
          <w:spacing w:val="-72"/>
        </w:rPr>
        <w:t> </w:t>
      </w:r>
      <w:r>
        <w:rPr>
          <w:rFonts w:ascii="宋体" w:hAnsi="宋体" w:cs="宋体" w:eastAsia="宋体" w:hint="default"/>
        </w:rPr>
        <w:t>38</w:t>
      </w:r>
      <w:r>
        <w:rPr>
          <w:rFonts w:ascii="宋体" w:hAnsi="宋体" w:cs="宋体" w:eastAsia="宋体" w:hint="default"/>
          <w:spacing w:val="-72"/>
        </w:rPr>
        <w:t> </w:t>
      </w:r>
      <w:r>
        <w:rPr/>
        <w:t>万平方米，</w:t>
      </w:r>
    </w:p>
    <w:p>
      <w:pPr>
        <w:pStyle w:val="BodyText"/>
        <w:spacing w:line="355" w:lineRule="auto" w:before="154"/>
        <w:ind w:right="184"/>
        <w:jc w:val="both"/>
      </w:pPr>
      <w:r>
        <w:rPr/>
        <w:t>截至期末项目累计销售面积</w:t>
      </w:r>
      <w:r>
        <w:rPr>
          <w:spacing w:val="-60"/>
        </w:rPr>
        <w:t> </w:t>
      </w:r>
      <w:r>
        <w:rPr>
          <w:rFonts w:ascii="宋体" w:hAnsi="宋体" w:cs="宋体" w:eastAsia="宋体" w:hint="default"/>
        </w:rPr>
        <w:t>22</w:t>
      </w:r>
      <w:r>
        <w:rPr>
          <w:rFonts w:ascii="宋体" w:hAnsi="宋体" w:cs="宋体" w:eastAsia="宋体" w:hint="default"/>
          <w:spacing w:val="-60"/>
        </w:rPr>
        <w:t> </w:t>
      </w:r>
      <w:r>
        <w:rPr/>
        <w:t>万平方米，剩余可售面积仅</w:t>
      </w:r>
      <w:r>
        <w:rPr>
          <w:spacing w:val="-60"/>
        </w:rPr>
        <w:t> </w:t>
      </w:r>
      <w:r>
        <w:rPr>
          <w:rFonts w:ascii="宋体" w:hAnsi="宋体" w:cs="宋体" w:eastAsia="宋体" w:hint="default"/>
        </w:rPr>
        <w:t>3</w:t>
      </w:r>
      <w:r>
        <w:rPr>
          <w:rFonts w:ascii="宋体" w:hAnsi="宋体" w:cs="宋体" w:eastAsia="宋体" w:hint="default"/>
          <w:spacing w:val="-60"/>
        </w:rPr>
        <w:t> </w:t>
      </w:r>
      <w:r>
        <w:rPr/>
        <w:t>万平方米，在当地获得 了良好的口碑及品牌影响力。</w:t>
      </w:r>
    </w:p>
    <w:p>
      <w:pPr>
        <w:spacing w:after="0" w:line="355" w:lineRule="auto"/>
        <w:jc w:val="both"/>
        <w:sectPr>
          <w:pgSz w:w="11910" w:h="16840"/>
          <w:pgMar w:header="880" w:footer="1195" w:top="1120" w:bottom="1380" w:left="1660" w:right="1160"/>
        </w:sectPr>
      </w:pPr>
    </w:p>
    <w:p>
      <w:pPr>
        <w:spacing w:line="240" w:lineRule="auto" w:before="8"/>
        <w:rPr>
          <w:rFonts w:ascii="宋体" w:hAnsi="宋体" w:cs="宋体" w:eastAsia="宋体" w:hint="default"/>
          <w:sz w:val="25"/>
          <w:szCs w:val="25"/>
        </w:rPr>
      </w:pPr>
    </w:p>
    <w:p>
      <w:pPr>
        <w:pStyle w:val="BodyText"/>
        <w:spacing w:line="357" w:lineRule="auto" w:before="26"/>
        <w:ind w:left="218" w:right="0" w:firstLine="479"/>
        <w:jc w:val="left"/>
      </w:pPr>
      <w:r>
        <w:rPr/>
        <w:t>瑞安·新湖广场项目位于温州瑞安市滨海新区最核心的位置，城市主干路万松东 路与港口大道交叉区域，为土地资源稀缺，人口集聚的瑞安城市发展新的重点区域。</w:t>
      </w:r>
      <w:r>
        <w:rPr>
          <w:spacing w:val="-63"/>
        </w:rPr>
        <w:t> </w:t>
      </w:r>
      <w:r>
        <w:rPr>
          <w:spacing w:val="-63"/>
        </w:rPr>
      </w:r>
      <w:r>
        <w:rPr/>
        <w:t>项目总建筑面积</w:t>
      </w:r>
      <w:r>
        <w:rPr>
          <w:spacing w:val="-59"/>
        </w:rPr>
        <w:t> </w:t>
      </w:r>
      <w:r>
        <w:rPr>
          <w:rFonts w:ascii="宋体" w:hAnsi="宋体" w:cs="宋体" w:eastAsia="宋体" w:hint="default"/>
        </w:rPr>
        <w:t>65</w:t>
      </w:r>
      <w:r>
        <w:rPr>
          <w:rFonts w:ascii="宋体" w:hAnsi="宋体" w:cs="宋体" w:eastAsia="宋体" w:hint="default"/>
          <w:spacing w:val="-58"/>
        </w:rPr>
        <w:t> </w:t>
      </w:r>
      <w:r>
        <w:rPr>
          <w:spacing w:val="-4"/>
        </w:rPr>
        <w:t>万平方米，截至期末项目累计销售面积</w:t>
      </w:r>
      <w:r>
        <w:rPr>
          <w:spacing w:val="-58"/>
        </w:rPr>
        <w:t> </w:t>
      </w:r>
      <w:r>
        <w:rPr>
          <w:rFonts w:ascii="宋体" w:hAnsi="宋体" w:cs="宋体" w:eastAsia="宋体" w:hint="default"/>
        </w:rPr>
        <w:t>15</w:t>
      </w:r>
      <w:r>
        <w:rPr>
          <w:rFonts w:ascii="宋体" w:hAnsi="宋体" w:cs="宋体" w:eastAsia="宋体" w:hint="default"/>
          <w:spacing w:val="-58"/>
        </w:rPr>
        <w:t> </w:t>
      </w:r>
      <w:r>
        <w:rPr>
          <w:spacing w:val="-6"/>
        </w:rPr>
        <w:t>万平方米，在建面积</w:t>
      </w:r>
      <w:r>
        <w:rPr>
          <w:spacing w:val="-58"/>
        </w:rPr>
        <w:t> </w:t>
      </w:r>
      <w:r>
        <w:rPr>
          <w:rFonts w:ascii="宋体" w:hAnsi="宋体" w:cs="宋体" w:eastAsia="宋体" w:hint="default"/>
        </w:rPr>
        <w:t>32</w:t>
      </w:r>
      <w:r>
        <w:rPr>
          <w:rFonts w:ascii="宋体" w:hAnsi="宋体" w:cs="宋体" w:eastAsia="宋体" w:hint="default"/>
          <w:spacing w:val="-116"/>
        </w:rPr>
        <w:t> </w:t>
      </w:r>
      <w:r>
        <w:rPr/>
        <w:t>万平方米，未来两年将持续为公司做出贡献。</w:t>
      </w: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28"/>
          <w:pgSz w:w="11910" w:h="16840"/>
          <w:pgMar w:footer="1195" w:header="880" w:top="1120" w:bottom="1380" w:left="1580" w:right="1040"/>
        </w:sectPr>
      </w:pPr>
    </w:p>
    <w:p>
      <w:pPr>
        <w:pStyle w:val="Heading2"/>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58"/>
        </w:rPr>
        <w:t> </w:t>
      </w:r>
      <w:r>
        <w:rPr/>
        <w:t>报告期内房地产出租情况</w:t>
      </w:r>
      <w:r>
        <w:rPr>
          <w:b w:val="0"/>
          <w:bCs w:val="0"/>
        </w:rPr>
      </w:r>
    </w:p>
    <w:p>
      <w:pPr>
        <w:pStyle w:val="BodyText"/>
        <w:tabs>
          <w:tab w:pos="1177" w:val="left" w:leader="none"/>
        </w:tabs>
        <w:spacing w:line="240" w:lineRule="auto" w:before="58"/>
        <w:ind w:left="218" w:right="-18"/>
        <w:jc w:val="left"/>
      </w:pPr>
      <w:r>
        <w:rPr>
          <w:spacing w:val="-1"/>
        </w:rPr>
        <w:t>√适用</w:t>
        <w:tab/>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tabs>
          <w:tab w:pos="1269" w:val="left" w:leader="none"/>
        </w:tabs>
        <w:spacing w:before="0"/>
        <w:ind w:left="21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1910" w:h="16840"/>
          <w:pgMar w:top="1000" w:bottom="280" w:left="1580" w:right="1040"/>
          <w:cols w:num="2" w:equalWidth="0">
            <w:col w:w="3292" w:space="323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1"/>
        <w:gridCol w:w="624"/>
        <w:gridCol w:w="1858"/>
        <w:gridCol w:w="1433"/>
        <w:gridCol w:w="1299"/>
        <w:gridCol w:w="1272"/>
        <w:gridCol w:w="987"/>
        <w:gridCol w:w="1126"/>
      </w:tblGrid>
      <w:tr>
        <w:trPr>
          <w:trHeight w:val="110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12" w:right="115"/>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99" w:right="203"/>
              <w:jc w:val="left"/>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w w:val="100"/>
                <w:sz w:val="21"/>
                <w:szCs w:val="21"/>
              </w:rPr>
              <w:t> </w:t>
            </w:r>
            <w:r>
              <w:rPr>
                <w:rFonts w:ascii="宋体" w:hAnsi="宋体" w:cs="宋体" w:eastAsia="宋体" w:hint="default"/>
                <w:sz w:val="21"/>
                <w:szCs w:val="21"/>
              </w:rPr>
              <w:t>区</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88"/>
              <w:jc w:val="right"/>
              <w:rPr>
                <w:rFonts w:ascii="宋体" w:hAnsi="宋体" w:cs="宋体" w:eastAsia="宋体" w:hint="default"/>
                <w:sz w:val="21"/>
                <w:szCs w:val="21"/>
              </w:rPr>
            </w:pPr>
            <w:r>
              <w:rPr>
                <w:rFonts w:ascii="宋体" w:hAnsi="宋体" w:cs="宋体" w:eastAsia="宋体" w:hint="default"/>
                <w:spacing w:val="-1"/>
                <w:sz w:val="21"/>
                <w:szCs w:val="21"/>
              </w:rPr>
              <w:t>经营业态</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7" w:right="115"/>
              <w:jc w:val="both"/>
              <w:rPr>
                <w:rFonts w:ascii="宋体" w:hAnsi="宋体" w:cs="宋体" w:eastAsia="宋体" w:hint="default"/>
                <w:sz w:val="21"/>
                <w:szCs w:val="21"/>
              </w:rPr>
            </w:pPr>
            <w:r>
              <w:rPr>
                <w:rFonts w:ascii="宋体" w:hAnsi="宋体" w:cs="宋体" w:eastAsia="宋体" w:hint="default"/>
                <w:sz w:val="21"/>
                <w:szCs w:val="21"/>
              </w:rPr>
              <w:t>出租房地产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的建筑面积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w:t>
            </w:r>
            <w:r>
              <w:rPr>
                <w:rFonts w:ascii="宋体" w:hAnsi="宋体" w:cs="宋体" w:eastAsia="宋体" w:hint="default"/>
                <w:sz w:val="21"/>
                <w:szCs w:val="21"/>
              </w:rPr>
              <w:t>平方米</w:t>
            </w:r>
            <w:r>
              <w:rPr>
                <w:rFonts w:ascii="宋体" w:hAnsi="宋体" w:cs="宋体" w:eastAsia="宋体" w:hint="default"/>
                <w:sz w:val="21"/>
                <w:szCs w:val="21"/>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03" w:right="103"/>
              <w:jc w:val="left"/>
              <w:rPr>
                <w:rFonts w:ascii="宋体" w:hAnsi="宋体" w:cs="宋体" w:eastAsia="宋体" w:hint="default"/>
                <w:sz w:val="21"/>
                <w:szCs w:val="21"/>
              </w:rPr>
            </w:pPr>
            <w:r>
              <w:rPr>
                <w:rFonts w:ascii="宋体" w:hAnsi="宋体" w:cs="宋体" w:eastAsia="宋体" w:hint="default"/>
                <w:sz w:val="21"/>
                <w:szCs w:val="21"/>
              </w:rPr>
              <w:t>出租房地产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的租金收入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both"/>
              <w:rPr>
                <w:rFonts w:ascii="宋体" w:hAnsi="宋体" w:cs="宋体" w:eastAsia="宋体" w:hint="default"/>
                <w:sz w:val="21"/>
                <w:szCs w:val="21"/>
              </w:rPr>
            </w:pPr>
            <w:r>
              <w:rPr>
                <w:rFonts w:ascii="宋体" w:hAnsi="宋体" w:cs="宋体" w:eastAsia="宋体" w:hint="default"/>
                <w:sz w:val="21"/>
                <w:szCs w:val="21"/>
              </w:rPr>
              <w:t>是否采</w:t>
            </w:r>
          </w:p>
          <w:p>
            <w:pPr>
              <w:pStyle w:val="TableParagraph"/>
              <w:spacing w:line="237" w:lineRule="auto" w:before="2"/>
              <w:ind w:left="170" w:right="171"/>
              <w:jc w:val="both"/>
              <w:rPr>
                <w:rFonts w:ascii="宋体" w:hAnsi="宋体" w:cs="宋体" w:eastAsia="宋体" w:hint="default"/>
                <w:sz w:val="21"/>
                <w:szCs w:val="21"/>
              </w:rPr>
            </w:pPr>
            <w:r>
              <w:rPr>
                <w:rFonts w:ascii="宋体" w:hAnsi="宋体" w:cs="宋体" w:eastAsia="宋体" w:hint="default"/>
                <w:sz w:val="21"/>
                <w:szCs w:val="21"/>
              </w:rPr>
              <w:t>用公允</w:t>
            </w:r>
            <w:r>
              <w:rPr>
                <w:rFonts w:ascii="宋体" w:hAnsi="宋体" w:cs="宋体" w:eastAsia="宋体" w:hint="default"/>
                <w:spacing w:val="-102"/>
                <w:sz w:val="21"/>
                <w:szCs w:val="21"/>
              </w:rPr>
              <w:t> </w:t>
            </w:r>
            <w:r>
              <w:rPr>
                <w:rFonts w:ascii="宋体" w:hAnsi="宋体" w:cs="宋体" w:eastAsia="宋体" w:hint="default"/>
                <w:sz w:val="21"/>
                <w:szCs w:val="21"/>
              </w:rPr>
              <w:t>价值计</w:t>
            </w:r>
            <w:r>
              <w:rPr>
                <w:rFonts w:ascii="宋体" w:hAnsi="宋体" w:cs="宋体" w:eastAsia="宋体" w:hint="default"/>
                <w:spacing w:val="-102"/>
                <w:sz w:val="21"/>
                <w:szCs w:val="21"/>
              </w:rPr>
              <w:t> </w:t>
            </w:r>
            <w:r>
              <w:rPr>
                <w:rFonts w:ascii="宋体" w:hAnsi="宋体" w:cs="宋体" w:eastAsia="宋体" w:hint="default"/>
                <w:sz w:val="21"/>
                <w:szCs w:val="21"/>
              </w:rPr>
              <w:t>量模式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租金收入</w:t>
            </w:r>
          </w:p>
          <w:p>
            <w:pPr>
              <w:pStyle w:val="TableParagraph"/>
              <w:spacing w:line="237" w:lineRule="auto" w:before="2"/>
              <w:ind w:left="139" w:right="13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房地产</w:t>
            </w:r>
            <w:r>
              <w:rPr>
                <w:rFonts w:ascii="宋体" w:hAnsi="宋体" w:cs="宋体" w:eastAsia="宋体" w:hint="default"/>
                <w:w w:val="100"/>
                <w:sz w:val="21"/>
                <w:szCs w:val="21"/>
              </w:rPr>
              <w:t> </w:t>
            </w:r>
            <w:r>
              <w:rPr>
                <w:rFonts w:ascii="宋体" w:hAnsi="宋体" w:cs="宋体" w:eastAsia="宋体" w:hint="default"/>
                <w:sz w:val="21"/>
                <w:szCs w:val="21"/>
              </w:rPr>
              <w:t>公允价值</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554"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宁</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沈阳·北国之春</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中心</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9,390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3,463,832</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3"/>
              <w:jc w:val="right"/>
              <w:rPr>
                <w:rFonts w:ascii="宋体" w:hAnsi="宋体" w:cs="宋体" w:eastAsia="宋体" w:hint="default"/>
                <w:sz w:val="21"/>
                <w:szCs w:val="21"/>
              </w:rPr>
            </w:pPr>
            <w:r>
              <w:rPr>
                <w:rFonts w:ascii="宋体"/>
                <w:w w:val="100"/>
                <w:sz w:val="21"/>
              </w:rPr>
              <w:t>/</w:t>
            </w:r>
          </w:p>
        </w:tc>
      </w:tr>
      <w:tr>
        <w:trPr>
          <w:trHeight w:val="554"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江</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杭州·香格里拉</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4"/>
              <w:jc w:val="right"/>
              <w:rPr>
                <w:rFonts w:ascii="宋体" w:hAnsi="宋体" w:cs="宋体" w:eastAsia="宋体" w:hint="default"/>
                <w:sz w:val="21"/>
                <w:szCs w:val="21"/>
              </w:rPr>
            </w:pPr>
            <w:r>
              <w:rPr>
                <w:rFonts w:ascii="宋体" w:hAnsi="宋体" w:cs="宋体" w:eastAsia="宋体" w:hint="default"/>
                <w:spacing w:val="-1"/>
                <w:sz w:val="21"/>
                <w:szCs w:val="21"/>
              </w:rPr>
              <w:t>办公写字楼</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262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810,317</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3"/>
              <w:jc w:val="right"/>
              <w:rPr>
                <w:rFonts w:ascii="宋体" w:hAnsi="宋体" w:cs="宋体" w:eastAsia="宋体" w:hint="default"/>
                <w:sz w:val="21"/>
                <w:szCs w:val="21"/>
              </w:rPr>
            </w:pPr>
            <w:r>
              <w:rPr>
                <w:rFonts w:ascii="宋体"/>
                <w:w w:val="100"/>
                <w:sz w:val="21"/>
              </w:rPr>
              <w:t>/</w:t>
            </w:r>
          </w:p>
        </w:tc>
      </w:tr>
      <w:tr>
        <w:trPr>
          <w:trHeight w:val="557"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苏</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苏州·明珠城</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中心</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8,396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3,394,869</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3"/>
              <w:jc w:val="right"/>
              <w:rPr>
                <w:rFonts w:ascii="宋体" w:hAnsi="宋体" w:cs="宋体" w:eastAsia="宋体" w:hint="default"/>
                <w:sz w:val="21"/>
                <w:szCs w:val="21"/>
              </w:rPr>
            </w:pPr>
            <w:r>
              <w:rPr>
                <w:rFonts w:ascii="宋体"/>
                <w:w w:val="100"/>
                <w:sz w:val="21"/>
              </w:rPr>
              <w:t>/</w:t>
            </w:r>
          </w:p>
        </w:tc>
      </w:tr>
      <w:tr>
        <w:trPr>
          <w:trHeight w:val="281" w:hRule="exact"/>
        </w:trPr>
        <w:tc>
          <w:tcPr>
            <w:tcW w:w="4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4</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0" w:right="30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w w:val="100"/>
                <w:sz w:val="21"/>
                <w:szCs w:val="21"/>
              </w:rPr>
              <w:t> </w:t>
            </w:r>
            <w:r>
              <w:rPr>
                <w:rFonts w:ascii="宋体" w:hAnsi="宋体" w:cs="宋体" w:eastAsia="宋体" w:hint="default"/>
                <w:sz w:val="21"/>
                <w:szCs w:val="21"/>
              </w:rPr>
              <w:t>海</w:t>
            </w:r>
          </w:p>
        </w:tc>
        <w:tc>
          <w:tcPr>
            <w:tcW w:w="18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6"/>
                <w:sz w:val="21"/>
                <w:szCs w:val="21"/>
              </w:rPr>
              <w:t>上海·新湖明珠城</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4"/>
              <w:jc w:val="right"/>
              <w:rPr>
                <w:rFonts w:ascii="宋体" w:hAnsi="宋体" w:cs="宋体" w:eastAsia="宋体" w:hint="default"/>
                <w:sz w:val="21"/>
                <w:szCs w:val="21"/>
              </w:rPr>
            </w:pPr>
            <w:r>
              <w:rPr>
                <w:rFonts w:ascii="宋体" w:hAnsi="宋体" w:cs="宋体" w:eastAsia="宋体" w:hint="default"/>
                <w:spacing w:val="-1"/>
                <w:sz w:val="21"/>
                <w:szCs w:val="21"/>
              </w:rPr>
              <w:t>办公写字楼</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1,897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1,728,571</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3"/>
              <w:jc w:val="right"/>
              <w:rPr>
                <w:rFonts w:ascii="宋体" w:hAnsi="宋体" w:cs="宋体" w:eastAsia="宋体" w:hint="default"/>
                <w:sz w:val="21"/>
                <w:szCs w:val="21"/>
              </w:rPr>
            </w:pPr>
            <w:r>
              <w:rPr>
                <w:rFonts w:ascii="宋体"/>
                <w:w w:val="100"/>
                <w:sz w:val="21"/>
              </w:rPr>
              <w:t>/</w:t>
            </w:r>
          </w:p>
        </w:tc>
      </w:tr>
      <w:tr>
        <w:trPr>
          <w:trHeight w:val="555" w:hRule="exact"/>
        </w:trPr>
        <w:tc>
          <w:tcPr>
            <w:tcW w:w="451"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1858" w:type="dxa"/>
            <w:vMerge/>
            <w:tcBorders>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中心</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1,138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1,174,131</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3"/>
              <w:jc w:val="right"/>
              <w:rPr>
                <w:rFonts w:ascii="宋体" w:hAnsi="宋体" w:cs="宋体" w:eastAsia="宋体" w:hint="default"/>
                <w:sz w:val="21"/>
                <w:szCs w:val="21"/>
              </w:rPr>
            </w:pPr>
            <w:r>
              <w:rPr>
                <w:rFonts w:ascii="宋体"/>
                <w:w w:val="100"/>
                <w:sz w:val="21"/>
              </w:rPr>
              <w:t>/</w:t>
            </w:r>
          </w:p>
        </w:tc>
      </w:tr>
      <w:tr>
        <w:trPr>
          <w:trHeight w:val="554" w:hRule="exact"/>
        </w:trPr>
        <w:tc>
          <w:tcPr>
            <w:tcW w:w="451"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上海·虹桥绿谷广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场</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4"/>
              <w:jc w:val="right"/>
              <w:rPr>
                <w:rFonts w:ascii="宋体" w:hAnsi="宋体" w:cs="宋体" w:eastAsia="宋体" w:hint="default"/>
                <w:sz w:val="21"/>
                <w:szCs w:val="21"/>
              </w:rPr>
            </w:pPr>
            <w:r>
              <w:rPr>
                <w:rFonts w:ascii="宋体" w:hAnsi="宋体" w:cs="宋体" w:eastAsia="宋体" w:hint="default"/>
                <w:spacing w:val="-1"/>
                <w:sz w:val="21"/>
                <w:szCs w:val="21"/>
              </w:rPr>
              <w:t>办公写字楼</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20,193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12,793,116</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3"/>
              <w:jc w:val="right"/>
              <w:rPr>
                <w:rFonts w:ascii="宋体" w:hAnsi="宋体" w:cs="宋体" w:eastAsia="宋体" w:hint="default"/>
                <w:sz w:val="21"/>
                <w:szCs w:val="21"/>
              </w:rPr>
            </w:pPr>
            <w:r>
              <w:rPr>
                <w:rFonts w:ascii="宋体"/>
                <w:w w:val="100"/>
                <w:sz w:val="21"/>
              </w:rPr>
              <w:t>/</w:t>
            </w:r>
          </w:p>
        </w:tc>
      </w:tr>
      <w:tr>
        <w:trPr>
          <w:trHeight w:val="557"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浙</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江</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丽水·新湖国际</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中心</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2,695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1,335,025</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3"/>
              <w:jc w:val="right"/>
              <w:rPr>
                <w:rFonts w:ascii="宋体" w:hAnsi="宋体" w:cs="宋体" w:eastAsia="宋体" w:hint="default"/>
                <w:sz w:val="21"/>
                <w:szCs w:val="21"/>
              </w:rPr>
            </w:pPr>
            <w:r>
              <w:rPr>
                <w:rFonts w:ascii="宋体"/>
                <w:w w:val="100"/>
                <w:sz w:val="21"/>
              </w:rPr>
              <w:t>/</w:t>
            </w:r>
          </w:p>
        </w:tc>
      </w:tr>
      <w:tr>
        <w:trPr>
          <w:trHeight w:val="554"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100"/>
                <w:sz w:val="21"/>
              </w:rPr>
              <w:t>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西</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九江·柴桑春天</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中心</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3,147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2,070,522</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03"/>
              <w:jc w:val="right"/>
              <w:rPr>
                <w:rFonts w:ascii="宋体" w:hAnsi="宋体" w:cs="宋体" w:eastAsia="宋体" w:hint="default"/>
                <w:sz w:val="21"/>
                <w:szCs w:val="21"/>
              </w:rPr>
            </w:pPr>
            <w:r>
              <w:rPr>
                <w:rFonts w:ascii="宋体"/>
                <w:w w:val="100"/>
                <w:sz w:val="21"/>
              </w:rPr>
              <w:t>/</w:t>
            </w:r>
          </w:p>
        </w:tc>
      </w:tr>
      <w:tr>
        <w:trPr>
          <w:trHeight w:val="281" w:hRule="exact"/>
        </w:trPr>
        <w:tc>
          <w:tcPr>
            <w:tcW w:w="45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7</w:t>
            </w:r>
          </w:p>
        </w:tc>
        <w:tc>
          <w:tcPr>
            <w:tcW w:w="624" w:type="dxa"/>
            <w:vMerge w:val="restart"/>
            <w:tcBorders>
              <w:top w:val="single" w:sz="4" w:space="0" w:color="000000"/>
              <w:left w:val="single" w:sz="4" w:space="0" w:color="000000"/>
              <w:right w:val="single" w:sz="4" w:space="0" w:color="000000"/>
            </w:tcBorders>
          </w:tcPr>
          <w:p>
            <w:pPr>
              <w:pStyle w:val="TableParagraph"/>
              <w:spacing w:line="272" w:lineRule="exact" w:before="135"/>
              <w:ind w:left="100" w:right="30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w w:val="100"/>
                <w:sz w:val="21"/>
                <w:szCs w:val="21"/>
              </w:rPr>
              <w:t> </w:t>
            </w:r>
            <w:r>
              <w:rPr>
                <w:rFonts w:ascii="宋体" w:hAnsi="宋体" w:cs="宋体" w:eastAsia="宋体" w:hint="default"/>
                <w:sz w:val="21"/>
                <w:szCs w:val="21"/>
              </w:rPr>
              <w:t>江</w:t>
            </w:r>
          </w:p>
        </w:tc>
        <w:tc>
          <w:tcPr>
            <w:tcW w:w="18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6"/>
                <w:sz w:val="21"/>
                <w:szCs w:val="21"/>
              </w:rPr>
              <w:t>绍兴·红太阳中心</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4"/>
              <w:jc w:val="right"/>
              <w:rPr>
                <w:rFonts w:ascii="宋体" w:hAnsi="宋体" w:cs="宋体" w:eastAsia="宋体" w:hint="default"/>
                <w:sz w:val="21"/>
                <w:szCs w:val="21"/>
              </w:rPr>
            </w:pPr>
            <w:r>
              <w:rPr>
                <w:rFonts w:ascii="宋体" w:hAnsi="宋体" w:cs="宋体" w:eastAsia="宋体" w:hint="default"/>
                <w:spacing w:val="-1"/>
                <w:sz w:val="21"/>
                <w:szCs w:val="21"/>
              </w:rPr>
              <w:t>办公写字楼</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748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124,890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3"/>
              <w:jc w:val="right"/>
              <w:rPr>
                <w:rFonts w:ascii="宋体" w:hAnsi="宋体" w:cs="宋体" w:eastAsia="宋体" w:hint="default"/>
                <w:sz w:val="21"/>
                <w:szCs w:val="21"/>
              </w:rPr>
            </w:pPr>
            <w:r>
              <w:rPr>
                <w:rFonts w:ascii="宋体"/>
                <w:w w:val="100"/>
                <w:sz w:val="21"/>
              </w:rPr>
              <w:t>/</w:t>
            </w:r>
          </w:p>
        </w:tc>
      </w:tr>
      <w:tr>
        <w:trPr>
          <w:trHeight w:val="554" w:hRule="exact"/>
        </w:trPr>
        <w:tc>
          <w:tcPr>
            <w:tcW w:w="451"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1858" w:type="dxa"/>
            <w:vMerge/>
            <w:tcBorders>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中心</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15,187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4,676,644</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3"/>
              <w:jc w:val="right"/>
              <w:rPr>
                <w:rFonts w:ascii="宋体" w:hAnsi="宋体" w:cs="宋体" w:eastAsia="宋体" w:hint="default"/>
                <w:sz w:val="21"/>
                <w:szCs w:val="21"/>
              </w:rPr>
            </w:pPr>
            <w:r>
              <w:rPr>
                <w:rFonts w:ascii="宋体"/>
                <w:w w:val="100"/>
                <w:sz w:val="21"/>
              </w:rPr>
              <w:t>/</w:t>
            </w:r>
          </w:p>
        </w:tc>
      </w:tr>
      <w:tr>
        <w:trPr>
          <w:trHeight w:val="557"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浙</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江</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兰溪·香格里拉</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中心</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8,414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1,453,389</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3"/>
              <w:jc w:val="right"/>
              <w:rPr>
                <w:rFonts w:ascii="宋体" w:hAnsi="宋体" w:cs="宋体" w:eastAsia="宋体" w:hint="default"/>
                <w:sz w:val="21"/>
                <w:szCs w:val="21"/>
              </w:rPr>
            </w:pPr>
            <w:r>
              <w:rPr>
                <w:rFonts w:ascii="宋体"/>
                <w:w w:val="100"/>
                <w:sz w:val="21"/>
              </w:rPr>
              <w:t>/</w:t>
            </w:r>
          </w:p>
        </w:tc>
      </w:tr>
      <w:tr>
        <w:trPr>
          <w:trHeight w:val="555"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w w:val="100"/>
                <w:sz w:val="21"/>
              </w:rPr>
              <w:t>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浙</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江</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衢州·新湖景城</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中心</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10,718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1,358,823</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03"/>
              <w:jc w:val="right"/>
              <w:rPr>
                <w:rFonts w:ascii="宋体" w:hAnsi="宋体" w:cs="宋体" w:eastAsia="宋体" w:hint="default"/>
                <w:sz w:val="21"/>
                <w:szCs w:val="21"/>
              </w:rPr>
            </w:pPr>
            <w:r>
              <w:rPr>
                <w:rFonts w:ascii="宋体"/>
                <w:w w:val="100"/>
                <w:sz w:val="21"/>
              </w:rPr>
              <w:t>/</w:t>
            </w:r>
          </w:p>
        </w:tc>
      </w:tr>
      <w:tr>
        <w:trPr>
          <w:trHeight w:val="554"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10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浙</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江</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嘉兴·新中花园</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中心</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112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57,143</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3"/>
              <w:jc w:val="right"/>
              <w:rPr>
                <w:rFonts w:ascii="宋体" w:hAnsi="宋体" w:cs="宋体" w:eastAsia="宋体" w:hint="default"/>
                <w:sz w:val="21"/>
                <w:szCs w:val="21"/>
              </w:rPr>
            </w:pPr>
            <w:r>
              <w:rPr>
                <w:rFonts w:ascii="宋体"/>
                <w:w w:val="100"/>
                <w:sz w:val="21"/>
              </w:rPr>
              <w:t>/</w:t>
            </w:r>
          </w:p>
        </w:tc>
      </w:tr>
      <w:tr>
        <w:trPr>
          <w:trHeight w:val="283" w:hRule="exact"/>
        </w:trPr>
        <w:tc>
          <w:tcPr>
            <w:tcW w:w="43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82,298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34,441,272</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3"/>
              <w:jc w:val="right"/>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000" w:bottom="280" w:left="1580" w:right="1040"/>
        </w:sectPr>
      </w:pPr>
    </w:p>
    <w:p>
      <w:pPr>
        <w:tabs>
          <w:tab w:pos="642" w:val="left" w:leader="none"/>
        </w:tabs>
        <w:spacing w:before="36"/>
        <w:ind w:left="218" w:right="-8" w:firstLine="0"/>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pacing w:val="-1"/>
          <w:sz w:val="21"/>
          <w:szCs w:val="21"/>
        </w:rPr>
        <w:t>报告期内公司财务融资情况</w:t>
      </w:r>
      <w:r>
        <w:rPr>
          <w:rFonts w:ascii="宋体" w:hAnsi="宋体" w:cs="宋体" w:eastAsia="宋体" w:hint="default"/>
          <w:spacing w:val="-1"/>
          <w:sz w:val="21"/>
          <w:szCs w:val="21"/>
        </w:rPr>
      </w:r>
    </w:p>
    <w:p>
      <w:pPr>
        <w:pStyle w:val="BodyText"/>
        <w:tabs>
          <w:tab w:pos="1177" w:val="left" w:leader="none"/>
        </w:tabs>
        <w:spacing w:line="240" w:lineRule="auto" w:before="50"/>
        <w:ind w:left="218" w:right="-8"/>
        <w:jc w:val="left"/>
      </w:pPr>
      <w:r>
        <w:rPr>
          <w:spacing w:val="-1"/>
        </w:rPr>
        <w:t>√适用</w:t>
        <w:tab/>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tabs>
          <w:tab w:pos="1480" w:val="left" w:leader="none"/>
        </w:tabs>
        <w:spacing w:before="156"/>
        <w:ind w:left="21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单位：千元</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1910" w:h="16840"/>
          <w:pgMar w:top="1000" w:bottom="280" w:left="1580" w:right="1040"/>
          <w:cols w:num="2" w:equalWidth="0">
            <w:col w:w="3173" w:space="3137"/>
            <w:col w:w="298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6"/>
        <w:gridCol w:w="3017"/>
        <w:gridCol w:w="3157"/>
      </w:tblGrid>
      <w:tr>
        <w:trPr>
          <w:trHeight w:val="396"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801" w:right="0"/>
              <w:jc w:val="left"/>
              <w:rPr>
                <w:rFonts w:ascii="宋体" w:hAnsi="宋体" w:cs="宋体" w:eastAsia="宋体" w:hint="default"/>
                <w:sz w:val="21"/>
                <w:szCs w:val="21"/>
              </w:rPr>
            </w:pPr>
            <w:r>
              <w:rPr>
                <w:rFonts w:ascii="宋体" w:hAnsi="宋体" w:cs="宋体" w:eastAsia="宋体" w:hint="default"/>
                <w:sz w:val="21"/>
                <w:szCs w:val="21"/>
              </w:rPr>
              <w:t>期末融资总额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503" w:right="0"/>
              <w:jc w:val="left"/>
              <w:rPr>
                <w:rFonts w:ascii="宋体" w:hAnsi="宋体" w:cs="宋体" w:eastAsia="宋体" w:hint="default"/>
                <w:sz w:val="21"/>
                <w:szCs w:val="21"/>
              </w:rPr>
            </w:pPr>
            <w:r>
              <w:rPr>
                <w:rFonts w:ascii="宋体" w:hAnsi="宋体" w:cs="宋体" w:eastAsia="宋体" w:hint="default"/>
                <w:sz w:val="21"/>
                <w:szCs w:val="21"/>
              </w:rPr>
              <w:t>整体平均融资成本</w:t>
            </w:r>
            <w:r>
              <w:rPr>
                <w:rFonts w:ascii="宋体" w:hAnsi="宋体" w:cs="宋体" w:eastAsia="宋体" w:hint="default"/>
                <w:sz w:val="21"/>
                <w:szCs w:val="21"/>
              </w:rPr>
              <w:t>(%)</w:t>
            </w: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835" w:right="0"/>
              <w:jc w:val="left"/>
              <w:rPr>
                <w:rFonts w:ascii="宋体" w:hAnsi="宋体" w:cs="宋体" w:eastAsia="宋体" w:hint="default"/>
                <w:sz w:val="21"/>
                <w:szCs w:val="21"/>
              </w:rPr>
            </w:pPr>
            <w:r>
              <w:rPr>
                <w:rFonts w:ascii="宋体" w:hAnsi="宋体" w:cs="宋体" w:eastAsia="宋体" w:hint="default"/>
                <w:sz w:val="21"/>
                <w:szCs w:val="21"/>
              </w:rPr>
              <w:t>利息资本化金额</w:t>
            </w:r>
          </w:p>
        </w:tc>
      </w:tr>
      <w:tr>
        <w:trPr>
          <w:trHeight w:val="283"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4" w:right="0"/>
              <w:jc w:val="left"/>
              <w:rPr>
                <w:rFonts w:ascii="宋体" w:hAnsi="宋体" w:cs="宋体" w:eastAsia="宋体" w:hint="default"/>
                <w:sz w:val="21"/>
                <w:szCs w:val="21"/>
              </w:rPr>
            </w:pPr>
            <w:r>
              <w:rPr>
                <w:rFonts w:ascii="宋体"/>
                <w:sz w:val="21"/>
              </w:rPr>
              <w:t>68,581,820.41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6.48</w:t>
            </w: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83" w:right="0"/>
              <w:jc w:val="left"/>
              <w:rPr>
                <w:rFonts w:ascii="宋体" w:hAnsi="宋体" w:cs="宋体" w:eastAsia="宋体" w:hint="default"/>
                <w:sz w:val="21"/>
                <w:szCs w:val="21"/>
              </w:rPr>
            </w:pPr>
            <w:r>
              <w:rPr>
                <w:rFonts w:ascii="宋体"/>
                <w:sz w:val="21"/>
              </w:rPr>
              <w:t>2,430,516.63</w:t>
            </w:r>
          </w:p>
        </w:tc>
      </w:tr>
    </w:tbl>
    <w:p>
      <w:pPr>
        <w:spacing w:after="0" w:line="241" w:lineRule="exact"/>
        <w:jc w:val="left"/>
        <w:rPr>
          <w:rFonts w:ascii="宋体" w:hAnsi="宋体" w:cs="宋体" w:eastAsia="宋体" w:hint="default"/>
          <w:sz w:val="21"/>
          <w:szCs w:val="21"/>
        </w:rPr>
        <w:sectPr>
          <w:type w:val="continuous"/>
          <w:pgSz w:w="11910" w:h="16840"/>
          <w:pgMar w:top="1000" w:bottom="2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29"/>
          <w:pgSz w:w="11910" w:h="16840"/>
          <w:pgMar w:footer="1195" w:header="880" w:top="1120" w:bottom="1380" w:left="1580" w:right="1040"/>
        </w:sectPr>
      </w:pPr>
    </w:p>
    <w:p>
      <w:pPr>
        <w:pStyle w:val="Heading2"/>
        <w:tabs>
          <w:tab w:pos="1057" w:val="left" w:leader="none"/>
        </w:tabs>
        <w:spacing w:line="240" w:lineRule="auto" w:before="190"/>
        <w:ind w:right="-18"/>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投资状况分析</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t>、</w:t>
      </w:r>
      <w:r>
        <w:rPr>
          <w:spacing w:val="-66"/>
        </w:rPr>
        <w:t> </w:t>
      </w:r>
      <w:r>
        <w:rPr/>
        <w:t>对外股权投资总体分析</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tabs>
          <w:tab w:pos="1481" w:val="left" w:leader="none"/>
        </w:tabs>
        <w:spacing w:before="0"/>
        <w:ind w:left="21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单位：千元</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1910" w:h="16840"/>
          <w:pgMar w:top="1000" w:bottom="280" w:left="1580" w:right="1040"/>
          <w:cols w:num="2" w:equalWidth="0">
            <w:col w:w="3047" w:space="3160"/>
            <w:col w:w="3083"/>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80"/>
        <w:gridCol w:w="4770"/>
      </w:tblGrid>
      <w:tr>
        <w:trPr>
          <w:trHeight w:val="283" w:hRule="exact"/>
        </w:trPr>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报告期内投资额</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10,030,117.81</w:t>
            </w:r>
          </w:p>
        </w:tc>
      </w:tr>
      <w:tr>
        <w:trPr>
          <w:trHeight w:val="281" w:hRule="exact"/>
        </w:trPr>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6,127,217.81</w:t>
            </w:r>
          </w:p>
        </w:tc>
      </w:tr>
      <w:tr>
        <w:trPr>
          <w:trHeight w:val="283" w:hRule="exact"/>
        </w:trPr>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3,902,900.00</w:t>
            </w:r>
          </w:p>
        </w:tc>
      </w:tr>
      <w:tr>
        <w:trPr>
          <w:trHeight w:val="283" w:hRule="exact"/>
        </w:trPr>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投资额增减幅度</w:t>
            </w:r>
            <w:r>
              <w:rPr>
                <w:rFonts w:ascii="宋体" w:hAnsi="宋体" w:cs="宋体" w:eastAsia="宋体" w:hint="default"/>
                <w:sz w:val="21"/>
                <w:szCs w:val="21"/>
              </w:rPr>
              <w:t>(%)</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156.99</w:t>
            </w:r>
          </w:p>
        </w:tc>
      </w:tr>
    </w:tbl>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00" w:bottom="280" w:left="1580" w:right="1040"/>
        </w:sectPr>
      </w:pPr>
    </w:p>
    <w:p>
      <w:pPr>
        <w:pStyle w:val="Heading2"/>
        <w:spacing w:line="240" w:lineRule="auto"/>
        <w:ind w:right="-18"/>
        <w:jc w:val="left"/>
        <w:rPr>
          <w:b w:val="0"/>
          <w:bCs w:val="0"/>
        </w:rPr>
      </w:pPr>
      <w:r>
        <w:rPr>
          <w:rFonts w:ascii="宋体" w:hAnsi="宋体" w:cs="宋体" w:eastAsia="宋体" w:hint="default"/>
        </w:rPr>
        <w:t>(1)</w:t>
      </w:r>
      <w:r>
        <w:rPr>
          <w:rFonts w:ascii="宋体" w:hAnsi="宋体" w:cs="宋体" w:eastAsia="宋体" w:hint="default"/>
          <w:spacing w:val="-66"/>
        </w:rPr>
        <w:t> </w:t>
      </w:r>
      <w:r>
        <w:rPr/>
        <w:t>重大的股权投资</w:t>
      </w:r>
      <w:r>
        <w:rPr>
          <w:b w:val="0"/>
          <w:bCs w:val="0"/>
        </w:rPr>
      </w:r>
    </w:p>
    <w:p>
      <w:pPr>
        <w:pStyle w:val="BodyText"/>
        <w:tabs>
          <w:tab w:pos="1177" w:val="left" w:leader="none"/>
        </w:tabs>
        <w:spacing w:line="240" w:lineRule="auto" w:before="58"/>
        <w:ind w:left="218" w:right="-18"/>
        <w:jc w:val="left"/>
      </w:pPr>
      <w:r>
        <w:rPr>
          <w:spacing w:val="-1"/>
        </w:rPr>
        <w:t>√适用</w:t>
        <w:tab/>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tabs>
          <w:tab w:pos="1480" w:val="left" w:leader="none"/>
        </w:tabs>
        <w:spacing w:before="0"/>
        <w:ind w:left="21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单位：千元</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1910" w:h="16840"/>
          <w:pgMar w:top="1000" w:bottom="280" w:left="1580" w:right="1040"/>
          <w:cols w:num="2" w:equalWidth="0">
            <w:col w:w="2325" w:space="3777"/>
            <w:col w:w="318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12"/>
        <w:gridCol w:w="2612"/>
        <w:gridCol w:w="1450"/>
        <w:gridCol w:w="1476"/>
      </w:tblGrid>
      <w:tr>
        <w:trPr>
          <w:trHeight w:val="828"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04" w:right="0"/>
              <w:jc w:val="left"/>
              <w:rPr>
                <w:rFonts w:ascii="宋体" w:hAnsi="宋体" w:cs="宋体" w:eastAsia="宋体" w:hint="default"/>
                <w:sz w:val="21"/>
                <w:szCs w:val="21"/>
              </w:rPr>
            </w:pPr>
            <w:r>
              <w:rPr>
                <w:rFonts w:ascii="宋体" w:hAnsi="宋体" w:cs="宋体" w:eastAsia="宋体" w:hint="default"/>
                <w:b/>
                <w:bCs/>
                <w:sz w:val="21"/>
                <w:szCs w:val="21"/>
              </w:rPr>
              <w:t>被投资的公司名称</w:t>
            </w:r>
            <w:r>
              <w:rPr>
                <w:rFonts w:ascii="宋体" w:hAnsi="宋体" w:cs="宋体" w:eastAsia="宋体" w:hint="default"/>
                <w:sz w:val="21"/>
                <w:szCs w:val="21"/>
              </w:rPr>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67" w:right="0"/>
              <w:jc w:val="left"/>
              <w:rPr>
                <w:rFonts w:ascii="宋体" w:hAnsi="宋体" w:cs="宋体" w:eastAsia="宋体" w:hint="default"/>
                <w:sz w:val="21"/>
                <w:szCs w:val="21"/>
              </w:rPr>
            </w:pPr>
            <w:r>
              <w:rPr>
                <w:rFonts w:ascii="宋体" w:hAnsi="宋体" w:cs="宋体" w:eastAsia="宋体" w:hint="default"/>
                <w:b/>
                <w:bCs/>
                <w:sz w:val="21"/>
                <w:szCs w:val="21"/>
              </w:rPr>
              <w:t>主要经营活动</w:t>
            </w:r>
            <w:r>
              <w:rPr>
                <w:rFonts w:ascii="宋体" w:hAnsi="宋体" w:cs="宋体" w:eastAsia="宋体" w:hint="default"/>
                <w:sz w:val="21"/>
                <w:szCs w:val="21"/>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1" w:right="0"/>
              <w:jc w:val="left"/>
              <w:rPr>
                <w:rFonts w:ascii="宋体" w:hAnsi="宋体" w:cs="宋体" w:eastAsia="宋体" w:hint="default"/>
                <w:sz w:val="21"/>
                <w:szCs w:val="21"/>
              </w:rPr>
            </w:pPr>
            <w:r>
              <w:rPr>
                <w:rFonts w:ascii="宋体" w:hAnsi="宋体" w:cs="宋体" w:eastAsia="宋体" w:hint="default"/>
                <w:b/>
                <w:bCs/>
                <w:sz w:val="21"/>
                <w:szCs w:val="21"/>
              </w:rPr>
              <w:t>占被投资公</w:t>
            </w:r>
            <w:r>
              <w:rPr>
                <w:rFonts w:ascii="宋体" w:hAnsi="宋体" w:cs="宋体" w:eastAsia="宋体" w:hint="default"/>
                <w:sz w:val="21"/>
                <w:szCs w:val="21"/>
              </w:rPr>
            </w:r>
          </w:p>
          <w:p>
            <w:pPr>
              <w:pStyle w:val="TableParagraph"/>
              <w:spacing w:line="272" w:lineRule="exact" w:before="27"/>
              <w:ind w:left="455" w:right="190" w:hanging="264"/>
              <w:jc w:val="left"/>
              <w:rPr>
                <w:rFonts w:ascii="宋体" w:hAnsi="宋体" w:cs="宋体" w:eastAsia="宋体" w:hint="default"/>
                <w:sz w:val="21"/>
                <w:szCs w:val="21"/>
              </w:rPr>
            </w:pPr>
            <w:r>
              <w:rPr>
                <w:rFonts w:ascii="宋体" w:hAnsi="宋体" w:cs="宋体" w:eastAsia="宋体" w:hint="default"/>
                <w:b/>
                <w:bCs/>
                <w:sz w:val="21"/>
                <w:szCs w:val="21"/>
              </w:rPr>
              <w:t>司权益的比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宋体" w:hAnsi="宋体" w:cs="宋体" w:eastAsia="宋体" w:hint="default"/>
                <w:b/>
                <w:bCs/>
                <w:sz w:val="21"/>
                <w:szCs w:val="21"/>
              </w:rPr>
              <w:t>(%)</w:t>
            </w:r>
            <w:r>
              <w:rPr>
                <w:rFonts w:ascii="宋体" w:hAnsi="宋体" w:cs="宋体" w:eastAsia="宋体" w:hint="default"/>
                <w:sz w:val="21"/>
                <w:szCs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b/>
                <w:bCs/>
                <w:sz w:val="21"/>
                <w:szCs w:val="21"/>
              </w:rPr>
              <w:t>投资金额</w:t>
            </w:r>
            <w:r>
              <w:rPr>
                <w:rFonts w:ascii="宋体" w:hAnsi="宋体" w:cs="宋体" w:eastAsia="宋体" w:hint="default"/>
                <w:sz w:val="21"/>
                <w:szCs w:val="21"/>
              </w:rPr>
            </w:r>
          </w:p>
        </w:tc>
      </w:tr>
      <w:tr>
        <w:trPr>
          <w:trHeight w:val="55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浙江浙商产融投资合伙企业（有限合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3"/>
                <w:sz w:val="21"/>
                <w:szCs w:val="21"/>
              </w:rPr>
              <w:t>私募股权投资，投资管理，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投资咨询等</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3.97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2,000,000.00</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中信银行（国际）有限公司</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金融服务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1,816,211.09</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新湖地产集团有限公司</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房地产开发经营</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1,750,000.00</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温州银行股份有限公司</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吸收存款、发放贷款等</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18.15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743,662.64</w:t>
            </w:r>
          </w:p>
        </w:tc>
      </w:tr>
      <w:tr>
        <w:trPr>
          <w:trHeight w:val="28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 CREDIT CARD</w:t>
            </w:r>
            <w:r>
              <w:rPr>
                <w:rFonts w:ascii="宋体"/>
                <w:spacing w:val="-1"/>
                <w:sz w:val="21"/>
              </w:rPr>
              <w:t> </w:t>
            </w:r>
            <w:r>
              <w:rPr>
                <w:rFonts w:ascii="宋体"/>
                <w:sz w:val="21"/>
              </w:rPr>
              <w:t>INC.</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金融服务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26.56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988,494.79</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中信银行股份有限公司</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金融服务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541,771.87</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AISA Pacific Exchange Pte.</w:t>
            </w:r>
            <w:r>
              <w:rPr>
                <w:rFonts w:ascii="宋体"/>
                <w:spacing w:val="-4"/>
                <w:sz w:val="21"/>
              </w:rPr>
              <w:t> </w:t>
            </w:r>
            <w:r>
              <w:rPr>
                <w:rFonts w:ascii="宋体"/>
                <w:sz w:val="21"/>
              </w:rPr>
              <w:t>Ltd.</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金融服务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522,736.00</w:t>
            </w:r>
          </w:p>
        </w:tc>
      </w:tr>
    </w:tbl>
    <w:p>
      <w:pPr>
        <w:spacing w:line="240" w:lineRule="auto" w:before="6"/>
        <w:rPr>
          <w:rFonts w:ascii="宋体" w:hAnsi="宋体" w:cs="宋体" w:eastAsia="宋体" w:hint="default"/>
          <w:sz w:val="20"/>
          <w:szCs w:val="20"/>
        </w:rPr>
      </w:pPr>
    </w:p>
    <w:p>
      <w:pPr>
        <w:pStyle w:val="Heading2"/>
        <w:spacing w:line="240" w:lineRule="auto"/>
        <w:ind w:right="233"/>
        <w:jc w:val="left"/>
        <w:rPr>
          <w:b w:val="0"/>
          <w:bCs w:val="0"/>
        </w:rPr>
      </w:pPr>
      <w:r>
        <w:rPr>
          <w:rFonts w:ascii="宋体" w:hAnsi="宋体" w:cs="宋体" w:eastAsia="宋体" w:hint="default"/>
        </w:rPr>
        <w:t>(2)</w:t>
      </w:r>
      <w:r>
        <w:rPr>
          <w:rFonts w:ascii="宋体" w:hAnsi="宋体" w:cs="宋体" w:eastAsia="宋体" w:hint="default"/>
          <w:spacing w:val="-67"/>
        </w:rPr>
        <w:t> </w:t>
      </w:r>
      <w:r>
        <w:rPr/>
        <w:t>重大的非股权投资</w:t>
      </w:r>
      <w:r>
        <w:rPr>
          <w:b w:val="0"/>
          <w:bCs w:val="0"/>
        </w:rPr>
      </w:r>
    </w:p>
    <w:p>
      <w:pPr>
        <w:pStyle w:val="BodyText"/>
        <w:tabs>
          <w:tab w:pos="1177" w:val="left" w:leader="none"/>
        </w:tabs>
        <w:spacing w:line="240" w:lineRule="auto" w:before="55"/>
        <w:ind w:left="218" w:right="233"/>
        <w:jc w:val="left"/>
      </w:pPr>
      <w:r>
        <w:rPr>
          <w:spacing w:val="-1"/>
        </w:rPr>
        <w:t>□适用</w:t>
        <w:tab/>
      </w:r>
      <w:r>
        <w:rPr/>
        <w:t>√不适用</w:t>
      </w:r>
    </w:p>
    <w:p>
      <w:pPr>
        <w:spacing w:after="0" w:line="240" w:lineRule="auto"/>
        <w:jc w:val="left"/>
        <w:sectPr>
          <w:type w:val="continuous"/>
          <w:pgSz w:w="11910" w:h="16840"/>
          <w:pgMar w:top="1000" w:bottom="280" w:left="1580" w:right="1040"/>
        </w:sectPr>
      </w:pPr>
    </w:p>
    <w:p>
      <w:pPr>
        <w:spacing w:before="20"/>
        <w:ind w:left="6792" w:right="6818"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504"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30"/>
          <w:footerReference w:type="default" r:id="rId31"/>
          <w:pgSz w:w="16840" w:h="11910" w:orient="landscape"/>
          <w:pgMar w:header="0" w:footer="0" w:top="800" w:bottom="280" w:left="900" w:right="980"/>
        </w:sectPr>
      </w:pPr>
    </w:p>
    <w:p>
      <w:pPr>
        <w:pStyle w:val="Heading2"/>
        <w:spacing w:line="240" w:lineRule="auto"/>
        <w:ind w:left="540" w:right="0"/>
        <w:jc w:val="left"/>
        <w:rPr>
          <w:b w:val="0"/>
          <w:bCs w:val="0"/>
        </w:rPr>
      </w:pPr>
      <w:r>
        <w:rPr>
          <w:rFonts w:ascii="宋体" w:hAnsi="宋体" w:cs="宋体" w:eastAsia="宋体" w:hint="default"/>
        </w:rPr>
        <w:t>(3)</w:t>
      </w:r>
      <w:r>
        <w:rPr>
          <w:rFonts w:ascii="宋体" w:hAnsi="宋体" w:cs="宋体" w:eastAsia="宋体" w:hint="default"/>
          <w:spacing w:val="-66"/>
        </w:rPr>
        <w:t> </w:t>
      </w:r>
      <w:r>
        <w:rPr/>
        <w:t>以公允价值计量的金融资产</w:t>
      </w:r>
      <w:r>
        <w:rPr>
          <w:b w:val="0"/>
          <w:bCs w:val="0"/>
        </w:rPr>
      </w:r>
    </w:p>
    <w:p>
      <w:pPr>
        <w:pStyle w:val="BodyText"/>
        <w:tabs>
          <w:tab w:pos="1500" w:val="left" w:leader="none"/>
        </w:tabs>
        <w:spacing w:line="312" w:lineRule="exact" w:before="88"/>
        <w:ind w:left="540" w:right="0"/>
        <w:jc w:val="left"/>
      </w:pPr>
      <w:r>
        <w:rPr/>
        <w:t>√适用</w:t>
        <w:tab/>
        <w:t>□不适用 </w:t>
      </w:r>
      <w:r>
        <w:rPr>
          <w:rFonts w:ascii="宋体" w:hAnsi="宋体" w:cs="宋体" w:eastAsia="宋体" w:hint="default"/>
        </w:rPr>
        <w:t>1</w:t>
      </w:r>
      <w:r>
        <w:rPr/>
        <w:t>）以公允价值计量且变动计入当期损益的金融资产情况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tabs>
          <w:tab w:pos="1591" w:val="left" w:leader="none"/>
        </w:tabs>
        <w:spacing w:before="0"/>
        <w:ind w:left="540"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after="0"/>
        <w:jc w:val="left"/>
        <w:rPr>
          <w:rFonts w:ascii="宋体" w:hAnsi="宋体" w:cs="宋体" w:eastAsia="宋体" w:hint="default"/>
          <w:sz w:val="21"/>
          <w:szCs w:val="21"/>
        </w:rPr>
        <w:sectPr>
          <w:type w:val="continuous"/>
          <w:pgSz w:w="16840" w:h="11910" w:orient="landscape"/>
          <w:pgMar w:top="1000" w:bottom="280" w:left="900" w:right="980"/>
          <w:cols w:num="2" w:equalWidth="0">
            <w:col w:w="6421" w:space="4933"/>
            <w:col w:w="3606"/>
          </w:cols>
        </w:sectPr>
      </w:pP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793"/>
        <w:gridCol w:w="1776"/>
        <w:gridCol w:w="1777"/>
        <w:gridCol w:w="1899"/>
        <w:gridCol w:w="1776"/>
        <w:gridCol w:w="1897"/>
        <w:gridCol w:w="1898"/>
        <w:gridCol w:w="1894"/>
      </w:tblGrid>
      <w:tr>
        <w:trPr>
          <w:trHeight w:val="283" w:hRule="exact"/>
        </w:trPr>
        <w:tc>
          <w:tcPr>
            <w:tcW w:w="1793" w:type="dxa"/>
            <w:vMerge w:val="restart"/>
            <w:tcBorders>
              <w:top w:val="single" w:sz="4" w:space="0" w:color="000000"/>
              <w:left w:val="single" w:sz="4" w:space="0" w:color="000000"/>
              <w:right w:val="single" w:sz="4" w:space="0" w:color="000000"/>
            </w:tcBorders>
          </w:tcPr>
          <w:p>
            <w:pPr>
              <w:pStyle w:val="TableParagraph"/>
              <w:spacing w:line="240" w:lineRule="auto" w:before="107"/>
              <w:ind w:left="470" w:right="0"/>
              <w:jc w:val="left"/>
              <w:rPr>
                <w:rFonts w:ascii="宋体" w:hAnsi="宋体" w:cs="宋体" w:eastAsia="宋体" w:hint="default"/>
                <w:sz w:val="21"/>
                <w:szCs w:val="21"/>
              </w:rPr>
            </w:pPr>
            <w:r>
              <w:rPr>
                <w:rFonts w:ascii="宋体" w:hAnsi="宋体" w:cs="宋体" w:eastAsia="宋体" w:hint="default"/>
                <w:sz w:val="21"/>
                <w:szCs w:val="21"/>
              </w:rPr>
              <w:t>资产类别</w:t>
            </w:r>
          </w:p>
        </w:tc>
        <w:tc>
          <w:tcPr>
            <w:tcW w:w="3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9" w:right="0"/>
              <w:jc w:val="left"/>
              <w:rPr>
                <w:rFonts w:ascii="宋体" w:hAnsi="宋体" w:cs="宋体" w:eastAsia="宋体" w:hint="default"/>
                <w:sz w:val="21"/>
                <w:szCs w:val="21"/>
              </w:rPr>
            </w:pPr>
            <w:r>
              <w:rPr>
                <w:rFonts w:ascii="宋体" w:hAnsi="宋体" w:cs="宋体" w:eastAsia="宋体" w:hint="default"/>
                <w:sz w:val="21"/>
                <w:szCs w:val="21"/>
              </w:rPr>
              <w:t>当期增减变动</w:t>
            </w:r>
          </w:p>
        </w:tc>
        <w:tc>
          <w:tcPr>
            <w:tcW w:w="3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894" w:type="dxa"/>
            <w:vMerge w:val="restart"/>
            <w:tcBorders>
              <w:top w:val="single" w:sz="4" w:space="0" w:color="000000"/>
              <w:left w:val="single" w:sz="4" w:space="0" w:color="000000"/>
              <w:right w:val="single" w:sz="4" w:space="0" w:color="000000"/>
            </w:tcBorders>
          </w:tcPr>
          <w:p>
            <w:pPr>
              <w:pStyle w:val="TableParagraph"/>
              <w:spacing w:line="240" w:lineRule="auto" w:before="107"/>
              <w:ind w:left="206" w:right="0"/>
              <w:jc w:val="left"/>
              <w:rPr>
                <w:rFonts w:ascii="宋体" w:hAnsi="宋体" w:cs="宋体" w:eastAsia="宋体" w:hint="default"/>
                <w:sz w:val="21"/>
                <w:szCs w:val="21"/>
              </w:rPr>
            </w:pPr>
            <w:r>
              <w:rPr>
                <w:rFonts w:ascii="宋体" w:hAnsi="宋体" w:cs="宋体" w:eastAsia="宋体" w:hint="default"/>
                <w:sz w:val="21"/>
                <w:szCs w:val="21"/>
              </w:rPr>
              <w:t>报告期投资收益</w:t>
            </w:r>
          </w:p>
        </w:tc>
      </w:tr>
      <w:tr>
        <w:trPr>
          <w:trHeight w:val="281" w:hRule="exact"/>
        </w:trPr>
        <w:tc>
          <w:tcPr>
            <w:tcW w:w="1793" w:type="dxa"/>
            <w:vMerge/>
            <w:tcBorders>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成本变动</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公允价值变动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94" w:type="dxa"/>
            <w:vMerge/>
            <w:tcBorders>
              <w:left w:val="single" w:sz="4" w:space="0" w:color="000000"/>
              <w:bottom w:val="single" w:sz="4" w:space="0" w:color="000000"/>
              <w:right w:val="single" w:sz="4" w:space="0" w:color="000000"/>
            </w:tcBorders>
          </w:tcPr>
          <w:p>
            <w:pPr/>
          </w:p>
        </w:tc>
      </w:tr>
      <w:tr>
        <w:trPr>
          <w:trHeight w:val="283"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346,706,104.10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-2,613,552.26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346,706,104.10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344,092,551.84</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17,868,926.54</w:t>
            </w:r>
          </w:p>
        </w:tc>
      </w:tr>
      <w:tr>
        <w:trPr>
          <w:trHeight w:val="283"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717,950.00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596,400.00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216,706,312.00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34,543,586.41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217,424,262.00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251,846,298.41</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17,172,812.56</w:t>
            </w:r>
          </w:p>
        </w:tc>
      </w:tr>
      <w:tr>
        <w:trPr>
          <w:trHeight w:val="281"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3,650,000.00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4,265,512.58</w:t>
            </w:r>
          </w:p>
        </w:tc>
        <w:tc>
          <w:tcPr>
            <w:tcW w:w="189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31,352.33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3,650,000.00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4,296,864.92</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132.47</w:t>
            </w:r>
          </w:p>
        </w:tc>
      </w:tr>
      <w:tr>
        <w:trPr>
          <w:trHeight w:val="283"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资产管理</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69,424,664.00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71,906,448.67</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-69,424,664.00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-2,481,784.67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5,511,860.56</w:t>
            </w:r>
          </w:p>
        </w:tc>
      </w:tr>
      <w:tr>
        <w:trPr>
          <w:trHeight w:val="281"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32,234.27</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32,234.27</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-32,234.27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25,739,043.44</w:t>
            </w:r>
          </w:p>
        </w:tc>
      </w:tr>
      <w:tr>
        <w:trPr>
          <w:trHeight w:val="283"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合计</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73,824,848.27</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76,800,595.52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493,955,517.83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29,479,601.82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567,780,366.10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600,235,715.17</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66,292,775.57</w:t>
            </w:r>
          </w:p>
        </w:tc>
      </w:tr>
    </w:tbl>
    <w:p>
      <w:pPr>
        <w:spacing w:after="0" w:line="243" w:lineRule="exact"/>
        <w:jc w:val="right"/>
        <w:rPr>
          <w:rFonts w:ascii="宋体" w:hAnsi="宋体" w:cs="宋体" w:eastAsia="宋体" w:hint="default"/>
          <w:sz w:val="21"/>
          <w:szCs w:val="21"/>
        </w:rPr>
        <w:sectPr>
          <w:type w:val="continuous"/>
          <w:pgSz w:w="16840" w:h="11910" w:orient="landscape"/>
          <w:pgMar w:top="1000" w:bottom="280" w:left="900" w:right="980"/>
        </w:sectPr>
      </w:pPr>
    </w:p>
    <w:p>
      <w:pPr>
        <w:pStyle w:val="BodyText"/>
        <w:spacing w:line="274" w:lineRule="exact"/>
        <w:ind w:left="540" w:right="-20"/>
        <w:jc w:val="left"/>
      </w:pPr>
      <w:r>
        <w:rPr>
          <w:rFonts w:ascii="宋体" w:hAnsi="宋体" w:cs="宋体" w:eastAsia="宋体" w:hint="default"/>
        </w:rPr>
        <w:t>2</w:t>
      </w:r>
      <w:r>
        <w:rPr/>
        <w:t>）以公允价值计量的可供出售权益工具投资情况</w:t>
      </w:r>
    </w:p>
    <w:p>
      <w:pPr>
        <w:spacing w:line="240" w:lineRule="auto" w:before="3"/>
        <w:rPr>
          <w:rFonts w:ascii="宋体" w:hAnsi="宋体" w:cs="宋体" w:eastAsia="宋体" w:hint="default"/>
          <w:sz w:val="21"/>
          <w:szCs w:val="21"/>
        </w:rPr>
      </w:pPr>
      <w:r>
        <w:rPr/>
        <w:br w:type="column"/>
      </w:r>
      <w:r>
        <w:rPr>
          <w:rFonts w:ascii="宋体"/>
          <w:sz w:val="21"/>
        </w:rPr>
      </w:r>
    </w:p>
    <w:p>
      <w:pPr>
        <w:tabs>
          <w:tab w:pos="1591" w:val="left" w:leader="none"/>
        </w:tabs>
        <w:spacing w:before="0"/>
        <w:ind w:left="540"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after="0"/>
        <w:jc w:val="left"/>
        <w:rPr>
          <w:rFonts w:ascii="宋体" w:hAnsi="宋体" w:cs="宋体" w:eastAsia="宋体" w:hint="default"/>
          <w:sz w:val="21"/>
          <w:szCs w:val="21"/>
        </w:rPr>
        <w:sectPr>
          <w:type w:val="continuous"/>
          <w:pgSz w:w="16840" w:h="11910" w:orient="landscape"/>
          <w:pgMar w:top="1000" w:bottom="280" w:left="900" w:right="980"/>
          <w:cols w:num="2" w:equalWidth="0">
            <w:col w:w="5701" w:space="5653"/>
            <w:col w:w="3606"/>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246"/>
        <w:gridCol w:w="2869"/>
        <w:gridCol w:w="2268"/>
        <w:gridCol w:w="2268"/>
        <w:gridCol w:w="2269"/>
        <w:gridCol w:w="2268"/>
        <w:gridCol w:w="1222"/>
      </w:tblGrid>
      <w:tr>
        <w:trPr>
          <w:trHeight w:val="406"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6" w:right="0"/>
              <w:jc w:val="left"/>
              <w:rPr>
                <w:rFonts w:ascii="宋体" w:hAnsi="宋体" w:cs="宋体" w:eastAsia="宋体" w:hint="default"/>
                <w:sz w:val="21"/>
                <w:szCs w:val="21"/>
              </w:rPr>
            </w:pPr>
            <w:r>
              <w:rPr>
                <w:rFonts w:ascii="宋体" w:hAnsi="宋体" w:cs="宋体" w:eastAsia="宋体" w:hint="default"/>
                <w:sz w:val="21"/>
                <w:szCs w:val="21"/>
              </w:rPr>
              <w:t>证券代码</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证券简称</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99" w:right="0"/>
              <w:jc w:val="left"/>
              <w:rPr>
                <w:rFonts w:ascii="宋体" w:hAnsi="宋体" w:cs="宋体" w:eastAsia="宋体" w:hint="default"/>
                <w:sz w:val="21"/>
                <w:szCs w:val="21"/>
              </w:rPr>
            </w:pPr>
            <w:r>
              <w:rPr>
                <w:rFonts w:ascii="宋体" w:hAnsi="宋体" w:cs="宋体" w:eastAsia="宋体" w:hint="default"/>
                <w:sz w:val="21"/>
                <w:szCs w:val="21"/>
              </w:rPr>
              <w:t>初始投资成本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99"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02" w:right="0"/>
              <w:jc w:val="left"/>
              <w:rPr>
                <w:rFonts w:ascii="宋体" w:hAnsi="宋体" w:cs="宋体" w:eastAsia="宋体" w:hint="default"/>
                <w:sz w:val="21"/>
                <w:szCs w:val="21"/>
              </w:rPr>
            </w:pPr>
            <w:r>
              <w:rPr>
                <w:rFonts w:ascii="宋体" w:hAnsi="宋体" w:cs="宋体" w:eastAsia="宋体" w:hint="default"/>
                <w:sz w:val="21"/>
                <w:szCs w:val="21"/>
              </w:rPr>
              <w:t>报告期购入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7" w:right="0"/>
              <w:jc w:val="left"/>
              <w:rPr>
                <w:rFonts w:ascii="宋体" w:hAnsi="宋体" w:cs="宋体" w:eastAsia="宋体" w:hint="default"/>
                <w:sz w:val="21"/>
                <w:szCs w:val="21"/>
              </w:rPr>
            </w:pPr>
            <w:r>
              <w:rPr>
                <w:rFonts w:ascii="宋体" w:hAnsi="宋体" w:cs="宋体" w:eastAsia="宋体" w:hint="default"/>
                <w:sz w:val="21"/>
                <w:szCs w:val="21"/>
              </w:rPr>
              <w:t>公允价值变动情况</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资金来源</w:t>
            </w:r>
          </w:p>
        </w:tc>
      </w:tr>
      <w:tr>
        <w:trPr>
          <w:trHeight w:val="28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600037</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歌华有线</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299,999,998.34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263,845,631.58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-47,325,659.86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自筹</w:t>
            </w:r>
          </w:p>
        </w:tc>
      </w:tr>
      <w:tr>
        <w:trPr>
          <w:trHeight w:val="281"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02366</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星美文化旅游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119,439,404.84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25,041,583.14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-5,687,504.10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自筹</w:t>
            </w:r>
          </w:p>
        </w:tc>
      </w:tr>
      <w:tr>
        <w:trPr>
          <w:trHeight w:val="28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832950</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益盟股份</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85,172,159.98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60,150,480.00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85,172,159.98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-25,021,679.98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自筹</w:t>
            </w:r>
          </w:p>
        </w:tc>
      </w:tr>
      <w:tr>
        <w:trPr>
          <w:trHeight w:val="28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02016</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浙商银行</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701,903,564.77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727,027,606.17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701,903,564.77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25,124,041.40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自筹</w:t>
            </w:r>
          </w:p>
        </w:tc>
      </w:tr>
      <w:tr>
        <w:trPr>
          <w:trHeight w:val="554"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国投瑞银</w:t>
            </w:r>
            <w:r>
              <w:rPr>
                <w:rFonts w:ascii="宋体" w:hAnsi="宋体" w:cs="宋体" w:eastAsia="宋体" w:hint="default"/>
                <w:sz w:val="21"/>
                <w:szCs w:val="21"/>
              </w:rPr>
              <w:t>-</w:t>
            </w:r>
            <w:r>
              <w:rPr>
                <w:rFonts w:ascii="宋体" w:hAnsi="宋体" w:cs="宋体" w:eastAsia="宋体" w:hint="default"/>
                <w:sz w:val="21"/>
                <w:szCs w:val="21"/>
              </w:rPr>
              <w:t>新湖中宝境外投资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资产管理计划</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1,311,755,979.72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614,930,252.83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-692,875,763.04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8,874,820.34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自筹</w:t>
            </w:r>
          </w:p>
        </w:tc>
      </w:tr>
      <w:tr>
        <w:trPr>
          <w:trHeight w:val="555"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国投瑞银新湖中宝境外资产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配置</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号资产管理计划</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272,040,000.00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234,762,240.27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-36,615,664.15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-342,130.29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自筹</w:t>
            </w:r>
          </w:p>
        </w:tc>
      </w:tr>
      <w:tr>
        <w:trPr>
          <w:trHeight w:val="283" w:hRule="exact"/>
        </w:trPr>
        <w:tc>
          <w:tcPr>
            <w:tcW w:w="41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2,790,311,107.65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1,925,757,793.99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57,584,297.56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-44,378,112.49</w:t>
            </w:r>
          </w:p>
        </w:tc>
        <w:tc>
          <w:tcPr>
            <w:tcW w:w="12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6792" w:right="6796" w:firstLine="0"/>
        <w:jc w:val="center"/>
        <w:rPr>
          <w:rFonts w:ascii="Calibri" w:hAnsi="Calibri" w:cs="Calibri" w:eastAsia="Calibri" w:hint="default"/>
          <w:sz w:val="18"/>
          <w:szCs w:val="18"/>
        </w:rPr>
      </w:pPr>
      <w:r>
        <w:rPr>
          <w:rFonts w:ascii="Calibri"/>
          <w:b/>
          <w:sz w:val="18"/>
        </w:rPr>
        <w:t>32 </w:t>
      </w:r>
      <w:r>
        <w:rPr>
          <w:rFonts w:ascii="Calibri"/>
          <w:sz w:val="18"/>
        </w:rPr>
        <w:t>/</w:t>
      </w:r>
      <w:r>
        <w:rPr>
          <w:rFonts w:ascii="Calibri"/>
          <w:spacing w:val="-4"/>
          <w:sz w:val="18"/>
        </w:rPr>
        <w:t> </w:t>
      </w:r>
      <w:r>
        <w:rPr>
          <w:rFonts w:ascii="Calibri"/>
          <w:b/>
          <w:sz w:val="18"/>
        </w:rPr>
        <w:t>221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000" w:bottom="280" w:left="900" w:right="980"/>
        </w:sectPr>
      </w:pPr>
    </w:p>
    <w:p>
      <w:pPr>
        <w:spacing w:line="240" w:lineRule="auto" w:before="0"/>
        <w:rPr>
          <w:rFonts w:ascii="Calibri" w:hAnsi="Calibri" w:cs="Calibri" w:eastAsia="Calibri" w:hint="default"/>
          <w:b/>
          <w:bCs/>
          <w:sz w:val="20"/>
          <w:szCs w:val="20"/>
        </w:rPr>
      </w:pPr>
    </w:p>
    <w:p>
      <w:pPr>
        <w:pStyle w:val="Heading2"/>
        <w:spacing w:line="240" w:lineRule="auto" w:before="176"/>
        <w:ind w:left="878" w:right="0"/>
        <w:jc w:val="both"/>
        <w:rPr>
          <w:b w:val="0"/>
          <w:bCs w:val="0"/>
        </w:rPr>
      </w:pPr>
      <w:r>
        <w:rPr>
          <w:rFonts w:ascii="宋体" w:hAnsi="宋体" w:cs="宋体" w:eastAsia="宋体" w:hint="default"/>
        </w:rPr>
        <w:t>(</w:t>
      </w:r>
      <w:r>
        <w:rPr/>
        <w:t>六</w:t>
      </w:r>
      <w:r>
        <w:rPr>
          <w:rFonts w:ascii="宋体" w:hAnsi="宋体" w:cs="宋体" w:eastAsia="宋体" w:hint="default"/>
        </w:rPr>
        <w:t>) </w:t>
      </w:r>
      <w:r>
        <w:rPr>
          <w:rFonts w:ascii="宋体" w:hAnsi="宋体" w:cs="宋体" w:eastAsia="宋体" w:hint="default"/>
          <w:spacing w:val="112"/>
        </w:rPr>
        <w:t> </w:t>
      </w:r>
      <w:r>
        <w:rPr/>
        <w:t>重大资产和股权出售</w:t>
      </w:r>
      <w:r>
        <w:rPr>
          <w:b w:val="0"/>
          <w:bCs w:val="0"/>
        </w:rPr>
      </w:r>
    </w:p>
    <w:p>
      <w:pPr>
        <w:pStyle w:val="BodyText"/>
        <w:spacing w:line="313" w:lineRule="exact" w:before="58"/>
        <w:ind w:left="878" w:right="0"/>
        <w:jc w:val="both"/>
      </w:pPr>
      <w:r>
        <w:rPr/>
        <w:t>√适用</w:t>
      </w:r>
      <w:r>
        <w:rPr>
          <w:spacing w:val="119"/>
        </w:rPr>
        <w:t> </w:t>
      </w:r>
      <w:r>
        <w:rPr/>
        <w:t>□不适用</w:t>
      </w:r>
    </w:p>
    <w:p>
      <w:pPr>
        <w:pStyle w:val="BodyText"/>
        <w:spacing w:line="313" w:lineRule="exact"/>
        <w:ind w:left="1298" w:right="0"/>
        <w:jc w:val="left"/>
      </w:pPr>
      <w:r>
        <w:rPr/>
        <w:t>经公司第九届董事会第三十一次会议和</w:t>
      </w:r>
      <w:r>
        <w:rPr>
          <w:spacing w:val="-59"/>
        </w:rPr>
        <w:t> </w:t>
      </w:r>
      <w:r>
        <w:rPr>
          <w:rFonts w:ascii="宋体" w:hAnsi="宋体" w:cs="宋体" w:eastAsia="宋体" w:hint="default"/>
        </w:rPr>
        <w:t>2017</w:t>
      </w:r>
      <w:r>
        <w:rPr>
          <w:rFonts w:ascii="宋体" w:hAnsi="宋体" w:cs="宋体" w:eastAsia="宋体" w:hint="default"/>
          <w:spacing w:val="-60"/>
        </w:rPr>
        <w:t> </w:t>
      </w:r>
      <w:r>
        <w:rPr/>
        <w:t>年第三次临时股东大会审议通过</w:t>
      </w:r>
      <w:r>
        <w:rPr>
          <w:spacing w:val="-108"/>
        </w:rPr>
        <w:t>，</w:t>
      </w:r>
      <w:r>
        <w:rPr/>
        <w:t>公</w:t>
      </w:r>
    </w:p>
    <w:p>
      <w:pPr>
        <w:pStyle w:val="BodyText"/>
        <w:spacing w:line="357" w:lineRule="auto" w:before="151"/>
        <w:ind w:left="878" w:right="890"/>
        <w:jc w:val="both"/>
      </w:pPr>
      <w:r>
        <w:rPr/>
        <w:t>司与新湖集团签署《新湖期货有限公司股权转让协议》，新湖集团以</w:t>
      </w:r>
      <w:r>
        <w:rPr>
          <w:spacing w:val="-80"/>
        </w:rPr>
        <w:t> </w:t>
      </w:r>
      <w:r>
        <w:rPr>
          <w:rFonts w:ascii="宋体" w:hAnsi="宋体" w:cs="宋体" w:eastAsia="宋体" w:hint="default"/>
        </w:rPr>
        <w:t>9,600</w:t>
      </w:r>
      <w:r>
        <w:rPr>
          <w:rFonts w:ascii="宋体" w:hAnsi="宋体" w:cs="宋体" w:eastAsia="宋体" w:hint="default"/>
          <w:spacing w:val="-83"/>
        </w:rPr>
        <w:t> </w:t>
      </w:r>
      <w:r>
        <w:rPr/>
        <w:t>万元受让 公司所持有的新湖期货</w:t>
      </w:r>
      <w:r>
        <w:rPr>
          <w:spacing w:val="-55"/>
        </w:rPr>
        <w:t> </w:t>
      </w:r>
      <w:r>
        <w:rPr>
          <w:rFonts w:ascii="宋体" w:hAnsi="宋体" w:cs="宋体" w:eastAsia="宋体" w:hint="default"/>
          <w:spacing w:val="-4"/>
        </w:rPr>
        <w:t>8%</w:t>
      </w:r>
      <w:r>
        <w:rPr>
          <w:spacing w:val="-4"/>
        </w:rPr>
        <w:t>的股权。截至报告日，该股权转让事宜已经中国证监督管理</w:t>
      </w:r>
      <w:r>
        <w:rPr/>
        <w:t> 委员会上海监管局核准，公司已收到新湖期货股权转让款</w:t>
      </w:r>
      <w:r>
        <w:rPr>
          <w:spacing w:val="-70"/>
        </w:rPr>
        <w:t> </w:t>
      </w:r>
      <w:r>
        <w:rPr>
          <w:rFonts w:ascii="宋体" w:hAnsi="宋体" w:cs="宋体" w:eastAsia="宋体" w:hint="default"/>
        </w:rPr>
        <w:t>4,896</w:t>
      </w:r>
      <w:r>
        <w:rPr>
          <w:rFonts w:ascii="宋体" w:hAnsi="宋体" w:cs="宋体" w:eastAsia="宋体" w:hint="default"/>
          <w:spacing w:val="-70"/>
        </w:rPr>
        <w:t> </w:t>
      </w:r>
      <w:r>
        <w:rPr>
          <w:spacing w:val="-3"/>
        </w:rPr>
        <w:t>万元，并办妥新湖期</w:t>
      </w:r>
      <w:r>
        <w:rPr/>
        <w:t> 货的工商变更登记手续。</w:t>
      </w:r>
    </w:p>
    <w:p>
      <w:pPr>
        <w:pStyle w:val="BodyText"/>
        <w:spacing w:line="357" w:lineRule="auto" w:before="34"/>
        <w:ind w:left="878" w:right="892" w:firstLine="419"/>
        <w:jc w:val="both"/>
      </w:pPr>
      <w:r>
        <w:rPr/>
        <w:t>同时，公司全资子公司浙江允升投资集团有限公司（以下简称允升投资）与新湖 集团签署《杭州兴和投资发展有限公司股权转让协议》，新湖集团以</w:t>
      </w:r>
      <w:r>
        <w:rPr>
          <w:spacing w:val="-59"/>
        </w:rPr>
        <w:t> </w:t>
      </w:r>
      <w:r>
        <w:rPr>
          <w:rFonts w:ascii="宋体" w:hAnsi="宋体" w:cs="宋体" w:eastAsia="宋体" w:hint="default"/>
        </w:rPr>
        <w:t>40,000</w:t>
      </w:r>
      <w:r>
        <w:rPr>
          <w:rFonts w:ascii="宋体" w:hAnsi="宋体" w:cs="宋体" w:eastAsia="宋体" w:hint="default"/>
          <w:spacing w:val="-60"/>
        </w:rPr>
        <w:t> </w:t>
      </w:r>
      <w:r>
        <w:rPr/>
        <w:t>万元作 </w:t>
      </w:r>
      <w:r>
        <w:rPr>
          <w:spacing w:val="-2"/>
        </w:rPr>
        <w:t>价受让允升投资所持有的杭州兴和投资发展有限公司（以下简称“兴和投资”）</w:t>
      </w:r>
      <w:r>
        <w:rPr>
          <w:rFonts w:ascii="宋体" w:hAnsi="宋体" w:cs="宋体" w:eastAsia="宋体" w:hint="default"/>
          <w:spacing w:val="-2"/>
        </w:rPr>
        <w:t>100%</w:t>
      </w:r>
      <w:r>
        <w:rPr>
          <w:rFonts w:ascii="宋体" w:hAnsi="宋体" w:cs="宋体" w:eastAsia="宋体" w:hint="default"/>
          <w:spacing w:val="-89"/>
        </w:rPr>
        <w:t> </w:t>
      </w:r>
      <w:r>
        <w:rPr/>
        <w:t>的股权。期内，允升投资已收到兴和投资股权转让款</w:t>
      </w:r>
      <w:r>
        <w:rPr>
          <w:spacing w:val="-60"/>
        </w:rPr>
        <w:t> </w:t>
      </w:r>
      <w:r>
        <w:rPr>
          <w:rFonts w:ascii="宋体" w:hAnsi="宋体" w:cs="宋体" w:eastAsia="宋体" w:hint="default"/>
        </w:rPr>
        <w:t>20,400</w:t>
      </w:r>
      <w:r>
        <w:rPr>
          <w:rFonts w:ascii="宋体" w:hAnsi="宋体" w:cs="宋体" w:eastAsia="宋体" w:hint="default"/>
          <w:spacing w:val="-60"/>
        </w:rPr>
        <w:t> </w:t>
      </w:r>
      <w:r>
        <w:rPr/>
        <w:t>万元，并办妥兴和投资</w:t>
      </w:r>
    </w:p>
    <w:p>
      <w:pPr>
        <w:pStyle w:val="BodyText"/>
        <w:spacing w:line="240" w:lineRule="auto" w:before="36"/>
        <w:ind w:left="878" w:right="0"/>
        <w:jc w:val="both"/>
      </w:pPr>
      <w:r>
        <w:rPr/>
        <w:t>的工商变更登记手续。本次交易产生的股权处置投资收益</w:t>
      </w:r>
      <w:r>
        <w:rPr>
          <w:spacing w:val="-60"/>
        </w:rPr>
        <w:t> </w:t>
      </w:r>
      <w:r>
        <w:rPr>
          <w:rFonts w:ascii="宋体" w:hAnsi="宋体" w:cs="宋体" w:eastAsia="宋体" w:hint="default"/>
        </w:rPr>
        <w:t>2.57</w:t>
      </w:r>
      <w:r>
        <w:rPr>
          <w:rFonts w:ascii="宋体" w:hAnsi="宋体" w:cs="宋体" w:eastAsia="宋体" w:hint="default"/>
          <w:spacing w:val="-60"/>
        </w:rPr>
        <w:t> </w:t>
      </w:r>
      <w:r>
        <w:rPr/>
        <w:t>亿元，另根据《企业</w:t>
      </w:r>
    </w:p>
    <w:p>
      <w:pPr>
        <w:pStyle w:val="BodyText"/>
        <w:spacing w:line="357" w:lineRule="auto" w:before="151"/>
        <w:ind w:left="878" w:right="892"/>
        <w:jc w:val="both"/>
      </w:pPr>
      <w:r>
        <w:rPr>
          <w:spacing w:val="-4"/>
        </w:rPr>
        <w:t>会计准则》相关核算规定，对剩余股权按公允价值重新计量，相应产生投资收益</w:t>
      </w:r>
      <w:r>
        <w:rPr>
          <w:spacing w:val="-31"/>
        </w:rPr>
        <w:t> </w:t>
      </w:r>
      <w:r>
        <w:rPr>
          <w:rFonts w:ascii="宋体" w:hAnsi="宋体" w:cs="宋体" w:eastAsia="宋体" w:hint="default"/>
        </w:rPr>
        <w:t>1.79</w:t>
      </w:r>
      <w:r>
        <w:rPr>
          <w:rFonts w:ascii="宋体" w:hAnsi="宋体" w:cs="宋体" w:eastAsia="宋体" w:hint="default"/>
          <w:spacing w:val="-117"/>
        </w:rPr>
        <w:t> </w:t>
      </w:r>
      <w:r>
        <w:rPr/>
        <w:t>亿元，两项收益合计</w:t>
      </w:r>
      <w:r>
        <w:rPr>
          <w:spacing w:val="-60"/>
        </w:rPr>
        <w:t> </w:t>
      </w:r>
      <w:r>
        <w:rPr>
          <w:rFonts w:ascii="宋体" w:hAnsi="宋体" w:cs="宋体" w:eastAsia="宋体" w:hint="default"/>
        </w:rPr>
        <w:t>4.36</w:t>
      </w:r>
      <w:r>
        <w:rPr>
          <w:rFonts w:ascii="宋体" w:hAnsi="宋体" w:cs="宋体" w:eastAsia="宋体" w:hint="default"/>
          <w:spacing w:val="-60"/>
        </w:rPr>
        <w:t> </w:t>
      </w:r>
      <w:r>
        <w:rPr/>
        <w:t>亿元，占利润总额的</w:t>
      </w:r>
      <w:r>
        <w:rPr>
          <w:spacing w:val="-60"/>
        </w:rPr>
        <w:t> </w:t>
      </w:r>
      <w:r>
        <w:rPr>
          <w:rFonts w:ascii="宋体" w:hAnsi="宋体" w:cs="宋体" w:eastAsia="宋体" w:hint="default"/>
        </w:rPr>
        <w:t>10.44%</w:t>
      </w:r>
      <w:r>
        <w:rPr/>
        <w:t>。</w:t>
      </w: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32"/>
          <w:pgSz w:w="11910" w:h="16840"/>
          <w:pgMar w:footer="1195" w:header="0" w:top="1120" w:bottom="1380" w:left="920" w:right="380"/>
          <w:pgNumType w:start="33"/>
        </w:sectPr>
      </w:pPr>
    </w:p>
    <w:p>
      <w:pPr>
        <w:pStyle w:val="Heading2"/>
        <w:tabs>
          <w:tab w:pos="1717" w:val="left" w:leader="none"/>
        </w:tabs>
        <w:spacing w:line="240" w:lineRule="auto"/>
        <w:ind w:left="878" w:right="0"/>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w w:val="95"/>
        </w:rPr>
        <w:t>主要控股参股公司分析</w:t>
      </w:r>
      <w:r>
        <w:rPr>
          <w:b w:val="0"/>
          <w:bCs w:val="0"/>
        </w:rPr>
      </w:r>
    </w:p>
    <w:p>
      <w:pPr>
        <w:pStyle w:val="BodyText"/>
        <w:tabs>
          <w:tab w:pos="1837" w:val="left" w:leader="none"/>
        </w:tabs>
        <w:spacing w:line="310" w:lineRule="exact" w:before="90"/>
        <w:ind w:left="878" w:right="726"/>
        <w:jc w:val="left"/>
      </w:pPr>
      <w:r>
        <w:rPr>
          <w:spacing w:val="-1"/>
        </w:rPr>
        <w:t>√适用</w:t>
        <w:tab/>
      </w:r>
      <w:r>
        <w:rPr/>
        <w:t>□不适用</w:t>
      </w:r>
      <w:r>
        <w:rPr/>
        <w:t> </w:t>
      </w:r>
      <w:r>
        <w:rPr>
          <w:rFonts w:ascii="宋体" w:hAnsi="宋体" w:cs="宋体" w:eastAsia="宋体" w:hint="default"/>
        </w:rPr>
        <w:t>1</w:t>
      </w:r>
      <w:r>
        <w:rPr/>
        <w:t>、主要子公司经营情况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tabs>
          <w:tab w:pos="2349" w:val="left" w:leader="none"/>
        </w:tabs>
        <w:spacing w:before="0"/>
        <w:ind w:left="87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单位：千元</w:t>
        <w:tab/>
        <w:t>币种：人民币</w:t>
      </w:r>
    </w:p>
    <w:p>
      <w:pPr>
        <w:spacing w:after="0"/>
        <w:jc w:val="left"/>
        <w:rPr>
          <w:rFonts w:ascii="宋体" w:hAnsi="宋体" w:cs="宋体" w:eastAsia="宋体" w:hint="default"/>
          <w:sz w:val="21"/>
          <w:szCs w:val="21"/>
        </w:rPr>
        <w:sectPr>
          <w:type w:val="continuous"/>
          <w:pgSz w:w="11910" w:h="16840"/>
          <w:pgMar w:top="1000" w:bottom="280" w:left="920" w:right="380"/>
          <w:cols w:num="2" w:equalWidth="0">
            <w:col w:w="4127" w:space="1975"/>
            <w:col w:w="4508"/>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589"/>
        <w:gridCol w:w="1135"/>
        <w:gridCol w:w="1748"/>
        <w:gridCol w:w="1318"/>
        <w:gridCol w:w="1558"/>
        <w:gridCol w:w="1534"/>
        <w:gridCol w:w="1486"/>
      </w:tblGrid>
      <w:tr>
        <w:trPr>
          <w:trHeight w:val="38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70"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39" w:right="0"/>
              <w:jc w:val="left"/>
              <w:rPr>
                <w:rFonts w:ascii="宋体" w:hAnsi="宋体" w:cs="宋体" w:eastAsia="宋体" w:hint="default"/>
                <w:sz w:val="21"/>
                <w:szCs w:val="21"/>
              </w:rPr>
            </w:pPr>
            <w:r>
              <w:rPr>
                <w:rFonts w:ascii="宋体" w:hAnsi="宋体" w:cs="宋体" w:eastAsia="宋体" w:hint="default"/>
                <w:sz w:val="21"/>
                <w:szCs w:val="21"/>
              </w:rPr>
              <w:t>所处行业</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32" w:right="0"/>
              <w:jc w:val="left"/>
              <w:rPr>
                <w:rFonts w:ascii="宋体" w:hAnsi="宋体" w:cs="宋体" w:eastAsia="宋体" w:hint="default"/>
                <w:sz w:val="21"/>
                <w:szCs w:val="21"/>
              </w:rPr>
            </w:pPr>
            <w:r>
              <w:rPr>
                <w:rFonts w:ascii="宋体" w:hAnsi="宋体" w:cs="宋体" w:eastAsia="宋体" w:hint="default"/>
                <w:sz w:val="21"/>
                <w:szCs w:val="21"/>
              </w:rPr>
              <w:t>主要产品或服务</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3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56"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46"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19"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55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上海中瀚置业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上海·青蓝国际</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61,064.97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8,938,330.04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1,512,941.49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1,419,789.21</w:t>
            </w:r>
          </w:p>
        </w:tc>
      </w:tr>
      <w:tr>
        <w:trPr>
          <w:trHeight w:val="55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杭州新湖明珠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置业有限公司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杭州·武林国际</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637,719.46</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129,089.30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107,524.91</w:t>
            </w:r>
          </w:p>
        </w:tc>
      </w:tr>
      <w:tr>
        <w:trPr>
          <w:trHeight w:val="55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丽水新湖置业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丽水·新湖国际</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4,667,535.16</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265,393.18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175,449.45</w:t>
            </w:r>
          </w:p>
        </w:tc>
      </w:tr>
      <w:tr>
        <w:trPr>
          <w:trHeight w:val="55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浙江新兰得置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杭州·新湖果岭</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204,080.00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2,036,645.57</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673,520.84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288,170.68</w:t>
            </w:r>
          </w:p>
        </w:tc>
      </w:tr>
    </w:tbl>
    <w:p>
      <w:pPr>
        <w:spacing w:line="240" w:lineRule="auto" w:before="10"/>
        <w:rPr>
          <w:rFonts w:ascii="宋体" w:hAnsi="宋体" w:cs="宋体" w:eastAsia="宋体" w:hint="default"/>
          <w:sz w:val="18"/>
          <w:szCs w:val="18"/>
        </w:rPr>
      </w:pPr>
    </w:p>
    <w:p>
      <w:pPr>
        <w:pStyle w:val="BodyText"/>
        <w:spacing w:line="312" w:lineRule="exact" w:before="56"/>
        <w:ind w:left="878" w:right="4428"/>
        <w:jc w:val="left"/>
      </w:pPr>
      <w:r>
        <w:rPr>
          <w:rFonts w:ascii="宋体" w:hAnsi="宋体" w:cs="宋体" w:eastAsia="宋体" w:hint="default"/>
        </w:rPr>
        <w:t>2</w:t>
      </w:r>
      <w:r>
        <w:rPr/>
        <w:t>、本年的处置子公司情况 详见“本节（六）重大资产和股权处置”之说明。</w:t>
      </w:r>
    </w:p>
    <w:p>
      <w:pPr>
        <w:spacing w:line="240" w:lineRule="auto" w:before="9"/>
        <w:rPr>
          <w:rFonts w:ascii="宋体" w:hAnsi="宋体" w:cs="宋体" w:eastAsia="宋体" w:hint="default"/>
          <w:sz w:val="23"/>
          <w:szCs w:val="23"/>
        </w:rPr>
      </w:pPr>
    </w:p>
    <w:p>
      <w:pPr>
        <w:pStyle w:val="BodyText"/>
        <w:spacing w:line="312" w:lineRule="exact"/>
        <w:ind w:left="878" w:right="1007"/>
        <w:jc w:val="left"/>
      </w:pPr>
      <w:r>
        <w:rPr>
          <w:rFonts w:ascii="宋体" w:hAnsi="宋体" w:cs="宋体" w:eastAsia="宋体" w:hint="default"/>
        </w:rPr>
        <w:t>3</w:t>
      </w:r>
      <w:r>
        <w:rPr/>
        <w:t>、子公司或参股公司经营情况（适用净利润或投资收益对公司净利润影响达到</w:t>
      </w:r>
      <w:r>
        <w:rPr>
          <w:spacing w:val="-59"/>
        </w:rPr>
        <w:t> </w:t>
      </w:r>
      <w:r>
        <w:rPr>
          <w:rFonts w:ascii="宋体" w:hAnsi="宋体" w:cs="宋体" w:eastAsia="宋体" w:hint="default"/>
        </w:rPr>
        <w:t>10% </w:t>
      </w:r>
      <w:r>
        <w:rPr/>
        <w:t>以上的情况）</w:t>
      </w:r>
    </w:p>
    <w:p>
      <w:pPr>
        <w:tabs>
          <w:tab w:pos="8451" w:val="left" w:leader="none"/>
        </w:tabs>
        <w:spacing w:line="248" w:lineRule="exact" w:before="0"/>
        <w:ind w:left="6979"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单位：千元</w:t>
        <w:tab/>
        <w:t>币种：人民币</w:t>
      </w:r>
    </w:p>
    <w:p>
      <w:pPr>
        <w:spacing w:line="240" w:lineRule="auto" w:before="7"/>
        <w:rPr>
          <w:rFonts w:ascii="宋体" w:hAnsi="宋体" w:cs="宋体" w:eastAsia="宋体" w:hint="default"/>
          <w:sz w:val="2"/>
          <w:szCs w:val="2"/>
        </w:rPr>
      </w:pPr>
    </w:p>
    <w:tbl>
      <w:tblPr>
        <w:tblW w:w="0" w:type="auto"/>
        <w:jc w:val="left"/>
        <w:tblInd w:w="765" w:type="dxa"/>
        <w:tblLayout w:type="fixed"/>
        <w:tblCellMar>
          <w:top w:w="0" w:type="dxa"/>
          <w:left w:w="0" w:type="dxa"/>
          <w:bottom w:w="0" w:type="dxa"/>
          <w:right w:w="0" w:type="dxa"/>
        </w:tblCellMar>
        <w:tblLook w:val="01E0"/>
      </w:tblPr>
      <w:tblGrid>
        <w:gridCol w:w="2895"/>
        <w:gridCol w:w="2573"/>
        <w:gridCol w:w="1803"/>
        <w:gridCol w:w="1778"/>
      </w:tblGrid>
      <w:tr>
        <w:trPr>
          <w:trHeight w:val="281"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284"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上海中瀚置业有限公司</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5,352,178.29</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1,899,491.17</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1,419,789.21</w:t>
            </w:r>
          </w:p>
        </w:tc>
      </w:tr>
      <w:tr>
        <w:trPr>
          <w:trHeight w:val="283"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13,249,683.00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8,228,957.00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7,574,139.00</w:t>
            </w:r>
          </w:p>
        </w:tc>
      </w:tr>
      <w:tr>
        <w:trPr>
          <w:trHeight w:val="283"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中信银行股份有限公司</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156,708,000.00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52,369,000.00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42,878,000.00</w:t>
            </w:r>
          </w:p>
        </w:tc>
      </w:tr>
    </w:tbl>
    <w:p>
      <w:pPr>
        <w:spacing w:after="0" w:line="241" w:lineRule="exact"/>
        <w:jc w:val="right"/>
        <w:rPr>
          <w:rFonts w:ascii="宋体" w:hAnsi="宋体" w:cs="宋体" w:eastAsia="宋体" w:hint="default"/>
          <w:sz w:val="21"/>
          <w:szCs w:val="21"/>
        </w:rPr>
        <w:sectPr>
          <w:type w:val="continuous"/>
          <w:pgSz w:w="11910" w:h="16840"/>
          <w:pgMar w:top="1000" w:bottom="280" w:left="920" w:right="3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0" w:footer="1195" w:top="1120" w:bottom="1380" w:left="1580" w:right="1040"/>
        </w:sectPr>
      </w:pPr>
    </w:p>
    <w:p>
      <w:pPr>
        <w:pStyle w:val="BodyText"/>
        <w:spacing w:line="240" w:lineRule="auto" w:before="26"/>
        <w:ind w:left="218" w:right="-20"/>
        <w:jc w:val="left"/>
      </w:pPr>
      <w:r>
        <w:rPr>
          <w:rFonts w:ascii="宋体" w:hAnsi="宋体" w:cs="宋体" w:eastAsia="宋体" w:hint="default"/>
        </w:rPr>
        <w:t>4</w:t>
      </w:r>
      <w:r>
        <w:rPr/>
        <w:t>、投资收益中占比</w:t>
      </w:r>
      <w:r>
        <w:rPr>
          <w:spacing w:val="-60"/>
        </w:rPr>
        <w:t> </w:t>
      </w:r>
      <w:r>
        <w:rPr>
          <w:rFonts w:ascii="宋体" w:hAnsi="宋体" w:cs="宋体" w:eastAsia="宋体" w:hint="default"/>
        </w:rPr>
        <w:t>10%</w:t>
      </w:r>
      <w:r>
        <w:rPr/>
        <w:t>以上的股权投资项目</w:t>
      </w:r>
    </w:p>
    <w:p>
      <w:pPr>
        <w:spacing w:line="240" w:lineRule="auto" w:before="4"/>
        <w:rPr>
          <w:rFonts w:ascii="宋体" w:hAnsi="宋体" w:cs="宋体" w:eastAsia="宋体" w:hint="default"/>
          <w:sz w:val="26"/>
          <w:szCs w:val="26"/>
        </w:rPr>
      </w:pPr>
      <w:r>
        <w:rPr/>
        <w:br w:type="column"/>
      </w:r>
      <w:r>
        <w:rPr>
          <w:rFonts w:ascii="宋体"/>
          <w:sz w:val="26"/>
        </w:rPr>
      </w:r>
    </w:p>
    <w:p>
      <w:pPr>
        <w:tabs>
          <w:tab w:pos="1689" w:val="left" w:leader="none"/>
        </w:tabs>
        <w:spacing w:before="0"/>
        <w:ind w:left="21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单位：千元</w:t>
        <w:tab/>
        <w:t>币种：人民币</w:t>
      </w:r>
    </w:p>
    <w:p>
      <w:pPr>
        <w:spacing w:after="0"/>
        <w:jc w:val="left"/>
        <w:rPr>
          <w:rFonts w:ascii="宋体" w:hAnsi="宋体" w:cs="宋体" w:eastAsia="宋体" w:hint="default"/>
          <w:sz w:val="21"/>
          <w:szCs w:val="21"/>
        </w:rPr>
        <w:sectPr>
          <w:type w:val="continuous"/>
          <w:pgSz w:w="11910" w:h="16840"/>
          <w:pgMar w:top="1000" w:bottom="280" w:left="1580" w:right="1040"/>
          <w:cols w:num="2" w:equalWidth="0">
            <w:col w:w="4839" w:space="1263"/>
            <w:col w:w="318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479"/>
        <w:gridCol w:w="1856"/>
        <w:gridCol w:w="2715"/>
      </w:tblGrid>
      <w:tr>
        <w:trPr>
          <w:trHeight w:val="283"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账面投资收益</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3"/>
                <w:sz w:val="21"/>
                <w:szCs w:val="21"/>
              </w:rPr>
              <w:t>占投资收益总额的比例（</w:t>
            </w:r>
            <w:r>
              <w:rPr>
                <w:rFonts w:ascii="宋体" w:hAnsi="宋体" w:cs="宋体" w:eastAsia="宋体" w:hint="default"/>
                <w:spacing w:val="-3"/>
                <w:sz w:val="21"/>
                <w:szCs w:val="21"/>
              </w:rPr>
              <w:t>%</w:t>
            </w:r>
            <w:r>
              <w:rPr>
                <w:rFonts w:ascii="宋体" w:hAnsi="宋体" w:cs="宋体" w:eastAsia="宋体" w:hint="default"/>
                <w:spacing w:val="-3"/>
                <w:sz w:val="21"/>
                <w:szCs w:val="21"/>
              </w:rPr>
              <w:t>）</w:t>
            </w:r>
          </w:p>
        </w:tc>
      </w:tr>
      <w:tr>
        <w:trPr>
          <w:trHeight w:val="283"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中信银行股份有限公司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2,088,936.94</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65.64</w:t>
            </w:r>
          </w:p>
        </w:tc>
      </w:tr>
      <w:tr>
        <w:trPr>
          <w:trHeight w:val="281"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392,296.36</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12.33</w:t>
            </w:r>
          </w:p>
        </w:tc>
      </w:tr>
      <w:tr>
        <w:trPr>
          <w:trHeight w:val="554"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新湖期货有限公司（处置收益和公允价值重新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计量收益）</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436,152.14</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13.71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2"/>
        <w:spacing w:line="240" w:lineRule="auto"/>
        <w:ind w:right="0"/>
        <w:jc w:val="both"/>
        <w:rPr>
          <w:b w:val="0"/>
          <w:bCs w:val="0"/>
        </w:rPr>
      </w:pPr>
      <w:r>
        <w:rPr>
          <w:rFonts w:ascii="宋体" w:hAnsi="宋体" w:cs="宋体" w:eastAsia="宋体" w:hint="default"/>
        </w:rPr>
        <w:t>(</w:t>
      </w:r>
      <w:r>
        <w:rPr/>
        <w:t>八</w:t>
      </w:r>
      <w:r>
        <w:rPr>
          <w:rFonts w:ascii="宋体" w:hAnsi="宋体" w:cs="宋体" w:eastAsia="宋体" w:hint="default"/>
        </w:rPr>
        <w:t>) </w:t>
      </w:r>
      <w:r>
        <w:rPr>
          <w:rFonts w:ascii="宋体" w:hAnsi="宋体" w:cs="宋体" w:eastAsia="宋体" w:hint="default"/>
          <w:spacing w:val="112"/>
        </w:rPr>
        <w:t> </w:t>
      </w:r>
      <w:r>
        <w:rPr/>
        <w:t>公司控制的结构化主体情况</w:t>
      </w:r>
      <w:r>
        <w:rPr>
          <w:b w:val="0"/>
          <w:bCs w:val="0"/>
        </w:rPr>
      </w:r>
    </w:p>
    <w:p>
      <w:pPr>
        <w:pStyle w:val="BodyText"/>
        <w:spacing w:line="240" w:lineRule="auto" w:before="58"/>
        <w:ind w:left="218" w:right="0"/>
        <w:jc w:val="both"/>
      </w:pPr>
      <w:r>
        <w:rPr/>
        <w:t>□适用</w:t>
      </w:r>
      <w:r>
        <w:rPr>
          <w:spacing w:val="119"/>
        </w:rPr>
        <w:t> </w:t>
      </w:r>
      <w:r>
        <w:rPr/>
        <w:t>√不适用</w:t>
      </w:r>
    </w:p>
    <w:p>
      <w:pPr>
        <w:spacing w:line="240" w:lineRule="auto" w:before="1"/>
        <w:rPr>
          <w:rFonts w:ascii="宋体" w:hAnsi="宋体" w:cs="宋体" w:eastAsia="宋体" w:hint="default"/>
          <w:sz w:val="28"/>
          <w:szCs w:val="28"/>
        </w:rPr>
      </w:pPr>
    </w:p>
    <w:p>
      <w:pPr>
        <w:pStyle w:val="Heading2"/>
        <w:tabs>
          <w:tab w:pos="1057" w:val="left" w:leader="none"/>
        </w:tabs>
        <w:spacing w:line="283" w:lineRule="auto" w:before="0"/>
        <w:ind w:right="4730"/>
        <w:jc w:val="left"/>
        <w:rPr>
          <w:b w:val="0"/>
          <w:bCs w:val="0"/>
        </w:rPr>
      </w:pPr>
      <w:r>
        <w:rPr/>
        <w:t>三、公司关于公司未来发展的讨论与分析</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行业格局和趋势</w:t>
      </w:r>
      <w:r>
        <w:rPr>
          <w:b w:val="0"/>
          <w:bCs w:val="0"/>
        </w:rPr>
      </w:r>
    </w:p>
    <w:p>
      <w:pPr>
        <w:pStyle w:val="BodyText"/>
        <w:tabs>
          <w:tab w:pos="1177" w:val="left" w:leader="none"/>
        </w:tabs>
        <w:spacing w:line="312" w:lineRule="exact" w:before="43"/>
        <w:ind w:left="772" w:right="7146" w:hanging="555"/>
        <w:jc w:val="left"/>
      </w:pPr>
      <w:r>
        <w:rPr>
          <w:spacing w:val="-1"/>
        </w:rPr>
        <w:t>√适用</w:t>
        <w:tab/>
      </w:r>
      <w:r>
        <w:rPr/>
        <w:t>□不适用</w:t>
      </w:r>
      <w:r>
        <w:rPr/>
        <w:t> </w:t>
      </w:r>
      <w:r>
        <w:rPr>
          <w:rFonts w:ascii="宋体" w:hAnsi="宋体" w:cs="宋体" w:eastAsia="宋体" w:hint="default"/>
        </w:rPr>
        <w:t>1</w:t>
      </w:r>
      <w:r>
        <w:rPr/>
        <w:t>、地产</w:t>
      </w:r>
    </w:p>
    <w:p>
      <w:pPr>
        <w:pStyle w:val="BodyText"/>
        <w:spacing w:line="355" w:lineRule="auto" w:before="125"/>
        <w:ind w:left="218" w:right="334" w:firstLine="554"/>
        <w:jc w:val="left"/>
      </w:pPr>
      <w:r>
        <w:rPr/>
        <w:t>十九大报告指出，要“坚持房子是用来住的、不是用来炒的定位，加快建立多 主体供给、多渠道保障、租购并举的住房制度，让全体人民住有所居”。</w:t>
      </w:r>
    </w:p>
    <w:p>
      <w:pPr>
        <w:pStyle w:val="BodyText"/>
        <w:spacing w:line="355" w:lineRule="auto" w:before="39"/>
        <w:ind w:left="218" w:right="334" w:firstLine="554"/>
        <w:jc w:val="left"/>
      </w:pPr>
      <w:r>
        <w:rPr/>
        <w:t>公司将顺应新时代的要求，适时调整发展战略，坚持高质量发展地产业务，为 建设美好生活作出应有的贡献。</w:t>
      </w:r>
    </w:p>
    <w:p>
      <w:pPr>
        <w:pStyle w:val="BodyText"/>
        <w:spacing w:line="355" w:lineRule="auto" w:before="38"/>
        <w:ind w:left="772" w:right="334"/>
        <w:jc w:val="left"/>
      </w:pPr>
      <w:r>
        <w:rPr>
          <w:rFonts w:ascii="宋体" w:hAnsi="宋体" w:cs="宋体" w:eastAsia="宋体" w:hint="default"/>
        </w:rPr>
        <w:t>2</w:t>
      </w:r>
      <w:r>
        <w:rPr/>
        <w:t>、金融科技及其他高科技投资 随着计算机和通信技术的飞速发展，以信息技术为代表的科学技术取得了长足</w:t>
      </w:r>
    </w:p>
    <w:p>
      <w:pPr>
        <w:pStyle w:val="BodyText"/>
        <w:spacing w:line="357" w:lineRule="auto" w:before="38"/>
        <w:ind w:left="218" w:right="234"/>
        <w:jc w:val="both"/>
      </w:pPr>
      <w:r>
        <w:rPr>
          <w:spacing w:val="-2"/>
        </w:rPr>
        <w:t>进步。区块链、大数据、人工智能等底层技术逐渐成熟，开始进入初步应用阶段。特</w:t>
      </w:r>
      <w:r>
        <w:rPr>
          <w:spacing w:val="-96"/>
        </w:rPr>
        <w:t> </w:t>
      </w:r>
      <w:r>
        <w:rPr>
          <w:spacing w:val="-96"/>
        </w:rPr>
      </w:r>
      <w:r>
        <w:rPr>
          <w:spacing w:val="-2"/>
        </w:rPr>
        <w:t>别是区块链技术及相关行业的加速发展，给数字经济时代带来巨变的可能。掌握这些</w:t>
      </w:r>
      <w:r>
        <w:rPr>
          <w:spacing w:val="-94"/>
        </w:rPr>
        <w:t> </w:t>
      </w:r>
      <w:r>
        <w:rPr>
          <w:spacing w:val="-94"/>
        </w:rPr>
      </w:r>
      <w:r>
        <w:rPr>
          <w:spacing w:val="-2"/>
        </w:rPr>
        <w:t>底层技术的科技公司开始尝试利用底层技术来提供金融和类金融服务，从而促进了金</w:t>
      </w:r>
      <w:r>
        <w:rPr>
          <w:spacing w:val="-94"/>
        </w:rPr>
        <w:t> </w:t>
      </w:r>
      <w:r>
        <w:rPr>
          <w:spacing w:val="-94"/>
        </w:rPr>
      </w:r>
      <w:r>
        <w:rPr/>
        <w:t>融和科技的融合进而推动金融科技发展。</w:t>
      </w:r>
    </w:p>
    <w:p>
      <w:pPr>
        <w:pStyle w:val="BodyText"/>
        <w:spacing w:line="357" w:lineRule="auto" w:before="36"/>
        <w:ind w:left="218" w:right="0" w:firstLine="554"/>
        <w:jc w:val="left"/>
      </w:pPr>
      <w:r>
        <w:rPr/>
        <w:t>金融科技在经历了近几年快速增长后，已受到监管部门的重视。可以预见，金 </w:t>
      </w:r>
      <w:r>
        <w:rPr>
          <w:spacing w:val="-2"/>
        </w:rPr>
        <w:t>融机构和非金融机构利用现代科技进行金融创新，创造出新的金融模式、应用、流程</w:t>
      </w:r>
      <w:r>
        <w:rPr>
          <w:spacing w:val="-95"/>
        </w:rPr>
        <w:t> </w:t>
      </w:r>
      <w:r>
        <w:rPr>
          <w:spacing w:val="-95"/>
        </w:rPr>
      </w:r>
      <w:r>
        <w:rPr>
          <w:spacing w:val="-2"/>
        </w:rPr>
        <w:t>和产品，将对金融市场的运行和演化产生重大的影响。未来金融科技与传统金融行业</w:t>
      </w:r>
      <w:r>
        <w:rPr>
          <w:spacing w:val="-94"/>
        </w:rPr>
        <w:t> </w:t>
      </w:r>
      <w:r>
        <w:rPr>
          <w:spacing w:val="-94"/>
        </w:rPr>
      </w:r>
      <w:r>
        <w:rPr>
          <w:spacing w:val="-2"/>
        </w:rPr>
        <w:t>将出现更多融合，行业边界逐渐模糊，并将进入新一轮的快速扩张阶段，这将给公司</w:t>
      </w:r>
      <w:r>
        <w:rPr>
          <w:spacing w:val="-96"/>
        </w:rPr>
        <w:t> </w:t>
      </w:r>
      <w:r>
        <w:rPr>
          <w:spacing w:val="-96"/>
        </w:rPr>
      </w:r>
      <w:r>
        <w:rPr/>
        <w:t>近年来前瞻性布局的金融和金融科技板块带来更多的发展机遇。</w:t>
      </w:r>
    </w:p>
    <w:p>
      <w:pPr>
        <w:spacing w:line="240" w:lineRule="auto" w:before="1"/>
        <w:rPr>
          <w:rFonts w:ascii="宋体" w:hAnsi="宋体" w:cs="宋体" w:eastAsia="宋体" w:hint="default"/>
          <w:sz w:val="31"/>
          <w:szCs w:val="31"/>
        </w:rPr>
      </w:pPr>
    </w:p>
    <w:p>
      <w:pPr>
        <w:pStyle w:val="Heading2"/>
        <w:spacing w:line="240" w:lineRule="auto" w:before="0"/>
        <w:ind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11"/>
        </w:rPr>
        <w:t> </w:t>
      </w:r>
      <w:r>
        <w:rPr/>
        <w:t>公司发展战略</w:t>
      </w:r>
      <w:r>
        <w:rPr>
          <w:b w:val="0"/>
          <w:bCs w:val="0"/>
        </w:rPr>
      </w:r>
    </w:p>
    <w:p>
      <w:pPr>
        <w:pStyle w:val="BodyText"/>
        <w:spacing w:line="240" w:lineRule="auto" w:before="58"/>
        <w:ind w:left="218" w:right="0"/>
        <w:jc w:val="both"/>
      </w:pPr>
      <w:r>
        <w:rPr/>
        <w:t>√适用</w:t>
      </w:r>
      <w:r>
        <w:rPr>
          <w:spacing w:val="119"/>
        </w:rPr>
        <w:t> </w:t>
      </w:r>
      <w:r>
        <w:rPr/>
        <w:t>□不适用</w:t>
      </w:r>
    </w:p>
    <w:p>
      <w:pPr>
        <w:spacing w:after="0" w:line="240" w:lineRule="auto"/>
        <w:jc w:val="both"/>
        <w:sectPr>
          <w:type w:val="continuous"/>
          <w:pgSz w:w="11910" w:h="16840"/>
          <w:pgMar w:top="1000" w:bottom="280" w:left="1580" w:right="1040"/>
        </w:sectPr>
      </w:pPr>
    </w:p>
    <w:p>
      <w:pPr>
        <w:spacing w:line="240" w:lineRule="auto" w:before="8"/>
        <w:rPr>
          <w:rFonts w:ascii="宋体" w:hAnsi="宋体" w:cs="宋体" w:eastAsia="宋体" w:hint="default"/>
          <w:sz w:val="25"/>
          <w:szCs w:val="25"/>
        </w:rPr>
      </w:pPr>
    </w:p>
    <w:p>
      <w:pPr>
        <w:pStyle w:val="BodyText"/>
        <w:spacing w:line="357" w:lineRule="auto" w:before="26"/>
        <w:ind w:right="114" w:firstLine="479"/>
        <w:jc w:val="both"/>
      </w:pPr>
      <w:r>
        <w:rPr>
          <w:spacing w:val="-2"/>
        </w:rPr>
        <w:t>公司在夯实地产业务的同时，将加大对金融及金融科技和聚焦于高科技的股权投</w:t>
      </w:r>
      <w:r>
        <w:rPr/>
        <w:t> 资力度，建立多元发展增长模式，提升公司价值。</w:t>
      </w:r>
    </w:p>
    <w:p>
      <w:pPr>
        <w:pStyle w:val="BodyText"/>
        <w:spacing w:line="357" w:lineRule="auto" w:before="34"/>
        <w:ind w:left="618" w:right="0"/>
        <w:jc w:val="left"/>
      </w:pPr>
      <w:r>
        <w:rPr>
          <w:rFonts w:ascii="宋体" w:hAnsi="宋体" w:cs="宋体" w:eastAsia="宋体" w:hint="default"/>
        </w:rPr>
        <w:t>1</w:t>
      </w:r>
      <w:r>
        <w:rPr/>
        <w:t>、地产 </w:t>
      </w:r>
      <w:r>
        <w:rPr>
          <w:spacing w:val="-2"/>
        </w:rPr>
        <w:t>公司地产业务将坚持高质量发展，做强做大。优化区域战略布局，完善一二线主</w:t>
      </w:r>
    </w:p>
    <w:p>
      <w:pPr>
        <w:pStyle w:val="BodyText"/>
        <w:spacing w:line="357" w:lineRule="auto" w:before="36"/>
        <w:ind w:right="114"/>
        <w:jc w:val="both"/>
      </w:pPr>
      <w:r>
        <w:rPr>
          <w:spacing w:val="-2"/>
        </w:rPr>
        <w:t>流市场布局，特别是加大对上海等一线城市的投入。积极拓展城镇化综合项目和特色</w:t>
      </w:r>
      <w:r>
        <w:rPr>
          <w:spacing w:val="-94"/>
        </w:rPr>
        <w:t> </w:t>
      </w:r>
      <w:r>
        <w:rPr>
          <w:spacing w:val="-94"/>
        </w:rPr>
      </w:r>
      <w:r>
        <w:rPr>
          <w:spacing w:val="-2"/>
        </w:rPr>
        <w:t>小镇建设，探索发展住房租赁业务。进一步研究产品，提升产品品质，适度加快项目</w:t>
      </w:r>
      <w:r>
        <w:rPr>
          <w:spacing w:val="-94"/>
        </w:rPr>
        <w:t> </w:t>
      </w:r>
      <w:r>
        <w:rPr>
          <w:spacing w:val="-94"/>
        </w:rPr>
      </w:r>
      <w:r>
        <w:rPr/>
        <w:t>周转，促进公司价值快速增长。</w:t>
      </w:r>
    </w:p>
    <w:p>
      <w:pPr>
        <w:pStyle w:val="BodyText"/>
        <w:spacing w:line="357" w:lineRule="auto" w:before="34"/>
        <w:ind w:left="618" w:right="0"/>
        <w:jc w:val="left"/>
      </w:pPr>
      <w:r>
        <w:rPr>
          <w:rFonts w:ascii="宋体" w:hAnsi="宋体" w:cs="宋体" w:eastAsia="宋体" w:hint="default"/>
        </w:rPr>
        <w:t>2</w:t>
      </w:r>
      <w:r>
        <w:rPr/>
        <w:t>、金融科技及高科技投资 </w:t>
      </w:r>
      <w:r>
        <w:rPr>
          <w:spacing w:val="-2"/>
        </w:rPr>
        <w:t>在规范稳健发展原有银行、证券、保险、期货等传统金融业务的基础上，要加快</w:t>
      </w:r>
    </w:p>
    <w:p>
      <w:pPr>
        <w:pStyle w:val="BodyText"/>
        <w:spacing w:line="357" w:lineRule="auto" w:before="34"/>
        <w:ind w:right="110"/>
        <w:jc w:val="both"/>
      </w:pPr>
      <w:r>
        <w:rPr/>
        <w:t>布局区块链、大数据、人工智能等高科技领域。加强与</w:t>
      </w:r>
      <w:r>
        <w:rPr>
          <w:spacing w:val="-60"/>
        </w:rPr>
        <w:t> </w:t>
      </w:r>
      <w:r>
        <w:rPr>
          <w:rFonts w:ascii="宋体" w:hAnsi="宋体" w:cs="宋体" w:eastAsia="宋体" w:hint="default"/>
        </w:rPr>
        <w:t>51</w:t>
      </w:r>
      <w:r>
        <w:rPr>
          <w:rFonts w:ascii="宋体" w:hAnsi="宋体" w:cs="宋体" w:eastAsia="宋体" w:hint="default"/>
          <w:spacing w:val="-60"/>
        </w:rPr>
        <w:t> </w:t>
      </w:r>
      <w:r>
        <w:rPr/>
        <w:t>信用卡、万得信息等金融 </w:t>
      </w:r>
      <w:r>
        <w:rPr>
          <w:spacing w:val="-2"/>
        </w:rPr>
        <w:t>科技公司的合作，不断整合金融资源，深化金融科技业务创新，利用大数据和人工智</w:t>
      </w:r>
      <w:r>
        <w:rPr>
          <w:spacing w:val="-92"/>
        </w:rPr>
        <w:t> </w:t>
      </w:r>
      <w:r>
        <w:rPr>
          <w:spacing w:val="-92"/>
        </w:rPr>
      </w:r>
      <w:r>
        <w:rPr>
          <w:spacing w:val="-2"/>
        </w:rPr>
        <w:t>能等金融科技进一步增强各金融版块的协同性，着力营造一体化的金融服务能力，力</w:t>
      </w:r>
      <w:r>
        <w:rPr>
          <w:spacing w:val="-95"/>
        </w:rPr>
        <w:t> </w:t>
      </w:r>
      <w:r>
        <w:rPr>
          <w:spacing w:val="-95"/>
        </w:rPr>
      </w:r>
      <w:r>
        <w:rPr/>
        <w:t>求在金融科技及高科技领域打造核心竞争力。</w:t>
      </w:r>
    </w:p>
    <w:p>
      <w:pPr>
        <w:spacing w:line="240" w:lineRule="auto" w:before="1"/>
        <w:rPr>
          <w:rFonts w:ascii="宋体" w:hAnsi="宋体" w:cs="宋体" w:eastAsia="宋体" w:hint="default"/>
          <w:sz w:val="31"/>
          <w:szCs w:val="31"/>
        </w:rPr>
      </w:pPr>
    </w:p>
    <w:p>
      <w:pPr>
        <w:pStyle w:val="Heading2"/>
        <w:spacing w:line="240" w:lineRule="auto" w:before="0"/>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13"/>
        </w:rPr>
        <w:t> </w:t>
      </w:r>
      <w:r>
        <w:rPr/>
        <w:t>经营计划</w:t>
      </w:r>
      <w:r>
        <w:rPr>
          <w:b w:val="0"/>
          <w:bCs w:val="0"/>
        </w:rPr>
      </w:r>
    </w:p>
    <w:p>
      <w:pPr>
        <w:pStyle w:val="BodyText"/>
        <w:tabs>
          <w:tab w:pos="1097" w:val="left" w:leader="none"/>
        </w:tabs>
        <w:spacing w:line="310" w:lineRule="exact" w:before="90"/>
        <w:ind w:left="618" w:right="3066" w:hanging="480"/>
        <w:jc w:val="left"/>
      </w:pPr>
      <w:r>
        <w:rPr>
          <w:spacing w:val="-1"/>
        </w:rPr>
        <w:t>√适用</w:t>
        <w:tab/>
      </w:r>
      <w:r>
        <w:rPr/>
        <w:t>□不适用</w:t>
      </w:r>
      <w:r>
        <w:rPr/>
        <w:t> </w:t>
      </w:r>
      <w:r>
        <w:rPr>
          <w:rFonts w:ascii="宋体" w:hAnsi="宋体" w:cs="宋体" w:eastAsia="宋体" w:hint="default"/>
        </w:rPr>
        <w:t>1</w:t>
      </w:r>
      <w:r>
        <w:rPr/>
        <w:t>、进一步加大对金融科技和高科技领域的投资力度</w:t>
      </w:r>
    </w:p>
    <w:p>
      <w:pPr>
        <w:pStyle w:val="BodyText"/>
        <w:spacing w:line="357" w:lineRule="auto" w:before="125"/>
        <w:ind w:right="114" w:firstLine="479"/>
        <w:jc w:val="both"/>
      </w:pPr>
      <w:r>
        <w:rPr>
          <w:spacing w:val="-2"/>
        </w:rPr>
        <w:t>金融科技领域将在近年投资布局的基础上，加大引导金融科技企业与金融行业的</w:t>
      </w:r>
      <w:r>
        <w:rPr/>
        <w:t> </w:t>
      </w:r>
      <w:r>
        <w:rPr>
          <w:spacing w:val="-2"/>
        </w:rPr>
        <w:t>融合，扩展金融科技企业的应用场景，帮助提升传统金融企业信息化、网络化、智能</w:t>
      </w:r>
      <w:r>
        <w:rPr>
          <w:spacing w:val="-94"/>
        </w:rPr>
        <w:t> </w:t>
      </w:r>
      <w:r>
        <w:rPr>
          <w:spacing w:val="-94"/>
        </w:rPr>
      </w:r>
      <w:r>
        <w:rPr/>
        <w:t>化水平。</w:t>
      </w:r>
    </w:p>
    <w:p>
      <w:pPr>
        <w:pStyle w:val="BodyText"/>
        <w:spacing w:line="357" w:lineRule="auto" w:before="36"/>
        <w:ind w:right="112" w:firstLine="479"/>
        <w:jc w:val="both"/>
      </w:pPr>
      <w:r>
        <w:rPr>
          <w:spacing w:val="-2"/>
        </w:rPr>
        <w:t>公司将进一步布局区块链、大数据、人工智能等高科技领域，重点投资真正具有</w:t>
      </w:r>
      <w:r>
        <w:rPr/>
        <w:t> </w:t>
      </w:r>
      <w:r>
        <w:rPr>
          <w:spacing w:val="-2"/>
        </w:rPr>
        <w:t>自主研发能力、自主知识产权和核心竞争力的行业领先企业。近年区块链正带来划时</w:t>
      </w:r>
      <w:r>
        <w:rPr>
          <w:spacing w:val="-94"/>
        </w:rPr>
        <w:t> </w:t>
      </w:r>
      <w:r>
        <w:rPr>
          <w:spacing w:val="-94"/>
        </w:rPr>
      </w:r>
      <w:r>
        <w:rPr>
          <w:spacing w:val="-2"/>
        </w:rPr>
        <w:t>代巨变的曙光，具有巨大的应用前景，将构建起一个真正可信的互联网体系，从根本</w:t>
      </w:r>
      <w:r>
        <w:rPr>
          <w:spacing w:val="-96"/>
        </w:rPr>
        <w:t> </w:t>
      </w:r>
      <w:r>
        <w:rPr>
          <w:spacing w:val="-96"/>
        </w:rPr>
      </w:r>
      <w:r>
        <w:rPr>
          <w:spacing w:val="-2"/>
        </w:rPr>
        <w:t>上解决价值交换和价值转移中的欺诈、寻租现象，大大降低社会组织和社会交易的成</w:t>
      </w:r>
      <w:r>
        <w:rPr>
          <w:spacing w:val="-94"/>
        </w:rPr>
        <w:t> </w:t>
      </w:r>
      <w:r>
        <w:rPr>
          <w:spacing w:val="-94"/>
        </w:rPr>
      </w:r>
      <w:r>
        <w:rPr>
          <w:spacing w:val="-2"/>
        </w:rPr>
        <w:t>本，将使得经济、社会更加真实、透明、公平和公正。公司将深入研究探索该领域的</w:t>
      </w:r>
      <w:r>
        <w:rPr>
          <w:spacing w:val="-95"/>
        </w:rPr>
        <w:t> </w:t>
      </w:r>
      <w:r>
        <w:rPr>
          <w:spacing w:val="-95"/>
        </w:rPr>
      </w:r>
      <w:r>
        <w:rPr/>
        <w:t>技术和应用，并在产业化上有所作为。</w:t>
      </w:r>
    </w:p>
    <w:p>
      <w:pPr>
        <w:pStyle w:val="BodyText"/>
        <w:spacing w:line="355" w:lineRule="auto" w:before="36"/>
        <w:ind w:left="618" w:right="0"/>
        <w:jc w:val="left"/>
      </w:pPr>
      <w:r>
        <w:rPr>
          <w:rFonts w:ascii="宋体" w:hAnsi="宋体" w:cs="宋体" w:eastAsia="宋体" w:hint="default"/>
        </w:rPr>
        <w:t>2</w:t>
      </w:r>
      <w:r>
        <w:rPr/>
        <w:t>、进一步坚持高质量发展地产业务 </w:t>
      </w:r>
      <w:r>
        <w:rPr>
          <w:spacing w:val="-2"/>
        </w:rPr>
        <w:t>加快项目周转速度。充分研判市场环境，合理规划项目推进节奏，精准制定项目</w:t>
      </w:r>
    </w:p>
    <w:p>
      <w:pPr>
        <w:pStyle w:val="BodyText"/>
        <w:spacing w:line="355" w:lineRule="auto" w:before="38"/>
        <w:ind w:right="114"/>
        <w:jc w:val="both"/>
      </w:pPr>
      <w:r>
        <w:rPr>
          <w:spacing w:val="-2"/>
        </w:rPr>
        <w:t>营销策略，进一步增强对市场变化的把握和应对能力，切实加快开发节奏，加大销售</w:t>
      </w:r>
      <w:r>
        <w:rPr>
          <w:spacing w:val="-96"/>
        </w:rPr>
        <w:t> </w:t>
      </w:r>
      <w:r>
        <w:rPr>
          <w:spacing w:val="-96"/>
        </w:rPr>
      </w:r>
      <w:r>
        <w:rPr/>
        <w:t>力度。</w:t>
      </w:r>
    </w:p>
    <w:p>
      <w:pPr>
        <w:spacing w:after="0" w:line="355" w:lineRule="auto"/>
        <w:jc w:val="both"/>
        <w:sectPr>
          <w:footerReference w:type="default" r:id="rId33"/>
          <w:pgSz w:w="11910" w:h="16840"/>
          <w:pgMar w:footer="1195" w:header="0" w:top="1120" w:bottom="1380" w:left="1660" w:right="1160"/>
          <w:pgNumType w:start="35"/>
        </w:sectPr>
      </w:pPr>
    </w:p>
    <w:p>
      <w:pPr>
        <w:spacing w:line="240" w:lineRule="auto" w:before="8"/>
        <w:rPr>
          <w:rFonts w:ascii="宋体" w:hAnsi="宋体" w:cs="宋体" w:eastAsia="宋体" w:hint="default"/>
          <w:sz w:val="25"/>
          <w:szCs w:val="25"/>
        </w:rPr>
      </w:pPr>
    </w:p>
    <w:p>
      <w:pPr>
        <w:pStyle w:val="BodyText"/>
        <w:spacing w:line="357" w:lineRule="auto" w:before="26"/>
        <w:ind w:left="818" w:right="772" w:firstLine="479"/>
        <w:jc w:val="both"/>
      </w:pPr>
      <w:r>
        <w:rPr>
          <w:spacing w:val="-2"/>
        </w:rPr>
        <w:t>做精上海内环、做强上海都市圈、做大长三角区域。公司目前在上海为核心的长</w:t>
      </w:r>
      <w:r>
        <w:rPr/>
        <w:t> 三角区域有</w:t>
      </w:r>
      <w:r>
        <w:rPr>
          <w:spacing w:val="-61"/>
        </w:rPr>
        <w:t> </w:t>
      </w:r>
      <w:r>
        <w:rPr>
          <w:rFonts w:ascii="宋体" w:hAnsi="宋体" w:cs="宋体" w:eastAsia="宋体" w:hint="default"/>
        </w:rPr>
        <w:t>2000</w:t>
      </w:r>
      <w:r>
        <w:rPr>
          <w:rFonts w:ascii="宋体" w:hAnsi="宋体" w:cs="宋体" w:eastAsia="宋体" w:hint="default"/>
          <w:spacing w:val="-60"/>
        </w:rPr>
        <w:t> </w:t>
      </w:r>
      <w:r>
        <w:rPr/>
        <w:t>万平方米的土地储备。公司将进一步提升在该区域的规模、业绩和 品牌影响力。</w:t>
      </w:r>
    </w:p>
    <w:p>
      <w:pPr>
        <w:pStyle w:val="BodyText"/>
        <w:spacing w:line="357" w:lineRule="auto" w:before="36"/>
        <w:ind w:left="818" w:right="0" w:firstLine="479"/>
        <w:jc w:val="left"/>
      </w:pPr>
      <w:r>
        <w:rPr>
          <w:spacing w:val="-2"/>
        </w:rPr>
        <w:t>积极拓展城镇化综合项目和特色小镇建设。顺应产业升级和新型城镇化发展趋势，</w:t>
      </w:r>
      <w:r>
        <w:rPr/>
        <w:t> 公司正以启东新湖长江公园项目和温州西湾项目为基地，积极实践从传统住宅开发向 集旅游、产业、人居为一体的城镇化综合项目的升级。</w:t>
      </w:r>
    </w:p>
    <w:p>
      <w:pPr>
        <w:pStyle w:val="BodyText"/>
        <w:spacing w:line="357" w:lineRule="auto" w:before="36"/>
        <w:ind w:left="818" w:right="772" w:firstLine="479"/>
        <w:jc w:val="both"/>
      </w:pPr>
      <w:r>
        <w:rPr>
          <w:spacing w:val="-2"/>
        </w:rPr>
        <w:t>加大对住宅产业化、智能家居等新型住宅技术的研究，积极尝试应用。寻找地产</w:t>
      </w:r>
      <w:r>
        <w:rPr/>
        <w:t> </w:t>
      </w:r>
      <w:r>
        <w:rPr>
          <w:spacing w:val="-2"/>
        </w:rPr>
        <w:t>各子产业链中的细分龙头企业，通过孵化赋能、嫁接资源、提供金融服务等方式帮助</w:t>
      </w:r>
      <w:r>
        <w:rPr>
          <w:spacing w:val="-93"/>
        </w:rPr>
        <w:t> </w:t>
      </w:r>
      <w:r>
        <w:rPr>
          <w:spacing w:val="-93"/>
        </w:rPr>
      </w:r>
      <w:r>
        <w:rPr/>
        <w:t>企业做产业整合，共建地产产业链生态圈。</w:t>
      </w:r>
    </w:p>
    <w:p>
      <w:pPr>
        <w:pStyle w:val="BodyText"/>
        <w:spacing w:line="357" w:lineRule="auto" w:before="34"/>
        <w:ind w:left="1298" w:right="0"/>
        <w:jc w:val="left"/>
      </w:pPr>
      <w:r>
        <w:rPr>
          <w:rFonts w:ascii="宋体" w:hAnsi="宋体" w:cs="宋体" w:eastAsia="宋体" w:hint="default"/>
        </w:rPr>
        <w:t>3</w:t>
      </w:r>
      <w:r>
        <w:rPr/>
        <w:t>、进一步充实公司资金实力，坚持稳健财务运营 </w:t>
      </w:r>
      <w:r>
        <w:rPr>
          <w:spacing w:val="-2"/>
        </w:rPr>
        <w:t>在防风险、去杠杆的金融背景下，公司积极拓展融资渠道，创新融资方式，优化</w:t>
      </w:r>
    </w:p>
    <w:p>
      <w:pPr>
        <w:pStyle w:val="BodyText"/>
        <w:spacing w:line="357" w:lineRule="auto" w:before="34"/>
        <w:ind w:left="818" w:right="0"/>
        <w:jc w:val="left"/>
      </w:pPr>
      <w:r>
        <w:rPr>
          <w:spacing w:val="-2"/>
        </w:rPr>
        <w:t>负债结构，在保持公司总资产规模合理增长的同时，将资产负债率和融资成本控制在</w:t>
      </w:r>
      <w:r>
        <w:rPr>
          <w:spacing w:val="-94"/>
        </w:rPr>
        <w:t> </w:t>
      </w:r>
      <w:r>
        <w:rPr>
          <w:spacing w:val="-94"/>
        </w:rPr>
      </w:r>
      <w:r>
        <w:rPr/>
        <w:t>合理水平。</w:t>
      </w:r>
    </w:p>
    <w:p>
      <w:pPr>
        <w:pStyle w:val="BodyText"/>
        <w:spacing w:line="357" w:lineRule="auto" w:before="34"/>
        <w:ind w:left="1298" w:right="648"/>
        <w:jc w:val="left"/>
      </w:pPr>
      <w:r>
        <w:rPr>
          <w:rFonts w:ascii="宋体" w:hAnsi="宋体" w:cs="宋体" w:eastAsia="宋体" w:hint="default"/>
        </w:rPr>
        <w:t>4</w:t>
      </w:r>
      <w:r>
        <w:rPr/>
        <w:t>、进一步提升公司治理内控，积极履行社会责任 </w:t>
      </w:r>
      <w:r>
        <w:rPr>
          <w:spacing w:val="-5"/>
        </w:rPr>
        <w:t>公司将持续提升管理水平，强化内控建设。进一步加强人才建设和公司文化建设，</w:t>
      </w:r>
    </w:p>
    <w:p>
      <w:pPr>
        <w:pStyle w:val="BodyText"/>
        <w:spacing w:line="357" w:lineRule="auto" w:before="34"/>
        <w:ind w:left="818" w:right="0"/>
        <w:jc w:val="left"/>
      </w:pPr>
      <w:r>
        <w:rPr>
          <w:spacing w:val="-2"/>
        </w:rPr>
        <w:t>为团队提供良好的职业发展平台，为公司凝聚优秀的专业化人才，提升团队专业化水</w:t>
      </w:r>
      <w:r>
        <w:rPr>
          <w:spacing w:val="-94"/>
        </w:rPr>
        <w:t> </w:t>
      </w:r>
      <w:r>
        <w:rPr>
          <w:spacing w:val="-94"/>
        </w:rPr>
      </w:r>
      <w:r>
        <w:rPr/>
        <w:t>平，为公司发展创造更多的价值。</w:t>
      </w:r>
    </w:p>
    <w:p>
      <w:pPr>
        <w:pStyle w:val="BodyText"/>
        <w:spacing w:line="357" w:lineRule="auto" w:before="34"/>
        <w:ind w:left="818" w:right="845" w:firstLine="479"/>
        <w:jc w:val="both"/>
      </w:pPr>
      <w:r>
        <w:rPr/>
        <w:t>公司将进一步为慈善公益事业投入资金、人才。推进新湖</w:t>
      </w:r>
      <w:r>
        <w:rPr>
          <w:spacing w:val="1"/>
        </w:rPr>
        <w:t> </w:t>
      </w:r>
      <w:r>
        <w:rPr/>
        <w:t>“益贫乡村”公益项</w:t>
      </w:r>
      <w:r>
        <w:rPr/>
        <w:t> 目、“新湖乡村幼儿园计划”的进展，扩大项目覆盖，为社会作出更大贡献。</w:t>
      </w:r>
    </w:p>
    <w:p>
      <w:pPr>
        <w:pStyle w:val="Heading2"/>
        <w:spacing w:line="240" w:lineRule="auto" w:before="36"/>
        <w:ind w:left="3276" w:right="0"/>
        <w:jc w:val="left"/>
        <w:rPr>
          <w:b w:val="0"/>
          <w:bCs w:val="0"/>
        </w:rPr>
      </w:pPr>
      <w:r>
        <w:rPr>
          <w:rFonts w:ascii="宋体" w:hAnsi="宋体" w:cs="宋体" w:eastAsia="宋体" w:hint="default"/>
        </w:rPr>
        <w:t>2018</w:t>
      </w:r>
      <w:r>
        <w:rPr>
          <w:rFonts w:ascii="宋体" w:hAnsi="宋体" w:cs="宋体" w:eastAsia="宋体" w:hint="default"/>
          <w:spacing w:val="-64"/>
        </w:rPr>
        <w:t> </w:t>
      </w:r>
      <w:r>
        <w:rPr/>
        <w:t>年度主要房地产项目开发计划表</w:t>
      </w:r>
      <w:r>
        <w:rPr>
          <w:b w:val="0"/>
          <w:bCs w:val="0"/>
        </w:rPr>
      </w:r>
    </w:p>
    <w:p>
      <w:pPr>
        <w:spacing w:line="240" w:lineRule="auto" w:before="1"/>
        <w:rPr>
          <w:rFonts w:ascii="宋体" w:hAnsi="宋体" w:cs="宋体" w:eastAsia="宋体" w:hint="default"/>
          <w:b/>
          <w:bCs/>
          <w:sz w:val="21"/>
          <w:szCs w:val="21"/>
        </w:rPr>
      </w:pPr>
    </w:p>
    <w:p>
      <w:pPr>
        <w:tabs>
          <w:tab w:pos="6605" w:val="left" w:leader="none"/>
          <w:tab w:pos="8391" w:val="left" w:leader="none"/>
        </w:tabs>
        <w:spacing w:before="0"/>
        <w:ind w:left="4293" w:right="0" w:firstLine="0"/>
        <w:jc w:val="left"/>
        <w:rPr>
          <w:rFonts w:ascii="宋体" w:hAnsi="宋体" w:cs="宋体" w:eastAsia="宋体" w:hint="default"/>
          <w:sz w:val="21"/>
          <w:szCs w:val="21"/>
        </w:rPr>
      </w:pPr>
      <w:r>
        <w:rPr>
          <w:rFonts w:ascii="宋体" w:hAnsi="宋体" w:cs="宋体" w:eastAsia="宋体" w:hint="default"/>
          <w:spacing w:val="-1"/>
          <w:sz w:val="21"/>
          <w:szCs w:val="21"/>
        </w:rPr>
        <w:t>面积单位</w:t>
      </w:r>
      <w:r>
        <w:rPr>
          <w:rFonts w:ascii="宋体" w:hAnsi="宋体" w:cs="宋体" w:eastAsia="宋体" w:hint="default"/>
          <w:spacing w:val="9"/>
          <w:sz w:val="21"/>
          <w:szCs w:val="21"/>
        </w:rPr>
        <w:t> </w:t>
      </w:r>
      <w:r>
        <w:rPr>
          <w:rFonts w:ascii="宋体" w:hAnsi="宋体" w:cs="宋体" w:eastAsia="宋体" w:hint="default"/>
          <w:spacing w:val="-1"/>
          <w:sz w:val="21"/>
          <w:szCs w:val="21"/>
        </w:rPr>
        <w:t>：平方米</w:t>
        <w:tab/>
        <w:t>金额单位：千元</w:t>
        <w:tab/>
        <w:t>币种：人民币</w:t>
      </w: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576"/>
        <w:gridCol w:w="3277"/>
        <w:gridCol w:w="1025"/>
        <w:gridCol w:w="1028"/>
        <w:gridCol w:w="1025"/>
        <w:gridCol w:w="1117"/>
        <w:gridCol w:w="1027"/>
        <w:gridCol w:w="1116"/>
      </w:tblGrid>
      <w:tr>
        <w:trPr>
          <w:trHeight w:val="785"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序号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122" w:right="122"/>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年计 划新开工 面积</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124" w:right="122"/>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年计 划新竣工 面积</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146" w:right="122" w:hanging="24"/>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年计 划合同销 售面积</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103" w:right="101" w:firstLine="2"/>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年计 划合同销售 收入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124" w:right="122"/>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年计 划结算面 积</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100" w:right="103" w:firstLine="67"/>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年计 划结算收入</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sz w:val="18"/>
              </w:rPr>
              <w:t>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pacing w:val="-1"/>
                <w:sz w:val="18"/>
              </w:rPr>
              <w:t>58,210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pacing w:val="-1"/>
                <w:sz w:val="18"/>
              </w:rPr>
              <w:t>12,860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4"/>
              <w:jc w:val="right"/>
              <w:rPr>
                <w:rFonts w:ascii="宋体" w:hAnsi="宋体" w:cs="宋体" w:eastAsia="宋体" w:hint="default"/>
                <w:sz w:val="18"/>
                <w:szCs w:val="18"/>
              </w:rPr>
            </w:pPr>
            <w:r>
              <w:rPr>
                <w:rFonts w:ascii="宋体"/>
                <w:sz w:val="18"/>
              </w:rPr>
              <w:t>113,470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sz w:val="18"/>
              </w:rPr>
              <w:t>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12,220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14,200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97,500</w:t>
            </w:r>
          </w:p>
        </w:tc>
      </w:tr>
      <w:tr>
        <w:trPr>
          <w:trHeight w:val="41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sz w:val="18"/>
              </w:rPr>
              <w:t>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沈阳新湖明珠置业有限公司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40,000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16,080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sz w:val="18"/>
              </w:rPr>
              <w:t>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z w:val="18"/>
              </w:rPr>
              <w:t>3,723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pacing w:val="-1"/>
                <w:sz w:val="18"/>
              </w:rPr>
              <w:t>17,880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18"/>
                <w:szCs w:val="18"/>
              </w:rPr>
            </w:pPr>
            <w:r>
              <w:rPr>
                <w:rFonts w:ascii="宋体"/>
                <w:spacing w:val="-1"/>
                <w:sz w:val="18"/>
              </w:rPr>
              <w:t>98,000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pacing w:val="-1"/>
                <w:sz w:val="18"/>
              </w:rPr>
              <w:t>49,270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4"/>
              <w:jc w:val="right"/>
              <w:rPr>
                <w:rFonts w:ascii="宋体" w:hAnsi="宋体" w:cs="宋体" w:eastAsia="宋体" w:hint="default"/>
                <w:sz w:val="18"/>
                <w:szCs w:val="18"/>
              </w:rPr>
            </w:pPr>
            <w:r>
              <w:rPr>
                <w:rFonts w:ascii="宋体"/>
                <w:sz w:val="18"/>
              </w:rPr>
              <w:t>283,000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sz w:val="18"/>
              </w:rPr>
              <w:t>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天津新湖中宝投资有限公司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117,192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66,660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808,000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0</w:t>
            </w:r>
          </w:p>
        </w:tc>
      </w:tr>
      <w:tr>
        <w:trPr>
          <w:trHeight w:val="41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sz w:val="18"/>
              </w:rPr>
              <w:t>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义乌北方（天津）国际商贸城有限公司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31,260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401,000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20,000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230,030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sz w:val="18"/>
              </w:rPr>
              <w:t>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pacing w:val="-1"/>
                <w:sz w:val="18"/>
              </w:rPr>
              <w:t>57,953</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pacing w:val="-1"/>
                <w:sz w:val="18"/>
              </w:rPr>
              <w:t>40,680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236,000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z w:val="18"/>
              </w:rPr>
              <w:t>4,630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5"/>
              <w:jc w:val="right"/>
              <w:rPr>
                <w:rFonts w:ascii="宋体" w:hAnsi="宋体" w:cs="宋体" w:eastAsia="宋体" w:hint="default"/>
                <w:sz w:val="18"/>
                <w:szCs w:val="18"/>
              </w:rPr>
            </w:pPr>
            <w:r>
              <w:rPr>
                <w:rFonts w:ascii="宋体"/>
                <w:spacing w:val="-1"/>
                <w:sz w:val="18"/>
              </w:rPr>
              <w:t>38,800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sz w:val="18"/>
              </w:rPr>
              <w:t>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3,490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61,000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10,400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112,590</w:t>
            </w:r>
          </w:p>
        </w:tc>
      </w:tr>
    </w:tbl>
    <w:p>
      <w:pPr>
        <w:spacing w:after="0" w:line="240" w:lineRule="auto"/>
        <w:jc w:val="right"/>
        <w:rPr>
          <w:rFonts w:ascii="宋体" w:hAnsi="宋体" w:cs="宋体" w:eastAsia="宋体" w:hint="default"/>
          <w:sz w:val="18"/>
          <w:szCs w:val="18"/>
        </w:rPr>
        <w:sectPr>
          <w:pgSz w:w="11910" w:h="16840"/>
          <w:pgMar w:header="0" w:footer="1195" w:top="1120" w:bottom="1380" w:left="980" w:right="5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576"/>
        <w:gridCol w:w="3277"/>
        <w:gridCol w:w="1025"/>
        <w:gridCol w:w="1028"/>
        <w:gridCol w:w="1025"/>
        <w:gridCol w:w="1117"/>
        <w:gridCol w:w="1027"/>
        <w:gridCol w:w="1116"/>
      </w:tblGrid>
      <w:tr>
        <w:trPr>
          <w:trHeight w:val="408" w:hRule="exact"/>
        </w:trPr>
        <w:tc>
          <w:tcPr>
            <w:tcW w:w="5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left="235" w:right="0"/>
              <w:jc w:val="left"/>
              <w:rPr>
                <w:rFonts w:ascii="宋体" w:hAnsi="宋体" w:cs="宋体" w:eastAsia="宋体" w:hint="default"/>
                <w:sz w:val="18"/>
                <w:szCs w:val="18"/>
              </w:rPr>
            </w:pPr>
            <w:r>
              <w:rPr>
                <w:rFonts w:ascii="宋体"/>
                <w:sz w:val="18"/>
              </w:rPr>
              <w:t>9</w:t>
            </w:r>
          </w:p>
        </w:tc>
        <w:tc>
          <w:tcPr>
            <w:tcW w:w="3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10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0</w:t>
            </w:r>
          </w:p>
        </w:tc>
        <w:tc>
          <w:tcPr>
            <w:tcW w:w="10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pacing w:val="-1"/>
                <w:sz w:val="18"/>
              </w:rPr>
              <w:t>98,184</w:t>
            </w:r>
          </w:p>
        </w:tc>
        <w:tc>
          <w:tcPr>
            <w:tcW w:w="10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pacing w:val="-1"/>
                <w:sz w:val="18"/>
              </w:rPr>
              <w:t>61,720</w:t>
            </w:r>
          </w:p>
        </w:tc>
        <w:tc>
          <w:tcPr>
            <w:tcW w:w="11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900,000</w:t>
            </w:r>
          </w:p>
        </w:tc>
        <w:tc>
          <w:tcPr>
            <w:tcW w:w="10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pacing w:val="-1"/>
                <w:sz w:val="18"/>
              </w:rPr>
              <w:t>75,770</w:t>
            </w:r>
          </w:p>
        </w:tc>
        <w:tc>
          <w:tcPr>
            <w:tcW w:w="11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right="104"/>
              <w:jc w:val="right"/>
              <w:rPr>
                <w:rFonts w:ascii="宋体" w:hAnsi="宋体" w:cs="宋体" w:eastAsia="宋体" w:hint="default"/>
                <w:sz w:val="18"/>
                <w:szCs w:val="18"/>
              </w:rPr>
            </w:pPr>
            <w:r>
              <w:rPr>
                <w:rFonts w:ascii="宋体"/>
                <w:sz w:val="18"/>
              </w:rPr>
              <w:t>775,860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0" w:right="0"/>
              <w:jc w:val="left"/>
              <w:rPr>
                <w:rFonts w:ascii="宋体" w:hAnsi="宋体" w:cs="宋体" w:eastAsia="宋体" w:hint="default"/>
                <w:sz w:val="18"/>
                <w:szCs w:val="18"/>
              </w:rPr>
            </w:pPr>
            <w:r>
              <w:rPr>
                <w:rFonts w:ascii="宋体"/>
                <w:sz w:val="18"/>
              </w:rPr>
              <w:t>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190,255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68,920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1,210,000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5,440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84,000</w:t>
            </w:r>
          </w:p>
        </w:tc>
      </w:tr>
      <w:tr>
        <w:trPr>
          <w:trHeight w:val="41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0" w:right="0"/>
              <w:jc w:val="left"/>
              <w:rPr>
                <w:rFonts w:ascii="宋体" w:hAnsi="宋体" w:cs="宋体" w:eastAsia="宋体" w:hint="default"/>
                <w:sz w:val="18"/>
                <w:szCs w:val="18"/>
              </w:rPr>
            </w:pPr>
            <w:r>
              <w:rPr>
                <w:rFonts w:ascii="宋体"/>
                <w:sz w:val="18"/>
              </w:rPr>
              <w:t>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南通新湖置业有限公司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267,771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97,000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1,000,000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90" w:right="0"/>
              <w:jc w:val="left"/>
              <w:rPr>
                <w:rFonts w:ascii="宋体" w:hAnsi="宋体" w:cs="宋体" w:eastAsia="宋体" w:hint="default"/>
                <w:sz w:val="18"/>
                <w:szCs w:val="18"/>
              </w:rPr>
            </w:pPr>
            <w:r>
              <w:rPr>
                <w:rFonts w:ascii="宋体"/>
                <w:sz w:val="18"/>
              </w:rPr>
              <w:t>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南通启阳建设开发有限公司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pacing w:val="-1"/>
                <w:sz w:val="18"/>
              </w:rPr>
              <w:t>25,000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4"/>
              <w:jc w:val="right"/>
              <w:rPr>
                <w:rFonts w:ascii="宋体" w:hAnsi="宋体" w:cs="宋体" w:eastAsia="宋体" w:hint="default"/>
                <w:sz w:val="18"/>
                <w:szCs w:val="18"/>
              </w:rPr>
            </w:pPr>
            <w:r>
              <w:rPr>
                <w:rFonts w:ascii="宋体"/>
                <w:sz w:val="18"/>
              </w:rPr>
              <w:t>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0" w:right="0"/>
              <w:jc w:val="left"/>
              <w:rPr>
                <w:rFonts w:ascii="宋体" w:hAnsi="宋体" w:cs="宋体" w:eastAsia="宋体" w:hint="default"/>
                <w:sz w:val="18"/>
                <w:szCs w:val="18"/>
              </w:rPr>
            </w:pPr>
            <w:r>
              <w:rPr>
                <w:rFonts w:ascii="宋体"/>
                <w:sz w:val="18"/>
              </w:rPr>
              <w:t>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南通启仁置业有限公司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183,271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0</w:t>
            </w:r>
          </w:p>
        </w:tc>
      </w:tr>
      <w:tr>
        <w:trPr>
          <w:trHeight w:val="41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0" w:right="0"/>
              <w:jc w:val="left"/>
              <w:rPr>
                <w:rFonts w:ascii="宋体" w:hAnsi="宋体" w:cs="宋体" w:eastAsia="宋体" w:hint="default"/>
                <w:sz w:val="18"/>
                <w:szCs w:val="18"/>
              </w:rPr>
            </w:pPr>
            <w:r>
              <w:rPr>
                <w:rFonts w:ascii="宋体"/>
                <w:sz w:val="18"/>
              </w:rPr>
              <w:t>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202,569</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1,050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72,000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1,010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52,000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90" w:right="0"/>
              <w:jc w:val="left"/>
              <w:rPr>
                <w:rFonts w:ascii="宋体" w:hAnsi="宋体" w:cs="宋体" w:eastAsia="宋体" w:hint="default"/>
                <w:sz w:val="18"/>
                <w:szCs w:val="18"/>
              </w:rPr>
            </w:pPr>
            <w:r>
              <w:rPr>
                <w:rFonts w:ascii="宋体"/>
                <w:sz w:val="18"/>
              </w:rPr>
              <w:t>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z w:val="18"/>
              </w:rPr>
              <w:t>179,603</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z w:val="18"/>
              </w:rPr>
              <w:t>2,420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350,000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z w:val="18"/>
              </w:rPr>
              <w:t>8,180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4"/>
              <w:jc w:val="right"/>
              <w:rPr>
                <w:rFonts w:ascii="宋体" w:hAnsi="宋体" w:cs="宋体" w:eastAsia="宋体" w:hint="default"/>
                <w:sz w:val="18"/>
                <w:szCs w:val="18"/>
              </w:rPr>
            </w:pPr>
            <w:r>
              <w:rPr>
                <w:rFonts w:ascii="宋体"/>
                <w:sz w:val="18"/>
              </w:rPr>
              <w:t>880,890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0" w:right="0"/>
              <w:jc w:val="left"/>
              <w:rPr>
                <w:rFonts w:ascii="宋体" w:hAnsi="宋体" w:cs="宋体" w:eastAsia="宋体" w:hint="default"/>
                <w:sz w:val="18"/>
                <w:szCs w:val="18"/>
              </w:rPr>
            </w:pPr>
            <w:r>
              <w:rPr>
                <w:rFonts w:ascii="宋体"/>
                <w:sz w:val="18"/>
              </w:rPr>
              <w:t>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34,000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17,080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800,000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18,350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701,600</w:t>
            </w:r>
          </w:p>
        </w:tc>
      </w:tr>
      <w:tr>
        <w:trPr>
          <w:trHeight w:val="411"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0" w:right="0"/>
              <w:jc w:val="left"/>
              <w:rPr>
                <w:rFonts w:ascii="宋体" w:hAnsi="宋体" w:cs="宋体" w:eastAsia="宋体" w:hint="default"/>
                <w:sz w:val="18"/>
                <w:szCs w:val="18"/>
              </w:rPr>
            </w:pPr>
            <w:r>
              <w:rPr>
                <w:rFonts w:ascii="宋体"/>
                <w:sz w:val="18"/>
              </w:rPr>
              <w:t>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18"/>
                <w:szCs w:val="18"/>
              </w:rPr>
            </w:pPr>
            <w:r>
              <w:rPr>
                <w:rFonts w:ascii="宋体"/>
                <w:spacing w:val="-1"/>
                <w:sz w:val="18"/>
              </w:rPr>
              <w:t>25,340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18"/>
                <w:szCs w:val="18"/>
              </w:rPr>
            </w:pPr>
            <w:r>
              <w:rPr>
                <w:rFonts w:ascii="宋体"/>
                <w:sz w:val="18"/>
              </w:rPr>
              <w:t>850,000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18"/>
                <w:szCs w:val="18"/>
              </w:rPr>
            </w:pPr>
            <w:r>
              <w:rPr>
                <w:rFonts w:ascii="宋体"/>
                <w:sz w:val="18"/>
              </w:rPr>
              <w:t>2,970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4"/>
              <w:jc w:val="right"/>
              <w:rPr>
                <w:rFonts w:ascii="宋体" w:hAnsi="宋体" w:cs="宋体" w:eastAsia="宋体" w:hint="default"/>
                <w:sz w:val="18"/>
                <w:szCs w:val="18"/>
              </w:rPr>
            </w:pPr>
            <w:r>
              <w:rPr>
                <w:rFonts w:ascii="宋体"/>
                <w:sz w:val="18"/>
              </w:rPr>
              <w:t>131,940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90" w:right="0"/>
              <w:jc w:val="left"/>
              <w:rPr>
                <w:rFonts w:ascii="宋体" w:hAnsi="宋体" w:cs="宋体" w:eastAsia="宋体" w:hint="default"/>
                <w:sz w:val="18"/>
                <w:szCs w:val="18"/>
              </w:rPr>
            </w:pPr>
            <w:r>
              <w:rPr>
                <w:rFonts w:ascii="宋体"/>
                <w:sz w:val="18"/>
              </w:rPr>
              <w:t>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杭州新湖鸬鸟置业有限公司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z w:val="18"/>
              </w:rPr>
              <w:t>111,438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4"/>
              <w:jc w:val="right"/>
              <w:rPr>
                <w:rFonts w:ascii="宋体" w:hAnsi="宋体" w:cs="宋体" w:eastAsia="宋体" w:hint="default"/>
                <w:sz w:val="18"/>
                <w:szCs w:val="18"/>
              </w:rPr>
            </w:pPr>
            <w:r>
              <w:rPr>
                <w:rFonts w:ascii="宋体"/>
                <w:sz w:val="18"/>
              </w:rPr>
              <w:t>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0" w:right="0"/>
              <w:jc w:val="left"/>
              <w:rPr>
                <w:rFonts w:ascii="宋体" w:hAnsi="宋体" w:cs="宋体" w:eastAsia="宋体" w:hint="default"/>
                <w:sz w:val="18"/>
                <w:szCs w:val="18"/>
              </w:rPr>
            </w:pPr>
            <w:r>
              <w:rPr>
                <w:rFonts w:ascii="宋体"/>
                <w:sz w:val="18"/>
              </w:rPr>
              <w:t>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6,650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450,000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7,400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400,000</w:t>
            </w:r>
          </w:p>
        </w:tc>
      </w:tr>
      <w:tr>
        <w:trPr>
          <w:trHeight w:val="41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0" w:right="0"/>
              <w:jc w:val="left"/>
              <w:rPr>
                <w:rFonts w:ascii="宋体" w:hAnsi="宋体" w:cs="宋体" w:eastAsia="宋体" w:hint="default"/>
                <w:sz w:val="18"/>
                <w:szCs w:val="18"/>
              </w:rPr>
            </w:pPr>
            <w:r>
              <w:rPr>
                <w:rFonts w:ascii="宋体"/>
                <w:sz w:val="18"/>
              </w:rPr>
              <w:t>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浙江新湖海创地产发展有限公司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22,605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90" w:right="0"/>
              <w:jc w:val="left"/>
              <w:rPr>
                <w:rFonts w:ascii="宋体" w:hAnsi="宋体" w:cs="宋体" w:eastAsia="宋体" w:hint="default"/>
                <w:sz w:val="18"/>
                <w:szCs w:val="18"/>
              </w:rPr>
            </w:pPr>
            <w:r>
              <w:rPr>
                <w:rFonts w:ascii="宋体"/>
                <w:sz w:val="18"/>
              </w:rPr>
              <w:t>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嘉兴新湖中房置业有限公司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z w:val="18"/>
              </w:rPr>
              <w:t>275,325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pacing w:val="-1"/>
                <w:sz w:val="18"/>
              </w:rPr>
              <w:t>87,930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1,319,000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z w:val="18"/>
              </w:rPr>
              <w:t>4,380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5"/>
              <w:jc w:val="right"/>
              <w:rPr>
                <w:rFonts w:ascii="宋体" w:hAnsi="宋体" w:cs="宋体" w:eastAsia="宋体" w:hint="default"/>
                <w:sz w:val="18"/>
                <w:szCs w:val="18"/>
              </w:rPr>
            </w:pPr>
            <w:r>
              <w:rPr>
                <w:rFonts w:ascii="宋体"/>
                <w:spacing w:val="-1"/>
                <w:sz w:val="18"/>
              </w:rPr>
              <w:t>41,530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0" w:right="0"/>
              <w:jc w:val="left"/>
              <w:rPr>
                <w:rFonts w:ascii="宋体" w:hAnsi="宋体" w:cs="宋体" w:eastAsia="宋体" w:hint="default"/>
                <w:sz w:val="18"/>
                <w:szCs w:val="18"/>
              </w:rPr>
            </w:pPr>
            <w:r>
              <w:rPr>
                <w:rFonts w:ascii="宋体"/>
                <w:sz w:val="18"/>
              </w:rPr>
              <w:t>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322,927</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109,510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1,500,000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159,870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1,328,490</w:t>
            </w:r>
          </w:p>
        </w:tc>
      </w:tr>
      <w:tr>
        <w:trPr>
          <w:trHeight w:val="41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0" w:right="0"/>
              <w:jc w:val="left"/>
              <w:rPr>
                <w:rFonts w:ascii="宋体" w:hAnsi="宋体" w:cs="宋体" w:eastAsia="宋体" w:hint="default"/>
                <w:sz w:val="18"/>
                <w:szCs w:val="18"/>
              </w:rPr>
            </w:pPr>
            <w:r>
              <w:rPr>
                <w:rFonts w:ascii="宋体"/>
                <w:sz w:val="18"/>
              </w:rPr>
              <w:t>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丽水新湖置业有限公司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153,825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9,530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301,000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159,870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3,128,020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90" w:right="0"/>
              <w:jc w:val="left"/>
              <w:rPr>
                <w:rFonts w:ascii="宋体" w:hAnsi="宋体" w:cs="宋体" w:eastAsia="宋体" w:hint="default"/>
                <w:sz w:val="18"/>
                <w:szCs w:val="18"/>
              </w:rPr>
            </w:pPr>
            <w:r>
              <w:rPr>
                <w:rFonts w:ascii="宋体"/>
                <w:sz w:val="18"/>
              </w:rPr>
              <w:t>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乐清新湖置业有限公司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176,234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pacing w:val="-1"/>
                <w:sz w:val="18"/>
              </w:rPr>
              <w:t>18,190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597,000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z w:val="18"/>
              </w:rPr>
              <w:t>126,550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18"/>
                <w:szCs w:val="18"/>
              </w:rPr>
            </w:pPr>
            <w:r>
              <w:rPr>
                <w:rFonts w:ascii="宋体"/>
                <w:spacing w:val="-1"/>
                <w:sz w:val="18"/>
              </w:rPr>
              <w:t>2,995,880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0" w:right="0"/>
              <w:jc w:val="left"/>
              <w:rPr>
                <w:rFonts w:ascii="宋体" w:hAnsi="宋体" w:cs="宋体" w:eastAsia="宋体" w:hint="default"/>
                <w:sz w:val="18"/>
                <w:szCs w:val="18"/>
              </w:rPr>
            </w:pPr>
            <w:r>
              <w:rPr>
                <w:rFonts w:ascii="宋体"/>
                <w:sz w:val="18"/>
              </w:rPr>
              <w:t>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瑞安市中宝置业有限公司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18"/>
                <w:szCs w:val="18"/>
              </w:rPr>
            </w:pPr>
            <w:r>
              <w:rPr>
                <w:rFonts w:ascii="宋体"/>
                <w:sz w:val="18"/>
              </w:rPr>
              <w:t>123,169</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18"/>
                <w:szCs w:val="18"/>
              </w:rPr>
            </w:pPr>
            <w:r>
              <w:rPr>
                <w:rFonts w:ascii="宋体"/>
                <w:sz w:val="18"/>
              </w:rPr>
              <w:t>131,770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18"/>
                <w:szCs w:val="18"/>
              </w:rPr>
            </w:pPr>
            <w:r>
              <w:rPr>
                <w:rFonts w:ascii="宋体"/>
                <w:spacing w:val="-1"/>
                <w:sz w:val="18"/>
              </w:rPr>
              <w:t>60,960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18"/>
                <w:szCs w:val="18"/>
              </w:rPr>
            </w:pPr>
            <w:r>
              <w:rPr>
                <w:rFonts w:ascii="宋体"/>
                <w:spacing w:val="-1"/>
                <w:sz w:val="18"/>
              </w:rPr>
              <w:t>1,501,000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18"/>
                <w:szCs w:val="18"/>
              </w:rPr>
            </w:pPr>
            <w:r>
              <w:rPr>
                <w:rFonts w:ascii="宋体"/>
                <w:spacing w:val="-1"/>
                <w:sz w:val="18"/>
              </w:rPr>
              <w:t>90,000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1,444,670</w:t>
            </w:r>
          </w:p>
        </w:tc>
      </w:tr>
      <w:tr>
        <w:trPr>
          <w:trHeight w:val="41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0" w:right="0"/>
              <w:jc w:val="left"/>
              <w:rPr>
                <w:rFonts w:ascii="宋体" w:hAnsi="宋体" w:cs="宋体" w:eastAsia="宋体" w:hint="default"/>
                <w:sz w:val="18"/>
                <w:szCs w:val="18"/>
              </w:rPr>
            </w:pPr>
            <w:r>
              <w:rPr>
                <w:rFonts w:ascii="宋体"/>
                <w:sz w:val="18"/>
              </w:rPr>
              <w:t>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130,000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29,647</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570,000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29,200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228,400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90" w:right="0"/>
              <w:jc w:val="left"/>
              <w:rPr>
                <w:rFonts w:ascii="宋体" w:hAnsi="宋体" w:cs="宋体" w:eastAsia="宋体" w:hint="default"/>
                <w:sz w:val="18"/>
                <w:szCs w:val="18"/>
              </w:rPr>
            </w:pPr>
            <w:r>
              <w:rPr>
                <w:rFonts w:ascii="宋体"/>
                <w:sz w:val="18"/>
              </w:rPr>
              <w:t>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舟山新湖置业有限公司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804,000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pacing w:val="-1"/>
                <w:sz w:val="18"/>
              </w:rPr>
              <w:t>40,370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4"/>
              <w:jc w:val="right"/>
              <w:rPr>
                <w:rFonts w:ascii="宋体" w:hAnsi="宋体" w:cs="宋体" w:eastAsia="宋体" w:hint="default"/>
                <w:sz w:val="18"/>
                <w:szCs w:val="18"/>
              </w:rPr>
            </w:pPr>
            <w:r>
              <w:rPr>
                <w:rFonts w:ascii="宋体"/>
                <w:sz w:val="18"/>
              </w:rPr>
              <w:t>642,830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0" w:right="0"/>
              <w:jc w:val="left"/>
              <w:rPr>
                <w:rFonts w:ascii="宋体" w:hAnsi="宋体" w:cs="宋体" w:eastAsia="宋体" w:hint="default"/>
                <w:sz w:val="18"/>
                <w:szCs w:val="18"/>
              </w:rPr>
            </w:pPr>
            <w:r>
              <w:rPr>
                <w:rFonts w:ascii="宋体"/>
                <w:sz w:val="18"/>
              </w:rPr>
              <w:t>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温岭新湖地产发展有限公司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34,000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3,005,000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0</w:t>
            </w:r>
          </w:p>
        </w:tc>
      </w:tr>
      <w:tr>
        <w:trPr>
          <w:trHeight w:val="41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0" w:right="0"/>
              <w:jc w:val="left"/>
              <w:rPr>
                <w:rFonts w:ascii="宋体" w:hAnsi="宋体" w:cs="宋体" w:eastAsia="宋体" w:hint="default"/>
                <w:sz w:val="18"/>
                <w:szCs w:val="18"/>
              </w:rPr>
            </w:pPr>
            <w:r>
              <w:rPr>
                <w:rFonts w:ascii="宋体"/>
                <w:sz w:val="18"/>
              </w:rPr>
              <w:t>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254,000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41,530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265,090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90" w:right="0"/>
              <w:jc w:val="left"/>
              <w:rPr>
                <w:rFonts w:ascii="宋体" w:hAnsi="宋体" w:cs="宋体" w:eastAsia="宋体" w:hint="default"/>
                <w:sz w:val="18"/>
                <w:szCs w:val="18"/>
              </w:rPr>
            </w:pPr>
            <w:r>
              <w:rPr>
                <w:rFonts w:ascii="宋体"/>
                <w:sz w:val="18"/>
              </w:rPr>
              <w:t>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pacing w:val="-1"/>
                <w:sz w:val="18"/>
              </w:rPr>
              <w:t>64,892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106,838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pacing w:val="-1"/>
                <w:sz w:val="18"/>
              </w:rPr>
              <w:t>49,600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z w:val="18"/>
              </w:rPr>
              <w:t>115,110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4"/>
              <w:jc w:val="right"/>
              <w:rPr>
                <w:rFonts w:ascii="宋体" w:hAnsi="宋体" w:cs="宋体" w:eastAsia="宋体" w:hint="default"/>
                <w:sz w:val="18"/>
                <w:szCs w:val="18"/>
              </w:rPr>
            </w:pPr>
            <w:r>
              <w:rPr>
                <w:rFonts w:ascii="宋体"/>
                <w:sz w:val="18"/>
              </w:rPr>
              <w:t>831,920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0" w:right="0"/>
              <w:jc w:val="left"/>
              <w:rPr>
                <w:rFonts w:ascii="宋体" w:hAnsi="宋体" w:cs="宋体" w:eastAsia="宋体" w:hint="default"/>
                <w:sz w:val="18"/>
                <w:szCs w:val="18"/>
              </w:rPr>
            </w:pPr>
            <w:r>
              <w:rPr>
                <w:rFonts w:ascii="宋体"/>
                <w:sz w:val="18"/>
              </w:rPr>
              <w:t>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186,528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267,540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1,352,000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5,620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66,000</w:t>
            </w:r>
          </w:p>
        </w:tc>
      </w:tr>
      <w:tr>
        <w:trPr>
          <w:trHeight w:val="411" w:hRule="exact"/>
        </w:trPr>
        <w:tc>
          <w:tcPr>
            <w:tcW w:w="576"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2,245,571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1,023,148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1,129,920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20,039,000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1,002,980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14,874,510</w:t>
            </w:r>
          </w:p>
        </w:tc>
      </w:tr>
    </w:tbl>
    <w:p>
      <w:pPr>
        <w:spacing w:line="241" w:lineRule="exact" w:before="0"/>
        <w:ind w:left="818" w:right="0" w:firstLine="0"/>
        <w:jc w:val="left"/>
        <w:rPr>
          <w:rFonts w:ascii="宋体" w:hAnsi="宋体" w:cs="宋体" w:eastAsia="宋体" w:hint="default"/>
          <w:sz w:val="21"/>
          <w:szCs w:val="21"/>
        </w:rPr>
      </w:pPr>
      <w:r>
        <w:rPr>
          <w:rFonts w:ascii="宋体" w:hAnsi="宋体" w:cs="宋体" w:eastAsia="宋体" w:hint="default"/>
          <w:sz w:val="21"/>
          <w:szCs w:val="21"/>
        </w:rPr>
        <w:t>注：本表数据未考虑权益比例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2"/>
        <w:tabs>
          <w:tab w:pos="1657" w:val="left" w:leader="none"/>
        </w:tabs>
        <w:spacing w:line="240" w:lineRule="auto" w:before="0"/>
        <w:ind w:left="818"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可能面对的风险</w:t>
      </w:r>
      <w:r>
        <w:rPr>
          <w:b w:val="0"/>
          <w:bCs w:val="0"/>
        </w:rPr>
      </w:r>
    </w:p>
    <w:p>
      <w:pPr>
        <w:pStyle w:val="BodyText"/>
        <w:tabs>
          <w:tab w:pos="1777" w:val="left" w:leader="none"/>
        </w:tabs>
        <w:spacing w:line="312" w:lineRule="exact" w:before="88"/>
        <w:ind w:left="1298" w:right="774" w:hanging="480"/>
        <w:jc w:val="left"/>
      </w:pPr>
      <w:r>
        <w:rPr>
          <w:spacing w:val="-1"/>
        </w:rPr>
        <w:t>√适用</w:t>
        <w:tab/>
      </w:r>
      <w:r>
        <w:rPr/>
        <w:t>□不适用</w:t>
      </w:r>
      <w:r>
        <w:rPr/>
        <w:t> </w:t>
      </w:r>
      <w:r>
        <w:rPr>
          <w:spacing w:val="-2"/>
        </w:rPr>
        <w:t>公司地产项目开发建设的情况良好，但公司业务经营中的风险因素仍然存在，公</w:t>
      </w:r>
    </w:p>
    <w:p>
      <w:pPr>
        <w:pStyle w:val="BodyText"/>
        <w:spacing w:line="357" w:lineRule="auto" w:before="123"/>
        <w:ind w:left="1298" w:right="828" w:hanging="480"/>
        <w:jc w:val="left"/>
      </w:pPr>
      <w:r>
        <w:rPr/>
        <w:t>司未来发展面临的主要风险如下： </w:t>
      </w:r>
      <w:r>
        <w:rPr>
          <w:rFonts w:ascii="宋体" w:hAnsi="宋体" w:cs="宋体" w:eastAsia="宋体" w:hint="default"/>
        </w:rPr>
        <w:t>1</w:t>
      </w:r>
      <w:r>
        <w:rPr/>
        <w:t>、行业风险。目前房地产行业已经进入新一轮调控周期，流动性的收缩、杠杆</w:t>
      </w:r>
    </w:p>
    <w:p>
      <w:pPr>
        <w:pStyle w:val="BodyText"/>
        <w:spacing w:line="357" w:lineRule="auto" w:before="34"/>
        <w:ind w:left="818" w:right="0"/>
        <w:jc w:val="left"/>
      </w:pPr>
      <w:r>
        <w:rPr>
          <w:spacing w:val="-5"/>
        </w:rPr>
        <w:t>率的下降将给行业带来较大的不确定性，如何灵活调整经营策略、前瞻应对市场波动，</w:t>
      </w:r>
      <w:r>
        <w:rPr>
          <w:spacing w:val="-98"/>
        </w:rPr>
        <w:t> </w:t>
      </w:r>
      <w:r>
        <w:rPr>
          <w:spacing w:val="-98"/>
        </w:rPr>
      </w:r>
      <w:r>
        <w:rPr/>
        <w:t>将是公司下阶段面临的重要挑战。</w:t>
      </w:r>
    </w:p>
    <w:p>
      <w:pPr>
        <w:spacing w:after="0" w:line="357" w:lineRule="auto"/>
        <w:jc w:val="left"/>
        <w:sectPr>
          <w:pgSz w:w="11910" w:h="16840"/>
          <w:pgMar w:header="0" w:footer="1195" w:top="1120" w:bottom="1380" w:left="980" w:right="500"/>
        </w:sectPr>
      </w:pPr>
    </w:p>
    <w:p>
      <w:pPr>
        <w:spacing w:line="240" w:lineRule="auto" w:before="8"/>
        <w:rPr>
          <w:rFonts w:ascii="宋体" w:hAnsi="宋体" w:cs="宋体" w:eastAsia="宋体" w:hint="default"/>
          <w:sz w:val="25"/>
          <w:szCs w:val="25"/>
        </w:rPr>
      </w:pPr>
    </w:p>
    <w:p>
      <w:pPr>
        <w:pStyle w:val="BodyText"/>
        <w:spacing w:line="357" w:lineRule="auto" w:before="26"/>
        <w:ind w:left="398" w:right="792" w:firstLine="479"/>
        <w:jc w:val="both"/>
      </w:pPr>
      <w:r>
        <w:rPr>
          <w:rFonts w:ascii="宋体" w:hAnsi="宋体" w:cs="宋体" w:eastAsia="宋体" w:hint="default"/>
        </w:rPr>
        <w:t>2</w:t>
      </w:r>
      <w:r>
        <w:rPr/>
        <w:t>、管理风险。公司房地产开发经营业务主要由公司及地区公司控股的项目子公 </w:t>
      </w:r>
      <w:r>
        <w:rPr>
          <w:spacing w:val="-2"/>
        </w:rPr>
        <w:t>司负责具体运作，随着公司业务规模的持续扩大，以及发展的区域不断延伸，将会对</w:t>
      </w:r>
      <w:r>
        <w:rPr>
          <w:spacing w:val="-96"/>
        </w:rPr>
        <w:t> </w:t>
      </w:r>
      <w:r>
        <w:rPr>
          <w:spacing w:val="-96"/>
        </w:rPr>
      </w:r>
      <w:r>
        <w:rPr>
          <w:spacing w:val="-2"/>
        </w:rPr>
        <w:t>现有管理团队提出更高的要求，如果公司人力资源储备、风险控制、项目管理等方面</w:t>
      </w:r>
      <w:r>
        <w:rPr>
          <w:spacing w:val="-93"/>
        </w:rPr>
        <w:t> </w:t>
      </w:r>
      <w:r>
        <w:rPr>
          <w:spacing w:val="-93"/>
        </w:rPr>
      </w:r>
      <w:r>
        <w:rPr/>
        <w:t>不能及时跟进，公司将面临一定的管理风险。</w:t>
      </w:r>
    </w:p>
    <w:p>
      <w:pPr>
        <w:pStyle w:val="BodyText"/>
        <w:spacing w:line="357" w:lineRule="auto" w:before="36"/>
        <w:ind w:left="398" w:right="794" w:firstLine="479"/>
        <w:jc w:val="both"/>
      </w:pPr>
      <w:r>
        <w:rPr>
          <w:rFonts w:ascii="宋体" w:hAnsi="宋体" w:cs="宋体" w:eastAsia="宋体" w:hint="default"/>
        </w:rPr>
        <w:t>3</w:t>
      </w:r>
      <w:r>
        <w:rPr/>
        <w:t>、经营风险。房地产项目开发时期长、投资大，在开发、设计、工程、销售等 </w:t>
      </w:r>
      <w:r>
        <w:rPr>
          <w:spacing w:val="-2"/>
        </w:rPr>
        <w:t>环节都存在经营风险，公司将进一步提升经营团队对项目运营的管理能力，降低经营</w:t>
      </w:r>
      <w:r>
        <w:rPr>
          <w:spacing w:val="-94"/>
        </w:rPr>
        <w:t> </w:t>
      </w:r>
      <w:r>
        <w:rPr>
          <w:spacing w:val="-94"/>
        </w:rPr>
      </w:r>
      <w:r>
        <w:rPr/>
        <w:t>风险。</w:t>
      </w:r>
    </w:p>
    <w:p>
      <w:pPr>
        <w:pStyle w:val="BodyText"/>
        <w:spacing w:line="357" w:lineRule="auto" w:before="34"/>
        <w:ind w:left="398" w:right="794" w:firstLine="479"/>
        <w:jc w:val="both"/>
      </w:pPr>
      <w:r>
        <w:rPr>
          <w:rFonts w:ascii="宋体" w:hAnsi="宋体" w:cs="宋体" w:eastAsia="宋体" w:hint="default"/>
        </w:rPr>
        <w:t>4</w:t>
      </w:r>
      <w:r>
        <w:rPr/>
        <w:t>、市场风险。房地产市场现已进入专业化、规模化、品牌化等综合实力竞争阶 </w:t>
      </w:r>
      <w:r>
        <w:rPr>
          <w:spacing w:val="-2"/>
        </w:rPr>
        <w:t>段，加之政策调控的不确定风险，加剧了行业竞争和市场大幅波动的风险，未来房地</w:t>
      </w:r>
      <w:r>
        <w:rPr>
          <w:spacing w:val="-96"/>
        </w:rPr>
        <w:t> </w:t>
      </w:r>
      <w:r>
        <w:rPr>
          <w:spacing w:val="-96"/>
        </w:rPr>
      </w:r>
      <w:r>
        <w:rPr/>
        <w:t>产市场的竞争更加激烈，从而加剧了市场风险。</w:t>
      </w:r>
    </w:p>
    <w:p>
      <w:pPr>
        <w:pStyle w:val="BodyText"/>
        <w:spacing w:line="355" w:lineRule="auto" w:before="36"/>
        <w:ind w:left="398" w:right="866" w:firstLine="479"/>
        <w:jc w:val="both"/>
      </w:pPr>
      <w:r>
        <w:rPr>
          <w:rFonts w:ascii="宋体" w:hAnsi="宋体" w:cs="宋体" w:eastAsia="宋体" w:hint="default"/>
        </w:rPr>
        <w:t>5</w:t>
      </w:r>
      <w:r>
        <w:rPr/>
        <w:t>、投资风险。公司持有较多的金融及其它股权投资，存在投资收益未达预期或 因被投资企业经营不善所带来的投资风险。</w:t>
      </w:r>
    </w:p>
    <w:p>
      <w:pPr>
        <w:spacing w:line="240" w:lineRule="auto" w:before="3"/>
        <w:rPr>
          <w:rFonts w:ascii="宋体" w:hAnsi="宋体" w:cs="宋体" w:eastAsia="宋体" w:hint="default"/>
          <w:sz w:val="31"/>
          <w:szCs w:val="31"/>
        </w:rPr>
      </w:pPr>
    </w:p>
    <w:p>
      <w:pPr>
        <w:pStyle w:val="Heading2"/>
        <w:tabs>
          <w:tab w:pos="1237" w:val="left" w:leader="none"/>
        </w:tabs>
        <w:spacing w:line="240" w:lineRule="auto" w:before="0"/>
        <w:ind w:left="398" w:right="794"/>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其他</w:t>
      </w:r>
      <w:r>
        <w:rPr>
          <w:b w:val="0"/>
          <w:bCs w:val="0"/>
        </w:rPr>
      </w:r>
    </w:p>
    <w:p>
      <w:pPr>
        <w:pStyle w:val="BodyText"/>
        <w:tabs>
          <w:tab w:pos="1357" w:val="left" w:leader="none"/>
        </w:tabs>
        <w:spacing w:line="240" w:lineRule="auto" w:before="58"/>
        <w:ind w:left="398" w:right="794"/>
        <w:jc w:val="left"/>
      </w:pPr>
      <w:r>
        <w:rPr>
          <w:spacing w:val="-1"/>
        </w:rPr>
        <w:t>□适用</w:t>
        <w:tab/>
      </w:r>
      <w:r>
        <w:rPr/>
        <w:t>√不适用</w:t>
      </w:r>
    </w:p>
    <w:p>
      <w:pPr>
        <w:spacing w:line="240" w:lineRule="auto" w:before="10"/>
        <w:rPr>
          <w:rFonts w:ascii="宋体" w:hAnsi="宋体" w:cs="宋体" w:eastAsia="宋体" w:hint="default"/>
          <w:sz w:val="30"/>
          <w:szCs w:val="30"/>
        </w:rPr>
      </w:pPr>
    </w:p>
    <w:p>
      <w:pPr>
        <w:pStyle w:val="Heading2"/>
        <w:spacing w:line="310" w:lineRule="exact" w:before="0"/>
        <w:ind w:left="818" w:right="794" w:hanging="420"/>
        <w:jc w:val="left"/>
        <w:rPr>
          <w:b w:val="0"/>
          <w:bCs w:val="0"/>
        </w:rPr>
      </w:pPr>
      <w:r>
        <w:rPr>
          <w:spacing w:val="-2"/>
          <w:w w:val="95"/>
        </w:rPr>
        <w:t>四、公司因不适用准则规定或国家秘密、商业秘密等特殊原因，未按准则披露的情况</w:t>
      </w:r>
      <w:r>
        <w:rPr>
          <w:spacing w:val="87"/>
          <w:w w:val="95"/>
        </w:rPr>
        <w:t> </w:t>
      </w:r>
      <w:r>
        <w:rPr>
          <w:spacing w:val="87"/>
          <w:w w:val="95"/>
        </w:rPr>
      </w:r>
      <w:r>
        <w:rPr/>
        <w:t>和原因说明</w:t>
      </w:r>
      <w:r>
        <w:rPr>
          <w:b w:val="0"/>
          <w:bCs w:val="0"/>
        </w:rPr>
      </w:r>
    </w:p>
    <w:p>
      <w:pPr>
        <w:pStyle w:val="BodyText"/>
        <w:tabs>
          <w:tab w:pos="1357" w:val="left" w:leader="none"/>
        </w:tabs>
        <w:spacing w:line="240" w:lineRule="auto" w:before="29"/>
        <w:ind w:left="398" w:right="794"/>
        <w:jc w:val="left"/>
      </w:pPr>
      <w:r>
        <w:rPr>
          <w:spacing w:val="-1"/>
        </w:rPr>
        <w:t>□适用</w:t>
        <w:tab/>
      </w:r>
      <w:r>
        <w:rPr/>
        <w:t>√不适用</w:t>
      </w:r>
    </w:p>
    <w:p>
      <w:pPr>
        <w:spacing w:line="240" w:lineRule="auto" w:before="6"/>
        <w:rPr>
          <w:rFonts w:ascii="宋体" w:hAnsi="宋体" w:cs="宋体" w:eastAsia="宋体" w:hint="default"/>
          <w:sz w:val="27"/>
          <w:szCs w:val="27"/>
        </w:rPr>
      </w:pPr>
    </w:p>
    <w:p>
      <w:pPr>
        <w:pStyle w:val="Heading1"/>
        <w:tabs>
          <w:tab w:pos="1259" w:val="left" w:leader="none"/>
        </w:tabs>
        <w:spacing w:line="240" w:lineRule="auto"/>
        <w:ind w:right="395"/>
        <w:jc w:val="center"/>
        <w:rPr>
          <w:b w:val="0"/>
          <w:bCs w:val="0"/>
        </w:rPr>
      </w:pPr>
      <w:bookmarkStart w:name="_TOC_250007" w:id="5"/>
      <w:r>
        <w:rPr>
          <w:w w:val="95"/>
        </w:rPr>
        <w:t>第五节</w:t>
        <w:tab/>
      </w:r>
      <w:r>
        <w:rPr/>
        <w:t>重要事项</w:t>
      </w:r>
      <w:bookmarkEnd w:id="5"/>
      <w:r>
        <w:rPr>
          <w:b w:val="0"/>
          <w:bCs w:val="0"/>
        </w:rPr>
      </w:r>
    </w:p>
    <w:p>
      <w:pPr>
        <w:pStyle w:val="Heading2"/>
        <w:tabs>
          <w:tab w:pos="1237" w:val="left" w:leader="none"/>
        </w:tabs>
        <w:spacing w:line="283" w:lineRule="auto" w:before="246"/>
        <w:ind w:left="398" w:right="4691"/>
        <w:jc w:val="left"/>
        <w:rPr>
          <w:b w:val="0"/>
          <w:bCs w:val="0"/>
        </w:rPr>
      </w:pPr>
      <w:r>
        <w:rPr/>
        <w:t>一、普通股利润分配或资本公积金转增预案</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现金分红政策的制定、执行或调整情况</w:t>
      </w:r>
      <w:r>
        <w:rPr>
          <w:b w:val="0"/>
          <w:bCs w:val="0"/>
        </w:rPr>
      </w:r>
    </w:p>
    <w:p>
      <w:pPr>
        <w:pStyle w:val="BodyText"/>
        <w:tabs>
          <w:tab w:pos="1357" w:val="left" w:leader="none"/>
        </w:tabs>
        <w:spacing w:line="310" w:lineRule="exact" w:before="47"/>
        <w:ind w:left="878" w:right="794" w:hanging="480"/>
        <w:jc w:val="left"/>
      </w:pPr>
      <w:r>
        <w:rPr>
          <w:spacing w:val="-1"/>
        </w:rPr>
        <w:t>√适用</w:t>
        <w:tab/>
      </w:r>
      <w:r>
        <w:rPr/>
        <w:t>□不适用</w:t>
      </w:r>
      <w:r>
        <w:rPr/>
        <w:t> </w:t>
      </w:r>
      <w:r>
        <w:rPr>
          <w:spacing w:val="-2"/>
        </w:rPr>
        <w:t>根据中国证监会《关于进一步落实上市公司现金分红有关事项的通知》和浙江证</w:t>
      </w:r>
    </w:p>
    <w:p>
      <w:pPr>
        <w:pStyle w:val="BodyText"/>
        <w:spacing w:line="357" w:lineRule="auto" w:before="125"/>
        <w:ind w:left="398" w:right="790"/>
        <w:jc w:val="both"/>
      </w:pPr>
      <w:r>
        <w:rPr>
          <w:spacing w:val="-8"/>
        </w:rPr>
        <w:t>监局《关于进一步落实上市公司分红相关规定的通知》等相关监管规定，公司已对《公</w:t>
      </w:r>
      <w:r>
        <w:rPr>
          <w:spacing w:val="-104"/>
        </w:rPr>
        <w:t> </w:t>
      </w:r>
      <w:r>
        <w:rPr>
          <w:spacing w:val="-104"/>
        </w:rPr>
      </w:r>
      <w:r>
        <w:rPr>
          <w:spacing w:val="-10"/>
        </w:rPr>
        <w:t>司章程》中关于利润分配的条款进行修订，明确了现金分红政策，并制定了《</w:t>
      </w:r>
      <w:r>
        <w:rPr>
          <w:rFonts w:ascii="宋体" w:hAnsi="宋体" w:cs="宋体" w:eastAsia="宋体" w:hint="default"/>
          <w:spacing w:val="-10"/>
        </w:rPr>
        <w:t>2015-2017</w:t>
      </w:r>
      <w:r>
        <w:rPr>
          <w:rFonts w:ascii="宋体" w:hAnsi="宋体" w:cs="宋体" w:eastAsia="宋体" w:hint="default"/>
          <w:spacing w:val="-96"/>
        </w:rPr>
        <w:t> </w:t>
      </w:r>
      <w:r>
        <w:rPr>
          <w:rFonts w:ascii="宋体" w:hAnsi="宋体" w:cs="宋体" w:eastAsia="宋体" w:hint="default"/>
          <w:spacing w:val="-96"/>
        </w:rPr>
      </w:r>
      <w:r>
        <w:rPr/>
        <w:t>年度股东回报规划》。</w:t>
      </w:r>
    </w:p>
    <w:p>
      <w:pPr>
        <w:spacing w:line="240" w:lineRule="auto" w:before="5"/>
        <w:rPr>
          <w:rFonts w:ascii="宋体" w:hAnsi="宋体" w:cs="宋体" w:eastAsia="宋体" w:hint="default"/>
          <w:sz w:val="33"/>
          <w:szCs w:val="33"/>
        </w:rPr>
      </w:pPr>
    </w:p>
    <w:p>
      <w:pPr>
        <w:pStyle w:val="Heading2"/>
        <w:tabs>
          <w:tab w:pos="1237" w:val="left" w:leader="none"/>
        </w:tabs>
        <w:spacing w:line="312" w:lineRule="exact" w:before="0"/>
        <w:ind w:left="818" w:right="794" w:hanging="42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公司近三年（含报告期）的普通股股利分配方案或预案、资本公积金转增股</w:t>
      </w:r>
      <w:r>
        <w:rPr>
          <w:spacing w:val="-93"/>
        </w:rPr>
        <w:t> </w:t>
      </w:r>
      <w:r>
        <w:rPr>
          <w:spacing w:val="-93"/>
        </w:rPr>
      </w:r>
      <w:r>
        <w:rPr/>
        <w:t>本方案或预案</w:t>
      </w:r>
      <w:r>
        <w:rPr>
          <w:b w:val="0"/>
          <w:bCs w:val="0"/>
        </w:rPr>
      </w:r>
    </w:p>
    <w:p>
      <w:pPr>
        <w:tabs>
          <w:tab w:pos="1051" w:val="left" w:leader="none"/>
        </w:tabs>
        <w:spacing w:before="33"/>
        <w:ind w:left="0" w:right="790"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010"/>
        <w:gridCol w:w="974"/>
        <w:gridCol w:w="1129"/>
        <w:gridCol w:w="936"/>
        <w:gridCol w:w="1896"/>
        <w:gridCol w:w="2137"/>
        <w:gridCol w:w="1702"/>
      </w:tblGrid>
      <w:tr>
        <w:trPr>
          <w:trHeight w:val="554"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7" w:right="0"/>
              <w:jc w:val="left"/>
              <w:rPr>
                <w:rFonts w:ascii="宋体" w:hAnsi="宋体" w:cs="宋体" w:eastAsia="宋体" w:hint="default"/>
                <w:sz w:val="21"/>
                <w:szCs w:val="21"/>
              </w:rPr>
            </w:pPr>
            <w:r>
              <w:rPr>
                <w:rFonts w:ascii="宋体" w:hAnsi="宋体" w:cs="宋体" w:eastAsia="宋体" w:hint="default"/>
                <w:sz w:val="21"/>
                <w:szCs w:val="21"/>
              </w:rPr>
              <w:t>分红</w:t>
            </w:r>
          </w:p>
          <w:p>
            <w:pPr>
              <w:pStyle w:val="TableParagraph"/>
              <w:spacing w:line="274" w:lineRule="exact"/>
              <w:ind w:left="287" w:right="0"/>
              <w:jc w:val="left"/>
              <w:rPr>
                <w:rFonts w:ascii="宋体" w:hAnsi="宋体" w:cs="宋体" w:eastAsia="宋体" w:hint="default"/>
                <w:sz w:val="21"/>
                <w:szCs w:val="21"/>
              </w:rPr>
            </w:pPr>
            <w:r>
              <w:rPr>
                <w:rFonts w:ascii="宋体" w:hAnsi="宋体" w:cs="宋体" w:eastAsia="宋体" w:hint="default"/>
                <w:sz w:val="21"/>
                <w:szCs w:val="21"/>
              </w:rPr>
              <w:t>年度</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hanging="5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p>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送红股</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hanging="36"/>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7"/>
                <w:sz w:val="21"/>
                <w:szCs w:val="21"/>
              </w:rPr>
              <w:t> </w:t>
            </w:r>
            <w:r>
              <w:rPr>
                <w:rFonts w:ascii="宋体" w:hAnsi="宋体" w:cs="宋体" w:eastAsia="宋体" w:hint="default"/>
                <w:spacing w:val="-3"/>
                <w:sz w:val="21"/>
                <w:szCs w:val="21"/>
              </w:rPr>
              <w:t>股派</w:t>
            </w:r>
            <w:r>
              <w:rPr>
                <w:rFonts w:ascii="宋体" w:hAnsi="宋体" w:cs="宋体" w:eastAsia="宋体" w:hint="default"/>
                <w:sz w:val="21"/>
                <w:szCs w:val="21"/>
              </w:rPr>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hanging="44"/>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9"/>
                <w:sz w:val="21"/>
                <w:szCs w:val="21"/>
              </w:rPr>
              <w:t> </w:t>
            </w:r>
            <w:r>
              <w:rPr>
                <w:rFonts w:ascii="宋体" w:hAnsi="宋体" w:cs="宋体" w:eastAsia="宋体" w:hint="default"/>
                <w:sz w:val="21"/>
                <w:szCs w:val="21"/>
              </w:rPr>
              <w:t>10</w:t>
            </w:r>
            <w:r>
              <w:rPr>
                <w:rFonts w:ascii="宋体" w:hAnsi="宋体" w:cs="宋体" w:eastAsia="宋体" w:hint="default"/>
                <w:spacing w:val="-61"/>
                <w:sz w:val="21"/>
                <w:szCs w:val="21"/>
              </w:rPr>
              <w:t> </w:t>
            </w:r>
            <w:r>
              <w:rPr>
                <w:rFonts w:ascii="宋体" w:hAnsi="宋体" w:cs="宋体" w:eastAsia="宋体" w:hint="default"/>
                <w:sz w:val="21"/>
                <w:szCs w:val="21"/>
              </w:rPr>
              <w:t>股</w:t>
            </w:r>
          </w:p>
          <w:p>
            <w:pPr>
              <w:pStyle w:val="TableParagraph"/>
              <w:spacing w:line="274" w:lineRule="exact"/>
              <w:ind w:left="144" w:right="0"/>
              <w:jc w:val="left"/>
              <w:rPr>
                <w:rFonts w:ascii="宋体" w:hAnsi="宋体" w:cs="宋体" w:eastAsia="宋体" w:hint="default"/>
                <w:sz w:val="21"/>
                <w:szCs w:val="21"/>
              </w:rPr>
            </w:pPr>
            <w:r>
              <w:rPr>
                <w:rFonts w:ascii="宋体" w:hAnsi="宋体" w:cs="宋体" w:eastAsia="宋体" w:hint="default"/>
                <w:sz w:val="21"/>
                <w:szCs w:val="21"/>
              </w:rPr>
              <w:t>转增数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分红年度合并报表中</w:t>
            </w: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sz w:val="21"/>
                <w:szCs w:val="21"/>
              </w:rPr>
              <w:t>归属于上市公司普通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占合并报表中归</w:t>
            </w: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属于上市公司普</w:t>
            </w:r>
          </w:p>
        </w:tc>
      </w:tr>
    </w:tbl>
    <w:p>
      <w:pPr>
        <w:spacing w:after="0" w:line="274" w:lineRule="exact"/>
        <w:jc w:val="left"/>
        <w:rPr>
          <w:rFonts w:ascii="宋体" w:hAnsi="宋体" w:cs="宋体" w:eastAsia="宋体" w:hint="default"/>
          <w:sz w:val="21"/>
          <w:szCs w:val="21"/>
        </w:rPr>
        <w:sectPr>
          <w:pgSz w:w="11910" w:h="16840"/>
          <w:pgMar w:header="0" w:footer="1195" w:top="1120" w:bottom="1380" w:left="1400" w:right="4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450" w:type="dxa"/>
        <w:tblLayout w:type="fixed"/>
        <w:tblCellMar>
          <w:top w:w="0" w:type="dxa"/>
          <w:left w:w="0" w:type="dxa"/>
          <w:bottom w:w="0" w:type="dxa"/>
          <w:right w:w="0" w:type="dxa"/>
        </w:tblCellMar>
        <w:tblLook w:val="01E0"/>
      </w:tblPr>
      <w:tblGrid>
        <w:gridCol w:w="1010"/>
        <w:gridCol w:w="974"/>
        <w:gridCol w:w="1129"/>
        <w:gridCol w:w="936"/>
        <w:gridCol w:w="1896"/>
        <w:gridCol w:w="2137"/>
        <w:gridCol w:w="1702"/>
      </w:tblGrid>
      <w:tr>
        <w:trPr>
          <w:trHeight w:val="557" w:hRule="exact"/>
        </w:trPr>
        <w:tc>
          <w:tcPr>
            <w:tcW w:w="101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7"/>
              <w:jc w:val="right"/>
              <w:rPr>
                <w:rFonts w:ascii="宋体" w:hAnsi="宋体" w:cs="宋体" w:eastAsia="宋体" w:hint="default"/>
                <w:sz w:val="21"/>
                <w:szCs w:val="21"/>
              </w:rPr>
            </w:pPr>
            <w:r>
              <w:rPr>
                <w:rFonts w:ascii="宋体" w:hAnsi="宋体" w:cs="宋体" w:eastAsia="宋体" w:hint="default"/>
                <w:spacing w:val="-1"/>
                <w:sz w:val="21"/>
                <w:szCs w:val="21"/>
              </w:rPr>
              <w:t>数（股）</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35"/>
              <w:jc w:val="right"/>
              <w:rPr>
                <w:rFonts w:ascii="宋体" w:hAnsi="宋体" w:cs="宋体" w:eastAsia="宋体" w:hint="default"/>
                <w:sz w:val="21"/>
                <w:szCs w:val="21"/>
              </w:rPr>
            </w:pPr>
            <w:r>
              <w:rPr>
                <w:rFonts w:ascii="宋体" w:hAnsi="宋体" w:cs="宋体" w:eastAsia="宋体" w:hint="default"/>
                <w:spacing w:val="-1"/>
                <w:sz w:val="21"/>
                <w:szCs w:val="21"/>
              </w:rPr>
              <w:t>（含税）</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46"/>
              <w:jc w:val="right"/>
              <w:rPr>
                <w:rFonts w:ascii="宋体" w:hAnsi="宋体" w:cs="宋体" w:eastAsia="宋体" w:hint="default"/>
                <w:sz w:val="21"/>
                <w:szCs w:val="21"/>
              </w:rPr>
            </w:pPr>
            <w:r>
              <w:rPr>
                <w:rFonts w:ascii="宋体" w:hAnsi="宋体" w:cs="宋体" w:eastAsia="宋体" w:hint="default"/>
                <w:sz w:val="21"/>
                <w:szCs w:val="21"/>
              </w:rPr>
              <w:t>（股）</w:t>
            </w:r>
          </w:p>
        </w:tc>
        <w:tc>
          <w:tcPr>
            <w:tcW w:w="189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26" w:right="0"/>
              <w:jc w:val="left"/>
              <w:rPr>
                <w:rFonts w:ascii="宋体" w:hAnsi="宋体" w:cs="宋体" w:eastAsia="宋体" w:hint="default"/>
                <w:sz w:val="21"/>
                <w:szCs w:val="21"/>
              </w:rPr>
            </w:pPr>
            <w:r>
              <w:rPr>
                <w:rFonts w:ascii="宋体" w:hAnsi="宋体" w:cs="宋体" w:eastAsia="宋体" w:hint="default"/>
                <w:sz w:val="21"/>
                <w:szCs w:val="21"/>
              </w:rPr>
              <w:t>股股东的净利润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通股股东的净利</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润的比率</w:t>
            </w:r>
            <w:r>
              <w:rPr>
                <w:rFonts w:ascii="宋体" w:hAnsi="宋体" w:cs="宋体" w:eastAsia="宋体" w:hint="default"/>
                <w:sz w:val="21"/>
                <w:szCs w:val="21"/>
              </w:rPr>
              <w:t>(%)</w:t>
            </w:r>
          </w:p>
        </w:tc>
      </w:tr>
      <w:tr>
        <w:trPr>
          <w:trHeight w:val="281"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490,162,581.55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sz w:val="21"/>
              </w:rPr>
              <w:t>3,321,865,217.75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14.76</w:t>
            </w:r>
          </w:p>
        </w:tc>
      </w:tr>
      <w:tr>
        <w:trPr>
          <w:trHeight w:val="283"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sz w:val="21"/>
              </w:rPr>
              <w:t>5,838,460,777.01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429,967,176.80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sz w:val="21"/>
              </w:rPr>
              <w:t>1,160,723,279.77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37.04</w:t>
            </w:r>
          </w:p>
        </w:tc>
      </w:tr>
    </w:tbl>
    <w:p>
      <w:pPr>
        <w:spacing w:line="239" w:lineRule="exact" w:before="0"/>
        <w:ind w:left="738" w:right="0" w:firstLine="0"/>
        <w:jc w:val="left"/>
        <w:rPr>
          <w:rFonts w:ascii="宋体" w:hAnsi="宋体" w:cs="宋体" w:eastAsia="宋体" w:hint="default"/>
          <w:sz w:val="21"/>
          <w:szCs w:val="21"/>
        </w:rPr>
      </w:pPr>
      <w:r>
        <w:rPr>
          <w:rFonts w:ascii="宋体" w:hAnsi="宋体" w:cs="宋体" w:eastAsia="宋体" w:hint="default"/>
          <w:spacing w:val="-3"/>
          <w:sz w:val="21"/>
          <w:szCs w:val="21"/>
        </w:rPr>
        <w:t>注：</w:t>
      </w:r>
      <w:r>
        <w:rPr>
          <w:rFonts w:ascii="宋体" w:hAnsi="宋体" w:cs="宋体" w:eastAsia="宋体" w:hint="default"/>
          <w:spacing w:val="-3"/>
          <w:sz w:val="21"/>
          <w:szCs w:val="21"/>
        </w:rPr>
        <w:t>2015</w:t>
      </w:r>
      <w:r>
        <w:rPr>
          <w:rFonts w:ascii="宋体" w:hAnsi="宋体" w:cs="宋体" w:eastAsia="宋体" w:hint="default"/>
          <w:spacing w:val="-45"/>
          <w:sz w:val="21"/>
          <w:szCs w:val="21"/>
        </w:rPr>
        <w:t> </w:t>
      </w:r>
      <w:r>
        <w:rPr>
          <w:rFonts w:ascii="宋体" w:hAnsi="宋体" w:cs="宋体" w:eastAsia="宋体" w:hint="default"/>
          <w:sz w:val="21"/>
          <w:szCs w:val="21"/>
        </w:rPr>
        <w:t>年现金分红金额与</w:t>
      </w:r>
      <w:r>
        <w:rPr>
          <w:rFonts w:ascii="宋体" w:hAnsi="宋体" w:cs="宋体" w:eastAsia="宋体" w:hint="default"/>
          <w:spacing w:val="-43"/>
          <w:sz w:val="21"/>
          <w:szCs w:val="21"/>
        </w:rPr>
        <w:t> </w:t>
      </w:r>
      <w:r>
        <w:rPr>
          <w:rFonts w:ascii="宋体" w:hAnsi="宋体" w:cs="宋体" w:eastAsia="宋体" w:hint="default"/>
          <w:sz w:val="21"/>
          <w:szCs w:val="21"/>
        </w:rPr>
        <w:t>2015</w:t>
      </w:r>
      <w:r>
        <w:rPr>
          <w:rFonts w:ascii="宋体" w:hAnsi="宋体" w:cs="宋体" w:eastAsia="宋体" w:hint="default"/>
          <w:spacing w:val="-45"/>
          <w:sz w:val="21"/>
          <w:szCs w:val="21"/>
        </w:rPr>
        <w:t> </w:t>
      </w:r>
      <w:r>
        <w:rPr>
          <w:rFonts w:ascii="宋体" w:hAnsi="宋体" w:cs="宋体" w:eastAsia="宋体" w:hint="default"/>
          <w:spacing w:val="-3"/>
          <w:sz w:val="21"/>
          <w:szCs w:val="21"/>
        </w:rPr>
        <w:t>年年报不一致的原因为：公司</w:t>
      </w:r>
      <w:r>
        <w:rPr>
          <w:rFonts w:ascii="宋体" w:hAnsi="宋体" w:cs="宋体" w:eastAsia="宋体" w:hint="default"/>
          <w:spacing w:val="-45"/>
          <w:sz w:val="21"/>
          <w:szCs w:val="21"/>
        </w:rPr>
        <w:t> </w:t>
      </w:r>
      <w:r>
        <w:rPr>
          <w:rFonts w:ascii="宋体" w:hAnsi="宋体" w:cs="宋体" w:eastAsia="宋体" w:hint="default"/>
          <w:sz w:val="21"/>
          <w:szCs w:val="21"/>
        </w:rPr>
        <w:t>2016</w:t>
      </w:r>
      <w:r>
        <w:rPr>
          <w:rFonts w:ascii="宋体" w:hAnsi="宋体" w:cs="宋体" w:eastAsia="宋体" w:hint="default"/>
          <w:spacing w:val="-47"/>
          <w:sz w:val="21"/>
          <w:szCs w:val="21"/>
        </w:rPr>
        <w:t> </w:t>
      </w:r>
      <w:r>
        <w:rPr>
          <w:rFonts w:ascii="宋体" w:hAnsi="宋体" w:cs="宋体" w:eastAsia="宋体" w:hint="default"/>
          <w:spacing w:val="-3"/>
          <w:sz w:val="21"/>
          <w:szCs w:val="21"/>
        </w:rPr>
        <w:t>年实施了股份回购计划，截</w:t>
      </w:r>
    </w:p>
    <w:p>
      <w:pPr>
        <w:spacing w:line="272" w:lineRule="exact" w:before="0"/>
        <w:ind w:left="738" w:right="0" w:firstLine="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6"/>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年度利润分配的分红派息股权登记日股份数为</w:t>
      </w:r>
      <w:r>
        <w:rPr>
          <w:rFonts w:ascii="宋体" w:hAnsi="宋体" w:cs="宋体" w:eastAsia="宋体" w:hint="default"/>
          <w:spacing w:val="-55"/>
          <w:sz w:val="21"/>
          <w:szCs w:val="21"/>
        </w:rPr>
        <w:t> </w:t>
      </w:r>
      <w:r>
        <w:rPr>
          <w:rFonts w:ascii="宋体" w:hAnsi="宋体" w:cs="宋体" w:eastAsia="宋体" w:hint="default"/>
          <w:sz w:val="21"/>
          <w:szCs w:val="21"/>
        </w:rPr>
        <w:t>8,599,343,536.00</w:t>
      </w:r>
      <w:r>
        <w:rPr>
          <w:rFonts w:ascii="宋体" w:hAnsi="宋体" w:cs="宋体" w:eastAsia="宋体" w:hint="default"/>
          <w:spacing w:val="-56"/>
          <w:sz w:val="21"/>
          <w:szCs w:val="21"/>
        </w:rPr>
        <w:t> </w:t>
      </w:r>
      <w:r>
        <w:rPr>
          <w:rFonts w:ascii="宋体" w:hAnsi="宋体" w:cs="宋体" w:eastAsia="宋体" w:hint="default"/>
          <w:sz w:val="21"/>
          <w:szCs w:val="21"/>
        </w:rPr>
        <w:t>股，分红金额为</w:t>
      </w:r>
    </w:p>
    <w:p>
      <w:pPr>
        <w:spacing w:line="274" w:lineRule="exact" w:before="0"/>
        <w:ind w:left="738" w:right="0" w:firstLine="0"/>
        <w:jc w:val="left"/>
        <w:rPr>
          <w:rFonts w:ascii="宋体" w:hAnsi="宋体" w:cs="宋体" w:eastAsia="宋体" w:hint="default"/>
          <w:sz w:val="21"/>
          <w:szCs w:val="21"/>
        </w:rPr>
      </w:pPr>
      <w:r>
        <w:rPr>
          <w:rFonts w:ascii="宋体" w:hAnsi="宋体" w:cs="宋体" w:eastAsia="宋体" w:hint="default"/>
          <w:sz w:val="21"/>
          <w:szCs w:val="21"/>
        </w:rPr>
        <w:t>429,967,176.80</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060" w:right="480"/>
        </w:sectPr>
      </w:pPr>
    </w:p>
    <w:p>
      <w:pPr>
        <w:pStyle w:val="Heading2"/>
        <w:tabs>
          <w:tab w:pos="1577" w:val="left" w:leader="none"/>
        </w:tabs>
        <w:spacing w:line="240" w:lineRule="auto"/>
        <w:ind w:left="738"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w w:val="95"/>
        </w:rPr>
        <w:t>以现金方式要约回购股份计入现金分红的情况</w:t>
      </w:r>
      <w:r>
        <w:rPr>
          <w:b w:val="0"/>
          <w:bCs w:val="0"/>
        </w:rPr>
      </w:r>
    </w:p>
    <w:p>
      <w:pPr>
        <w:pStyle w:val="BodyText"/>
        <w:spacing w:line="240" w:lineRule="auto" w:before="55"/>
        <w:ind w:left="7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tabs>
          <w:tab w:pos="1789" w:val="left" w:leader="none"/>
        </w:tabs>
        <w:spacing w:before="0"/>
        <w:ind w:left="73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1910" w:h="16840"/>
          <w:pgMar w:top="1000" w:bottom="280" w:left="1060" w:right="480"/>
          <w:cols w:num="2" w:equalWidth="0">
            <w:col w:w="6396" w:space="126"/>
            <w:col w:w="3848"/>
          </w:cols>
        </w:sectPr>
      </w:pPr>
    </w:p>
    <w:p>
      <w:pPr>
        <w:spacing w:line="240" w:lineRule="auto" w:before="7"/>
        <w:rPr>
          <w:rFonts w:ascii="宋体" w:hAnsi="宋体" w:cs="宋体" w:eastAsia="宋体" w:hint="default"/>
          <w:sz w:val="2"/>
          <w:szCs w:val="2"/>
        </w:rPr>
      </w:pPr>
    </w:p>
    <w:tbl>
      <w:tblPr>
        <w:tblW w:w="0" w:type="auto"/>
        <w:jc w:val="left"/>
        <w:tblInd w:w="625" w:type="dxa"/>
        <w:tblLayout w:type="fixed"/>
        <w:tblCellMar>
          <w:top w:w="0" w:type="dxa"/>
          <w:left w:w="0" w:type="dxa"/>
          <w:bottom w:w="0" w:type="dxa"/>
          <w:right w:w="0" w:type="dxa"/>
        </w:tblCellMar>
        <w:tblLook w:val="01E0"/>
      </w:tblPr>
      <w:tblGrid>
        <w:gridCol w:w="3106"/>
        <w:gridCol w:w="3202"/>
        <w:gridCol w:w="2741"/>
      </w:tblGrid>
      <w:tr>
        <w:trPr>
          <w:trHeight w:val="281" w:hRule="exact"/>
        </w:trPr>
        <w:tc>
          <w:tcPr>
            <w:tcW w:w="3106" w:type="dxa"/>
            <w:tcBorders>
              <w:top w:val="single" w:sz="4" w:space="0" w:color="000000"/>
              <w:left w:val="single" w:sz="4" w:space="0" w:color="000000"/>
              <w:bottom w:val="single" w:sz="4" w:space="0" w:color="000000"/>
              <w:right w:val="single" w:sz="4" w:space="0" w:color="000000"/>
            </w:tcBorders>
          </w:tcPr>
          <w:p>
            <w:pP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现金分红的金额</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08" w:right="0"/>
              <w:jc w:val="left"/>
              <w:rPr>
                <w:rFonts w:ascii="宋体" w:hAnsi="宋体" w:cs="宋体" w:eastAsia="宋体" w:hint="default"/>
                <w:sz w:val="21"/>
                <w:szCs w:val="21"/>
              </w:rPr>
            </w:pPr>
            <w:r>
              <w:rPr>
                <w:rFonts w:ascii="宋体"/>
                <w:sz w:val="21"/>
              </w:rPr>
              <w:t>1,966,738,152.75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33.69</w:t>
            </w:r>
          </w:p>
        </w:tc>
      </w:tr>
    </w:tbl>
    <w:p>
      <w:pPr>
        <w:spacing w:line="240" w:lineRule="auto" w:before="5"/>
        <w:rPr>
          <w:rFonts w:ascii="宋体" w:hAnsi="宋体" w:cs="宋体" w:eastAsia="宋体" w:hint="default"/>
          <w:sz w:val="23"/>
          <w:szCs w:val="23"/>
        </w:rPr>
      </w:pPr>
    </w:p>
    <w:p>
      <w:pPr>
        <w:pStyle w:val="Heading2"/>
        <w:tabs>
          <w:tab w:pos="1577" w:val="left" w:leader="none"/>
        </w:tabs>
        <w:spacing w:line="310" w:lineRule="exact" w:before="58"/>
        <w:ind w:left="1158" w:right="796" w:hanging="42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报告期内盈利且母公司可供普通股股东分配利润为正，但未提出普通股现金</w:t>
      </w:r>
      <w:r>
        <w:rPr>
          <w:spacing w:val="-93"/>
        </w:rPr>
        <w:t> </w:t>
      </w:r>
      <w:r>
        <w:rPr>
          <w:spacing w:val="-93"/>
        </w:rPr>
      </w:r>
      <w:r>
        <w:rPr>
          <w:w w:val="95"/>
        </w:rPr>
        <w:t>利润分配方案预案的，公司应当详细披露原因以及未分配利润的用途和使用计划</w:t>
      </w:r>
      <w:r>
        <w:rPr>
          <w:b w:val="0"/>
          <w:bCs w:val="0"/>
        </w:rPr>
      </w:r>
    </w:p>
    <w:p>
      <w:pPr>
        <w:pStyle w:val="BodyText"/>
        <w:spacing w:line="240" w:lineRule="auto" w:before="29"/>
        <w:ind w:left="738" w:right="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738" w:right="0"/>
        <w:jc w:val="left"/>
        <w:rPr>
          <w:b w:val="0"/>
          <w:bCs w:val="0"/>
        </w:rPr>
      </w:pPr>
      <w:r>
        <w:rPr/>
        <w:t>二、承诺事项履行情况</w:t>
      </w:r>
      <w:r>
        <w:rPr>
          <w:b w:val="0"/>
          <w:bCs w:val="0"/>
        </w:rPr>
      </w:r>
    </w:p>
    <w:p>
      <w:pPr>
        <w:pStyle w:val="Heading2"/>
        <w:spacing w:line="240" w:lineRule="auto" w:before="58"/>
        <w:ind w:left="1304" w:right="796" w:hanging="567"/>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51"/>
        </w:rPr>
        <w:t> </w:t>
      </w:r>
      <w:r>
        <w:rPr>
          <w:spacing w:val="2"/>
        </w:rPr>
        <w:t>公司实际控制人、股东、关联方、收购人以及公司等承诺相关方在报告期内或</w:t>
      </w:r>
      <w:r>
        <w:rPr>
          <w:w w:val="99"/>
        </w:rPr>
        <w:t> </w:t>
      </w:r>
      <w:r>
        <w:rPr/>
        <w:t>持续到报告期内的承诺事项</w:t>
      </w:r>
      <w:r>
        <w:rPr>
          <w:b w:val="0"/>
          <w:bCs w:val="0"/>
        </w:rPr>
      </w:r>
    </w:p>
    <w:p>
      <w:pPr>
        <w:pStyle w:val="BodyText"/>
        <w:spacing w:line="240" w:lineRule="auto" w:before="58"/>
        <w:ind w:left="738" w:right="0"/>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852"/>
        <w:gridCol w:w="708"/>
        <w:gridCol w:w="1702"/>
        <w:gridCol w:w="1560"/>
        <w:gridCol w:w="1560"/>
        <w:gridCol w:w="708"/>
        <w:gridCol w:w="778"/>
        <w:gridCol w:w="1080"/>
        <w:gridCol w:w="1118"/>
      </w:tblGrid>
      <w:tr>
        <w:trPr>
          <w:trHeight w:val="137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14" w:right="103" w:hanging="212"/>
              <w:jc w:val="left"/>
              <w:rPr>
                <w:rFonts w:ascii="宋体" w:hAnsi="宋体" w:cs="宋体" w:eastAsia="宋体" w:hint="default"/>
                <w:sz w:val="21"/>
                <w:szCs w:val="21"/>
              </w:rPr>
            </w:pPr>
            <w:r>
              <w:rPr>
                <w:rFonts w:ascii="宋体" w:hAnsi="宋体" w:cs="宋体" w:eastAsia="宋体" w:hint="default"/>
                <w:sz w:val="21"/>
                <w:szCs w:val="21"/>
              </w:rPr>
              <w:t>承诺背</w:t>
            </w:r>
            <w:r>
              <w:rPr>
                <w:rFonts w:ascii="宋体" w:hAnsi="宋体" w:cs="宋体" w:eastAsia="宋体" w:hint="default"/>
                <w:spacing w:val="-102"/>
                <w:sz w:val="21"/>
                <w:szCs w:val="21"/>
              </w:rPr>
              <w:t> </w:t>
            </w:r>
            <w:r>
              <w:rPr>
                <w:rFonts w:ascii="宋体" w:hAnsi="宋体" w:cs="宋体" w:eastAsia="宋体" w:hint="default"/>
                <w:sz w:val="21"/>
                <w:szCs w:val="21"/>
              </w:rPr>
              <w:t>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36" w:right="137"/>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561" w:right="564"/>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667" w:right="144" w:hanging="526"/>
              <w:jc w:val="left"/>
              <w:rPr>
                <w:rFonts w:ascii="宋体" w:hAnsi="宋体" w:cs="宋体" w:eastAsia="宋体" w:hint="default"/>
                <w:sz w:val="21"/>
                <w:szCs w:val="21"/>
              </w:rPr>
            </w:pPr>
            <w:r>
              <w:rPr>
                <w:rFonts w:ascii="宋体" w:hAnsi="宋体" w:cs="宋体" w:eastAsia="宋体" w:hint="default"/>
                <w:sz w:val="21"/>
                <w:szCs w:val="21"/>
              </w:rPr>
              <w:t>承诺时间及期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6" w:right="13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2" w:right="171"/>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before="2"/>
              <w:ind w:left="115" w:right="110"/>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2" w:right="132"/>
              <w:jc w:val="both"/>
              <w:rPr>
                <w:rFonts w:ascii="宋体" w:hAnsi="宋体" w:cs="宋体" w:eastAsia="宋体" w:hint="default"/>
                <w:sz w:val="21"/>
                <w:szCs w:val="21"/>
              </w:rPr>
            </w:pPr>
            <w:r>
              <w:rPr>
                <w:rFonts w:ascii="宋体" w:hAnsi="宋体" w:cs="宋体" w:eastAsia="宋体" w:hint="default"/>
                <w:sz w:val="21"/>
                <w:szCs w:val="21"/>
              </w:rPr>
              <w:t>如未能及</w:t>
            </w:r>
            <w:r>
              <w:rPr>
                <w:rFonts w:ascii="宋体" w:hAnsi="宋体" w:cs="宋体" w:eastAsia="宋体" w:hint="default"/>
                <w:w w:val="100"/>
                <w:sz w:val="21"/>
                <w:szCs w:val="21"/>
              </w:rPr>
              <w:t> </w:t>
            </w: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说明下一</w:t>
            </w:r>
            <w:r>
              <w:rPr>
                <w:rFonts w:ascii="宋体" w:hAnsi="宋体" w:cs="宋体" w:eastAsia="宋体" w:hint="default"/>
                <w:w w:val="100"/>
                <w:sz w:val="21"/>
                <w:szCs w:val="21"/>
              </w:rPr>
              <w:t> </w:t>
            </w:r>
            <w:r>
              <w:rPr>
                <w:rFonts w:ascii="宋体" w:hAnsi="宋体" w:cs="宋体" w:eastAsia="宋体" w:hint="default"/>
                <w:sz w:val="21"/>
                <w:szCs w:val="21"/>
              </w:rPr>
              <w:t>步计划</w:t>
            </w:r>
          </w:p>
        </w:tc>
      </w:tr>
      <w:tr>
        <w:trPr>
          <w:trHeight w:val="554"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103" w:right="103"/>
              <w:jc w:val="both"/>
              <w:rPr>
                <w:rFonts w:ascii="宋体" w:hAnsi="宋体" w:cs="宋体" w:eastAsia="宋体" w:hint="default"/>
                <w:sz w:val="21"/>
                <w:szCs w:val="21"/>
              </w:rPr>
            </w:pPr>
            <w:r>
              <w:rPr>
                <w:rFonts w:ascii="宋体" w:hAnsi="宋体" w:cs="宋体" w:eastAsia="宋体" w:hint="default"/>
                <w:sz w:val="21"/>
                <w:szCs w:val="21"/>
              </w:rPr>
              <w:t>与再融</w:t>
            </w:r>
            <w:r>
              <w:rPr>
                <w:rFonts w:ascii="宋体" w:hAnsi="宋体" w:cs="宋体" w:eastAsia="宋体" w:hint="default"/>
                <w:spacing w:val="-102"/>
                <w:sz w:val="21"/>
                <w:szCs w:val="21"/>
              </w:rPr>
              <w:t> </w:t>
            </w:r>
            <w:r>
              <w:rPr>
                <w:rFonts w:ascii="宋体" w:hAnsi="宋体" w:cs="宋体" w:eastAsia="宋体" w:hint="default"/>
                <w:sz w:val="21"/>
                <w:szCs w:val="21"/>
              </w:rPr>
              <w:t>资相关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center"/>
              <w:rPr>
                <w:rFonts w:ascii="宋体" w:hAnsi="宋体" w:cs="宋体" w:eastAsia="宋体" w:hint="default"/>
                <w:sz w:val="21"/>
                <w:szCs w:val="21"/>
              </w:rPr>
            </w:pP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新湖中宝、新湖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集团、黄伟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详见公告临</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2014-073</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19</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9" w:right="0"/>
              <w:jc w:val="left"/>
              <w:rPr>
                <w:rFonts w:ascii="宋体" w:hAnsi="宋体" w:cs="宋体" w:eastAsia="宋体" w:hint="default"/>
                <w:sz w:val="21"/>
                <w:szCs w:val="21"/>
              </w:rPr>
            </w:pPr>
            <w:r>
              <w:rPr>
                <w:rFonts w:ascii="宋体"/>
                <w:w w:val="100"/>
                <w:sz w:val="21"/>
              </w:rPr>
              <w:t>/</w:t>
            </w:r>
          </w:p>
        </w:tc>
      </w:tr>
      <w:tr>
        <w:trPr>
          <w:trHeight w:val="829" w:hRule="exact"/>
        </w:trPr>
        <w:tc>
          <w:tcPr>
            <w:tcW w:w="852"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公司董事、高级</w:t>
            </w:r>
          </w:p>
          <w:p>
            <w:pPr>
              <w:pStyle w:val="TableParagraph"/>
              <w:spacing w:line="272" w:lineRule="exact" w:before="27"/>
              <w:ind w:left="103" w:right="113"/>
              <w:jc w:val="left"/>
              <w:rPr>
                <w:rFonts w:ascii="宋体" w:hAnsi="宋体" w:cs="宋体" w:eastAsia="宋体" w:hint="default"/>
                <w:sz w:val="21"/>
                <w:szCs w:val="21"/>
              </w:rPr>
            </w:pPr>
            <w:r>
              <w:rPr>
                <w:rFonts w:ascii="宋体" w:hAnsi="宋体" w:cs="宋体" w:eastAsia="宋体" w:hint="default"/>
                <w:sz w:val="21"/>
                <w:szCs w:val="21"/>
              </w:rPr>
              <w:t>管理人员、新湖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集团、黄伟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0" w:right="343"/>
              <w:jc w:val="left"/>
              <w:rPr>
                <w:rFonts w:ascii="宋体" w:hAnsi="宋体" w:cs="宋体" w:eastAsia="宋体" w:hint="default"/>
                <w:sz w:val="21"/>
                <w:szCs w:val="21"/>
              </w:rPr>
            </w:pPr>
            <w:r>
              <w:rPr>
                <w:rFonts w:ascii="宋体" w:hAnsi="宋体" w:cs="宋体" w:eastAsia="宋体" w:hint="default"/>
                <w:sz w:val="21"/>
                <w:szCs w:val="21"/>
              </w:rPr>
              <w:t>详见公告临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2015-057</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16</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21"/>
                <w:szCs w:val="21"/>
              </w:rPr>
            </w:pPr>
            <w:r>
              <w:rPr>
                <w:rFonts w:ascii="宋体"/>
                <w:w w:val="100"/>
                <w:sz w:val="21"/>
              </w:rPr>
              <w:t>/</w:t>
            </w:r>
          </w:p>
        </w:tc>
      </w:tr>
      <w:tr>
        <w:trPr>
          <w:trHeight w:val="19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其他对</w:t>
            </w:r>
            <w:r>
              <w:rPr>
                <w:rFonts w:ascii="宋体" w:hAnsi="宋体" w:cs="宋体" w:eastAsia="宋体" w:hint="default"/>
                <w:spacing w:val="-102"/>
                <w:sz w:val="21"/>
                <w:szCs w:val="21"/>
              </w:rPr>
              <w:t> </w:t>
            </w:r>
            <w:r>
              <w:rPr>
                <w:rFonts w:ascii="宋体" w:hAnsi="宋体" w:cs="宋体" w:eastAsia="宋体" w:hint="default"/>
                <w:sz w:val="21"/>
                <w:szCs w:val="21"/>
              </w:rPr>
              <w:t>公司中</w:t>
            </w:r>
            <w:r>
              <w:rPr>
                <w:rFonts w:ascii="宋体" w:hAnsi="宋体" w:cs="宋体" w:eastAsia="宋体" w:hint="default"/>
                <w:spacing w:val="-102"/>
                <w:sz w:val="21"/>
                <w:szCs w:val="21"/>
              </w:rPr>
              <w:t> </w:t>
            </w:r>
            <w:r>
              <w:rPr>
                <w:rFonts w:ascii="宋体" w:hAnsi="宋体" w:cs="宋体" w:eastAsia="宋体" w:hint="default"/>
                <w:sz w:val="21"/>
                <w:szCs w:val="21"/>
              </w:rPr>
              <w:t>小股东</w:t>
            </w:r>
            <w:r>
              <w:rPr>
                <w:rFonts w:ascii="宋体" w:hAnsi="宋体" w:cs="宋体" w:eastAsia="宋体" w:hint="default"/>
                <w:spacing w:val="-102"/>
                <w:sz w:val="21"/>
                <w:szCs w:val="21"/>
              </w:rPr>
              <w:t> </w:t>
            </w:r>
            <w:r>
              <w:rPr>
                <w:rFonts w:ascii="宋体" w:hAnsi="宋体" w:cs="宋体" w:eastAsia="宋体" w:hint="default"/>
                <w:sz w:val="21"/>
                <w:szCs w:val="21"/>
              </w:rPr>
              <w:t>所作承</w:t>
            </w:r>
            <w:r>
              <w:rPr>
                <w:rFonts w:ascii="宋体" w:hAnsi="宋体" w:cs="宋体" w:eastAsia="宋体" w:hint="default"/>
                <w:spacing w:val="-102"/>
                <w:sz w:val="21"/>
                <w:szCs w:val="21"/>
              </w:rPr>
              <w:t> </w:t>
            </w:r>
            <w:r>
              <w:rPr>
                <w:rFonts w:ascii="宋体" w:hAnsi="宋体" w:cs="宋体" w:eastAsia="宋体" w:hint="default"/>
                <w:sz w:val="21"/>
                <w:szCs w:val="21"/>
              </w:rPr>
              <w:t>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0" w:right="173"/>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新湖集团、黄伟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避免同业竞争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p>
          <w:p>
            <w:pPr>
              <w:pStyle w:val="TableParagraph"/>
              <w:spacing w:line="237" w:lineRule="auto"/>
              <w:ind w:left="100" w:right="185"/>
              <w:jc w:val="left"/>
              <w:rPr>
                <w:rFonts w:ascii="宋体" w:hAnsi="宋体" w:cs="宋体" w:eastAsia="宋体" w:hint="default"/>
                <w:sz w:val="21"/>
                <w:szCs w:val="21"/>
              </w:rPr>
            </w:pPr>
            <w:r>
              <w:rPr>
                <w:rFonts w:ascii="宋体" w:hAnsi="宋体" w:cs="宋体" w:eastAsia="宋体" w:hint="default"/>
                <w:sz w:val="21"/>
                <w:szCs w:val="21"/>
              </w:rPr>
              <w:t>日，期限：在</w:t>
            </w:r>
            <w:r>
              <w:rPr>
                <w:rFonts w:ascii="宋体" w:hAnsi="宋体" w:cs="宋体" w:eastAsia="宋体" w:hint="default"/>
                <w:w w:val="100"/>
                <w:sz w:val="21"/>
                <w:szCs w:val="21"/>
              </w:rPr>
              <w:t> </w:t>
            </w:r>
            <w:r>
              <w:rPr>
                <w:rFonts w:ascii="宋体" w:hAnsi="宋体" w:cs="宋体" w:eastAsia="宋体" w:hint="default"/>
                <w:sz w:val="21"/>
                <w:szCs w:val="21"/>
              </w:rPr>
              <w:t>其实际控制新</w:t>
            </w:r>
            <w:r>
              <w:rPr>
                <w:rFonts w:ascii="宋体" w:hAnsi="宋体" w:cs="宋体" w:eastAsia="宋体" w:hint="default"/>
                <w:w w:val="100"/>
                <w:sz w:val="21"/>
                <w:szCs w:val="21"/>
              </w:rPr>
              <w:t> </w:t>
            </w:r>
            <w:r>
              <w:rPr>
                <w:rFonts w:ascii="宋体" w:hAnsi="宋体" w:cs="宋体" w:eastAsia="宋体" w:hint="default"/>
                <w:sz w:val="21"/>
                <w:szCs w:val="21"/>
              </w:rPr>
              <w:t>湖中宝及哈尔</w:t>
            </w:r>
            <w:r>
              <w:rPr>
                <w:rFonts w:ascii="宋体" w:hAnsi="宋体" w:cs="宋体" w:eastAsia="宋体" w:hint="default"/>
                <w:w w:val="100"/>
                <w:sz w:val="21"/>
                <w:szCs w:val="21"/>
              </w:rPr>
              <w:t> </w:t>
            </w:r>
            <w:r>
              <w:rPr>
                <w:rFonts w:ascii="宋体" w:hAnsi="宋体" w:cs="宋体" w:eastAsia="宋体" w:hint="default"/>
                <w:sz w:val="21"/>
                <w:szCs w:val="21"/>
              </w:rPr>
              <w:t>滨高科技</w:t>
            </w:r>
            <w:r>
              <w:rPr>
                <w:rFonts w:ascii="宋体" w:hAnsi="宋体" w:cs="宋体" w:eastAsia="宋体" w:hint="default"/>
                <w:sz w:val="21"/>
                <w:szCs w:val="21"/>
              </w:rPr>
              <w:t>(</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团</w:t>
            </w:r>
            <w:r>
              <w:rPr>
                <w:rFonts w:ascii="宋体" w:hAnsi="宋体" w:cs="宋体" w:eastAsia="宋体" w:hint="default"/>
                <w:sz w:val="21"/>
                <w:szCs w:val="21"/>
              </w:rPr>
              <w:t>)</w:t>
            </w: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公司期间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21"/>
                <w:szCs w:val="21"/>
              </w:rPr>
            </w:pPr>
            <w:r>
              <w:rPr>
                <w:rFonts w:ascii="宋体"/>
                <w:w w:val="100"/>
                <w:sz w:val="21"/>
              </w:rPr>
              <w:t>/</w:t>
            </w:r>
          </w:p>
        </w:tc>
      </w:tr>
      <w:tr>
        <w:trPr>
          <w:trHeight w:val="82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3"/>
              <w:jc w:val="left"/>
              <w:rPr>
                <w:rFonts w:ascii="宋体" w:hAnsi="宋体" w:cs="宋体" w:eastAsia="宋体" w:hint="default"/>
                <w:sz w:val="21"/>
                <w:szCs w:val="21"/>
              </w:rPr>
            </w:pPr>
            <w:r>
              <w:rPr>
                <w:rFonts w:ascii="宋体" w:hAnsi="宋体" w:cs="宋体" w:eastAsia="宋体" w:hint="default"/>
                <w:sz w:val="21"/>
                <w:szCs w:val="21"/>
              </w:rPr>
              <w:t>其他承</w:t>
            </w:r>
            <w:r>
              <w:rPr>
                <w:rFonts w:ascii="宋体" w:hAnsi="宋体" w:cs="宋体" w:eastAsia="宋体" w:hint="default"/>
                <w:spacing w:val="-102"/>
                <w:sz w:val="21"/>
                <w:szCs w:val="21"/>
              </w:rPr>
              <w:t> </w:t>
            </w:r>
            <w:r>
              <w:rPr>
                <w:rFonts w:ascii="宋体" w:hAnsi="宋体" w:cs="宋体" w:eastAsia="宋体" w:hint="default"/>
                <w:sz w:val="21"/>
                <w:szCs w:val="21"/>
              </w:rPr>
              <w:t>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黄伟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0" w:right="343"/>
              <w:jc w:val="left"/>
              <w:rPr>
                <w:rFonts w:ascii="宋体" w:hAnsi="宋体" w:cs="宋体" w:eastAsia="宋体" w:hint="default"/>
                <w:sz w:val="21"/>
                <w:szCs w:val="21"/>
              </w:rPr>
            </w:pPr>
            <w:r>
              <w:rPr>
                <w:rFonts w:ascii="宋体" w:hAnsi="宋体" w:cs="宋体" w:eastAsia="宋体" w:hint="default"/>
                <w:sz w:val="21"/>
                <w:szCs w:val="21"/>
              </w:rPr>
              <w:t>详见公告临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2017-018</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111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00" w:bottom="280" w:left="1060" w:right="480"/>
        </w:sectPr>
      </w:pPr>
    </w:p>
    <w:p>
      <w:pPr>
        <w:spacing w:line="240" w:lineRule="auto" w:before="8"/>
        <w:rPr>
          <w:rFonts w:ascii="宋体" w:hAnsi="宋体" w:cs="宋体" w:eastAsia="宋体" w:hint="default"/>
          <w:sz w:val="25"/>
          <w:szCs w:val="25"/>
        </w:rPr>
      </w:pPr>
    </w:p>
    <w:p>
      <w:pPr>
        <w:pStyle w:val="Heading2"/>
        <w:spacing w:line="312" w:lineRule="exact" w:before="56"/>
        <w:ind w:left="784" w:right="236" w:hanging="567"/>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51"/>
        </w:rPr>
        <w:t> </w:t>
      </w:r>
      <w:r>
        <w:rPr>
          <w:spacing w:val="2"/>
        </w:rPr>
        <w:t>公司资产或项目存在盈利预测，且报告期仍处在盈利预测期间，公司就资产或</w:t>
      </w:r>
      <w:r>
        <w:rPr>
          <w:w w:val="99"/>
        </w:rPr>
        <w:t> </w:t>
      </w:r>
      <w:r>
        <w:rPr/>
        <w:t>项目</w:t>
      </w:r>
      <w:r>
        <w:rPr>
          <w:b w:val="0"/>
          <w:bCs w:val="0"/>
        </w:rPr>
      </w:r>
    </w:p>
    <w:p>
      <w:pPr>
        <w:pStyle w:val="Heading2"/>
        <w:spacing w:line="312" w:lineRule="exact" w:before="29"/>
        <w:ind w:right="233"/>
        <w:jc w:val="left"/>
        <w:rPr>
          <w:b w:val="0"/>
          <w:bCs w:val="0"/>
        </w:rPr>
      </w:pPr>
      <w:r>
        <w:rPr/>
        <w:t>是否达到原盈利预测及其原因作出说明</w:t>
      </w:r>
      <w:r>
        <w:rPr>
          <w:b w:val="0"/>
          <w:bCs w:val="0"/>
        </w:rPr>
      </w:r>
    </w:p>
    <w:p>
      <w:pPr>
        <w:pStyle w:val="BodyText"/>
        <w:spacing w:line="312" w:lineRule="exact"/>
        <w:ind w:left="218" w:right="233"/>
        <w:jc w:val="left"/>
      </w:pPr>
      <w:r>
        <w:rPr/>
        <w:t>□已达到 □未达到</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right="233"/>
        <w:jc w:val="left"/>
        <w:rPr>
          <w:b w:val="0"/>
          <w:bCs w:val="0"/>
        </w:rPr>
      </w:pPr>
      <w:r>
        <w:rPr/>
        <w:t>三、报告期内资金被占用情况及清欠进展情况</w:t>
      </w:r>
      <w:r>
        <w:rPr>
          <w:b w:val="0"/>
          <w:bCs w:val="0"/>
        </w:rPr>
      </w:r>
    </w:p>
    <w:p>
      <w:pPr>
        <w:pStyle w:val="BodyText"/>
        <w:spacing w:line="240" w:lineRule="auto" w:before="58"/>
        <w:ind w:left="218" w:right="233"/>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right="233"/>
        <w:jc w:val="left"/>
        <w:rPr>
          <w:b w:val="0"/>
          <w:bCs w:val="0"/>
        </w:rPr>
      </w:pPr>
      <w:r>
        <w:rPr/>
        <w:t>四、公司对会计师事务所“非标准意见审计报告”的说明</w:t>
      </w:r>
      <w:r>
        <w:rPr>
          <w:b w:val="0"/>
          <w:bCs w:val="0"/>
        </w:rPr>
      </w:r>
    </w:p>
    <w:p>
      <w:pPr>
        <w:pStyle w:val="BodyText"/>
        <w:spacing w:line="240" w:lineRule="auto" w:before="58"/>
        <w:ind w:left="218" w:right="233"/>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2"/>
        <w:spacing w:line="240" w:lineRule="auto" w:before="0"/>
        <w:ind w:right="233"/>
        <w:jc w:val="left"/>
        <w:rPr>
          <w:b w:val="0"/>
          <w:bCs w:val="0"/>
        </w:rPr>
      </w:pPr>
      <w:r>
        <w:rPr/>
        <w:t>五、公司对会计政策、会计估计变更或重大会计差错更正原因和影响的分析说明</w:t>
      </w:r>
      <w:r>
        <w:rPr>
          <w:b w:val="0"/>
          <w:bCs w:val="0"/>
        </w:rPr>
      </w:r>
    </w:p>
    <w:p>
      <w:pPr>
        <w:pStyle w:val="Heading2"/>
        <w:spacing w:line="240" w:lineRule="auto" w:before="58"/>
        <w:ind w:right="233"/>
        <w:jc w:val="left"/>
        <w:rPr>
          <w:b w:val="0"/>
          <w:bCs w:val="0"/>
        </w:rPr>
      </w:pPr>
      <w:r>
        <w:rPr/>
        <w:t>（一）</w:t>
      </w:r>
      <w:r>
        <w:rPr>
          <w:spacing w:val="-8"/>
        </w:rPr>
        <w:t> </w:t>
      </w:r>
      <w:r>
        <w:rPr/>
        <w:t>公司对会计政策、会计估计变更原因及影响的分析说明</w:t>
      </w:r>
      <w:r>
        <w:rPr>
          <w:b w:val="0"/>
          <w:bCs w:val="0"/>
        </w:rPr>
      </w:r>
    </w:p>
    <w:p>
      <w:pPr>
        <w:pStyle w:val="BodyText"/>
        <w:tabs>
          <w:tab w:pos="1177" w:val="left" w:leader="none"/>
        </w:tabs>
        <w:spacing w:line="313" w:lineRule="exact" w:before="55"/>
        <w:ind w:left="218" w:right="233"/>
        <w:jc w:val="left"/>
      </w:pPr>
      <w:r>
        <w:rPr>
          <w:spacing w:val="-1"/>
        </w:rPr>
        <w:t>√适用</w:t>
        <w:tab/>
      </w:r>
      <w:r>
        <w:rPr/>
        <w:t>□不适用</w:t>
      </w:r>
    </w:p>
    <w:p>
      <w:pPr>
        <w:pStyle w:val="BodyText"/>
        <w:spacing w:line="313" w:lineRule="exact"/>
        <w:ind w:left="698" w:right="0"/>
        <w:jc w:val="left"/>
      </w:pPr>
      <w:r>
        <w:rPr>
          <w:rFonts w:ascii="宋体" w:hAnsi="宋体" w:cs="宋体" w:eastAsia="宋体" w:hint="default"/>
          <w:spacing w:val="-4"/>
        </w:rPr>
        <w:t>1</w:t>
      </w:r>
      <w:r>
        <w:rPr>
          <w:spacing w:val="-4"/>
        </w:rPr>
        <w:t>、本公司自</w:t>
      </w:r>
      <w:r>
        <w:rPr>
          <w:spacing w:val="-63"/>
        </w:rPr>
        <w:t> </w:t>
      </w:r>
      <w:r>
        <w:rPr>
          <w:rFonts w:ascii="宋体" w:hAnsi="宋体" w:cs="宋体" w:eastAsia="宋体" w:hint="default"/>
        </w:rPr>
        <w:t>2017</w:t>
      </w:r>
      <w:r>
        <w:rPr>
          <w:rFonts w:ascii="宋体" w:hAnsi="宋体" w:cs="宋体" w:eastAsia="宋体" w:hint="default"/>
          <w:spacing w:val="-63"/>
        </w:rPr>
        <w:t> </w:t>
      </w:r>
      <w:r>
        <w:rPr/>
        <w:t>年</w:t>
      </w:r>
      <w:r>
        <w:rPr>
          <w:spacing w:val="-63"/>
        </w:rPr>
        <w:t> </w:t>
      </w:r>
      <w:r>
        <w:rPr>
          <w:rFonts w:ascii="宋体" w:hAnsi="宋体" w:cs="宋体" w:eastAsia="宋体" w:hint="default"/>
        </w:rPr>
        <w:t>5</w:t>
      </w:r>
      <w:r>
        <w:rPr>
          <w:rFonts w:ascii="宋体" w:hAnsi="宋体" w:cs="宋体" w:eastAsia="宋体" w:hint="default"/>
          <w:spacing w:val="-63"/>
        </w:rPr>
        <w:t> </w:t>
      </w:r>
      <w:r>
        <w:rPr/>
        <w:t>月</w:t>
      </w:r>
      <w:r>
        <w:rPr>
          <w:spacing w:val="-63"/>
        </w:rPr>
        <w:t> </w:t>
      </w:r>
      <w:r>
        <w:rPr>
          <w:rFonts w:ascii="宋体" w:hAnsi="宋体" w:cs="宋体" w:eastAsia="宋体" w:hint="default"/>
        </w:rPr>
        <w:t>28</w:t>
      </w:r>
      <w:r>
        <w:rPr>
          <w:rFonts w:ascii="宋体" w:hAnsi="宋体" w:cs="宋体" w:eastAsia="宋体" w:hint="default"/>
          <w:spacing w:val="-63"/>
        </w:rPr>
        <w:t> </w:t>
      </w:r>
      <w:r>
        <w:rPr/>
        <w:t>日起执行财政部制定的《企业会计准则第</w:t>
      </w:r>
      <w:r>
        <w:rPr>
          <w:spacing w:val="-63"/>
        </w:rPr>
        <w:t> </w:t>
      </w:r>
      <w:r>
        <w:rPr>
          <w:rFonts w:ascii="宋体" w:hAnsi="宋体" w:cs="宋体" w:eastAsia="宋体" w:hint="default"/>
        </w:rPr>
        <w:t>42</w:t>
      </w:r>
      <w:r>
        <w:rPr>
          <w:rFonts w:ascii="宋体" w:hAnsi="宋体" w:cs="宋体" w:eastAsia="宋体" w:hint="default"/>
          <w:spacing w:val="-63"/>
        </w:rPr>
        <w:t> </w:t>
      </w:r>
      <w:r>
        <w:rPr/>
        <w:t>号——</w:t>
      </w:r>
    </w:p>
    <w:p>
      <w:pPr>
        <w:pStyle w:val="BodyText"/>
        <w:spacing w:line="240" w:lineRule="auto" w:before="154"/>
        <w:ind w:left="218" w:right="0"/>
        <w:jc w:val="left"/>
      </w:pPr>
      <w:r>
        <w:rPr>
          <w:spacing w:val="-3"/>
        </w:rPr>
        <w:t>持有待售的非流动资产、处置组和终止经营》，自</w:t>
      </w:r>
      <w:r>
        <w:rPr>
          <w:spacing w:val="-57"/>
        </w:rPr>
        <w:t> </w:t>
      </w:r>
      <w:r>
        <w:rPr>
          <w:rFonts w:ascii="宋体" w:hAnsi="宋体" w:cs="宋体" w:eastAsia="宋体" w:hint="default"/>
        </w:rPr>
        <w:t>2017</w:t>
      </w:r>
      <w:r>
        <w:rPr>
          <w:rFonts w:ascii="宋体" w:hAnsi="宋体" w:cs="宋体" w:eastAsia="宋体" w:hint="default"/>
          <w:spacing w:val="-57"/>
        </w:rPr>
        <w:t> </w:t>
      </w:r>
      <w:r>
        <w:rPr/>
        <w:t>年</w:t>
      </w:r>
      <w:r>
        <w:rPr>
          <w:spacing w:val="-57"/>
        </w:rPr>
        <w:t> </w:t>
      </w:r>
      <w:r>
        <w:rPr>
          <w:rFonts w:ascii="宋体" w:hAnsi="宋体" w:cs="宋体" w:eastAsia="宋体" w:hint="default"/>
        </w:rPr>
        <w:t>6</w:t>
      </w:r>
      <w:r>
        <w:rPr>
          <w:rFonts w:ascii="宋体" w:hAnsi="宋体" w:cs="宋体" w:eastAsia="宋体" w:hint="default"/>
          <w:spacing w:val="-57"/>
        </w:rPr>
        <w:t> </w:t>
      </w:r>
      <w:r>
        <w:rPr/>
        <w:t>月</w:t>
      </w:r>
      <w:r>
        <w:rPr>
          <w:spacing w:val="-57"/>
        </w:rPr>
        <w:t> </w:t>
      </w:r>
      <w:r>
        <w:rPr>
          <w:rFonts w:ascii="宋体" w:hAnsi="宋体" w:cs="宋体" w:eastAsia="宋体" w:hint="default"/>
        </w:rPr>
        <w:t>12</w:t>
      </w:r>
      <w:r>
        <w:rPr>
          <w:rFonts w:ascii="宋体" w:hAnsi="宋体" w:cs="宋体" w:eastAsia="宋体" w:hint="default"/>
          <w:spacing w:val="-57"/>
        </w:rPr>
        <w:t> </w:t>
      </w:r>
      <w:r>
        <w:rPr/>
        <w:t>日起执行经修订的</w:t>
      </w:r>
    </w:p>
    <w:p>
      <w:pPr>
        <w:pStyle w:val="BodyText"/>
        <w:spacing w:line="240" w:lineRule="auto" w:before="151"/>
        <w:ind w:left="218" w:right="233"/>
        <w:jc w:val="left"/>
      </w:pPr>
      <w:r>
        <w:rPr/>
        <w:t>《企业会计准则第</w:t>
      </w:r>
      <w:r>
        <w:rPr>
          <w:spacing w:val="-61"/>
        </w:rPr>
        <w:t> </w:t>
      </w:r>
      <w:r>
        <w:rPr>
          <w:rFonts w:ascii="宋体" w:hAnsi="宋体" w:cs="宋体" w:eastAsia="宋体" w:hint="default"/>
        </w:rPr>
        <w:t>16</w:t>
      </w:r>
      <w:r>
        <w:rPr>
          <w:rFonts w:ascii="宋体" w:hAnsi="宋体" w:cs="宋体" w:eastAsia="宋体" w:hint="default"/>
          <w:spacing w:val="-60"/>
        </w:rPr>
        <w:t> </w:t>
      </w:r>
      <w:r>
        <w:rPr/>
        <w:t>号——政府补助》。本次会计政策变更采用未来适用法处理。</w:t>
      </w:r>
    </w:p>
    <w:p>
      <w:pPr>
        <w:pStyle w:val="BodyText"/>
        <w:spacing w:line="357" w:lineRule="auto" w:before="154"/>
        <w:ind w:left="218" w:right="217" w:firstLine="479"/>
        <w:jc w:val="left"/>
        <w:rPr>
          <w:rFonts w:ascii="宋体" w:hAnsi="宋体" w:cs="宋体" w:eastAsia="宋体" w:hint="default"/>
        </w:rPr>
      </w:pPr>
      <w:r>
        <w:rPr>
          <w:rFonts w:ascii="宋体" w:hAnsi="宋体" w:cs="宋体" w:eastAsia="宋体" w:hint="default"/>
          <w:spacing w:val="-4"/>
        </w:rPr>
        <w:t>2</w:t>
      </w:r>
      <w:r>
        <w:rPr>
          <w:spacing w:val="-4"/>
        </w:rPr>
        <w:t>、本公司编制</w:t>
      </w:r>
      <w:r>
        <w:rPr>
          <w:spacing w:val="-70"/>
        </w:rPr>
        <w:t> </w:t>
      </w:r>
      <w:r>
        <w:rPr>
          <w:rFonts w:ascii="宋体" w:hAnsi="宋体" w:cs="宋体" w:eastAsia="宋体" w:hint="default"/>
        </w:rPr>
        <w:t>2017</w:t>
      </w:r>
      <w:r>
        <w:rPr>
          <w:rFonts w:ascii="宋体" w:hAnsi="宋体" w:cs="宋体" w:eastAsia="宋体" w:hint="default"/>
          <w:spacing w:val="-70"/>
        </w:rPr>
        <w:t> </w:t>
      </w:r>
      <w:r>
        <w:rPr/>
        <w:t>年度报表执行《财政部关于修订印发一般企业财务报表格式 </w:t>
      </w:r>
      <w:r>
        <w:rPr>
          <w:spacing w:val="-3"/>
        </w:rPr>
        <w:t>的通知》</w:t>
      </w:r>
      <w:r>
        <w:rPr>
          <w:rFonts w:ascii="宋体" w:hAnsi="宋体" w:cs="宋体" w:eastAsia="宋体" w:hint="default"/>
          <w:spacing w:val="-3"/>
        </w:rPr>
        <w:t>(</w:t>
      </w:r>
      <w:r>
        <w:rPr>
          <w:spacing w:val="-3"/>
        </w:rPr>
        <w:t>财会〔</w:t>
      </w:r>
      <w:r>
        <w:rPr>
          <w:rFonts w:ascii="宋体" w:hAnsi="宋体" w:cs="宋体" w:eastAsia="宋体" w:hint="default"/>
          <w:spacing w:val="-3"/>
        </w:rPr>
        <w:t>2017</w:t>
      </w:r>
      <w:r>
        <w:rPr>
          <w:spacing w:val="-3"/>
        </w:rPr>
        <w:t>〕</w:t>
      </w:r>
      <w:r>
        <w:rPr>
          <w:rFonts w:ascii="宋体" w:hAnsi="宋体" w:cs="宋体" w:eastAsia="宋体" w:hint="default"/>
          <w:spacing w:val="-3"/>
        </w:rPr>
        <w:t>30</w:t>
      </w:r>
      <w:r>
        <w:rPr>
          <w:rFonts w:ascii="宋体" w:hAnsi="宋体" w:cs="宋体" w:eastAsia="宋体" w:hint="default"/>
          <w:spacing w:val="-51"/>
        </w:rPr>
        <w:t> </w:t>
      </w:r>
      <w:r>
        <w:rPr>
          <w:spacing w:val="-3"/>
        </w:rPr>
        <w:t>号</w:t>
      </w:r>
      <w:r>
        <w:rPr>
          <w:rFonts w:ascii="宋体" w:hAnsi="宋体" w:cs="宋体" w:eastAsia="宋体" w:hint="default"/>
          <w:spacing w:val="-3"/>
        </w:rPr>
        <w:t>)</w:t>
      </w:r>
      <w:r>
        <w:rPr>
          <w:spacing w:val="-3"/>
        </w:rPr>
        <w:t>，将原列报于“营业外收入”和“营业外支出”的非流</w:t>
      </w:r>
      <w:r>
        <w:rPr/>
        <w:t> 动资产处置利得和损失和非货币性资产交换利得和损失变更为列报于“资产处置收 益”。此项会计政策变更采用追溯调整法，调减</w:t>
      </w:r>
      <w:r>
        <w:rPr>
          <w:spacing w:val="-60"/>
        </w:rPr>
        <w:t> </w:t>
      </w:r>
      <w:r>
        <w:rPr>
          <w:rFonts w:ascii="宋体" w:hAnsi="宋体" w:cs="宋体" w:eastAsia="宋体" w:hint="default"/>
        </w:rPr>
        <w:t>2016</w:t>
      </w:r>
      <w:r>
        <w:rPr>
          <w:rFonts w:ascii="宋体" w:hAnsi="宋体" w:cs="宋体" w:eastAsia="宋体" w:hint="default"/>
          <w:spacing w:val="-60"/>
        </w:rPr>
        <w:t> </w:t>
      </w:r>
      <w:r>
        <w:rPr/>
        <w:t>年度营业外收入</w:t>
      </w:r>
      <w:r>
        <w:rPr>
          <w:spacing w:val="-60"/>
        </w:rPr>
        <w:t> </w:t>
      </w:r>
      <w:r>
        <w:rPr>
          <w:rFonts w:ascii="宋体" w:hAnsi="宋体" w:cs="宋体" w:eastAsia="宋体" w:hint="default"/>
        </w:rPr>
        <w:t>1,415,876.42</w:t>
      </w:r>
    </w:p>
    <w:p>
      <w:pPr>
        <w:pStyle w:val="BodyText"/>
        <w:spacing w:line="240" w:lineRule="auto" w:before="36"/>
        <w:ind w:left="218" w:right="233"/>
        <w:jc w:val="left"/>
      </w:pPr>
      <w:r>
        <w:rPr/>
        <w:t>元，营业外支出</w:t>
      </w:r>
      <w:r>
        <w:rPr>
          <w:spacing w:val="-61"/>
        </w:rPr>
        <w:t> </w:t>
      </w:r>
      <w:r>
        <w:rPr>
          <w:rFonts w:ascii="宋体" w:hAnsi="宋体" w:cs="宋体" w:eastAsia="宋体" w:hint="default"/>
        </w:rPr>
        <w:t>4,499,452.16</w:t>
      </w:r>
      <w:r>
        <w:rPr>
          <w:rFonts w:ascii="宋体" w:hAnsi="宋体" w:cs="宋体" w:eastAsia="宋体" w:hint="default"/>
          <w:spacing w:val="-60"/>
        </w:rPr>
        <w:t> </w:t>
      </w:r>
      <w:r>
        <w:rPr/>
        <w:t>元，调减资产处置收益</w:t>
      </w:r>
      <w:r>
        <w:rPr>
          <w:spacing w:val="-60"/>
        </w:rPr>
        <w:t> </w:t>
      </w:r>
      <w:r>
        <w:rPr>
          <w:rFonts w:ascii="宋体" w:hAnsi="宋体" w:cs="宋体" w:eastAsia="宋体" w:hint="default"/>
        </w:rPr>
        <w:t>3,083,575.74</w:t>
      </w:r>
      <w:r>
        <w:rPr>
          <w:rFonts w:ascii="宋体" w:hAnsi="宋体" w:cs="宋体" w:eastAsia="宋体" w:hint="default"/>
          <w:spacing w:val="-60"/>
        </w:rPr>
        <w:t> </w:t>
      </w:r>
      <w:r>
        <w:rPr/>
        <w:t>元。</w:t>
      </w:r>
    </w:p>
    <w:p>
      <w:pPr>
        <w:spacing w:line="240" w:lineRule="auto" w:before="0"/>
        <w:rPr>
          <w:rFonts w:ascii="宋体" w:hAnsi="宋体" w:cs="宋体" w:eastAsia="宋体" w:hint="default"/>
          <w:sz w:val="24"/>
          <w:szCs w:val="24"/>
        </w:rPr>
      </w:pPr>
    </w:p>
    <w:p>
      <w:pPr>
        <w:pStyle w:val="Heading2"/>
        <w:spacing w:line="240" w:lineRule="auto" w:before="209"/>
        <w:ind w:right="233"/>
        <w:jc w:val="left"/>
        <w:rPr>
          <w:b w:val="0"/>
          <w:bCs w:val="0"/>
        </w:rPr>
      </w:pPr>
      <w:r>
        <w:rPr/>
        <w:t>（二）</w:t>
      </w:r>
      <w:r>
        <w:rPr>
          <w:spacing w:val="-8"/>
        </w:rPr>
        <w:t> </w:t>
      </w:r>
      <w:r>
        <w:rPr/>
        <w:t>公司对重大会计差错更正原因及影响的分析说明</w:t>
      </w:r>
      <w:r>
        <w:rPr>
          <w:b w:val="0"/>
          <w:bCs w:val="0"/>
        </w:rPr>
      </w:r>
    </w:p>
    <w:p>
      <w:pPr>
        <w:pStyle w:val="BodyText"/>
        <w:tabs>
          <w:tab w:pos="1177" w:val="left" w:leader="none"/>
        </w:tabs>
        <w:spacing w:line="240" w:lineRule="auto" w:before="58"/>
        <w:ind w:left="218" w:right="233"/>
        <w:jc w:val="left"/>
      </w:pPr>
      <w:r>
        <w:rPr>
          <w:spacing w:val="-1"/>
        </w:rPr>
        <w:t>□适用</w:t>
        <w:tab/>
      </w:r>
      <w:r>
        <w:rPr/>
        <w:t>√不适用</w:t>
      </w:r>
    </w:p>
    <w:p>
      <w:pPr>
        <w:spacing w:line="240" w:lineRule="auto" w:before="2"/>
        <w:rPr>
          <w:rFonts w:ascii="宋体" w:hAnsi="宋体" w:cs="宋体" w:eastAsia="宋体" w:hint="default"/>
          <w:sz w:val="28"/>
          <w:szCs w:val="28"/>
        </w:rPr>
      </w:pPr>
    </w:p>
    <w:p>
      <w:pPr>
        <w:pStyle w:val="Heading2"/>
        <w:spacing w:line="240" w:lineRule="auto" w:before="0"/>
        <w:ind w:right="233"/>
        <w:jc w:val="left"/>
        <w:rPr>
          <w:b w:val="0"/>
          <w:bCs w:val="0"/>
        </w:rPr>
      </w:pPr>
      <w:r>
        <w:rPr/>
        <w:t>（三）</w:t>
      </w:r>
      <w:r>
        <w:rPr>
          <w:spacing w:val="-8"/>
        </w:rPr>
        <w:t> </w:t>
      </w:r>
      <w:r>
        <w:rPr/>
        <w:t>与前任会计师事务所进行的沟通情况</w:t>
      </w:r>
      <w:r>
        <w:rPr>
          <w:b w:val="0"/>
          <w:bCs w:val="0"/>
        </w:rPr>
      </w:r>
    </w:p>
    <w:p>
      <w:pPr>
        <w:pStyle w:val="BodyText"/>
        <w:tabs>
          <w:tab w:pos="1177" w:val="left" w:leader="none"/>
        </w:tabs>
        <w:spacing w:line="240" w:lineRule="auto" w:before="58"/>
        <w:ind w:left="218" w:right="233"/>
        <w:jc w:val="left"/>
      </w:pPr>
      <w:r>
        <w:rPr>
          <w:spacing w:val="-1"/>
        </w:rPr>
        <w:t>□适用</w:t>
        <w:tab/>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34"/>
          <w:pgSz w:w="11910" w:h="16840"/>
          <w:pgMar w:footer="1195" w:header="0" w:top="1120" w:bottom="1380" w:left="1580" w:right="1040"/>
        </w:sectPr>
      </w:pPr>
    </w:p>
    <w:p>
      <w:pPr>
        <w:pStyle w:val="Heading2"/>
        <w:spacing w:line="240" w:lineRule="auto"/>
        <w:ind w:right="0"/>
        <w:jc w:val="left"/>
        <w:rPr>
          <w:b w:val="0"/>
          <w:bCs w:val="0"/>
        </w:rPr>
      </w:pPr>
      <w:r>
        <w:rPr>
          <w:w w:val="95"/>
        </w:rPr>
        <w:t>六、聘任、解聘会计师事务所情况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269" w:val="left" w:leader="none"/>
        </w:tabs>
        <w:spacing w:before="142"/>
        <w:ind w:left="21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1910" w:h="16840"/>
          <w:pgMar w:top="1000" w:bottom="280" w:left="1580" w:right="1040"/>
          <w:cols w:num="2" w:equalWidth="0">
            <w:col w:w="3832" w:space="269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现聘任</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天健会计师事务所（特殊普通合伙）</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2,700,000.00</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w:t>
            </w:r>
          </w:p>
        </w:tc>
      </w:tr>
    </w:tbl>
    <w:p>
      <w:pPr>
        <w:spacing w:after="0" w:line="274" w:lineRule="exact"/>
        <w:jc w:val="right"/>
        <w:rPr>
          <w:rFonts w:ascii="宋体" w:hAnsi="宋体" w:cs="宋体" w:eastAsia="宋体" w:hint="default"/>
          <w:sz w:val="24"/>
          <w:szCs w:val="24"/>
        </w:rPr>
        <w:sectPr>
          <w:type w:val="continuous"/>
          <w:pgSz w:w="11910" w:h="16840"/>
          <w:pgMar w:top="1000" w:bottom="2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3827"/>
        <w:gridCol w:w="1853"/>
      </w:tblGrid>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报酬</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内部控制审计会计师事务所</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9"/>
              <w:jc w:val="center"/>
              <w:rPr>
                <w:rFonts w:ascii="宋体" w:hAnsi="宋体" w:cs="宋体" w:eastAsia="宋体" w:hint="default"/>
                <w:sz w:val="24"/>
                <w:szCs w:val="24"/>
              </w:rPr>
            </w:pPr>
            <w:r>
              <w:rPr>
                <w:rFonts w:ascii="宋体" w:hAnsi="宋体" w:cs="宋体" w:eastAsia="宋体" w:hint="default"/>
                <w:sz w:val="24"/>
                <w:szCs w:val="24"/>
              </w:rPr>
              <w:t>天健会计师事务</w:t>
            </w:r>
            <w:r>
              <w:rPr>
                <w:rFonts w:ascii="宋体" w:hAnsi="宋体" w:cs="宋体" w:eastAsia="宋体" w:hint="default"/>
                <w:spacing w:val="-108"/>
                <w:sz w:val="24"/>
                <w:szCs w:val="24"/>
              </w:rPr>
              <w:t>所</w:t>
            </w:r>
            <w:r>
              <w:rPr>
                <w:rFonts w:ascii="宋体" w:hAnsi="宋体" w:cs="宋体" w:eastAsia="宋体" w:hint="default"/>
                <w:sz w:val="24"/>
                <w:szCs w:val="24"/>
              </w:rPr>
              <w:t>（特殊普通合伙）</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40" w:right="0"/>
              <w:jc w:val="left"/>
              <w:rPr>
                <w:rFonts w:ascii="宋体" w:hAnsi="宋体" w:cs="宋体" w:eastAsia="宋体" w:hint="default"/>
                <w:sz w:val="24"/>
                <w:szCs w:val="24"/>
              </w:rPr>
            </w:pPr>
            <w:r>
              <w:rPr>
                <w:rFonts w:ascii="宋体"/>
                <w:sz w:val="24"/>
              </w:rPr>
              <w:t>360,000.00</w:t>
            </w:r>
          </w:p>
        </w:tc>
      </w:tr>
    </w:tbl>
    <w:p>
      <w:pPr>
        <w:spacing w:line="240" w:lineRule="auto" w:before="10"/>
        <w:rPr>
          <w:rFonts w:ascii="宋体" w:hAnsi="宋体" w:cs="宋体" w:eastAsia="宋体" w:hint="default"/>
          <w:sz w:val="18"/>
          <w:szCs w:val="18"/>
        </w:rPr>
      </w:pPr>
    </w:p>
    <w:p>
      <w:pPr>
        <w:pStyle w:val="BodyText"/>
        <w:spacing w:line="313" w:lineRule="exact" w:before="26"/>
        <w:ind w:left="218" w:right="233"/>
        <w:jc w:val="left"/>
      </w:pPr>
      <w:r>
        <w:rPr/>
        <w:t>聘任、解聘会计师事务所的情况说明</w:t>
      </w:r>
    </w:p>
    <w:p>
      <w:pPr>
        <w:pStyle w:val="BodyText"/>
        <w:spacing w:line="313" w:lineRule="exact"/>
        <w:ind w:left="218" w:right="233"/>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313" w:lineRule="exact"/>
        <w:ind w:left="218" w:right="233"/>
        <w:jc w:val="left"/>
      </w:pPr>
      <w:r>
        <w:rPr/>
        <w:t>审计期间改聘会计师事务所的情况说明</w:t>
      </w:r>
    </w:p>
    <w:p>
      <w:pPr>
        <w:pStyle w:val="BodyText"/>
        <w:tabs>
          <w:tab w:pos="1177" w:val="left" w:leader="none"/>
        </w:tabs>
        <w:spacing w:line="313" w:lineRule="exact"/>
        <w:ind w:left="218" w:right="233"/>
        <w:jc w:val="left"/>
      </w:pPr>
      <w:r>
        <w:rPr>
          <w:spacing w:val="-1"/>
        </w:rPr>
        <w:t>□适用</w:t>
        <w:tab/>
      </w:r>
      <w:r>
        <w:rPr/>
        <w:t>√不适用</w:t>
      </w:r>
    </w:p>
    <w:p>
      <w:pPr>
        <w:spacing w:line="240" w:lineRule="auto" w:before="1"/>
        <w:rPr>
          <w:rFonts w:ascii="宋体" w:hAnsi="宋体" w:cs="宋体" w:eastAsia="宋体" w:hint="default"/>
          <w:sz w:val="28"/>
          <w:szCs w:val="28"/>
        </w:rPr>
      </w:pPr>
    </w:p>
    <w:p>
      <w:pPr>
        <w:pStyle w:val="Heading2"/>
        <w:tabs>
          <w:tab w:pos="1057" w:val="left" w:leader="none"/>
        </w:tabs>
        <w:spacing w:line="285" w:lineRule="auto" w:before="0"/>
        <w:ind w:right="5935"/>
        <w:jc w:val="left"/>
        <w:rPr>
          <w:b w:val="0"/>
          <w:bCs w:val="0"/>
        </w:rPr>
      </w:pPr>
      <w:r>
        <w:rPr/>
        <w:t>七、面临暂停上市风险的情况</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导致暂停上市的原因</w:t>
      </w:r>
      <w:r>
        <w:rPr>
          <w:b w:val="0"/>
          <w:bCs w:val="0"/>
        </w:rPr>
      </w:r>
    </w:p>
    <w:p>
      <w:pPr>
        <w:pStyle w:val="BodyText"/>
        <w:tabs>
          <w:tab w:pos="1177" w:val="left" w:leader="none"/>
        </w:tabs>
        <w:spacing w:line="240" w:lineRule="auto" w:before="10"/>
        <w:ind w:left="218" w:right="233"/>
        <w:jc w:val="left"/>
      </w:pPr>
      <w:r>
        <w:rPr>
          <w:spacing w:val="-1"/>
        </w:rPr>
        <w:t>□适用</w:t>
        <w:tab/>
      </w:r>
      <w:r>
        <w:rPr/>
        <w:t>√不适用</w:t>
      </w:r>
    </w:p>
    <w:p>
      <w:pPr>
        <w:spacing w:line="240" w:lineRule="auto" w:before="4"/>
        <w:rPr>
          <w:rFonts w:ascii="宋体" w:hAnsi="宋体" w:cs="宋体" w:eastAsia="宋体" w:hint="default"/>
          <w:sz w:val="28"/>
          <w:szCs w:val="28"/>
        </w:rPr>
      </w:pPr>
    </w:p>
    <w:p>
      <w:pPr>
        <w:pStyle w:val="Heading2"/>
        <w:tabs>
          <w:tab w:pos="1057" w:val="left" w:leader="none"/>
        </w:tabs>
        <w:spacing w:line="240" w:lineRule="auto" w:before="0"/>
        <w:ind w:right="233"/>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公司拟采取的应对措施</w:t>
      </w:r>
      <w:r>
        <w:rPr>
          <w:b w:val="0"/>
          <w:bCs w:val="0"/>
        </w:rPr>
      </w:r>
    </w:p>
    <w:p>
      <w:pPr>
        <w:pStyle w:val="BodyText"/>
        <w:spacing w:line="240" w:lineRule="auto" w:before="58"/>
        <w:ind w:left="218" w:right="233"/>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right="233"/>
        <w:jc w:val="left"/>
        <w:rPr>
          <w:b w:val="0"/>
          <w:bCs w:val="0"/>
        </w:rPr>
      </w:pPr>
      <w:r>
        <w:rPr/>
        <w:t>八、面临终止上市的情况和原因</w:t>
      </w:r>
      <w:r>
        <w:rPr>
          <w:b w:val="0"/>
          <w:bCs w:val="0"/>
        </w:rPr>
      </w:r>
    </w:p>
    <w:p>
      <w:pPr>
        <w:pStyle w:val="BodyText"/>
        <w:tabs>
          <w:tab w:pos="1177" w:val="left" w:leader="none"/>
        </w:tabs>
        <w:spacing w:line="240" w:lineRule="auto" w:before="58"/>
        <w:ind w:left="218" w:right="233"/>
        <w:jc w:val="left"/>
      </w:pPr>
      <w:r>
        <w:rPr>
          <w:spacing w:val="-1"/>
        </w:rPr>
        <w:t>□适用</w:t>
        <w:tab/>
      </w:r>
      <w:r>
        <w:rPr/>
        <w:t>√不适用</w:t>
      </w:r>
    </w:p>
    <w:p>
      <w:pPr>
        <w:spacing w:line="240" w:lineRule="auto" w:before="2"/>
        <w:rPr>
          <w:rFonts w:ascii="宋体" w:hAnsi="宋体" w:cs="宋体" w:eastAsia="宋体" w:hint="default"/>
          <w:sz w:val="28"/>
          <w:szCs w:val="28"/>
        </w:rPr>
      </w:pPr>
    </w:p>
    <w:p>
      <w:pPr>
        <w:pStyle w:val="Heading2"/>
        <w:spacing w:line="240" w:lineRule="auto" w:before="0"/>
        <w:ind w:right="233"/>
        <w:jc w:val="left"/>
        <w:rPr>
          <w:b w:val="0"/>
          <w:bCs w:val="0"/>
        </w:rPr>
      </w:pPr>
      <w:r>
        <w:rPr/>
        <w:t>九、破产重整相关事项</w:t>
      </w:r>
      <w:r>
        <w:rPr>
          <w:b w:val="0"/>
          <w:bCs w:val="0"/>
        </w:rPr>
      </w:r>
    </w:p>
    <w:p>
      <w:pPr>
        <w:pStyle w:val="BodyText"/>
        <w:spacing w:line="240" w:lineRule="auto" w:before="58"/>
        <w:ind w:left="218" w:right="233"/>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right="233"/>
        <w:jc w:val="left"/>
        <w:rPr>
          <w:b w:val="0"/>
          <w:bCs w:val="0"/>
        </w:rPr>
      </w:pPr>
      <w:r>
        <w:rPr/>
        <w:t>十、重大诉讼、仲裁事项</w:t>
      </w:r>
      <w:r>
        <w:rPr>
          <w:b w:val="0"/>
          <w:bCs w:val="0"/>
        </w:rPr>
      </w:r>
    </w:p>
    <w:p>
      <w:pPr>
        <w:pStyle w:val="BodyText"/>
        <w:spacing w:line="240" w:lineRule="auto" w:before="58"/>
        <w:ind w:left="218" w:right="233"/>
        <w:jc w:val="left"/>
      </w:pPr>
      <w:r>
        <w:rPr/>
        <w:t>□本年度公司有重大诉讼、仲裁事项</w:t>
      </w:r>
      <w:r>
        <w:rPr>
          <w:spacing w:val="-1"/>
        </w:rPr>
        <w:t> </w:t>
      </w:r>
      <w:r>
        <w:rPr/>
        <w:t>√本年度公司无重大诉讼、仲裁事项</w:t>
      </w:r>
    </w:p>
    <w:p>
      <w:pPr>
        <w:spacing w:line="240" w:lineRule="auto" w:before="6"/>
        <w:rPr>
          <w:rFonts w:ascii="宋体" w:hAnsi="宋体" w:cs="宋体" w:eastAsia="宋体" w:hint="default"/>
          <w:sz w:val="30"/>
          <w:szCs w:val="30"/>
        </w:rPr>
      </w:pPr>
    </w:p>
    <w:p>
      <w:pPr>
        <w:pStyle w:val="Heading2"/>
        <w:spacing w:line="312" w:lineRule="exact" w:before="0"/>
        <w:ind w:left="638" w:right="233" w:hanging="420"/>
        <w:jc w:val="left"/>
        <w:rPr>
          <w:b w:val="0"/>
          <w:bCs w:val="0"/>
        </w:rPr>
      </w:pPr>
      <w:r>
        <w:rPr>
          <w:spacing w:val="-2"/>
          <w:w w:val="95"/>
        </w:rPr>
        <w:t>十一、上市公司及其董事、监事、高级管理人员、控股股东、实际控制人、收购人处</w:t>
      </w:r>
      <w:r>
        <w:rPr>
          <w:spacing w:val="88"/>
          <w:w w:val="95"/>
        </w:rPr>
        <w:t> </w:t>
      </w:r>
      <w:r>
        <w:rPr>
          <w:spacing w:val="88"/>
          <w:w w:val="95"/>
        </w:rPr>
      </w:r>
      <w:r>
        <w:rPr/>
        <w:t>罚及整改情况</w:t>
      </w:r>
      <w:r>
        <w:rPr>
          <w:b w:val="0"/>
          <w:bCs w:val="0"/>
        </w:rPr>
      </w:r>
    </w:p>
    <w:p>
      <w:pPr>
        <w:pStyle w:val="BodyText"/>
        <w:spacing w:line="240" w:lineRule="auto" w:before="27"/>
        <w:ind w:left="218" w:right="233"/>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right="233"/>
        <w:jc w:val="left"/>
        <w:rPr>
          <w:b w:val="0"/>
          <w:bCs w:val="0"/>
        </w:rPr>
      </w:pPr>
      <w:r>
        <w:rPr/>
        <w:t>十二、报告期内公司及其控股股东、实际控制人诚信状况的说明</w:t>
      </w:r>
      <w:r>
        <w:rPr>
          <w:b w:val="0"/>
          <w:bCs w:val="0"/>
        </w:rPr>
      </w:r>
    </w:p>
    <w:p>
      <w:pPr>
        <w:pStyle w:val="BodyText"/>
        <w:tabs>
          <w:tab w:pos="1177" w:val="left" w:leader="none"/>
        </w:tabs>
        <w:spacing w:line="240" w:lineRule="auto" w:before="58"/>
        <w:ind w:left="218" w:right="233"/>
        <w:jc w:val="left"/>
      </w:pPr>
      <w:r>
        <w:rPr>
          <w:spacing w:val="-1"/>
        </w:rPr>
        <w:t>□适用</w:t>
        <w:tab/>
      </w:r>
      <w:r>
        <w:rPr/>
        <w:t>√不适用</w:t>
      </w:r>
    </w:p>
    <w:p>
      <w:pPr>
        <w:spacing w:line="240" w:lineRule="auto" w:before="1"/>
        <w:rPr>
          <w:rFonts w:ascii="宋体" w:hAnsi="宋体" w:cs="宋体" w:eastAsia="宋体" w:hint="default"/>
          <w:sz w:val="28"/>
          <w:szCs w:val="28"/>
        </w:rPr>
      </w:pPr>
    </w:p>
    <w:p>
      <w:pPr>
        <w:pStyle w:val="Heading2"/>
        <w:spacing w:line="283" w:lineRule="auto" w:before="0"/>
        <w:ind w:right="823"/>
        <w:jc w:val="left"/>
        <w:rPr>
          <w:b w:val="0"/>
          <w:bCs w:val="0"/>
        </w:rPr>
      </w:pPr>
      <w:r>
        <w:rPr>
          <w:w w:val="95"/>
        </w:rPr>
        <w:t>十三、公司股权激励计划、员工持股计划或其他员工激励措施的情况及其影响  </w:t>
      </w:r>
      <w:r>
        <w:rPr>
          <w:spacing w:val="58"/>
          <w:w w:val="95"/>
        </w:rPr>
        <w:t> </w:t>
      </w:r>
      <w:r>
        <w:rPr>
          <w:spacing w:val="58"/>
          <w:w w:val="95"/>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4"/>
        </w:rPr>
        <w:t> </w:t>
      </w:r>
      <w:r>
        <w:rPr/>
        <w:t>相关激励事项已在临时公告披露且后续实施无进展或变化的</w:t>
      </w:r>
      <w:r>
        <w:rPr>
          <w:b w:val="0"/>
          <w:bCs w:val="0"/>
        </w:rPr>
      </w:r>
    </w:p>
    <w:p>
      <w:pPr>
        <w:pStyle w:val="BodyText"/>
        <w:spacing w:line="240" w:lineRule="auto" w:before="12"/>
        <w:ind w:left="218" w:right="233"/>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60"/>
        <w:gridCol w:w="6311"/>
      </w:tblGrid>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6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年员工持股计划</w:t>
            </w:r>
          </w:p>
        </w:tc>
        <w:tc>
          <w:tcPr>
            <w:tcW w:w="6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临</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spacing w:val="-1"/>
                <w:w w:val="100"/>
                <w:sz w:val="21"/>
                <w:szCs w:val="21"/>
              </w:rPr>
              <w:t>5</w:t>
            </w:r>
            <w:r>
              <w:rPr>
                <w:rFonts w:ascii="宋体" w:hAnsi="宋体" w:cs="宋体" w:eastAsia="宋体" w:hint="default"/>
                <w:w w:val="100"/>
                <w:sz w:val="21"/>
                <w:szCs w:val="21"/>
              </w:rPr>
              <w:t>-0</w:t>
            </w:r>
            <w:r>
              <w:rPr>
                <w:rFonts w:ascii="宋体" w:hAnsi="宋体" w:cs="宋体" w:eastAsia="宋体" w:hint="default"/>
                <w:spacing w:val="-3"/>
                <w:w w:val="100"/>
                <w:sz w:val="21"/>
                <w:szCs w:val="21"/>
              </w:rPr>
              <w:t>7</w:t>
            </w:r>
            <w:r>
              <w:rPr>
                <w:rFonts w:ascii="宋体" w:hAnsi="宋体" w:cs="宋体" w:eastAsia="宋体" w:hint="default"/>
                <w:spacing w:val="-1"/>
                <w:w w:val="100"/>
                <w:sz w:val="21"/>
                <w:szCs w:val="21"/>
              </w:rPr>
              <w:t>8</w:t>
            </w:r>
            <w:r>
              <w:rPr>
                <w:rFonts w:ascii="宋体" w:hAnsi="宋体" w:cs="宋体" w:eastAsia="宋体" w:hint="default"/>
                <w:spacing w:val="-94"/>
                <w:w w:val="100"/>
                <w:sz w:val="21"/>
                <w:szCs w:val="21"/>
              </w:rPr>
              <w:t>、</w:t>
            </w:r>
            <w:r>
              <w:rPr>
                <w:rFonts w:ascii="宋体" w:hAnsi="宋体" w:cs="宋体" w:eastAsia="宋体" w:hint="default"/>
                <w:w w:val="100"/>
                <w:sz w:val="21"/>
                <w:szCs w:val="21"/>
              </w:rPr>
              <w:t>临</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5-0</w:t>
            </w:r>
            <w:r>
              <w:rPr>
                <w:rFonts w:ascii="宋体" w:hAnsi="宋体" w:cs="宋体" w:eastAsia="宋体" w:hint="default"/>
                <w:spacing w:val="-3"/>
                <w:w w:val="100"/>
                <w:sz w:val="21"/>
                <w:szCs w:val="21"/>
              </w:rPr>
              <w:t>7</w:t>
            </w:r>
            <w:r>
              <w:rPr>
                <w:rFonts w:ascii="宋体" w:hAnsi="宋体" w:cs="宋体" w:eastAsia="宋体" w:hint="default"/>
                <w:spacing w:val="-1"/>
                <w:w w:val="100"/>
                <w:sz w:val="21"/>
                <w:szCs w:val="21"/>
              </w:rPr>
              <w:t>9</w:t>
            </w:r>
            <w:r>
              <w:rPr>
                <w:rFonts w:ascii="宋体" w:hAnsi="宋体" w:cs="宋体" w:eastAsia="宋体" w:hint="default"/>
                <w:spacing w:val="-94"/>
                <w:w w:val="100"/>
                <w:sz w:val="21"/>
                <w:szCs w:val="21"/>
              </w:rPr>
              <w:t>、</w:t>
            </w:r>
            <w:r>
              <w:rPr>
                <w:rFonts w:ascii="宋体" w:hAnsi="宋体" w:cs="宋体" w:eastAsia="宋体" w:hint="default"/>
                <w:w w:val="100"/>
                <w:sz w:val="21"/>
                <w:szCs w:val="21"/>
              </w:rPr>
              <w:t>临</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spacing w:val="-1"/>
                <w:w w:val="100"/>
                <w:sz w:val="21"/>
                <w:szCs w:val="21"/>
              </w:rPr>
              <w:t>5</w:t>
            </w:r>
            <w:r>
              <w:rPr>
                <w:rFonts w:ascii="宋体" w:hAnsi="宋体" w:cs="宋体" w:eastAsia="宋体" w:hint="default"/>
                <w:w w:val="100"/>
                <w:sz w:val="21"/>
                <w:szCs w:val="21"/>
              </w:rPr>
              <w:t>-0</w:t>
            </w:r>
            <w:r>
              <w:rPr>
                <w:rFonts w:ascii="宋体" w:hAnsi="宋体" w:cs="宋体" w:eastAsia="宋体" w:hint="default"/>
                <w:spacing w:val="-3"/>
                <w:w w:val="100"/>
                <w:sz w:val="21"/>
                <w:szCs w:val="21"/>
              </w:rPr>
              <w:t>8</w:t>
            </w:r>
            <w:r>
              <w:rPr>
                <w:rFonts w:ascii="宋体" w:hAnsi="宋体" w:cs="宋体" w:eastAsia="宋体" w:hint="default"/>
                <w:spacing w:val="-1"/>
                <w:w w:val="100"/>
                <w:sz w:val="21"/>
                <w:szCs w:val="21"/>
              </w:rPr>
              <w:t>0</w:t>
            </w:r>
            <w:r>
              <w:rPr>
                <w:rFonts w:ascii="宋体" w:hAnsi="宋体" w:cs="宋体" w:eastAsia="宋体" w:hint="default"/>
                <w:spacing w:val="-94"/>
                <w:w w:val="100"/>
                <w:sz w:val="21"/>
                <w:szCs w:val="21"/>
              </w:rPr>
              <w:t>、</w:t>
            </w:r>
            <w:r>
              <w:rPr>
                <w:rFonts w:ascii="宋体" w:hAnsi="宋体" w:cs="宋体" w:eastAsia="宋体" w:hint="default"/>
                <w:w w:val="100"/>
                <w:sz w:val="21"/>
                <w:szCs w:val="21"/>
              </w:rPr>
              <w:t>临</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spacing w:val="-1"/>
                <w:w w:val="100"/>
                <w:sz w:val="21"/>
                <w:szCs w:val="21"/>
              </w:rPr>
              <w:t>5</w:t>
            </w:r>
            <w:r>
              <w:rPr>
                <w:rFonts w:ascii="宋体" w:hAnsi="宋体" w:cs="宋体" w:eastAsia="宋体" w:hint="default"/>
                <w:w w:val="100"/>
                <w:sz w:val="21"/>
                <w:szCs w:val="21"/>
              </w:rPr>
              <w:t>-0</w:t>
            </w:r>
            <w:r>
              <w:rPr>
                <w:rFonts w:ascii="宋体" w:hAnsi="宋体" w:cs="宋体" w:eastAsia="宋体" w:hint="default"/>
                <w:spacing w:val="-3"/>
                <w:w w:val="100"/>
                <w:sz w:val="21"/>
                <w:szCs w:val="21"/>
              </w:rPr>
              <w:t>9</w:t>
            </w:r>
            <w:r>
              <w:rPr>
                <w:rFonts w:ascii="宋体" w:hAnsi="宋体" w:cs="宋体" w:eastAsia="宋体" w:hint="default"/>
                <w:spacing w:val="-1"/>
                <w:w w:val="100"/>
                <w:sz w:val="21"/>
                <w:szCs w:val="21"/>
              </w:rPr>
              <w:t>1</w:t>
            </w:r>
            <w:r>
              <w:rPr>
                <w:rFonts w:ascii="宋体" w:hAnsi="宋体" w:cs="宋体" w:eastAsia="宋体" w:hint="default"/>
                <w:spacing w:val="-94"/>
                <w:w w:val="100"/>
                <w:sz w:val="21"/>
                <w:szCs w:val="21"/>
              </w:rPr>
              <w:t>、</w:t>
            </w:r>
            <w:r>
              <w:rPr>
                <w:rFonts w:ascii="宋体" w:hAnsi="宋体" w:cs="宋体" w:eastAsia="宋体" w:hint="default"/>
                <w:w w:val="100"/>
                <w:sz w:val="21"/>
                <w:szCs w:val="21"/>
              </w:rPr>
              <w:t>临</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spacing w:val="-1"/>
                <w:w w:val="100"/>
                <w:sz w:val="21"/>
                <w:szCs w:val="21"/>
              </w:rPr>
              <w:t>5</w:t>
            </w:r>
            <w:r>
              <w:rPr>
                <w:rFonts w:ascii="宋体" w:hAnsi="宋体" w:cs="宋体" w:eastAsia="宋体" w:hint="default"/>
                <w:w w:val="100"/>
                <w:sz w:val="21"/>
                <w:szCs w:val="21"/>
              </w:rPr>
              <w:t>-0</w:t>
            </w:r>
            <w:r>
              <w:rPr>
                <w:rFonts w:ascii="宋体" w:hAnsi="宋体" w:cs="宋体" w:eastAsia="宋体" w:hint="default"/>
                <w:spacing w:val="-3"/>
                <w:w w:val="100"/>
                <w:sz w:val="21"/>
                <w:szCs w:val="21"/>
              </w:rPr>
              <w:t>9</w:t>
            </w:r>
            <w:r>
              <w:rPr>
                <w:rFonts w:ascii="宋体" w:hAnsi="宋体" w:cs="宋体" w:eastAsia="宋体" w:hint="default"/>
                <w:spacing w:val="-1"/>
                <w:w w:val="100"/>
                <w:sz w:val="21"/>
                <w:szCs w:val="21"/>
              </w:rPr>
              <w:t>9</w:t>
            </w:r>
            <w:r>
              <w:rPr>
                <w:rFonts w:ascii="宋体" w:hAnsi="宋体" w:cs="宋体" w:eastAsia="宋体" w:hint="default"/>
                <w:w w:val="100"/>
                <w:sz w:val="21"/>
                <w:szCs w:val="21"/>
              </w:rPr>
              <w:t>、</w:t>
            </w:r>
          </w:p>
          <w:p>
            <w:pPr>
              <w:pStyle w:val="TableParagraph"/>
              <w:spacing w:line="273"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临</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spacing w:val="-1"/>
                <w:w w:val="100"/>
                <w:sz w:val="21"/>
                <w:szCs w:val="21"/>
              </w:rPr>
              <w:t>5</w:t>
            </w:r>
            <w:r>
              <w:rPr>
                <w:rFonts w:ascii="宋体" w:hAnsi="宋体" w:cs="宋体" w:eastAsia="宋体" w:hint="default"/>
                <w:w w:val="100"/>
                <w:sz w:val="21"/>
                <w:szCs w:val="21"/>
              </w:rPr>
              <w:t>-1</w:t>
            </w:r>
            <w:r>
              <w:rPr>
                <w:rFonts w:ascii="宋体" w:hAnsi="宋体" w:cs="宋体" w:eastAsia="宋体" w:hint="default"/>
                <w:spacing w:val="-3"/>
                <w:w w:val="100"/>
                <w:sz w:val="21"/>
                <w:szCs w:val="21"/>
              </w:rPr>
              <w:t>04</w:t>
            </w:r>
            <w:r>
              <w:rPr>
                <w:rFonts w:ascii="宋体" w:hAnsi="宋体" w:cs="宋体" w:eastAsia="宋体" w:hint="default"/>
                <w:spacing w:val="-104"/>
                <w:w w:val="100"/>
                <w:sz w:val="21"/>
                <w:szCs w:val="21"/>
              </w:rPr>
              <w:t>、</w:t>
            </w:r>
            <w:r>
              <w:rPr>
                <w:rFonts w:ascii="宋体" w:hAnsi="宋体" w:cs="宋体" w:eastAsia="宋体" w:hint="default"/>
                <w:w w:val="100"/>
                <w:sz w:val="21"/>
                <w:szCs w:val="21"/>
              </w:rPr>
              <w:t>临</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017</w:t>
            </w:r>
            <w:r>
              <w:rPr>
                <w:rFonts w:ascii="宋体" w:hAnsi="宋体" w:cs="宋体" w:eastAsia="宋体" w:hint="default"/>
                <w:spacing w:val="-3"/>
                <w:w w:val="100"/>
                <w:sz w:val="21"/>
                <w:szCs w:val="21"/>
              </w:rPr>
              <w:t>-</w:t>
            </w:r>
            <w:r>
              <w:rPr>
                <w:rFonts w:ascii="宋体" w:hAnsi="宋体" w:cs="宋体" w:eastAsia="宋体" w:hint="default"/>
                <w:w w:val="100"/>
                <w:sz w:val="21"/>
                <w:szCs w:val="21"/>
              </w:rPr>
              <w:t>7</w:t>
            </w:r>
            <w:r>
              <w:rPr>
                <w:rFonts w:ascii="宋体" w:hAnsi="宋体" w:cs="宋体" w:eastAsia="宋体" w:hint="default"/>
                <w:spacing w:val="-3"/>
                <w:w w:val="100"/>
                <w:sz w:val="21"/>
                <w:szCs w:val="21"/>
              </w:rPr>
              <w:t>9</w:t>
            </w:r>
            <w:r>
              <w:rPr>
                <w:rFonts w:ascii="宋体" w:hAnsi="宋体" w:cs="宋体" w:eastAsia="宋体" w:hint="default"/>
                <w:spacing w:val="-106"/>
                <w:w w:val="100"/>
                <w:sz w:val="21"/>
                <w:szCs w:val="21"/>
              </w:rPr>
              <w:t>、</w:t>
            </w:r>
            <w:r>
              <w:rPr>
                <w:rFonts w:ascii="宋体" w:hAnsi="宋体" w:cs="宋体" w:eastAsia="宋体" w:hint="default"/>
                <w:w w:val="100"/>
                <w:sz w:val="21"/>
                <w:szCs w:val="21"/>
              </w:rPr>
              <w:t>临</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spacing w:val="-1"/>
                <w:w w:val="100"/>
                <w:sz w:val="21"/>
                <w:szCs w:val="21"/>
              </w:rPr>
              <w:t>7</w:t>
            </w:r>
            <w:r>
              <w:rPr>
                <w:rFonts w:ascii="宋体" w:hAnsi="宋体" w:cs="宋体" w:eastAsia="宋体" w:hint="default"/>
                <w:w w:val="100"/>
                <w:sz w:val="21"/>
                <w:szCs w:val="21"/>
              </w:rPr>
              <w:t>-8</w:t>
            </w:r>
            <w:r>
              <w:rPr>
                <w:rFonts w:ascii="宋体" w:hAnsi="宋体" w:cs="宋体" w:eastAsia="宋体" w:hint="default"/>
                <w:spacing w:val="-3"/>
                <w:w w:val="100"/>
                <w:sz w:val="21"/>
                <w:szCs w:val="21"/>
              </w:rPr>
              <w:t>0</w:t>
            </w:r>
            <w:r>
              <w:rPr>
                <w:rFonts w:ascii="宋体" w:hAnsi="宋体" w:cs="宋体" w:eastAsia="宋体" w:hint="default"/>
                <w:spacing w:val="-106"/>
                <w:w w:val="100"/>
                <w:sz w:val="21"/>
                <w:szCs w:val="21"/>
              </w:rPr>
              <w:t>、</w:t>
            </w:r>
            <w:r>
              <w:rPr>
                <w:rFonts w:ascii="宋体" w:hAnsi="宋体" w:cs="宋体" w:eastAsia="宋体" w:hint="default"/>
                <w:w w:val="100"/>
                <w:sz w:val="21"/>
                <w:szCs w:val="21"/>
              </w:rPr>
              <w:t>临</w:t>
            </w:r>
            <w:r>
              <w:rPr>
                <w:rFonts w:ascii="宋体" w:hAnsi="宋体" w:cs="宋体" w:eastAsia="宋体" w:hint="default"/>
                <w:spacing w:val="-53"/>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w:t>
            </w:r>
            <w:r>
              <w:rPr>
                <w:rFonts w:ascii="宋体" w:hAnsi="宋体" w:cs="宋体" w:eastAsia="宋体" w:hint="default"/>
                <w:spacing w:val="-1"/>
                <w:w w:val="100"/>
                <w:sz w:val="21"/>
                <w:szCs w:val="21"/>
              </w:rPr>
              <w:t>7</w:t>
            </w:r>
            <w:r>
              <w:rPr>
                <w:rFonts w:ascii="宋体" w:hAnsi="宋体" w:cs="宋体" w:eastAsia="宋体" w:hint="default"/>
                <w:w w:val="100"/>
                <w:sz w:val="21"/>
                <w:szCs w:val="21"/>
              </w:rPr>
              <w:t>-</w:t>
            </w:r>
            <w:r>
              <w:rPr>
                <w:rFonts w:ascii="宋体" w:hAnsi="宋体" w:cs="宋体" w:eastAsia="宋体" w:hint="default"/>
                <w:spacing w:val="-3"/>
                <w:w w:val="100"/>
                <w:sz w:val="21"/>
                <w:szCs w:val="21"/>
              </w:rPr>
              <w:t>8</w:t>
            </w:r>
            <w:r>
              <w:rPr>
                <w:rFonts w:ascii="宋体" w:hAnsi="宋体" w:cs="宋体" w:eastAsia="宋体" w:hint="default"/>
                <w:spacing w:val="-106"/>
                <w:w w:val="100"/>
                <w:sz w:val="21"/>
                <w:szCs w:val="21"/>
              </w:rPr>
              <w:t>3</w:t>
            </w:r>
            <w:r>
              <w:rPr>
                <w:rFonts w:ascii="宋体" w:hAnsi="宋体" w:cs="宋体" w:eastAsia="宋体" w:hint="default"/>
                <w:w w:val="100"/>
                <w:sz w:val="21"/>
                <w:szCs w:val="21"/>
              </w:rPr>
              <w:t>（</w:t>
            </w:r>
            <w:hyperlink r:id="rId11">
              <w:r>
                <w:rPr>
                  <w:rFonts w:ascii="宋体" w:hAnsi="宋体" w:cs="宋体" w:eastAsia="宋体" w:hint="default"/>
                  <w:w w:val="100"/>
                  <w:sz w:val="21"/>
                  <w:szCs w:val="21"/>
                </w:rPr>
                <w:t>w</w:t>
              </w:r>
              <w:r>
                <w:rPr>
                  <w:rFonts w:ascii="宋体" w:hAnsi="宋体" w:cs="宋体" w:eastAsia="宋体" w:hint="default"/>
                  <w:spacing w:val="-3"/>
                  <w:w w:val="100"/>
                  <w:sz w:val="21"/>
                  <w:szCs w:val="21"/>
                </w:rPr>
                <w:t>w</w:t>
              </w:r>
              <w:r>
                <w:rPr>
                  <w:rFonts w:ascii="宋体" w:hAnsi="宋体" w:cs="宋体" w:eastAsia="宋体" w:hint="default"/>
                  <w:w w:val="100"/>
                  <w:sz w:val="21"/>
                  <w:szCs w:val="21"/>
                </w:rPr>
                <w:t>w.sse</w:t>
              </w:r>
              <w:r>
                <w:rPr>
                  <w:rFonts w:ascii="宋体" w:hAnsi="宋体" w:cs="宋体" w:eastAsia="宋体" w:hint="default"/>
                  <w:spacing w:val="-3"/>
                  <w:w w:val="100"/>
                  <w:sz w:val="21"/>
                  <w:szCs w:val="21"/>
                </w:rPr>
                <w:t>.</w:t>
              </w:r>
              <w:r>
                <w:rPr>
                  <w:rFonts w:ascii="宋体" w:hAnsi="宋体" w:cs="宋体" w:eastAsia="宋体" w:hint="default"/>
                  <w:w w:val="100"/>
                  <w:sz w:val="21"/>
                  <w:szCs w:val="21"/>
                </w:rPr>
                <w:t>com</w:t>
              </w:r>
              <w:r>
                <w:rPr>
                  <w:rFonts w:ascii="宋体" w:hAnsi="宋体" w:cs="宋体" w:eastAsia="宋体" w:hint="default"/>
                  <w:spacing w:val="-3"/>
                  <w:w w:val="100"/>
                  <w:sz w:val="21"/>
                  <w:szCs w:val="21"/>
                </w:rPr>
                <w:t>.</w:t>
              </w:r>
              <w:r>
                <w:rPr>
                  <w:rFonts w:ascii="宋体" w:hAnsi="宋体" w:cs="宋体" w:eastAsia="宋体" w:hint="default"/>
                  <w:w w:val="100"/>
                  <w:sz w:val="21"/>
                  <w:szCs w:val="21"/>
                </w:rPr>
                <w:t>c</w:t>
              </w:r>
              <w:r>
                <w:rPr>
                  <w:rFonts w:ascii="宋体" w:hAnsi="宋体" w:cs="宋体" w:eastAsia="宋体" w:hint="default"/>
                  <w:spacing w:val="-1"/>
                  <w:w w:val="100"/>
                  <w:sz w:val="21"/>
                  <w:szCs w:val="21"/>
                </w:rPr>
                <w:t>n</w:t>
              </w:r>
            </w:hyperlink>
            <w:r>
              <w:rPr>
                <w:rFonts w:ascii="宋体" w:hAnsi="宋体" w:cs="宋体" w:eastAsia="宋体" w:hint="default"/>
                <w:w w:val="100"/>
                <w:sz w:val="21"/>
                <w:szCs w:val="21"/>
              </w:rPr>
              <w:t>）</w:t>
            </w:r>
          </w:p>
        </w:tc>
      </w:tr>
      <w:tr>
        <w:trPr>
          <w:trHeight w:val="55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年股票期权激励计划</w:t>
            </w:r>
          </w:p>
        </w:tc>
        <w:tc>
          <w:tcPr>
            <w:tcW w:w="6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42"/>
                <w:sz w:val="21"/>
                <w:szCs w:val="21"/>
              </w:rPr>
              <w:t> </w:t>
            </w:r>
            <w:r>
              <w:rPr>
                <w:rFonts w:ascii="宋体" w:hAnsi="宋体" w:cs="宋体" w:eastAsia="宋体" w:hint="default"/>
                <w:spacing w:val="-8"/>
                <w:sz w:val="21"/>
                <w:szCs w:val="21"/>
              </w:rPr>
              <w:t>2015-137</w:t>
            </w:r>
            <w:r>
              <w:rPr>
                <w:rFonts w:ascii="宋体" w:hAnsi="宋体" w:cs="宋体" w:eastAsia="宋体" w:hint="default"/>
                <w:spacing w:val="-8"/>
                <w:sz w:val="21"/>
                <w:szCs w:val="21"/>
              </w:rPr>
              <w:t>、临</w:t>
            </w:r>
            <w:r>
              <w:rPr>
                <w:rFonts w:ascii="宋体" w:hAnsi="宋体" w:cs="宋体" w:eastAsia="宋体" w:hint="default"/>
                <w:spacing w:val="-42"/>
                <w:sz w:val="21"/>
                <w:szCs w:val="21"/>
              </w:rPr>
              <w:t> </w:t>
            </w:r>
            <w:r>
              <w:rPr>
                <w:rFonts w:ascii="宋体" w:hAnsi="宋体" w:cs="宋体" w:eastAsia="宋体" w:hint="default"/>
                <w:spacing w:val="-8"/>
                <w:sz w:val="21"/>
                <w:szCs w:val="21"/>
              </w:rPr>
              <w:t>2015-138</w:t>
            </w:r>
            <w:r>
              <w:rPr>
                <w:rFonts w:ascii="宋体" w:hAnsi="宋体" w:cs="宋体" w:eastAsia="宋体" w:hint="default"/>
                <w:spacing w:val="-8"/>
                <w:sz w:val="21"/>
                <w:szCs w:val="21"/>
              </w:rPr>
              <w:t>、临</w:t>
            </w:r>
            <w:r>
              <w:rPr>
                <w:rFonts w:ascii="宋体" w:hAnsi="宋体" w:cs="宋体" w:eastAsia="宋体" w:hint="default"/>
                <w:spacing w:val="-42"/>
                <w:sz w:val="21"/>
                <w:szCs w:val="21"/>
              </w:rPr>
              <w:t> </w:t>
            </w:r>
            <w:r>
              <w:rPr>
                <w:rFonts w:ascii="宋体" w:hAnsi="宋体" w:cs="宋体" w:eastAsia="宋体" w:hint="default"/>
                <w:spacing w:val="-8"/>
                <w:sz w:val="21"/>
                <w:szCs w:val="21"/>
              </w:rPr>
              <w:t>2015-139</w:t>
            </w:r>
            <w:r>
              <w:rPr>
                <w:rFonts w:ascii="宋体" w:hAnsi="宋体" w:cs="宋体" w:eastAsia="宋体" w:hint="default"/>
                <w:spacing w:val="-8"/>
                <w:sz w:val="21"/>
                <w:szCs w:val="21"/>
              </w:rPr>
              <w:t>、临</w:t>
            </w:r>
            <w:r>
              <w:rPr>
                <w:rFonts w:ascii="宋体" w:hAnsi="宋体" w:cs="宋体" w:eastAsia="宋体" w:hint="default"/>
                <w:spacing w:val="-45"/>
                <w:sz w:val="21"/>
                <w:szCs w:val="21"/>
              </w:rPr>
              <w:t> </w:t>
            </w:r>
            <w:r>
              <w:rPr>
                <w:rFonts w:ascii="宋体" w:hAnsi="宋体" w:cs="宋体" w:eastAsia="宋体" w:hint="default"/>
                <w:spacing w:val="-8"/>
                <w:sz w:val="21"/>
                <w:szCs w:val="21"/>
              </w:rPr>
              <w:t>2016-001</w:t>
            </w:r>
            <w:r>
              <w:rPr>
                <w:rFonts w:ascii="宋体" w:hAnsi="宋体" w:cs="宋体" w:eastAsia="宋体" w:hint="default"/>
                <w:spacing w:val="-8"/>
                <w:sz w:val="21"/>
                <w:szCs w:val="21"/>
              </w:rPr>
              <w:t>、临</w:t>
            </w:r>
            <w:r>
              <w:rPr>
                <w:rFonts w:ascii="宋体" w:hAnsi="宋体" w:cs="宋体" w:eastAsia="宋体" w:hint="default"/>
                <w:spacing w:val="-45"/>
                <w:sz w:val="21"/>
                <w:szCs w:val="21"/>
              </w:rPr>
              <w:t> </w:t>
            </w:r>
            <w:r>
              <w:rPr>
                <w:rFonts w:ascii="宋体" w:hAnsi="宋体" w:cs="宋体" w:eastAsia="宋体" w:hint="default"/>
                <w:sz w:val="21"/>
                <w:szCs w:val="21"/>
              </w:rPr>
              <w:t>2016-002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bl>
    <w:p>
      <w:pPr>
        <w:spacing w:after="0" w:line="273" w:lineRule="exact"/>
        <w:jc w:val="left"/>
        <w:rPr>
          <w:rFonts w:ascii="宋体" w:hAnsi="宋体" w:cs="宋体" w:eastAsia="宋体" w:hint="default"/>
          <w:sz w:val="21"/>
          <w:szCs w:val="21"/>
        </w:rPr>
        <w:sectPr>
          <w:footerReference w:type="default" r:id="rId35"/>
          <w:pgSz w:w="11910" w:h="16840"/>
          <w:pgMar w:footer="1195" w:header="0" w:top="1120" w:bottom="1380" w:left="1580" w:right="1040"/>
          <w:pgNumType w:start="41"/>
        </w:sectPr>
      </w:pPr>
    </w:p>
    <w:p>
      <w:pPr>
        <w:spacing w:line="240" w:lineRule="auto" w:before="8"/>
        <w:rPr>
          <w:rFonts w:ascii="宋体" w:hAnsi="宋体" w:cs="宋体" w:eastAsia="宋体" w:hint="default"/>
          <w:sz w:val="25"/>
          <w:szCs w:val="25"/>
        </w:rPr>
      </w:pPr>
    </w:p>
    <w:p>
      <w:pPr>
        <w:spacing w:line="283" w:lineRule="auto" w:before="26"/>
        <w:ind w:left="218" w:right="414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二</w:t>
      </w:r>
      <w:r>
        <w:rPr>
          <w:rFonts w:ascii="宋体" w:hAnsi="宋体" w:cs="宋体" w:eastAsia="宋体" w:hint="default"/>
          <w:b/>
          <w:bCs/>
          <w:sz w:val="24"/>
          <w:szCs w:val="24"/>
        </w:rPr>
        <w:t>)</w:t>
      </w:r>
      <w:r>
        <w:rPr>
          <w:rFonts w:ascii="宋体" w:hAnsi="宋体" w:cs="宋体" w:eastAsia="宋体" w:hint="default"/>
          <w:b/>
          <w:bCs/>
          <w:spacing w:val="-42"/>
          <w:sz w:val="24"/>
          <w:szCs w:val="24"/>
        </w:rPr>
        <w:t> </w:t>
      </w:r>
      <w:r>
        <w:rPr>
          <w:rFonts w:ascii="宋体" w:hAnsi="宋体" w:cs="宋体" w:eastAsia="宋体" w:hint="default"/>
          <w:b/>
          <w:bCs/>
          <w:sz w:val="24"/>
          <w:szCs w:val="24"/>
        </w:rPr>
        <w:t>临时公告未披露或有后续进展的激励情况</w:t>
      </w:r>
      <w:r>
        <w:rPr>
          <w:rFonts w:ascii="宋体" w:hAnsi="宋体" w:cs="宋体" w:eastAsia="宋体" w:hint="default"/>
          <w:b/>
          <w:bCs/>
          <w:w w:val="99"/>
          <w:sz w:val="24"/>
          <w:szCs w:val="24"/>
        </w:rPr>
        <w:t> </w:t>
      </w:r>
      <w:r>
        <w:rPr>
          <w:rFonts w:ascii="宋体" w:hAnsi="宋体" w:cs="宋体" w:eastAsia="宋体" w:hint="default"/>
          <w:sz w:val="24"/>
          <w:szCs w:val="24"/>
        </w:rPr>
        <w:t>股权激励情况</w:t>
      </w:r>
    </w:p>
    <w:p>
      <w:pPr>
        <w:pStyle w:val="BodyText"/>
        <w:spacing w:line="267" w:lineRule="exact"/>
        <w:ind w:left="218" w:right="233"/>
        <w:jc w:val="left"/>
      </w:pPr>
      <w:r>
        <w:rPr/>
        <w:t>□适用</w:t>
      </w:r>
      <w:r>
        <w:rPr>
          <w:spacing w:val="-1"/>
        </w:rPr>
        <w:t> </w:t>
      </w:r>
      <w:r>
        <w:rPr/>
        <w:t>√不适用</w:t>
      </w:r>
    </w:p>
    <w:p>
      <w:pPr>
        <w:pStyle w:val="BodyText"/>
        <w:spacing w:line="311" w:lineRule="exact"/>
        <w:ind w:left="218" w:right="233"/>
        <w:jc w:val="left"/>
      </w:pPr>
      <w:r>
        <w:rPr/>
        <w:t>其他说明</w:t>
      </w:r>
    </w:p>
    <w:p>
      <w:pPr>
        <w:pStyle w:val="BodyText"/>
        <w:tabs>
          <w:tab w:pos="1177" w:val="left" w:leader="none"/>
        </w:tabs>
        <w:spacing w:line="312" w:lineRule="exact" w:before="29"/>
        <w:ind w:left="218" w:right="7146"/>
        <w:jc w:val="left"/>
      </w:pPr>
      <w:r>
        <w:rPr>
          <w:spacing w:val="-1"/>
        </w:rPr>
        <w:t>□适用</w:t>
        <w:tab/>
      </w:r>
      <w:r>
        <w:rPr/>
        <w:t>√不适用</w:t>
      </w:r>
      <w:r>
        <w:rPr/>
        <w:t> 员工持股计划情况</w:t>
      </w:r>
    </w:p>
    <w:p>
      <w:pPr>
        <w:pStyle w:val="BodyText"/>
        <w:tabs>
          <w:tab w:pos="1177" w:val="left" w:leader="none"/>
        </w:tabs>
        <w:spacing w:line="310" w:lineRule="exact" w:before="1"/>
        <w:ind w:left="218" w:right="7146"/>
        <w:jc w:val="left"/>
      </w:pPr>
      <w:r>
        <w:rPr>
          <w:spacing w:val="-1"/>
        </w:rPr>
        <w:t>□适用</w:t>
        <w:tab/>
      </w:r>
      <w:r>
        <w:rPr/>
        <w:t>√不适用</w:t>
      </w:r>
      <w:r>
        <w:rPr/>
        <w:t> 其他激励措施</w:t>
      </w:r>
    </w:p>
    <w:p>
      <w:pPr>
        <w:pStyle w:val="BodyText"/>
        <w:spacing w:line="284" w:lineRule="exact"/>
        <w:ind w:left="218" w:right="233"/>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2"/>
        <w:spacing w:line="240" w:lineRule="auto" w:before="0"/>
        <w:ind w:right="233"/>
        <w:jc w:val="left"/>
        <w:rPr>
          <w:b w:val="0"/>
          <w:bCs w:val="0"/>
        </w:rPr>
      </w:pPr>
      <w:r>
        <w:rPr/>
        <w:t>十四、重大关联交易</w:t>
      </w:r>
      <w:r>
        <w:rPr>
          <w:b w:val="0"/>
          <w:bCs w:val="0"/>
        </w:rPr>
      </w:r>
    </w:p>
    <w:p>
      <w:pPr>
        <w:pStyle w:val="BodyText"/>
        <w:tabs>
          <w:tab w:pos="1057" w:val="left" w:leader="none"/>
        </w:tabs>
        <w:spacing w:line="240" w:lineRule="auto" w:before="58"/>
        <w:ind w:left="218" w:right="233"/>
        <w:jc w:val="left"/>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与日常经营相关的关联交易</w:t>
      </w:r>
    </w:p>
    <w:p>
      <w:pPr>
        <w:pStyle w:val="BodyText"/>
        <w:spacing w:line="240" w:lineRule="auto" w:before="58"/>
        <w:ind w:left="218" w:right="233"/>
        <w:jc w:val="left"/>
      </w:pPr>
      <w:r>
        <w:rPr>
          <w:rFonts w:ascii="宋体" w:hAnsi="宋体" w:cs="宋体" w:eastAsia="宋体" w:hint="default"/>
        </w:rPr>
        <w:t>1</w:t>
      </w:r>
      <w:r>
        <w:rPr/>
        <w:t>、</w:t>
      </w:r>
      <w:r>
        <w:rPr>
          <w:spacing w:val="-61"/>
        </w:rPr>
        <w:t> </w:t>
      </w:r>
      <w:r>
        <w:rPr/>
        <w:t>已在临时公告披露且后续实施无进展或变化的事项</w:t>
      </w:r>
    </w:p>
    <w:p>
      <w:pPr>
        <w:pStyle w:val="BodyText"/>
        <w:spacing w:line="240" w:lineRule="auto" w:before="55"/>
        <w:ind w:left="218" w:right="233"/>
        <w:jc w:val="left"/>
      </w:pPr>
      <w:r>
        <w:rPr/>
        <w:t>□适用</w:t>
      </w:r>
      <w:r>
        <w:rPr>
          <w:spacing w:val="-1"/>
        </w:rPr>
        <w:t> </w:t>
      </w:r>
      <w:r>
        <w:rPr/>
        <w:t>√不适用</w:t>
      </w:r>
    </w:p>
    <w:p>
      <w:pPr>
        <w:pStyle w:val="BodyText"/>
        <w:spacing w:line="240" w:lineRule="auto" w:before="58"/>
        <w:ind w:left="218" w:right="233"/>
        <w:jc w:val="left"/>
      </w:pP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64"/>
        </w:rPr>
        <w:t> </w:t>
      </w:r>
      <w:r>
        <w:rPr/>
        <w:t>已在临时公告披露，但有后续实施的进展或变化的事项</w:t>
      </w:r>
    </w:p>
    <w:p>
      <w:pPr>
        <w:pStyle w:val="BodyText"/>
        <w:tabs>
          <w:tab w:pos="1177" w:val="left" w:leader="none"/>
        </w:tabs>
        <w:spacing w:line="240" w:lineRule="auto" w:before="58"/>
        <w:ind w:left="218" w:right="233"/>
        <w:jc w:val="left"/>
      </w:pPr>
      <w:r>
        <w:rPr>
          <w:spacing w:val="-1"/>
        </w:rPr>
        <w:t>□适用</w:t>
        <w:tab/>
      </w:r>
      <w:r>
        <w:rPr/>
        <w:t>√不适用</w:t>
      </w:r>
    </w:p>
    <w:p>
      <w:pPr>
        <w:spacing w:before="55"/>
        <w:ind w:left="218" w:right="233" w:firstLine="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w:t>
      </w:r>
      <w:r>
        <w:rPr>
          <w:rFonts w:ascii="宋体" w:hAnsi="宋体" w:cs="宋体" w:eastAsia="宋体" w:hint="default"/>
          <w:b/>
          <w:bCs/>
          <w:spacing w:val="-64"/>
          <w:sz w:val="24"/>
          <w:szCs w:val="24"/>
        </w:rPr>
        <w:t> </w:t>
      </w:r>
      <w:r>
        <w:rPr>
          <w:rFonts w:ascii="宋体" w:hAnsi="宋体" w:cs="宋体" w:eastAsia="宋体" w:hint="default"/>
          <w:sz w:val="24"/>
          <w:szCs w:val="24"/>
        </w:rPr>
        <w:t>临时公告未披露的事项</w:t>
      </w:r>
    </w:p>
    <w:p>
      <w:pPr>
        <w:pStyle w:val="BodyText"/>
        <w:spacing w:line="240" w:lineRule="auto" w:before="58"/>
        <w:ind w:left="218" w:right="233"/>
        <w:jc w:val="left"/>
      </w:pPr>
      <w:r>
        <w:rPr/>
        <w:t>□适用</w:t>
      </w:r>
      <w:r>
        <w:rPr>
          <w:spacing w:val="-1"/>
        </w:rPr>
        <w:t> </w:t>
      </w:r>
      <w:r>
        <w:rPr/>
        <w:t>√不适用</w:t>
      </w:r>
    </w:p>
    <w:p>
      <w:pPr>
        <w:pStyle w:val="Heading2"/>
        <w:tabs>
          <w:tab w:pos="1057" w:val="left" w:leader="none"/>
        </w:tabs>
        <w:spacing w:line="240" w:lineRule="auto" w:before="58"/>
        <w:ind w:right="233"/>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资产或股权收购、出售发生的关联交易</w:t>
      </w:r>
      <w:r>
        <w:rPr>
          <w:b w:val="0"/>
          <w:bCs w:val="0"/>
        </w:rPr>
      </w:r>
    </w:p>
    <w:p>
      <w:pPr>
        <w:pStyle w:val="BodyText"/>
        <w:spacing w:line="240" w:lineRule="auto" w:before="56"/>
        <w:ind w:left="218" w:right="233"/>
        <w:jc w:val="left"/>
      </w:pPr>
      <w:r>
        <w:rPr>
          <w:rFonts w:ascii="宋体" w:hAnsi="宋体" w:cs="宋体" w:eastAsia="宋体" w:hint="default"/>
          <w:b/>
          <w:bCs/>
        </w:rPr>
        <w:t>1</w:t>
      </w:r>
      <w:r>
        <w:rPr>
          <w:rFonts w:ascii="宋体" w:hAnsi="宋体" w:cs="宋体" w:eastAsia="宋体" w:hint="default"/>
          <w:b/>
          <w:bCs/>
        </w:rPr>
        <w:t>、</w:t>
      </w:r>
      <w:r>
        <w:rPr>
          <w:rFonts w:ascii="宋体" w:hAnsi="宋体" w:cs="宋体" w:eastAsia="宋体" w:hint="default"/>
          <w:b/>
          <w:bCs/>
          <w:spacing w:val="-64"/>
        </w:rPr>
        <w:t> </w:t>
      </w:r>
      <w:r>
        <w:rPr/>
        <w:t>已在临时公告披露且后续实施无进展或变化的事项</w:t>
      </w:r>
    </w:p>
    <w:p>
      <w:pPr>
        <w:pStyle w:val="BodyText"/>
        <w:spacing w:line="240" w:lineRule="auto" w:before="58"/>
        <w:ind w:left="218" w:right="233"/>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3"/>
        <w:gridCol w:w="5257"/>
      </w:tblGrid>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参与温州银行配股</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宋体" w:hAnsi="宋体" w:cs="宋体" w:eastAsia="宋体" w:hint="default"/>
                <w:sz w:val="21"/>
                <w:szCs w:val="21"/>
              </w:rPr>
              <w:t>2016-165</w:t>
            </w: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宋体" w:hAnsi="宋体" w:cs="宋体" w:eastAsia="宋体" w:hint="default"/>
                <w:sz w:val="21"/>
                <w:szCs w:val="21"/>
              </w:rPr>
              <w:t>2016-167</w:t>
            </w: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宋体" w:hAnsi="宋体" w:cs="宋体" w:eastAsia="宋体" w:hint="default"/>
                <w:sz w:val="21"/>
                <w:szCs w:val="21"/>
              </w:rPr>
              <w:t>2016-175</w:t>
            </w: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宋体" w:hAnsi="宋体" w:cs="宋体" w:eastAsia="宋体" w:hint="default"/>
                <w:sz w:val="21"/>
                <w:szCs w:val="21"/>
              </w:rPr>
              <w:t>2017-075</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转让兴和投资股权</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2"/>
                <w:sz w:val="21"/>
                <w:szCs w:val="21"/>
              </w:rPr>
              <w:t> </w:t>
            </w:r>
            <w:r>
              <w:rPr>
                <w:rFonts w:ascii="宋体" w:hAnsi="宋体" w:cs="宋体" w:eastAsia="宋体" w:hint="default"/>
                <w:sz w:val="21"/>
                <w:szCs w:val="21"/>
              </w:rPr>
              <w:t>2017-98</w:t>
            </w:r>
            <w:r>
              <w:rPr>
                <w:rFonts w:ascii="宋体" w:hAnsi="宋体" w:cs="宋体" w:eastAsia="宋体" w:hint="default"/>
                <w:sz w:val="21"/>
                <w:szCs w:val="21"/>
              </w:rPr>
              <w:t>、临</w:t>
            </w:r>
            <w:r>
              <w:rPr>
                <w:rFonts w:ascii="宋体" w:hAnsi="宋体" w:cs="宋体" w:eastAsia="宋体" w:hint="default"/>
                <w:spacing w:val="-54"/>
                <w:sz w:val="21"/>
                <w:szCs w:val="21"/>
              </w:rPr>
              <w:t> </w:t>
            </w:r>
            <w:r>
              <w:rPr>
                <w:rFonts w:ascii="宋体" w:hAnsi="宋体" w:cs="宋体" w:eastAsia="宋体" w:hint="default"/>
                <w:sz w:val="21"/>
                <w:szCs w:val="21"/>
              </w:rPr>
              <w:t>2017-99</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增资中信银行（国际）有限公司</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6"/>
                <w:sz w:val="21"/>
                <w:szCs w:val="21"/>
              </w:rPr>
              <w:t> </w:t>
            </w:r>
            <w:r>
              <w:rPr>
                <w:rFonts w:ascii="宋体" w:hAnsi="宋体" w:cs="宋体" w:eastAsia="宋体" w:hint="default"/>
                <w:sz w:val="21"/>
                <w:szCs w:val="21"/>
              </w:rPr>
              <w:t>2017-103</w:t>
            </w:r>
            <w:r>
              <w:rPr>
                <w:rFonts w:ascii="宋体" w:hAnsi="宋体" w:cs="宋体" w:eastAsia="宋体" w:hint="default"/>
                <w:sz w:val="21"/>
                <w:szCs w:val="21"/>
              </w:rPr>
              <w:t>、临</w:t>
            </w:r>
            <w:r>
              <w:rPr>
                <w:rFonts w:ascii="宋体" w:hAnsi="宋体" w:cs="宋体" w:eastAsia="宋体" w:hint="default"/>
                <w:spacing w:val="-56"/>
                <w:sz w:val="21"/>
                <w:szCs w:val="21"/>
              </w:rPr>
              <w:t> </w:t>
            </w:r>
            <w:r>
              <w:rPr>
                <w:rFonts w:ascii="宋体" w:hAnsi="宋体" w:cs="宋体" w:eastAsia="宋体" w:hint="default"/>
                <w:sz w:val="21"/>
                <w:szCs w:val="21"/>
              </w:rPr>
              <w:t>2017-105</w:t>
            </w:r>
            <w:r>
              <w:rPr>
                <w:rFonts w:ascii="宋体" w:hAnsi="宋体" w:cs="宋体" w:eastAsia="宋体" w:hint="default"/>
                <w:sz w:val="21"/>
                <w:szCs w:val="21"/>
              </w:rPr>
              <w:t>、临</w:t>
            </w:r>
            <w:r>
              <w:rPr>
                <w:rFonts w:ascii="宋体" w:hAnsi="宋体" w:cs="宋体" w:eastAsia="宋体" w:hint="default"/>
                <w:spacing w:val="-56"/>
                <w:sz w:val="21"/>
                <w:szCs w:val="21"/>
              </w:rPr>
              <w:t> </w:t>
            </w:r>
            <w:r>
              <w:rPr>
                <w:rFonts w:ascii="宋体" w:hAnsi="宋体" w:cs="宋体" w:eastAsia="宋体" w:hint="default"/>
                <w:sz w:val="21"/>
                <w:szCs w:val="21"/>
              </w:rPr>
              <w:t>2017-111</w:t>
            </w:r>
          </w:p>
        </w:tc>
      </w:tr>
    </w:tbl>
    <w:p>
      <w:pPr>
        <w:spacing w:line="240" w:lineRule="auto" w:before="2"/>
        <w:rPr>
          <w:rFonts w:ascii="宋体" w:hAnsi="宋体" w:cs="宋体" w:eastAsia="宋体" w:hint="default"/>
          <w:sz w:val="23"/>
          <w:szCs w:val="23"/>
        </w:rPr>
      </w:pPr>
    </w:p>
    <w:p>
      <w:pPr>
        <w:pStyle w:val="BodyText"/>
        <w:spacing w:line="240" w:lineRule="auto" w:before="26"/>
        <w:ind w:left="218" w:right="233"/>
        <w:jc w:val="left"/>
      </w:pP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64"/>
        </w:rPr>
        <w:t> </w:t>
      </w:r>
      <w:r>
        <w:rPr/>
        <w:t>已在临时公告披露，但有后续实施的进展或变化的事项</w:t>
      </w:r>
    </w:p>
    <w:p>
      <w:pPr>
        <w:pStyle w:val="BodyText"/>
        <w:tabs>
          <w:tab w:pos="1177" w:val="left" w:leader="none"/>
        </w:tabs>
        <w:spacing w:line="240" w:lineRule="auto" w:before="58"/>
        <w:ind w:left="218" w:right="233"/>
        <w:jc w:val="left"/>
      </w:pPr>
      <w:r>
        <w:rPr>
          <w:spacing w:val="-1"/>
        </w:rPr>
        <w:t>□适用</w:t>
        <w:tab/>
      </w:r>
      <w:r>
        <w:rPr/>
        <w:t>√不适用</w:t>
      </w:r>
    </w:p>
    <w:p>
      <w:pPr>
        <w:pStyle w:val="BodyText"/>
        <w:spacing w:line="240" w:lineRule="auto" w:before="58"/>
        <w:ind w:left="218" w:right="233"/>
        <w:jc w:val="left"/>
      </w:pPr>
      <w:r>
        <w:rPr>
          <w:rFonts w:ascii="宋体" w:hAnsi="宋体" w:cs="宋体" w:eastAsia="宋体" w:hint="default"/>
        </w:rPr>
        <w:t>3</w:t>
      </w:r>
      <w:r>
        <w:rPr/>
        <w:t>、</w:t>
      </w:r>
      <w:r>
        <w:rPr>
          <w:spacing w:val="-61"/>
        </w:rPr>
        <w:t> </w:t>
      </w:r>
      <w:r>
        <w:rPr/>
        <w:t>临时公告未披露的事项</w:t>
      </w:r>
    </w:p>
    <w:p>
      <w:pPr>
        <w:pStyle w:val="BodyText"/>
        <w:spacing w:line="240" w:lineRule="auto" w:before="56"/>
        <w:ind w:left="218" w:right="233"/>
        <w:jc w:val="left"/>
      </w:pPr>
      <w:r>
        <w:rPr/>
        <w:t>□适用</w:t>
      </w:r>
      <w:r>
        <w:rPr>
          <w:spacing w:val="-1"/>
        </w:rPr>
        <w:t> </w:t>
      </w:r>
      <w:r>
        <w:rPr/>
        <w:t>√不适用</w:t>
      </w:r>
    </w:p>
    <w:p>
      <w:pPr>
        <w:pStyle w:val="BodyText"/>
        <w:spacing w:line="240" w:lineRule="auto" w:before="58"/>
        <w:ind w:left="218" w:right="233"/>
        <w:jc w:val="left"/>
      </w:pPr>
      <w:r>
        <w:rPr>
          <w:rFonts w:ascii="宋体" w:hAnsi="宋体" w:cs="宋体" w:eastAsia="宋体" w:hint="default"/>
          <w:b/>
          <w:bCs/>
        </w:rPr>
        <w:t>4</w:t>
      </w:r>
      <w:r>
        <w:rPr>
          <w:rFonts w:ascii="宋体" w:hAnsi="宋体" w:cs="宋体" w:eastAsia="宋体" w:hint="default"/>
          <w:b/>
          <w:bCs/>
        </w:rPr>
        <w:t>、</w:t>
      </w:r>
      <w:r>
        <w:rPr>
          <w:rFonts w:ascii="宋体" w:hAnsi="宋体" w:cs="宋体" w:eastAsia="宋体" w:hint="default"/>
          <w:b/>
          <w:bCs/>
          <w:spacing w:val="-64"/>
        </w:rPr>
        <w:t> </w:t>
      </w:r>
      <w:r>
        <w:rPr/>
        <w:t>涉及业绩约定的，应当披露报告期内的业绩实现情况</w:t>
      </w:r>
    </w:p>
    <w:p>
      <w:pPr>
        <w:pStyle w:val="BodyText"/>
        <w:tabs>
          <w:tab w:pos="1177" w:val="left" w:leader="none"/>
        </w:tabs>
        <w:spacing w:line="240" w:lineRule="auto" w:before="58"/>
        <w:ind w:left="218" w:right="233"/>
        <w:jc w:val="left"/>
      </w:pPr>
      <w:r>
        <w:rPr>
          <w:spacing w:val="-1"/>
        </w:rPr>
        <w:t>□适用</w:t>
        <w:tab/>
      </w:r>
      <w:r>
        <w:rPr/>
        <w:t>√不适用</w:t>
      </w:r>
    </w:p>
    <w:p>
      <w:pPr>
        <w:spacing w:line="240" w:lineRule="auto" w:before="1"/>
        <w:rPr>
          <w:rFonts w:ascii="宋体" w:hAnsi="宋体" w:cs="宋体" w:eastAsia="宋体" w:hint="default"/>
          <w:sz w:val="28"/>
          <w:szCs w:val="28"/>
        </w:rPr>
      </w:pPr>
    </w:p>
    <w:p>
      <w:pPr>
        <w:pStyle w:val="Heading2"/>
        <w:tabs>
          <w:tab w:pos="1057" w:val="left" w:leader="none"/>
        </w:tabs>
        <w:spacing w:line="240" w:lineRule="auto" w:before="0"/>
        <w:ind w:right="233"/>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共同对外投资的重大关联交易</w:t>
      </w:r>
      <w:r>
        <w:rPr>
          <w:b w:val="0"/>
          <w:bCs w:val="0"/>
        </w:rPr>
      </w:r>
    </w:p>
    <w:p>
      <w:pPr>
        <w:pStyle w:val="BodyText"/>
        <w:spacing w:line="240" w:lineRule="auto" w:before="58"/>
        <w:ind w:left="218" w:right="233"/>
        <w:jc w:val="left"/>
      </w:pPr>
      <w:r>
        <w:rPr>
          <w:rFonts w:ascii="宋体" w:hAnsi="宋体" w:cs="宋体" w:eastAsia="宋体" w:hint="default"/>
          <w:b/>
          <w:bCs/>
        </w:rPr>
        <w:t>1</w:t>
      </w:r>
      <w:r>
        <w:rPr>
          <w:rFonts w:ascii="宋体" w:hAnsi="宋体" w:cs="宋体" w:eastAsia="宋体" w:hint="default"/>
          <w:b/>
          <w:bCs/>
        </w:rPr>
        <w:t>、</w:t>
      </w:r>
      <w:r>
        <w:rPr>
          <w:rFonts w:ascii="宋体" w:hAnsi="宋体" w:cs="宋体" w:eastAsia="宋体" w:hint="default"/>
          <w:b/>
          <w:bCs/>
          <w:spacing w:val="-64"/>
        </w:rPr>
        <w:t> </w:t>
      </w:r>
      <w:r>
        <w:rPr/>
        <w:t>已在临时公告披露且后续实施无进展或变化的事项</w:t>
      </w:r>
    </w:p>
    <w:p>
      <w:pPr>
        <w:pStyle w:val="BodyText"/>
        <w:spacing w:line="240" w:lineRule="auto" w:before="55"/>
        <w:ind w:left="218" w:right="233"/>
        <w:jc w:val="left"/>
      </w:pPr>
      <w:r>
        <w:rPr/>
        <w:t>□适用</w:t>
      </w:r>
      <w:r>
        <w:rPr>
          <w:spacing w:val="-1"/>
        </w:rPr>
        <w:t> </w:t>
      </w:r>
      <w:r>
        <w:rPr/>
        <w:t>√不适用</w:t>
      </w:r>
    </w:p>
    <w:p>
      <w:pPr>
        <w:pStyle w:val="BodyText"/>
        <w:spacing w:line="240" w:lineRule="auto" w:before="58"/>
        <w:ind w:left="218" w:right="233"/>
        <w:jc w:val="left"/>
      </w:pP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64"/>
        </w:rPr>
        <w:t> </w:t>
      </w:r>
      <w:r>
        <w:rPr/>
        <w:t>已在临时公告披露，但有后续实施的进展或变化的事项</w:t>
      </w:r>
    </w:p>
    <w:p>
      <w:pPr>
        <w:pStyle w:val="BodyText"/>
        <w:tabs>
          <w:tab w:pos="1177" w:val="left" w:leader="none"/>
        </w:tabs>
        <w:spacing w:line="240" w:lineRule="auto" w:before="58"/>
        <w:ind w:left="218" w:right="233"/>
        <w:jc w:val="left"/>
      </w:pPr>
      <w:r>
        <w:rPr>
          <w:spacing w:val="-1"/>
        </w:rPr>
        <w:t>□适用</w:t>
        <w:tab/>
      </w:r>
      <w:r>
        <w:rPr/>
        <w:t>√不适用</w:t>
      </w:r>
    </w:p>
    <w:p>
      <w:pPr>
        <w:spacing w:before="58"/>
        <w:ind w:left="218" w:right="233" w:firstLine="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w:t>
      </w:r>
      <w:r>
        <w:rPr>
          <w:rFonts w:ascii="宋体" w:hAnsi="宋体" w:cs="宋体" w:eastAsia="宋体" w:hint="default"/>
          <w:b/>
          <w:bCs/>
          <w:spacing w:val="-64"/>
          <w:sz w:val="24"/>
          <w:szCs w:val="24"/>
        </w:rPr>
        <w:t> </w:t>
      </w:r>
      <w:r>
        <w:rPr>
          <w:rFonts w:ascii="宋体" w:hAnsi="宋体" w:cs="宋体" w:eastAsia="宋体" w:hint="default"/>
          <w:sz w:val="24"/>
          <w:szCs w:val="24"/>
        </w:rPr>
        <w:t>临时公告未披露的事项</w:t>
      </w:r>
    </w:p>
    <w:p>
      <w:pPr>
        <w:pStyle w:val="BodyText"/>
        <w:spacing w:line="240" w:lineRule="auto" w:before="55"/>
        <w:ind w:left="218" w:right="233"/>
        <w:jc w:val="left"/>
      </w:pPr>
      <w:r>
        <w:rPr/>
        <w:t>□适用</w:t>
      </w:r>
      <w:r>
        <w:rPr>
          <w:spacing w:val="-1"/>
        </w:rPr>
        <w:t> </w:t>
      </w:r>
      <w:r>
        <w:rPr/>
        <w:t>√不适用</w:t>
      </w:r>
    </w:p>
    <w:p>
      <w:pPr>
        <w:spacing w:after="0" w:line="240" w:lineRule="auto"/>
        <w:jc w:val="left"/>
        <w:sectPr>
          <w:pgSz w:w="11910" w:h="16840"/>
          <w:pgMar w:header="0" w:footer="1195" w:top="1120" w:bottom="1380" w:left="1580" w:right="1040"/>
        </w:sectPr>
      </w:pPr>
    </w:p>
    <w:p>
      <w:pPr>
        <w:spacing w:line="240" w:lineRule="auto" w:before="8"/>
        <w:rPr>
          <w:rFonts w:ascii="宋体" w:hAnsi="宋体" w:cs="宋体" w:eastAsia="宋体" w:hint="default"/>
          <w:sz w:val="25"/>
          <w:szCs w:val="25"/>
        </w:rPr>
      </w:pPr>
    </w:p>
    <w:p>
      <w:pPr>
        <w:pStyle w:val="Heading2"/>
        <w:tabs>
          <w:tab w:pos="977" w:val="left" w:leader="none"/>
        </w:tabs>
        <w:spacing w:line="240" w:lineRule="auto"/>
        <w:ind w:left="138"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关联债权债务往来</w:t>
      </w:r>
      <w:r>
        <w:rPr>
          <w:b w:val="0"/>
          <w:bCs w:val="0"/>
        </w:rPr>
      </w:r>
    </w:p>
    <w:p>
      <w:pPr>
        <w:pStyle w:val="BodyText"/>
        <w:spacing w:line="240" w:lineRule="auto" w:before="58"/>
        <w:ind w:right="0"/>
        <w:jc w:val="left"/>
      </w:pPr>
      <w:r>
        <w:rPr>
          <w:rFonts w:ascii="宋体" w:hAnsi="宋体" w:cs="宋体" w:eastAsia="宋体" w:hint="default"/>
          <w:b/>
          <w:bCs/>
        </w:rPr>
        <w:t>1</w:t>
      </w:r>
      <w:r>
        <w:rPr>
          <w:rFonts w:ascii="宋体" w:hAnsi="宋体" w:cs="宋体" w:eastAsia="宋体" w:hint="default"/>
          <w:b/>
          <w:bCs/>
        </w:rPr>
        <w:t>、</w:t>
      </w:r>
      <w:r>
        <w:rPr>
          <w:rFonts w:ascii="宋体" w:hAnsi="宋体" w:cs="宋体" w:eastAsia="宋体" w:hint="default"/>
          <w:b/>
          <w:bCs/>
          <w:spacing w:val="-64"/>
        </w:rPr>
        <w:t> </w:t>
      </w:r>
      <w:r>
        <w:rPr/>
        <w:t>已在临时公告披露且后续实施无进展或变化的事项</w:t>
      </w:r>
    </w:p>
    <w:p>
      <w:pPr>
        <w:pStyle w:val="BodyText"/>
        <w:spacing w:line="240" w:lineRule="auto" w:before="58"/>
        <w:ind w:right="0"/>
        <w:jc w:val="left"/>
      </w:pPr>
      <w:r>
        <w:rPr/>
        <w:t>□适用</w:t>
      </w:r>
      <w:r>
        <w:rPr>
          <w:spacing w:val="-1"/>
        </w:rPr>
        <w:t> </w:t>
      </w:r>
      <w:r>
        <w:rPr/>
        <w:t>√不适用</w:t>
      </w:r>
    </w:p>
    <w:p>
      <w:pPr>
        <w:pStyle w:val="BodyText"/>
        <w:spacing w:line="240" w:lineRule="auto" w:before="55"/>
        <w:ind w:right="0"/>
        <w:jc w:val="left"/>
      </w:pP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64"/>
        </w:rPr>
        <w:t> </w:t>
      </w:r>
      <w:r>
        <w:rPr/>
        <w:t>已在临时公告披露，但有后续实施的进展或变化的事项</w:t>
      </w:r>
    </w:p>
    <w:p>
      <w:pPr>
        <w:pStyle w:val="BodyText"/>
        <w:tabs>
          <w:tab w:pos="1097" w:val="left" w:leader="none"/>
        </w:tabs>
        <w:spacing w:line="240" w:lineRule="auto" w:before="58"/>
        <w:ind w:right="0"/>
        <w:jc w:val="left"/>
      </w:pPr>
      <w:r>
        <w:rPr>
          <w:spacing w:val="-1"/>
        </w:rPr>
        <w:t>□适用</w:t>
        <w:tab/>
      </w:r>
      <w:r>
        <w:rPr/>
        <w:t>√不适用</w:t>
      </w:r>
    </w:p>
    <w:p>
      <w:pPr>
        <w:spacing w:before="58"/>
        <w:ind w:left="138" w:right="0" w:firstLine="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w:t>
      </w:r>
      <w:r>
        <w:rPr>
          <w:rFonts w:ascii="宋体" w:hAnsi="宋体" w:cs="宋体" w:eastAsia="宋体" w:hint="default"/>
          <w:b/>
          <w:bCs/>
          <w:spacing w:val="-64"/>
          <w:sz w:val="24"/>
          <w:szCs w:val="24"/>
        </w:rPr>
        <w:t> </w:t>
      </w:r>
      <w:r>
        <w:rPr>
          <w:rFonts w:ascii="宋体" w:hAnsi="宋体" w:cs="宋体" w:eastAsia="宋体" w:hint="default"/>
          <w:sz w:val="24"/>
          <w:szCs w:val="24"/>
        </w:rPr>
        <w:t>临时公告未披露的事项</w:t>
      </w:r>
    </w:p>
    <w:p>
      <w:pPr>
        <w:tabs>
          <w:tab w:pos="977" w:val="left" w:leader="none"/>
        </w:tabs>
        <w:spacing w:line="283" w:lineRule="auto" w:before="58"/>
        <w:ind w:left="138" w:right="7146"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w w:val="95"/>
          <w:sz w:val="24"/>
          <w:szCs w:val="24"/>
        </w:rPr>
        <w:t>(</w:t>
      </w:r>
      <w:r>
        <w:rPr>
          <w:rFonts w:ascii="宋体" w:hAnsi="宋体" w:cs="宋体" w:eastAsia="宋体" w:hint="default"/>
          <w:b/>
          <w:bCs/>
          <w:w w:val="95"/>
          <w:sz w:val="24"/>
          <w:szCs w:val="24"/>
        </w:rPr>
        <w:t>五</w:t>
      </w:r>
      <w:r>
        <w:rPr>
          <w:rFonts w:ascii="宋体" w:hAnsi="宋体" w:cs="宋体" w:eastAsia="宋体" w:hint="default"/>
          <w:b/>
          <w:bCs/>
          <w:w w:val="95"/>
          <w:sz w:val="24"/>
          <w:szCs w:val="24"/>
        </w:rPr>
        <w:t>)</w:t>
        <w:tab/>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tabs>
          <w:tab w:pos="1097" w:val="left" w:leader="none"/>
        </w:tabs>
        <w:spacing w:line="240" w:lineRule="auto" w:before="14"/>
        <w:ind w:right="0"/>
        <w:jc w:val="left"/>
      </w:pPr>
      <w:r>
        <w:rPr>
          <w:spacing w:val="-1"/>
        </w:rPr>
        <w:t>□适用</w:t>
        <w:tab/>
      </w:r>
      <w:r>
        <w:rPr/>
        <w:t>√不适用</w:t>
      </w:r>
    </w:p>
    <w:p>
      <w:pPr>
        <w:spacing w:line="240" w:lineRule="auto" w:before="2"/>
        <w:rPr>
          <w:rFonts w:ascii="宋体" w:hAnsi="宋体" w:cs="宋体" w:eastAsia="宋体" w:hint="default"/>
          <w:sz w:val="28"/>
          <w:szCs w:val="28"/>
        </w:rPr>
      </w:pPr>
    </w:p>
    <w:p>
      <w:pPr>
        <w:pStyle w:val="Heading2"/>
        <w:tabs>
          <w:tab w:pos="977" w:val="left" w:leader="none"/>
        </w:tabs>
        <w:spacing w:line="283" w:lineRule="auto" w:before="0"/>
        <w:ind w:left="138" w:right="5697"/>
        <w:jc w:val="left"/>
        <w:rPr>
          <w:rFonts w:ascii="宋体" w:hAnsi="宋体" w:cs="宋体" w:eastAsia="宋体" w:hint="default"/>
          <w:b w:val="0"/>
          <w:bCs w:val="0"/>
        </w:rPr>
      </w:pPr>
      <w:r>
        <w:rPr/>
        <w:t>十五、重大合同及其履行情况</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托管、承包、租赁事项</w:t>
      </w:r>
      <w:r>
        <w:rPr>
          <w:w w:val="99"/>
        </w:rPr>
        <w:t> </w:t>
      </w:r>
      <w:r>
        <w:rPr>
          <w:rFonts w:ascii="宋体" w:hAnsi="宋体" w:cs="宋体" w:eastAsia="宋体" w:hint="default"/>
        </w:rPr>
        <w:t>1</w:t>
      </w:r>
      <w:r>
        <w:rPr/>
        <w:t>、</w:t>
      </w:r>
      <w:r>
        <w:rPr>
          <w:spacing w:val="-64"/>
        </w:rPr>
        <w:t> </w:t>
      </w:r>
      <w:r>
        <w:rPr>
          <w:rFonts w:ascii="宋体" w:hAnsi="宋体" w:cs="宋体" w:eastAsia="宋体" w:hint="default"/>
          <w:b w:val="0"/>
          <w:bCs w:val="0"/>
        </w:rPr>
        <w:t>托管情况</w:t>
      </w:r>
    </w:p>
    <w:p>
      <w:pPr>
        <w:pStyle w:val="BodyText"/>
        <w:spacing w:line="283" w:lineRule="auto" w:before="12"/>
        <w:ind w:right="7129"/>
        <w:jc w:val="left"/>
      </w:pPr>
      <w:r>
        <w:rPr/>
        <w:t>□适用</w:t>
      </w:r>
      <w:r>
        <w:rPr>
          <w:spacing w:val="-1"/>
        </w:rPr>
        <w:t> </w:t>
      </w:r>
      <w:r>
        <w:rPr/>
        <w:t>√不适用</w:t>
      </w:r>
      <w:r>
        <w:rPr/>
        <w:t> </w:t>
      </w: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64"/>
        </w:rPr>
        <w:t> </w:t>
      </w:r>
      <w:r>
        <w:rPr/>
        <w:t>承包情况</w:t>
      </w:r>
    </w:p>
    <w:p>
      <w:pPr>
        <w:pStyle w:val="BodyText"/>
        <w:spacing w:line="283" w:lineRule="auto" w:before="14"/>
        <w:ind w:right="7129"/>
        <w:jc w:val="left"/>
      </w:pPr>
      <w:r>
        <w:rPr/>
        <w:t>□适用</w:t>
      </w:r>
      <w:r>
        <w:rPr>
          <w:spacing w:val="-1"/>
        </w:rPr>
        <w:t> </w:t>
      </w:r>
      <w:r>
        <w:rPr/>
        <w:t>√不适用</w:t>
      </w:r>
      <w:r>
        <w:rPr/>
        <w:t> </w:t>
      </w:r>
      <w:r>
        <w:rPr>
          <w:rFonts w:ascii="宋体" w:hAnsi="宋体" w:cs="宋体" w:eastAsia="宋体" w:hint="default"/>
          <w:b/>
          <w:bCs/>
        </w:rPr>
        <w:t>3</w:t>
      </w:r>
      <w:r>
        <w:rPr>
          <w:rFonts w:ascii="宋体" w:hAnsi="宋体" w:cs="宋体" w:eastAsia="宋体" w:hint="default"/>
          <w:b/>
          <w:bCs/>
        </w:rPr>
        <w:t>、</w:t>
      </w:r>
      <w:r>
        <w:rPr>
          <w:rFonts w:ascii="宋体" w:hAnsi="宋体" w:cs="宋体" w:eastAsia="宋体" w:hint="default"/>
          <w:b/>
          <w:bCs/>
          <w:spacing w:val="-64"/>
        </w:rPr>
        <w:t> </w:t>
      </w:r>
      <w:r>
        <w:rPr/>
        <w:t>租赁情况</w:t>
      </w:r>
    </w:p>
    <w:p>
      <w:pPr>
        <w:pStyle w:val="BodyText"/>
        <w:spacing w:line="240" w:lineRule="auto" w:before="14"/>
        <w:ind w:right="0"/>
        <w:jc w:val="left"/>
      </w:pPr>
      <w:r>
        <w:rPr/>
        <w:t>□适用</w:t>
      </w:r>
      <w:r>
        <w:rPr>
          <w:spacing w:val="-1"/>
        </w:rPr>
        <w:t> </w:t>
      </w:r>
      <w:r>
        <w:rPr/>
        <w:t>√不适用</w:t>
      </w:r>
    </w:p>
    <w:p>
      <w:pPr>
        <w:spacing w:after="0" w:line="240" w:lineRule="auto"/>
        <w:jc w:val="left"/>
        <w:sectPr>
          <w:pgSz w:w="11910" w:h="16840"/>
          <w:pgMar w:header="0" w:footer="1195" w:top="1120" w:bottom="1380" w:left="166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36"/>
          <w:footerReference w:type="default" r:id="rId37"/>
          <w:pgSz w:w="16840" w:h="11910" w:orient="landscape"/>
          <w:pgMar w:header="882" w:footer="1195" w:top="1120" w:bottom="1380" w:left="940" w:right="1020"/>
          <w:pgNumType w:start="44"/>
        </w:sectPr>
      </w:pPr>
    </w:p>
    <w:p>
      <w:pPr>
        <w:pStyle w:val="Heading2"/>
        <w:tabs>
          <w:tab w:pos="1340" w:val="left" w:leader="none"/>
        </w:tabs>
        <w:spacing w:line="240" w:lineRule="auto" w:before="168"/>
        <w:ind w:left="500" w:right="-2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pStyle w:val="BodyText"/>
        <w:spacing w:line="240" w:lineRule="auto" w:before="55"/>
        <w:ind w:left="500"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tabs>
          <w:tab w:pos="1762" w:val="left" w:leader="none"/>
        </w:tabs>
        <w:spacing w:before="0"/>
        <w:ind w:left="500"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千元</w:t>
        <w:tab/>
        <w:t>币种</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人民币</w:t>
      </w:r>
    </w:p>
    <w:p>
      <w:pPr>
        <w:spacing w:after="0"/>
        <w:jc w:val="left"/>
        <w:rPr>
          <w:rFonts w:ascii="宋体" w:hAnsi="宋体" w:cs="宋体" w:eastAsia="宋体" w:hint="default"/>
          <w:sz w:val="21"/>
          <w:szCs w:val="21"/>
        </w:rPr>
        <w:sectPr>
          <w:type w:val="continuous"/>
          <w:pgSz w:w="16840" w:h="11910" w:orient="landscape"/>
          <w:pgMar w:top="1000" w:bottom="280" w:left="940" w:right="1020"/>
          <w:cols w:num="2" w:equalWidth="0">
            <w:col w:w="2305" w:space="9406"/>
            <w:col w:w="316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27"/>
        <w:gridCol w:w="1157"/>
        <w:gridCol w:w="2468"/>
        <w:gridCol w:w="1274"/>
        <w:gridCol w:w="1241"/>
        <w:gridCol w:w="1109"/>
        <w:gridCol w:w="1111"/>
        <w:gridCol w:w="1359"/>
        <w:gridCol w:w="566"/>
        <w:gridCol w:w="389"/>
        <w:gridCol w:w="386"/>
        <w:gridCol w:w="473"/>
        <w:gridCol w:w="569"/>
        <w:gridCol w:w="1027"/>
      </w:tblGrid>
      <w:tr>
        <w:trPr>
          <w:trHeight w:val="302" w:hRule="exact"/>
        </w:trPr>
        <w:tc>
          <w:tcPr>
            <w:tcW w:w="14657"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91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45" w:right="45"/>
              <w:jc w:val="center"/>
              <w:rPr>
                <w:rFonts w:ascii="宋体" w:hAnsi="宋体" w:cs="宋体" w:eastAsia="宋体" w:hint="default"/>
                <w:sz w:val="21"/>
                <w:szCs w:val="21"/>
              </w:rPr>
            </w:pPr>
            <w:r>
              <w:rPr>
                <w:rFonts w:ascii="宋体" w:hAnsi="宋体" w:cs="宋体" w:eastAsia="宋体" w:hint="default"/>
                <w:sz w:val="21"/>
                <w:szCs w:val="21"/>
              </w:rPr>
              <w:t>担保方与上</w:t>
            </w:r>
            <w:r>
              <w:rPr>
                <w:rFonts w:ascii="宋体" w:hAnsi="宋体" w:cs="宋体" w:eastAsia="宋体" w:hint="default"/>
                <w:w w:val="100"/>
                <w:sz w:val="21"/>
                <w:szCs w:val="21"/>
              </w:rPr>
              <w:t> </w:t>
            </w:r>
            <w:r>
              <w:rPr>
                <w:rFonts w:ascii="宋体" w:hAnsi="宋体" w:cs="宋体" w:eastAsia="宋体" w:hint="default"/>
                <w:sz w:val="21"/>
                <w:szCs w:val="21"/>
              </w:rPr>
              <w:t>市公司的关</w:t>
            </w:r>
            <w:r>
              <w:rPr>
                <w:rFonts w:ascii="宋体" w:hAnsi="宋体" w:cs="宋体" w:eastAsia="宋体" w:hint="default"/>
                <w:w w:val="100"/>
                <w:sz w:val="21"/>
                <w:szCs w:val="21"/>
              </w:rPr>
              <w:t> </w:t>
            </w:r>
            <w:r>
              <w:rPr>
                <w:rFonts w:ascii="宋体" w:hAnsi="宋体" w:cs="宋体" w:eastAsia="宋体" w:hint="default"/>
                <w:sz w:val="21"/>
                <w:szCs w:val="21"/>
              </w:rPr>
              <w:t>系</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808"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38" w:right="34" w:firstLine="2"/>
              <w:jc w:val="center"/>
              <w:rPr>
                <w:rFonts w:ascii="宋体" w:hAnsi="宋体" w:cs="宋体" w:eastAsia="宋体" w:hint="default"/>
                <w:sz w:val="21"/>
                <w:szCs w:val="21"/>
              </w:rPr>
            </w:pPr>
            <w:r>
              <w:rPr>
                <w:rFonts w:ascii="宋体" w:hAnsi="宋体" w:cs="宋体" w:eastAsia="宋体" w:hint="default"/>
                <w:sz w:val="21"/>
                <w:szCs w:val="21"/>
              </w:rPr>
              <w:t>担保发生日</w:t>
            </w:r>
            <w:r>
              <w:rPr>
                <w:rFonts w:ascii="宋体" w:hAnsi="宋体" w:cs="宋体" w:eastAsia="宋体" w:hint="default"/>
                <w:w w:val="100"/>
                <w:sz w:val="21"/>
                <w:szCs w:val="21"/>
              </w:rPr>
              <w:t> </w:t>
            </w:r>
            <w:r>
              <w:rPr>
                <w:rFonts w:ascii="宋体" w:hAnsi="宋体" w:cs="宋体" w:eastAsia="宋体" w:hint="default"/>
                <w:spacing w:val="-1"/>
                <w:sz w:val="21"/>
                <w:szCs w:val="21"/>
              </w:rPr>
              <w:t>期</w:t>
            </w:r>
            <w:r>
              <w:rPr>
                <w:rFonts w:ascii="宋体" w:hAnsi="宋体" w:cs="宋体" w:eastAsia="宋体" w:hint="default"/>
                <w:spacing w:val="-1"/>
                <w:sz w:val="21"/>
                <w:szCs w:val="21"/>
              </w:rPr>
              <w:t>(</w:t>
            </w:r>
            <w:r>
              <w:rPr>
                <w:rFonts w:ascii="宋体" w:hAnsi="宋体" w:cs="宋体" w:eastAsia="宋体" w:hint="default"/>
                <w:spacing w:val="-1"/>
                <w:sz w:val="21"/>
                <w:szCs w:val="21"/>
              </w:rPr>
              <w:t>协议签署</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232" w:right="230"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235" w:right="230"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担保类型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69" w:right="62"/>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83" w:right="83"/>
              <w:jc w:val="both"/>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逾</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81" w:right="83"/>
              <w:jc w:val="both"/>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逾</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both"/>
              <w:rPr>
                <w:rFonts w:ascii="宋体" w:hAnsi="宋体" w:cs="宋体" w:eastAsia="宋体" w:hint="default"/>
                <w:sz w:val="21"/>
                <w:szCs w:val="21"/>
              </w:rPr>
            </w:pPr>
            <w:r>
              <w:rPr>
                <w:rFonts w:ascii="宋体" w:hAnsi="宋体" w:cs="宋体" w:eastAsia="宋体" w:hint="default"/>
                <w:w w:val="100"/>
                <w:sz w:val="21"/>
                <w:szCs w:val="21"/>
              </w:rPr>
              <w:t>是</w:t>
            </w:r>
          </w:p>
          <w:p>
            <w:pPr>
              <w:pStyle w:val="TableParagraph"/>
              <w:spacing w:line="237" w:lineRule="auto"/>
              <w:ind w:left="124" w:right="125"/>
              <w:jc w:val="both"/>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存</w:t>
            </w:r>
            <w:r>
              <w:rPr>
                <w:rFonts w:ascii="宋体" w:hAnsi="宋体" w:cs="宋体" w:eastAsia="宋体" w:hint="default"/>
                <w:w w:val="100"/>
                <w:sz w:val="21"/>
                <w:szCs w:val="21"/>
              </w:rPr>
              <w:t> </w:t>
            </w: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反</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69" w:right="6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297" w:right="295"/>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30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美都能源股份有限公司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5"/>
              <w:jc w:val="right"/>
              <w:rPr>
                <w:rFonts w:ascii="宋体" w:hAnsi="宋体" w:cs="宋体" w:eastAsia="宋体" w:hint="default"/>
                <w:sz w:val="21"/>
                <w:szCs w:val="21"/>
              </w:rPr>
            </w:pPr>
            <w:r>
              <w:rPr>
                <w:rFonts w:ascii="宋体"/>
                <w:spacing w:val="-1"/>
                <w:sz w:val="21"/>
              </w:rPr>
              <w:t>100,000.00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2017-5-27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2017-5-27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2018-5-26</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6"/>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美都能源股份有限公司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29,000.00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2017-8-1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2017-8-1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2018-6-30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美都能源股份有限公司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50,000.00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2017-12-15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2017-12-15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2018-12-14</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美都能源股份有限公司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50,000.00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2017-12-22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2017-12-22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2018-12-21</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美都经贸浙江有限公司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5"/>
              <w:jc w:val="right"/>
              <w:rPr>
                <w:rFonts w:ascii="宋体" w:hAnsi="宋体" w:cs="宋体" w:eastAsia="宋体" w:hint="default"/>
                <w:sz w:val="21"/>
                <w:szCs w:val="21"/>
              </w:rPr>
            </w:pPr>
            <w:r>
              <w:rPr>
                <w:rFonts w:ascii="宋体"/>
                <w:spacing w:val="-1"/>
                <w:sz w:val="21"/>
              </w:rPr>
              <w:t>20,000.00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sz w:val="21"/>
              </w:rPr>
              <w:t>2017-4-25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sz w:val="21"/>
              </w:rPr>
              <w:t>2017-4-25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sz w:val="21"/>
              </w:rPr>
              <w:t>2018-4-20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6"/>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美都经贸浙江有限公司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20,000.00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2017-11-9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2017-11-9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2018-5-8</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美都经贸浙江有限公司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30,000.00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2017-11-22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2017-11-22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2018-5-22</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济和集团有限公司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10,000.00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2017-3-17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2017-3-17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2018-3-17</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济和集团有限公司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5"/>
              <w:jc w:val="right"/>
              <w:rPr>
                <w:rFonts w:ascii="宋体" w:hAnsi="宋体" w:cs="宋体" w:eastAsia="宋体" w:hint="default"/>
                <w:sz w:val="21"/>
                <w:szCs w:val="21"/>
              </w:rPr>
            </w:pPr>
            <w:r>
              <w:rPr>
                <w:rFonts w:ascii="宋体"/>
                <w:spacing w:val="-1"/>
                <w:sz w:val="21"/>
              </w:rPr>
              <w:t>20,000.00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2017-4-11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2017-4-11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2018-4-11</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6"/>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济和集团有限公司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9,999.00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2017-9-7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2017-9-7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2018-3-7</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济和集团有限公司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27,499.00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2017-10-19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2017-10-19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2018-4-19</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4,802.64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2017-9-28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2017-9-28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2018-1-10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5"/>
              <w:jc w:val="right"/>
              <w:rPr>
                <w:rFonts w:ascii="宋体" w:hAnsi="宋体" w:cs="宋体" w:eastAsia="宋体" w:hint="default"/>
                <w:sz w:val="21"/>
                <w:szCs w:val="21"/>
              </w:rPr>
            </w:pPr>
            <w:r>
              <w:rPr>
                <w:rFonts w:ascii="宋体"/>
                <w:spacing w:val="-1"/>
                <w:sz w:val="21"/>
              </w:rPr>
              <w:t>4,099.75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sz w:val="21"/>
              </w:rPr>
              <w:t>2017-10-10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sz w:val="21"/>
              </w:rPr>
              <w:t>2017-10-10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sz w:val="21"/>
              </w:rPr>
              <w:t>2018-1-8</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6"/>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9,435.38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2017-10-17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2017-10-17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2018-2-5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4,207.31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2017-10-24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2017-10-24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2018-1-22</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4,013.60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2017-10-27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2017-10-27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2018-1-24</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5"/>
              <w:jc w:val="right"/>
              <w:rPr>
                <w:rFonts w:ascii="宋体" w:hAnsi="宋体" w:cs="宋体" w:eastAsia="宋体" w:hint="default"/>
                <w:sz w:val="21"/>
                <w:szCs w:val="21"/>
              </w:rPr>
            </w:pPr>
            <w:r>
              <w:rPr>
                <w:rFonts w:ascii="宋体"/>
                <w:spacing w:val="-1"/>
                <w:sz w:val="21"/>
              </w:rPr>
              <w:t>2,769.03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2017-11-9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2017-11-9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2018-1-18</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6"/>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00" w:bottom="280" w:left="94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1527"/>
        <w:gridCol w:w="1157"/>
        <w:gridCol w:w="2468"/>
        <w:gridCol w:w="1274"/>
        <w:gridCol w:w="1241"/>
        <w:gridCol w:w="1109"/>
        <w:gridCol w:w="1111"/>
        <w:gridCol w:w="1359"/>
        <w:gridCol w:w="566"/>
        <w:gridCol w:w="389"/>
        <w:gridCol w:w="386"/>
        <w:gridCol w:w="473"/>
        <w:gridCol w:w="569"/>
        <w:gridCol w:w="1027"/>
      </w:tblGrid>
      <w:tr>
        <w:trPr>
          <w:trHeight w:val="3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1,013.77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2017-11-9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2017-11-9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2018-1-14</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5,008.46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2017-11-14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2017-11-14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2018-2-5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10,206.42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2017-11-14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2017-11-14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2018-5-24</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5"/>
              <w:jc w:val="right"/>
              <w:rPr>
                <w:rFonts w:ascii="宋体" w:hAnsi="宋体" w:cs="宋体" w:eastAsia="宋体" w:hint="default"/>
                <w:sz w:val="21"/>
                <w:szCs w:val="21"/>
              </w:rPr>
            </w:pPr>
            <w:r>
              <w:rPr>
                <w:rFonts w:ascii="宋体"/>
                <w:spacing w:val="-1"/>
                <w:sz w:val="21"/>
              </w:rPr>
              <w:t>2,079.66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2017-10-12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2017-10-12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2018-1-8</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浙江允升投资</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5"/>
              <w:jc w:val="right"/>
              <w:rPr>
                <w:rFonts w:ascii="宋体" w:hAnsi="宋体" w:cs="宋体" w:eastAsia="宋体" w:hint="default"/>
                <w:sz w:val="21"/>
                <w:szCs w:val="21"/>
              </w:rPr>
            </w:pPr>
            <w:r>
              <w:rPr>
                <w:rFonts w:ascii="宋体"/>
                <w:spacing w:val="-1"/>
                <w:sz w:val="21"/>
              </w:rPr>
              <w:t>2,032.17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2017-10-23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2017-10-23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2018-1-21</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浙江允升投资</w:t>
            </w:r>
          </w:p>
          <w:p>
            <w:pPr>
              <w:pStyle w:val="TableParagraph"/>
              <w:spacing w:line="275" w:lineRule="exact"/>
              <w:ind w:left="24"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15"/>
              <w:jc w:val="right"/>
              <w:rPr>
                <w:rFonts w:ascii="宋体" w:hAnsi="宋体" w:cs="宋体" w:eastAsia="宋体" w:hint="default"/>
                <w:sz w:val="21"/>
                <w:szCs w:val="21"/>
              </w:rPr>
            </w:pPr>
            <w:r>
              <w:rPr>
                <w:rFonts w:ascii="宋体"/>
                <w:spacing w:val="-1"/>
                <w:sz w:val="21"/>
              </w:rPr>
              <w:t>4,068.10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2017-10-23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sz w:val="21"/>
              </w:rPr>
              <w:t>2017-10-23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2018-1-21</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浙江允升投资</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5"/>
              <w:jc w:val="right"/>
              <w:rPr>
                <w:rFonts w:ascii="宋体" w:hAnsi="宋体" w:cs="宋体" w:eastAsia="宋体" w:hint="default"/>
                <w:sz w:val="21"/>
                <w:szCs w:val="21"/>
              </w:rPr>
            </w:pPr>
            <w:r>
              <w:rPr>
                <w:rFonts w:ascii="宋体"/>
                <w:spacing w:val="-1"/>
                <w:sz w:val="21"/>
              </w:rPr>
              <w:t>5,087.73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2017-12-22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2017-12-22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2018-3-12</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浙江允升投资</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5"/>
              <w:jc w:val="right"/>
              <w:rPr>
                <w:rFonts w:ascii="宋体" w:hAnsi="宋体" w:cs="宋体" w:eastAsia="宋体" w:hint="default"/>
                <w:sz w:val="21"/>
                <w:szCs w:val="21"/>
              </w:rPr>
            </w:pPr>
            <w:r>
              <w:rPr>
                <w:rFonts w:ascii="宋体"/>
                <w:spacing w:val="-1"/>
                <w:sz w:val="21"/>
              </w:rPr>
              <w:t>120,000.00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2017-5-3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sz w:val="21"/>
              </w:rPr>
              <w:t>2017-5-3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2018-5-11</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300,000.00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2016-9-21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2016-9-21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2018-9-21</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30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5"/>
              <w:jc w:val="right"/>
              <w:rPr>
                <w:rFonts w:ascii="宋体" w:hAnsi="宋体" w:cs="宋体" w:eastAsia="宋体" w:hint="default"/>
                <w:sz w:val="21"/>
                <w:szCs w:val="21"/>
              </w:rPr>
            </w:pPr>
            <w:r>
              <w:rPr>
                <w:rFonts w:ascii="宋体"/>
                <w:spacing w:val="-1"/>
                <w:sz w:val="21"/>
              </w:rPr>
              <w:t>500,000.00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2016-10-27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2016-10-27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2018-10-27</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3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149,000.00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2017-4-21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2017-4-21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2018-4-20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30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200,000.00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2017-4-27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2017-4-27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2018-4-25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3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200,000.00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2017-5-3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2017-5-3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2018-5-3</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30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5"/>
              <w:jc w:val="right"/>
              <w:rPr>
                <w:rFonts w:ascii="宋体" w:hAnsi="宋体" w:cs="宋体" w:eastAsia="宋体" w:hint="default"/>
                <w:sz w:val="21"/>
                <w:szCs w:val="21"/>
              </w:rPr>
            </w:pPr>
            <w:r>
              <w:rPr>
                <w:rFonts w:ascii="宋体"/>
                <w:spacing w:val="-1"/>
                <w:sz w:val="21"/>
              </w:rPr>
              <w:t>280,000.00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2017-6-1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2017-6-1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2018-5-23</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3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51,000.00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2017-6-6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2017-6-6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2018-6-5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3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100,000.00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2017-7-18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2017-7-18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2018-1-20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3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500,000.00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2017-8-11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2017-8-11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2019-8-9</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30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5"/>
              <w:jc w:val="right"/>
              <w:rPr>
                <w:rFonts w:ascii="宋体" w:hAnsi="宋体" w:cs="宋体" w:eastAsia="宋体" w:hint="default"/>
                <w:sz w:val="21"/>
                <w:szCs w:val="21"/>
              </w:rPr>
            </w:pPr>
            <w:r>
              <w:rPr>
                <w:rFonts w:ascii="宋体"/>
                <w:spacing w:val="-1"/>
                <w:sz w:val="21"/>
              </w:rPr>
              <w:t>250,000.00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2017-8-23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2017-8-23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2018-8-22</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3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50,000.00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2017-9-6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2017-9-6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2018-9-5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3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50,000.00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2017-11-9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2017-11-9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2018-11-8</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30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50,000.00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2017-12-27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2017-12-27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2018-12-26</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319" w:hRule="exact"/>
        </w:trPr>
        <w:tc>
          <w:tcPr>
            <w:tcW w:w="877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588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5"/>
              <w:jc w:val="right"/>
              <w:rPr>
                <w:rFonts w:ascii="宋体" w:hAnsi="宋体" w:cs="宋体" w:eastAsia="宋体" w:hint="default"/>
                <w:sz w:val="21"/>
                <w:szCs w:val="21"/>
              </w:rPr>
            </w:pPr>
            <w:r>
              <w:rPr>
                <w:rFonts w:ascii="宋体"/>
                <w:spacing w:val="-1"/>
                <w:sz w:val="21"/>
              </w:rPr>
              <w:t>2,425,322.02</w:t>
            </w:r>
          </w:p>
        </w:tc>
      </w:tr>
      <w:tr>
        <w:trPr>
          <w:trHeight w:val="317" w:hRule="exact"/>
        </w:trPr>
        <w:tc>
          <w:tcPr>
            <w:tcW w:w="877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）（不包括对子公司的担保）</w:t>
            </w:r>
          </w:p>
        </w:tc>
        <w:tc>
          <w:tcPr>
            <w:tcW w:w="588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3,225,322.02</w:t>
            </w:r>
          </w:p>
        </w:tc>
      </w:tr>
      <w:tr>
        <w:trPr>
          <w:trHeight w:val="319" w:hRule="exact"/>
        </w:trPr>
        <w:tc>
          <w:tcPr>
            <w:tcW w:w="14657"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3"/>
              <w:jc w:val="center"/>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19" w:hRule="exact"/>
        </w:trPr>
        <w:tc>
          <w:tcPr>
            <w:tcW w:w="877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88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8,807,926.50</w:t>
            </w:r>
          </w:p>
        </w:tc>
      </w:tr>
    </w:tbl>
    <w:p>
      <w:pPr>
        <w:spacing w:after="0" w:line="241" w:lineRule="exact"/>
        <w:jc w:val="right"/>
        <w:rPr>
          <w:rFonts w:ascii="宋体" w:hAnsi="宋体" w:cs="宋体" w:eastAsia="宋体" w:hint="default"/>
          <w:sz w:val="21"/>
          <w:szCs w:val="21"/>
        </w:rPr>
        <w:sectPr>
          <w:pgSz w:w="16840" w:h="11910" w:orient="landscape"/>
          <w:pgMar w:header="882" w:footer="1195" w:top="1120" w:bottom="1380" w:left="94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8776"/>
        <w:gridCol w:w="5881"/>
      </w:tblGrid>
      <w:tr>
        <w:trPr>
          <w:trHeight w:val="317" w:hRule="exact"/>
        </w:trPr>
        <w:tc>
          <w:tcPr>
            <w:tcW w:w="8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17,980,136.50</w:t>
            </w:r>
          </w:p>
        </w:tc>
      </w:tr>
      <w:tr>
        <w:trPr>
          <w:trHeight w:val="319" w:hRule="exact"/>
        </w:trPr>
        <w:tc>
          <w:tcPr>
            <w:tcW w:w="14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3"/>
              <w:jc w:val="center"/>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8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21,205,458.52</w:t>
            </w:r>
          </w:p>
        </w:tc>
      </w:tr>
      <w:tr>
        <w:trPr>
          <w:trHeight w:val="317" w:hRule="exact"/>
        </w:trPr>
        <w:tc>
          <w:tcPr>
            <w:tcW w:w="8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z w:val="21"/>
              </w:rPr>
              <w:t>64.46</w:t>
            </w:r>
          </w:p>
        </w:tc>
      </w:tr>
      <w:tr>
        <w:trPr>
          <w:trHeight w:val="319" w:hRule="exact"/>
        </w:trPr>
        <w:tc>
          <w:tcPr>
            <w:tcW w:w="14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17" w:hRule="exact"/>
        </w:trPr>
        <w:tc>
          <w:tcPr>
            <w:tcW w:w="8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宋体" w:hAnsi="宋体" w:cs="宋体" w:eastAsia="宋体" w:hint="default"/>
                <w:sz w:val="21"/>
                <w:szCs w:val="21"/>
              </w:rPr>
              <w:t>C</w:t>
            </w:r>
            <w:r>
              <w:rPr>
                <w:rFonts w:ascii="宋体" w:hAnsi="宋体" w:cs="宋体" w:eastAsia="宋体" w:hint="default"/>
                <w:sz w:val="21"/>
                <w:szCs w:val="21"/>
              </w:rPr>
              <w:t>）</w:t>
            </w:r>
          </w:p>
        </w:tc>
        <w:tc>
          <w:tcPr>
            <w:tcW w:w="5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2,680,000.00</w:t>
            </w:r>
          </w:p>
        </w:tc>
      </w:tr>
      <w:tr>
        <w:trPr>
          <w:trHeight w:val="319" w:hRule="exact"/>
        </w:trPr>
        <w:tc>
          <w:tcPr>
            <w:tcW w:w="8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16,443,899.80</w:t>
            </w:r>
          </w:p>
        </w:tc>
      </w:tr>
      <w:tr>
        <w:trPr>
          <w:trHeight w:val="317" w:hRule="exact"/>
        </w:trPr>
        <w:tc>
          <w:tcPr>
            <w:tcW w:w="8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5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4,755,665.86</w:t>
            </w:r>
          </w:p>
        </w:tc>
      </w:tr>
      <w:tr>
        <w:trPr>
          <w:trHeight w:val="319" w:hRule="exact"/>
        </w:trPr>
        <w:tc>
          <w:tcPr>
            <w:tcW w:w="87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right"/>
              <w:rPr>
                <w:rFonts w:ascii="宋体" w:hAnsi="宋体" w:cs="宋体" w:eastAsia="宋体" w:hint="default"/>
                <w:sz w:val="21"/>
                <w:szCs w:val="21"/>
              </w:rPr>
            </w:pPr>
            <w:r>
              <w:rPr>
                <w:rFonts w:ascii="宋体"/>
                <w:spacing w:val="-1"/>
                <w:sz w:val="21"/>
              </w:rPr>
              <w:t>23,879,565.66</w:t>
            </w:r>
          </w:p>
        </w:tc>
      </w:tr>
      <w:tr>
        <w:trPr>
          <w:trHeight w:val="317" w:hRule="exact"/>
        </w:trPr>
        <w:tc>
          <w:tcPr>
            <w:tcW w:w="877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19" w:hRule="exact"/>
        </w:trPr>
        <w:tc>
          <w:tcPr>
            <w:tcW w:w="8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7"/>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6840" w:h="11910" w:orient="landscape"/>
          <w:pgMar w:header="882" w:footer="1195" w:top="1120" w:bottom="1380" w:left="940" w:right="1020"/>
        </w:sectPr>
      </w:pPr>
    </w:p>
    <w:p>
      <w:pPr>
        <w:pStyle w:val="Heading2"/>
        <w:tabs>
          <w:tab w:pos="1340" w:val="left" w:leader="none"/>
        </w:tabs>
        <w:spacing w:line="283" w:lineRule="auto"/>
        <w:ind w:left="500"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w w:val="95"/>
        </w:rPr>
        <w:t>委托他人进行现金资产管理的情况</w:t>
      </w:r>
      <w:r>
        <w:rPr>
          <w:spacing w:val="63"/>
          <w:w w:val="95"/>
        </w:rPr>
        <w:t> </w:t>
      </w:r>
      <w:r>
        <w:rPr>
          <w:spacing w:val="63"/>
          <w:w w:val="95"/>
        </w:rPr>
      </w:r>
      <w:r>
        <w:rPr>
          <w:rFonts w:ascii="宋体" w:hAnsi="宋体" w:cs="宋体" w:eastAsia="宋体" w:hint="default"/>
        </w:rPr>
        <w:t>1</w:t>
      </w:r>
      <w:r>
        <w:rPr/>
        <w:t>、</w:t>
      </w:r>
      <w:r>
        <w:rPr>
          <w:spacing w:val="-3"/>
        </w:rPr>
        <w:t> </w:t>
      </w:r>
      <w:r>
        <w:rPr/>
        <w:t>委托理财情况</w:t>
      </w:r>
      <w:r>
        <w:rPr>
          <w:b w:val="0"/>
          <w:bCs w:val="0"/>
        </w:rPr>
      </w:r>
    </w:p>
    <w:p>
      <w:pPr>
        <w:pStyle w:val="Heading2"/>
        <w:tabs>
          <w:tab w:pos="1340" w:val="left" w:leader="none"/>
        </w:tabs>
        <w:spacing w:line="313" w:lineRule="exact" w:before="14"/>
        <w:ind w:left="500" w:right="0"/>
        <w:jc w:val="left"/>
        <w:rPr>
          <w:b w:val="0"/>
          <w:bCs w:val="0"/>
        </w:rPr>
      </w:pPr>
      <w:r>
        <w:rPr>
          <w:rFonts w:ascii="宋体" w:hAnsi="宋体" w:cs="宋体" w:eastAsia="宋体" w:hint="default"/>
        </w:rPr>
        <w:t>(1).</w:t>
        <w:tab/>
      </w:r>
      <w:r>
        <w:rPr/>
        <w:t>委托理财总体情况</w:t>
      </w:r>
      <w:r>
        <w:rPr>
          <w:b w:val="0"/>
          <w:bCs w:val="0"/>
        </w:rPr>
      </w:r>
    </w:p>
    <w:p>
      <w:pPr>
        <w:pStyle w:val="BodyText"/>
        <w:tabs>
          <w:tab w:pos="1460" w:val="left" w:leader="none"/>
        </w:tabs>
        <w:spacing w:line="313" w:lineRule="exact"/>
        <w:ind w:left="500"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tabs>
          <w:tab w:pos="1762" w:val="left" w:leader="none"/>
        </w:tabs>
        <w:spacing w:before="0"/>
        <w:ind w:left="500"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单位：千元</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6840" w:h="11910" w:orient="landscape"/>
          <w:pgMar w:top="1000" w:bottom="280" w:left="940" w:right="1020"/>
          <w:cols w:num="2" w:equalWidth="0">
            <w:col w:w="4954" w:space="6398"/>
            <w:col w:w="3528"/>
          </w:cols>
        </w:sectPr>
      </w:pPr>
    </w:p>
    <w:p>
      <w:pPr>
        <w:spacing w:line="240" w:lineRule="auto" w:before="7"/>
        <w:rPr>
          <w:rFonts w:ascii="宋体" w:hAnsi="宋体" w:cs="宋体" w:eastAsia="宋体" w:hint="default"/>
          <w:sz w:val="2"/>
          <w:szCs w:val="2"/>
        </w:rPr>
      </w:pPr>
    </w:p>
    <w:tbl>
      <w:tblPr>
        <w:tblW w:w="0" w:type="auto"/>
        <w:jc w:val="left"/>
        <w:tblInd w:w="387" w:type="dxa"/>
        <w:tblLayout w:type="fixed"/>
        <w:tblCellMar>
          <w:top w:w="0" w:type="dxa"/>
          <w:left w:w="0" w:type="dxa"/>
          <w:bottom w:w="0" w:type="dxa"/>
          <w:right w:w="0" w:type="dxa"/>
        </w:tblCellMar>
        <w:tblLook w:val="01E0"/>
      </w:tblPr>
      <w:tblGrid>
        <w:gridCol w:w="2597"/>
        <w:gridCol w:w="2650"/>
        <w:gridCol w:w="2650"/>
        <w:gridCol w:w="2648"/>
        <w:gridCol w:w="3545"/>
      </w:tblGrid>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7"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资金来源</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4"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2"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4,600,000.00</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1,150,000.00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0.00</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1,800,000.00</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bl>
    <w:p>
      <w:pPr>
        <w:spacing w:line="240" w:lineRule="auto" w:before="11"/>
        <w:rPr>
          <w:rFonts w:ascii="宋体" w:hAnsi="宋体" w:cs="宋体" w:eastAsia="宋体" w:hint="default"/>
          <w:sz w:val="18"/>
          <w:szCs w:val="18"/>
        </w:rPr>
      </w:pPr>
    </w:p>
    <w:p>
      <w:pPr>
        <w:pStyle w:val="Heading2"/>
        <w:spacing w:line="312" w:lineRule="exact"/>
        <w:ind w:left="500" w:right="0"/>
        <w:jc w:val="left"/>
        <w:rPr>
          <w:b w:val="0"/>
          <w:bCs w:val="0"/>
        </w:rPr>
      </w:pPr>
      <w:r>
        <w:rPr/>
        <w:t>其他情况</w:t>
      </w:r>
      <w:r>
        <w:rPr>
          <w:b w:val="0"/>
          <w:bCs w:val="0"/>
        </w:rPr>
      </w:r>
    </w:p>
    <w:p>
      <w:pPr>
        <w:pStyle w:val="BodyText"/>
        <w:tabs>
          <w:tab w:pos="1460" w:val="left" w:leader="none"/>
        </w:tabs>
        <w:spacing w:line="312" w:lineRule="exact"/>
        <w:ind w:left="500" w:right="0"/>
        <w:jc w:val="left"/>
      </w:pPr>
      <w:r>
        <w:rPr/>
        <w:t>√适用</w:t>
        <w:tab/>
        <w:t>□不适用</w:t>
      </w:r>
    </w:p>
    <w:p>
      <w:pPr>
        <w:spacing w:after="0" w:line="312" w:lineRule="exact"/>
        <w:jc w:val="left"/>
        <w:sectPr>
          <w:type w:val="continuous"/>
          <w:pgSz w:w="16840" w:h="11910" w:orient="landscape"/>
          <w:pgMar w:top="1000" w:bottom="280" w:left="940" w:right="10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before="26"/>
        <w:ind w:left="1300" w:right="814"/>
        <w:jc w:val="left"/>
      </w:pPr>
      <w:r>
        <w:rPr/>
        <w:t>公司第九届董事会第十次会议和</w:t>
      </w:r>
      <w:r>
        <w:rPr>
          <w:spacing w:val="-60"/>
        </w:rPr>
        <w:t> </w:t>
      </w:r>
      <w:r>
        <w:rPr>
          <w:rFonts w:ascii="宋体" w:hAnsi="宋体" w:cs="宋体" w:eastAsia="宋体" w:hint="default"/>
        </w:rPr>
        <w:t>2015</w:t>
      </w:r>
      <w:r>
        <w:rPr>
          <w:rFonts w:ascii="宋体" w:hAnsi="宋体" w:cs="宋体" w:eastAsia="宋体" w:hint="default"/>
          <w:spacing w:val="-60"/>
        </w:rPr>
        <w:t> </w:t>
      </w:r>
      <w:r>
        <w:rPr/>
        <w:t>年年度股东大会审议通过《关于使用自有资金开展短期理财业务的议案》，同意公司使用</w:t>
      </w:r>
    </w:p>
    <w:p>
      <w:pPr>
        <w:pStyle w:val="BodyText"/>
        <w:spacing w:line="240" w:lineRule="auto" w:before="151"/>
        <w:ind w:left="820" w:right="814"/>
        <w:jc w:val="left"/>
      </w:pPr>
      <w:r>
        <w:rPr/>
        <w:t>最高额度不超过</w:t>
      </w:r>
      <w:r>
        <w:rPr>
          <w:spacing w:val="-60"/>
        </w:rPr>
        <w:t> </w:t>
      </w:r>
      <w:r>
        <w:rPr>
          <w:rFonts w:ascii="宋体" w:hAnsi="宋体" w:cs="宋体" w:eastAsia="宋体" w:hint="default"/>
        </w:rPr>
        <w:t>50</w:t>
      </w:r>
      <w:r>
        <w:rPr>
          <w:rFonts w:ascii="宋体" w:hAnsi="宋体" w:cs="宋体" w:eastAsia="宋体" w:hint="default"/>
          <w:spacing w:val="-60"/>
        </w:rPr>
        <w:t> </w:t>
      </w:r>
      <w:r>
        <w:rPr/>
        <w:t>亿元人民币的短期闲置自有资金开展短期理财业务，择机购买低风险的短期理财产品，上述额度内资金可滚动使</w:t>
      </w:r>
    </w:p>
    <w:p>
      <w:pPr>
        <w:pStyle w:val="BodyText"/>
        <w:spacing w:line="240" w:lineRule="auto" w:before="154"/>
        <w:ind w:left="820" w:right="814"/>
        <w:jc w:val="left"/>
      </w:pPr>
      <w:r>
        <w:rPr/>
        <w:t>用，额度有效期自公司股东大会审议通过之日起至</w:t>
      </w:r>
      <w:r>
        <w:rPr>
          <w:spacing w:val="-59"/>
        </w:rPr>
        <w:t> </w:t>
      </w:r>
      <w:r>
        <w:rPr>
          <w:rFonts w:ascii="宋体" w:hAnsi="宋体" w:cs="宋体" w:eastAsia="宋体" w:hint="default"/>
        </w:rPr>
        <w:t>2017</w:t>
      </w:r>
      <w:r>
        <w:rPr>
          <w:rFonts w:ascii="宋体" w:hAnsi="宋体" w:cs="宋体" w:eastAsia="宋体" w:hint="default"/>
          <w:spacing w:val="-60"/>
        </w:rPr>
        <w:t> </w:t>
      </w:r>
      <w:r>
        <w:rPr/>
        <w:t>年年度股东大会召开日。</w:t>
      </w:r>
    </w:p>
    <w:p>
      <w:pPr>
        <w:pStyle w:val="BodyText"/>
        <w:spacing w:line="240" w:lineRule="auto" w:before="151"/>
        <w:ind w:left="1300" w:right="814"/>
        <w:jc w:val="left"/>
      </w:pPr>
      <w:r>
        <w:rPr/>
        <w:t>公司第九届董事会第二十七次会议和</w:t>
      </w:r>
      <w:r>
        <w:rPr>
          <w:spacing w:val="-60"/>
        </w:rPr>
        <w:t> </w:t>
      </w:r>
      <w:r>
        <w:rPr>
          <w:rFonts w:ascii="宋体" w:hAnsi="宋体" w:cs="宋体" w:eastAsia="宋体" w:hint="default"/>
        </w:rPr>
        <w:t>2016</w:t>
      </w:r>
      <w:r>
        <w:rPr>
          <w:rFonts w:ascii="宋体" w:hAnsi="宋体" w:cs="宋体" w:eastAsia="宋体" w:hint="default"/>
          <w:spacing w:val="-60"/>
        </w:rPr>
        <w:t> </w:t>
      </w:r>
      <w:r>
        <w:rPr/>
        <w:t>年年度股东大会审议通过《关于</w:t>
      </w:r>
      <w:r>
        <w:rPr>
          <w:spacing w:val="-60"/>
        </w:rPr>
        <w:t> </w:t>
      </w:r>
      <w:r>
        <w:rPr>
          <w:rFonts w:ascii="宋体" w:hAnsi="宋体" w:cs="宋体" w:eastAsia="宋体" w:hint="default"/>
        </w:rPr>
        <w:t>2017</w:t>
      </w:r>
      <w:r>
        <w:rPr>
          <w:rFonts w:ascii="宋体" w:hAnsi="宋体" w:cs="宋体" w:eastAsia="宋体" w:hint="default"/>
          <w:spacing w:val="-60"/>
        </w:rPr>
        <w:t> </w:t>
      </w:r>
      <w:r>
        <w:rPr/>
        <w:t>年度日常关联交易的议案》，同意</w:t>
      </w:r>
      <w:r>
        <w:rPr>
          <w:spacing w:val="-60"/>
        </w:rPr>
        <w:t> </w:t>
      </w:r>
      <w:r>
        <w:rPr>
          <w:rFonts w:ascii="宋体" w:hAnsi="宋体" w:cs="宋体" w:eastAsia="宋体" w:hint="default"/>
        </w:rPr>
        <w:t>2017</w:t>
      </w:r>
      <w:r>
        <w:rPr>
          <w:rFonts w:ascii="宋体" w:hAnsi="宋体" w:cs="宋体" w:eastAsia="宋体" w:hint="default"/>
          <w:spacing w:val="-60"/>
        </w:rPr>
        <w:t> </w:t>
      </w:r>
      <w:r>
        <w:rPr/>
        <w:t>年度公</w:t>
      </w:r>
    </w:p>
    <w:p>
      <w:pPr>
        <w:pStyle w:val="BodyText"/>
        <w:spacing w:line="355" w:lineRule="auto" w:before="154"/>
        <w:ind w:left="1300" w:right="814" w:hanging="481"/>
        <w:jc w:val="left"/>
      </w:pPr>
      <w:r>
        <w:rPr/>
        <w:t>司与中信银行发生购买理财产品的日常关联交易最高额度不超过</w:t>
      </w:r>
      <w:r>
        <w:rPr>
          <w:spacing w:val="-59"/>
        </w:rPr>
        <w:t> </w:t>
      </w:r>
      <w:r>
        <w:rPr>
          <w:rFonts w:ascii="宋体" w:hAnsi="宋体" w:cs="宋体" w:eastAsia="宋体" w:hint="default"/>
        </w:rPr>
        <w:t>12</w:t>
      </w:r>
      <w:r>
        <w:rPr>
          <w:rFonts w:ascii="宋体" w:hAnsi="宋体" w:cs="宋体" w:eastAsia="宋体" w:hint="default"/>
          <w:spacing w:val="-60"/>
        </w:rPr>
        <w:t> </w:t>
      </w:r>
      <w:r>
        <w:rPr/>
        <w:t>亿元（在额度范围内可滚动使用）。 </w:t>
      </w:r>
      <w:r>
        <w:rPr>
          <w:spacing w:val="-1"/>
        </w:rPr>
        <w:t>公司第九届董事会第三次会议和第九届监事会第二次会议审议通过《关于使用募集资金用于现金管理的议案》，同意公司使用部</w:t>
      </w:r>
    </w:p>
    <w:p>
      <w:pPr>
        <w:pStyle w:val="BodyText"/>
        <w:spacing w:line="355" w:lineRule="auto" w:before="38"/>
        <w:ind w:left="820" w:right="804"/>
        <w:jc w:val="left"/>
      </w:pPr>
      <w:r>
        <w:rPr/>
        <w:t>分短期闲置募集资金在不超过</w:t>
      </w:r>
      <w:r>
        <w:rPr>
          <w:spacing w:val="-83"/>
        </w:rPr>
        <w:t> </w:t>
      </w:r>
      <w:r>
        <w:rPr>
          <w:rFonts w:ascii="宋体" w:hAnsi="宋体" w:cs="宋体" w:eastAsia="宋体" w:hint="default"/>
        </w:rPr>
        <w:t>180,000</w:t>
      </w:r>
      <w:r>
        <w:rPr>
          <w:rFonts w:ascii="宋体" w:hAnsi="宋体" w:cs="宋体" w:eastAsia="宋体" w:hint="default"/>
          <w:spacing w:val="-83"/>
        </w:rPr>
        <w:t> </w:t>
      </w:r>
      <w:r>
        <w:rPr/>
        <w:t>万元的额度内进行现金管理，择机购买安全性高、流动性好、满足保本要求的理财产品等投资 产品，单个投资产品的投资期限不超过十二个月。</w:t>
      </w: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6840" w:h="11910" w:orient="landscape"/>
          <w:pgMar w:header="882" w:footer="1195" w:top="1120" w:bottom="1380" w:left="620" w:right="700"/>
        </w:sectPr>
      </w:pPr>
    </w:p>
    <w:p>
      <w:pPr>
        <w:pStyle w:val="Heading2"/>
        <w:tabs>
          <w:tab w:pos="1660" w:val="left" w:leader="none"/>
        </w:tabs>
        <w:spacing w:line="312" w:lineRule="exact"/>
        <w:ind w:left="820" w:right="0"/>
        <w:jc w:val="left"/>
        <w:rPr>
          <w:b w:val="0"/>
          <w:bCs w:val="0"/>
        </w:rPr>
      </w:pPr>
      <w:r>
        <w:rPr>
          <w:rFonts w:ascii="宋体" w:hAnsi="宋体" w:cs="宋体" w:eastAsia="宋体" w:hint="default"/>
        </w:rPr>
        <w:t>(2).</w:t>
        <w:tab/>
      </w:r>
      <w:r>
        <w:rPr>
          <w:w w:val="95"/>
        </w:rPr>
        <w:t>单项委托理财情况</w:t>
      </w:r>
      <w:r>
        <w:rPr>
          <w:b w:val="0"/>
          <w:bCs w:val="0"/>
        </w:rPr>
      </w:r>
    </w:p>
    <w:p>
      <w:pPr>
        <w:pStyle w:val="BodyText"/>
        <w:tabs>
          <w:tab w:pos="1780" w:val="left" w:leader="none"/>
        </w:tabs>
        <w:spacing w:line="312" w:lineRule="exact"/>
        <w:ind w:left="820"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9"/>
          <w:szCs w:val="29"/>
        </w:rPr>
      </w:pPr>
    </w:p>
    <w:p>
      <w:pPr>
        <w:tabs>
          <w:tab w:pos="2082" w:val="left" w:leader="none"/>
        </w:tabs>
        <w:spacing w:before="0"/>
        <w:ind w:left="820"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单位：千元</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6840" w:h="11910" w:orient="landscape"/>
          <w:pgMar w:top="1000" w:bottom="280" w:left="620" w:right="700"/>
          <w:cols w:num="2" w:equalWidth="0">
            <w:col w:w="3588" w:space="7764"/>
            <w:col w:w="4168"/>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265"/>
        <w:gridCol w:w="1044"/>
        <w:gridCol w:w="1162"/>
        <w:gridCol w:w="1265"/>
        <w:gridCol w:w="1342"/>
        <w:gridCol w:w="725"/>
        <w:gridCol w:w="1760"/>
        <w:gridCol w:w="1135"/>
        <w:gridCol w:w="1268"/>
        <w:gridCol w:w="530"/>
        <w:gridCol w:w="1243"/>
        <w:gridCol w:w="1162"/>
        <w:gridCol w:w="425"/>
        <w:gridCol w:w="430"/>
        <w:gridCol w:w="530"/>
      </w:tblGrid>
      <w:tr>
        <w:trPr>
          <w:trHeight w:val="164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受托人</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10" w:right="-10" w:hanging="420"/>
              <w:jc w:val="left"/>
              <w:rPr>
                <w:rFonts w:ascii="宋体" w:hAnsi="宋体" w:cs="宋体" w:eastAsia="宋体" w:hint="default"/>
                <w:sz w:val="21"/>
                <w:szCs w:val="21"/>
              </w:rPr>
            </w:pPr>
            <w:r>
              <w:rPr>
                <w:rFonts w:ascii="宋体" w:hAnsi="宋体" w:cs="宋体" w:eastAsia="宋体" w:hint="default"/>
                <w:sz w:val="21"/>
                <w:szCs w:val="21"/>
              </w:rPr>
              <w:t>委托理财类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型</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70" w:right="45" w:hanging="420"/>
              <w:jc w:val="left"/>
              <w:rPr>
                <w:rFonts w:ascii="宋体" w:hAnsi="宋体" w:cs="宋体" w:eastAsia="宋体" w:hint="default"/>
                <w:sz w:val="21"/>
                <w:szCs w:val="21"/>
              </w:rPr>
            </w:pPr>
            <w:r>
              <w:rPr>
                <w:rFonts w:ascii="宋体" w:hAnsi="宋体" w:cs="宋体" w:eastAsia="宋体" w:hint="default"/>
                <w:sz w:val="21"/>
                <w:szCs w:val="21"/>
              </w:rPr>
              <w:t>委托理财金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17" w:right="-5" w:hanging="420"/>
              <w:jc w:val="left"/>
              <w:rPr>
                <w:rFonts w:ascii="宋体" w:hAnsi="宋体" w:cs="宋体" w:eastAsia="宋体" w:hint="default"/>
                <w:sz w:val="21"/>
                <w:szCs w:val="21"/>
              </w:rPr>
            </w:pPr>
            <w:r>
              <w:rPr>
                <w:rFonts w:ascii="宋体" w:hAnsi="宋体" w:cs="宋体" w:eastAsia="宋体" w:hint="default"/>
                <w:sz w:val="21"/>
                <w:szCs w:val="21"/>
              </w:rPr>
              <w:t>委托理财起始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55" w:right="31" w:hanging="420"/>
              <w:jc w:val="left"/>
              <w:rPr>
                <w:rFonts w:ascii="宋体" w:hAnsi="宋体" w:cs="宋体" w:eastAsia="宋体" w:hint="default"/>
                <w:sz w:val="21"/>
                <w:szCs w:val="21"/>
              </w:rPr>
            </w:pPr>
            <w:r>
              <w:rPr>
                <w:rFonts w:ascii="宋体" w:hAnsi="宋体" w:cs="宋体" w:eastAsia="宋体" w:hint="default"/>
                <w:sz w:val="21"/>
                <w:szCs w:val="21"/>
              </w:rPr>
              <w:t>委托理财终止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46" w:right="144"/>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665" w:right="660"/>
              <w:jc w:val="center"/>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w w:val="100"/>
                <w:sz w:val="21"/>
                <w:szCs w:val="21"/>
              </w:rPr>
              <w:t> </w:t>
            </w:r>
            <w:r>
              <w:rPr>
                <w:rFonts w:ascii="宋体" w:hAnsi="宋体" w:cs="宋体" w:eastAsia="宋体" w:hint="default"/>
                <w:sz w:val="21"/>
                <w:szCs w:val="21"/>
              </w:rPr>
              <w:t>投向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50" w:right="139" w:hanging="209"/>
              <w:jc w:val="left"/>
              <w:rPr>
                <w:rFonts w:ascii="宋体" w:hAnsi="宋体" w:cs="宋体" w:eastAsia="宋体" w:hint="default"/>
                <w:sz w:val="21"/>
                <w:szCs w:val="21"/>
              </w:rPr>
            </w:pPr>
            <w:r>
              <w:rPr>
                <w:rFonts w:ascii="宋体" w:hAnsi="宋体" w:cs="宋体" w:eastAsia="宋体" w:hint="default"/>
                <w:sz w:val="21"/>
                <w:szCs w:val="21"/>
              </w:rPr>
              <w:t>报酬确定</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11" w:right="310" w:firstLine="105"/>
              <w:jc w:val="left"/>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w w:val="100"/>
                <w:sz w:val="21"/>
                <w:szCs w:val="21"/>
              </w:rPr>
              <w:t> </w:t>
            </w:r>
            <w:r>
              <w:rPr>
                <w:rFonts w:ascii="宋体" w:hAnsi="宋体" w:cs="宋体" w:eastAsia="宋体" w:hint="default"/>
                <w:sz w:val="21"/>
                <w:szCs w:val="21"/>
              </w:rPr>
              <w:t>收益率</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50" w:right="47"/>
              <w:jc w:val="both"/>
              <w:rPr>
                <w:rFonts w:ascii="宋体" w:hAnsi="宋体" w:cs="宋体" w:eastAsia="宋体" w:hint="default"/>
                <w:sz w:val="21"/>
                <w:szCs w:val="21"/>
              </w:rPr>
            </w:pPr>
            <w:r>
              <w:rPr>
                <w:rFonts w:ascii="宋体" w:hAnsi="宋体" w:cs="宋体" w:eastAsia="宋体" w:hint="default"/>
                <w:sz w:val="21"/>
                <w:szCs w:val="21"/>
              </w:rPr>
              <w:t>预期</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88" w:right="89" w:firstLine="316"/>
              <w:jc w:val="left"/>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收益或损失</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68" w:right="48" w:hanging="420"/>
              <w:jc w:val="left"/>
              <w:rPr>
                <w:rFonts w:ascii="宋体" w:hAnsi="宋体" w:cs="宋体" w:eastAsia="宋体" w:hint="default"/>
                <w:sz w:val="21"/>
                <w:szCs w:val="21"/>
              </w:rPr>
            </w:pPr>
            <w:r>
              <w:rPr>
                <w:rFonts w:ascii="宋体" w:hAnsi="宋体" w:cs="宋体" w:eastAsia="宋体" w:hint="default"/>
                <w:sz w:val="21"/>
                <w:szCs w:val="21"/>
              </w:rPr>
              <w:t>实际收回情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况</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3" w:right="-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经过</w:t>
            </w:r>
            <w:r>
              <w:rPr>
                <w:rFonts w:ascii="宋体" w:hAnsi="宋体" w:cs="宋体" w:eastAsia="宋体" w:hint="default"/>
                <w:spacing w:val="-103"/>
                <w:sz w:val="21"/>
                <w:szCs w:val="21"/>
              </w:rPr>
              <w:t> </w:t>
            </w:r>
            <w:r>
              <w:rPr>
                <w:rFonts w:ascii="宋体" w:hAnsi="宋体" w:cs="宋体" w:eastAsia="宋体" w:hint="default"/>
                <w:sz w:val="21"/>
                <w:szCs w:val="21"/>
              </w:rPr>
              <w:t>法定</w:t>
            </w:r>
            <w:r>
              <w:rPr>
                <w:rFonts w:ascii="宋体" w:hAnsi="宋体" w:cs="宋体" w:eastAsia="宋体" w:hint="default"/>
                <w:spacing w:val="-103"/>
                <w:sz w:val="21"/>
                <w:szCs w:val="21"/>
              </w:rPr>
              <w:t> </w:t>
            </w:r>
            <w:r>
              <w:rPr>
                <w:rFonts w:ascii="宋体" w:hAnsi="宋体" w:cs="宋体" w:eastAsia="宋体" w:hint="default"/>
                <w:sz w:val="21"/>
                <w:szCs w:val="21"/>
              </w:rPr>
              <w:t>程序</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0"/>
              <w:jc w:val="both"/>
              <w:rPr>
                <w:rFonts w:ascii="宋体" w:hAnsi="宋体" w:cs="宋体" w:eastAsia="宋体" w:hint="default"/>
                <w:sz w:val="21"/>
                <w:szCs w:val="21"/>
              </w:rPr>
            </w:pPr>
            <w:r>
              <w:rPr>
                <w:rFonts w:ascii="宋体" w:hAnsi="宋体" w:cs="宋体" w:eastAsia="宋体" w:hint="default"/>
                <w:sz w:val="21"/>
                <w:szCs w:val="21"/>
              </w:rPr>
              <w:t>未来</w:t>
            </w:r>
          </w:p>
          <w:p>
            <w:pPr>
              <w:pStyle w:val="TableParagraph"/>
              <w:spacing w:line="237" w:lineRule="auto"/>
              <w:ind w:left="-3" w:right="-1"/>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有委</w:t>
            </w:r>
            <w:r>
              <w:rPr>
                <w:rFonts w:ascii="宋体" w:hAnsi="宋体" w:cs="宋体" w:eastAsia="宋体" w:hint="default"/>
                <w:spacing w:val="-103"/>
                <w:sz w:val="21"/>
                <w:szCs w:val="21"/>
              </w:rPr>
              <w:t> </w:t>
            </w:r>
            <w:r>
              <w:rPr>
                <w:rFonts w:ascii="宋体" w:hAnsi="宋体" w:cs="宋体" w:eastAsia="宋体" w:hint="default"/>
                <w:sz w:val="21"/>
                <w:szCs w:val="21"/>
              </w:rPr>
              <w:t>托理</w:t>
            </w:r>
            <w:r>
              <w:rPr>
                <w:rFonts w:ascii="宋体" w:hAnsi="宋体" w:cs="宋体" w:eastAsia="宋体" w:hint="default"/>
                <w:spacing w:val="-103"/>
                <w:sz w:val="21"/>
                <w:szCs w:val="21"/>
              </w:rPr>
              <w:t> </w:t>
            </w:r>
            <w:r>
              <w:rPr>
                <w:rFonts w:ascii="宋体" w:hAnsi="宋体" w:cs="宋体" w:eastAsia="宋体" w:hint="default"/>
                <w:sz w:val="21"/>
                <w:szCs w:val="21"/>
              </w:rPr>
              <w:t>财计</w:t>
            </w:r>
            <w:r>
              <w:rPr>
                <w:rFonts w:ascii="宋体" w:hAnsi="宋体" w:cs="宋体" w:eastAsia="宋体" w:hint="default"/>
                <w:spacing w:val="-103"/>
                <w:sz w:val="21"/>
                <w:szCs w:val="21"/>
              </w:rPr>
              <w:t> </w:t>
            </w:r>
            <w:r>
              <w:rPr>
                <w:rFonts w:ascii="宋体" w:hAnsi="宋体" w:cs="宋体" w:eastAsia="宋体" w:hint="default"/>
                <w:sz w:val="21"/>
                <w:szCs w:val="21"/>
              </w:rPr>
              <w:t>划</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7"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ind w:left="47" w:right="48"/>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71" w:lineRule="exact"/>
              <w:ind w:left="100" w:right="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w:t>
            </w:r>
          </w:p>
        </w:tc>
      </w:tr>
      <w:tr>
        <w:trPr>
          <w:trHeight w:val="555"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中国光大银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行浙大支行</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600,000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2017-1-10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2017-1-24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760" w:type="dxa"/>
            <w:vMerge w:val="restart"/>
            <w:tcBorders>
              <w:top w:val="single" w:sz="4" w:space="0" w:color="000000"/>
              <w:left w:val="single" w:sz="4" w:space="0" w:color="000000"/>
              <w:right w:val="single" w:sz="4" w:space="0" w:color="000000"/>
            </w:tcBorders>
          </w:tcPr>
          <w:p>
            <w:pPr>
              <w:pStyle w:val="TableParagraph"/>
              <w:spacing w:line="272" w:lineRule="exact" w:before="8"/>
              <w:ind w:left="103" w:right="171"/>
              <w:jc w:val="left"/>
              <w:rPr>
                <w:rFonts w:ascii="宋体" w:hAnsi="宋体" w:cs="宋体" w:eastAsia="宋体" w:hint="default"/>
                <w:sz w:val="21"/>
                <w:szCs w:val="21"/>
              </w:rPr>
            </w:pPr>
            <w:r>
              <w:rPr>
                <w:rFonts w:ascii="宋体" w:hAnsi="宋体" w:cs="宋体" w:eastAsia="宋体" w:hint="default"/>
                <w:sz w:val="21"/>
                <w:szCs w:val="21"/>
              </w:rPr>
              <w:t>投资范围为境内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外市场具有良好</w:t>
            </w:r>
          </w:p>
          <w:p>
            <w:pPr>
              <w:pStyle w:val="TableParagraph"/>
              <w:spacing w:line="272" w:lineRule="exact" w:before="1"/>
              <w:ind w:left="103" w:right="171"/>
              <w:jc w:val="left"/>
              <w:rPr>
                <w:rFonts w:ascii="宋体" w:hAnsi="宋体" w:cs="宋体" w:eastAsia="宋体" w:hint="default"/>
                <w:sz w:val="21"/>
                <w:szCs w:val="21"/>
              </w:rPr>
            </w:pPr>
            <w:r>
              <w:rPr>
                <w:rFonts w:ascii="宋体" w:hAnsi="宋体" w:cs="宋体" w:eastAsia="宋体" w:hint="default"/>
                <w:sz w:val="21"/>
                <w:szCs w:val="21"/>
              </w:rPr>
              <w:t>收益性与流动性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的金融工具，包</w:t>
            </w:r>
          </w:p>
          <w:p>
            <w:pPr>
              <w:pStyle w:val="TableParagraph"/>
              <w:spacing w:line="272" w:lineRule="exact" w:before="1"/>
              <w:ind w:left="103" w:right="171"/>
              <w:jc w:val="left"/>
              <w:rPr>
                <w:rFonts w:ascii="宋体" w:hAnsi="宋体" w:cs="宋体" w:eastAsia="宋体" w:hint="default"/>
                <w:sz w:val="21"/>
                <w:szCs w:val="21"/>
              </w:rPr>
            </w:pPr>
            <w:r>
              <w:rPr>
                <w:rFonts w:ascii="宋体" w:hAnsi="宋体" w:cs="宋体" w:eastAsia="宋体" w:hint="default"/>
                <w:sz w:val="21"/>
                <w:szCs w:val="21"/>
              </w:rPr>
              <w:t>括银行存款、货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币市场工具、债</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券类产品、新股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2.80-4.00%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759.45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600,000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w w:val="100"/>
                <w:sz w:val="21"/>
              </w:rPr>
              <w:t>/</w:t>
            </w:r>
          </w:p>
        </w:tc>
      </w:tr>
      <w:tr>
        <w:trPr>
          <w:trHeight w:val="55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中国光大银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行浙大支行</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2017-2-15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2017-3-21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760" w:type="dxa"/>
            <w:vMerge/>
            <w:tcBorders>
              <w:left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2.80-4.00%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2,278.36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700,000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w:t>
            </w:r>
          </w:p>
        </w:tc>
      </w:tr>
      <w:tr>
        <w:trPr>
          <w:trHeight w:val="55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中国光大银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行浙大支行</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2017-4-5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2017-6-30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760" w:type="dxa"/>
            <w:vMerge/>
            <w:tcBorders>
              <w:left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2.80-4.30%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5,449.32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w:t>
            </w:r>
          </w:p>
        </w:tc>
      </w:tr>
      <w:tr>
        <w:trPr>
          <w:trHeight w:val="283"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中国光大银</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2017-4-5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2017-7-11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tc>
        <w:tc>
          <w:tcPr>
            <w:tcW w:w="1760"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保本浮动</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2.80-4.30%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5,713.70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w:t>
            </w:r>
          </w:p>
        </w:tc>
      </w:tr>
    </w:tbl>
    <w:p>
      <w:pPr>
        <w:spacing w:after="0" w:line="241" w:lineRule="exact"/>
        <w:jc w:val="left"/>
        <w:rPr>
          <w:rFonts w:ascii="宋体" w:hAnsi="宋体" w:cs="宋体" w:eastAsia="宋体" w:hint="default"/>
          <w:sz w:val="21"/>
          <w:szCs w:val="21"/>
        </w:rPr>
        <w:sectPr>
          <w:type w:val="continuous"/>
          <w:pgSz w:w="16840" w:h="11910" w:orient="landscape"/>
          <w:pgMar w:top="1000" w:bottom="280" w:left="620" w:right="7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9" w:type="dxa"/>
        <w:tblLayout w:type="fixed"/>
        <w:tblCellMar>
          <w:top w:w="0" w:type="dxa"/>
          <w:left w:w="0" w:type="dxa"/>
          <w:bottom w:w="0" w:type="dxa"/>
          <w:right w:w="0" w:type="dxa"/>
        </w:tblCellMar>
        <w:tblLook w:val="01E0"/>
      </w:tblPr>
      <w:tblGrid>
        <w:gridCol w:w="1265"/>
        <w:gridCol w:w="1044"/>
        <w:gridCol w:w="1162"/>
        <w:gridCol w:w="1265"/>
        <w:gridCol w:w="1342"/>
        <w:gridCol w:w="725"/>
        <w:gridCol w:w="1760"/>
        <w:gridCol w:w="1135"/>
        <w:gridCol w:w="1268"/>
        <w:gridCol w:w="530"/>
        <w:gridCol w:w="1243"/>
        <w:gridCol w:w="1162"/>
        <w:gridCol w:w="425"/>
        <w:gridCol w:w="430"/>
        <w:gridCol w:w="530"/>
      </w:tblGrid>
      <w:tr>
        <w:trPr>
          <w:trHeight w:val="281"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行浙大支行</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财产品</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760" w:type="dxa"/>
            <w:vMerge w:val="restart"/>
            <w:tcBorders>
              <w:top w:val="single" w:sz="4" w:space="0" w:color="000000"/>
              <w:left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申购类信托计</w:t>
            </w:r>
          </w:p>
          <w:p>
            <w:pPr>
              <w:pStyle w:val="TableParagraph"/>
              <w:spacing w:line="237" w:lineRule="auto"/>
              <w:ind w:left="103" w:right="171"/>
              <w:jc w:val="left"/>
              <w:rPr>
                <w:rFonts w:ascii="宋体" w:hAnsi="宋体" w:cs="宋体" w:eastAsia="宋体" w:hint="default"/>
                <w:sz w:val="21"/>
                <w:szCs w:val="21"/>
              </w:rPr>
            </w:pPr>
            <w:r>
              <w:rPr>
                <w:rFonts w:ascii="宋体" w:hAnsi="宋体" w:cs="宋体" w:eastAsia="宋体" w:hint="default"/>
                <w:sz w:val="21"/>
                <w:szCs w:val="21"/>
              </w:rPr>
              <w:t>划、准债券类产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品、利率衍生品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和信用衍生品</w:t>
            </w:r>
            <w:r>
              <w:rPr>
                <w:rFonts w:ascii="宋体" w:hAnsi="宋体" w:cs="宋体" w:eastAsia="宋体" w:hint="default"/>
                <w:w w:val="100"/>
                <w:sz w:val="21"/>
                <w:szCs w:val="21"/>
              </w:rPr>
              <w:t> </w:t>
            </w:r>
            <w:r>
              <w:rPr>
                <w:rFonts w:ascii="宋体" w:hAnsi="宋体" w:cs="宋体" w:eastAsia="宋体" w:hint="default"/>
                <w:sz w:val="21"/>
                <w:szCs w:val="21"/>
              </w:rPr>
              <w:t>等。</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2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中国光大银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行浙大支行</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2017-7-11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2017-12-27</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760" w:type="dxa"/>
            <w:vMerge/>
            <w:tcBorders>
              <w:left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3.80-4.70%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32,642.47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w:t>
            </w:r>
          </w:p>
        </w:tc>
      </w:tr>
      <w:tr>
        <w:trPr>
          <w:trHeight w:val="55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中国光大银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行浙大支行</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600,000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2017-7-11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2017-8-9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760" w:type="dxa"/>
            <w:vMerge/>
            <w:tcBorders>
              <w:left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3.80-4.70%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2,145.21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600,000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w w:val="100"/>
                <w:sz w:val="21"/>
              </w:rPr>
              <w:t>/</w:t>
            </w:r>
          </w:p>
        </w:tc>
      </w:tr>
      <w:tr>
        <w:trPr>
          <w:trHeight w:val="55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中国光大银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行浙大支行</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2017-8-15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2017-12-28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760"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3.80-4.60%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11,909.59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700,000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w:t>
            </w:r>
          </w:p>
        </w:tc>
      </w:tr>
      <w:tr>
        <w:trPr>
          <w:trHeight w:val="555"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联合银行杭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州三墩支行</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500,000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2017-4-10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2017-5-11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同业借款，投资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52"/>
                <w:sz w:val="21"/>
                <w:szCs w:val="21"/>
              </w:rPr>
              <w:t> </w:t>
            </w:r>
            <w:r>
              <w:rPr>
                <w:rFonts w:ascii="宋体" w:hAnsi="宋体" w:cs="宋体" w:eastAsia="宋体" w:hint="default"/>
                <w:sz w:val="21"/>
                <w:szCs w:val="21"/>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动收益</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z w:val="21"/>
              </w:rPr>
              <w:t>4.40%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1,868.49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w w:val="100"/>
                <w:sz w:val="21"/>
              </w:rPr>
              <w:t>/</w:t>
            </w:r>
          </w:p>
        </w:tc>
      </w:tr>
      <w:tr>
        <w:trPr>
          <w:trHeight w:val="1370"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96"/>
              <w:jc w:val="left"/>
              <w:rPr>
                <w:rFonts w:ascii="宋体" w:hAnsi="宋体" w:cs="宋体" w:eastAsia="宋体" w:hint="default"/>
                <w:sz w:val="21"/>
                <w:szCs w:val="21"/>
              </w:rPr>
            </w:pPr>
            <w:r>
              <w:rPr>
                <w:rFonts w:ascii="宋体" w:hAnsi="宋体" w:cs="宋体" w:eastAsia="宋体" w:hint="default"/>
                <w:sz w:val="21"/>
                <w:szCs w:val="21"/>
              </w:rPr>
              <w:t>中国工商银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行普陀支行</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295"/>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财产品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580,000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sz w:val="21"/>
              </w:rPr>
              <w:t>2017-4-25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sz w:val="21"/>
              </w:rPr>
              <w:t>2017-6-1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187"/>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53"/>
                <w:sz w:val="21"/>
                <w:szCs w:val="21"/>
              </w:rPr>
              <w:t> </w:t>
            </w:r>
            <w:r>
              <w:rPr>
                <w:rFonts w:ascii="宋体" w:hAnsi="宋体" w:cs="宋体" w:eastAsia="宋体" w:hint="default"/>
                <w:sz w:val="21"/>
                <w:szCs w:val="21"/>
              </w:rPr>
              <w:t>20-100%</w:t>
            </w:r>
            <w:r>
              <w:rPr>
                <w:rFonts w:ascii="宋体" w:hAnsi="宋体" w:cs="宋体" w:eastAsia="宋体" w:hint="default"/>
                <w:sz w:val="21"/>
                <w:szCs w:val="21"/>
              </w:rPr>
              <w:t>的</w:t>
            </w:r>
          </w:p>
          <w:p>
            <w:pPr>
              <w:pStyle w:val="TableParagraph"/>
              <w:spacing w:line="272" w:lineRule="exact" w:before="27"/>
              <w:ind w:left="103" w:right="171"/>
              <w:jc w:val="left"/>
              <w:rPr>
                <w:rFonts w:ascii="宋体" w:hAnsi="宋体" w:cs="宋体" w:eastAsia="宋体" w:hint="default"/>
                <w:sz w:val="21"/>
                <w:szCs w:val="21"/>
              </w:rPr>
            </w:pPr>
            <w:r>
              <w:rPr>
                <w:rFonts w:ascii="宋体" w:hAnsi="宋体" w:cs="宋体" w:eastAsia="宋体" w:hint="default"/>
                <w:sz w:val="21"/>
                <w:szCs w:val="21"/>
              </w:rPr>
              <w:t>债券、存款等高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流动性资产，</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0-80%</w:t>
            </w:r>
            <w:r>
              <w:rPr>
                <w:rFonts w:ascii="宋体" w:hAnsi="宋体" w:cs="宋体" w:eastAsia="宋体" w:hint="default"/>
                <w:sz w:val="21"/>
                <w:szCs w:val="21"/>
              </w:rPr>
              <w:t>的其他资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产或资产组合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180"/>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宋体" w:hAnsi="宋体" w:cs="宋体" w:eastAsia="宋体" w:hint="default"/>
                <w:sz w:val="21"/>
                <w:szCs w:val="21"/>
              </w:rPr>
            </w:pPr>
            <w:r>
              <w:rPr>
                <w:rFonts w:ascii="宋体"/>
                <w:sz w:val="21"/>
              </w:rPr>
              <w:t>3.00%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1,811.51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580,000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w:t>
            </w:r>
          </w:p>
        </w:tc>
      </w:tr>
      <w:tr>
        <w:trPr>
          <w:trHeight w:val="164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72" w:lineRule="exact"/>
              <w:ind w:left="103" w:right="96"/>
              <w:jc w:val="left"/>
              <w:rPr>
                <w:rFonts w:ascii="宋体" w:hAnsi="宋体" w:cs="宋体" w:eastAsia="宋体" w:hint="default"/>
                <w:sz w:val="21"/>
                <w:szCs w:val="21"/>
              </w:rPr>
            </w:pPr>
            <w:r>
              <w:rPr>
                <w:rFonts w:ascii="宋体" w:hAnsi="宋体" w:cs="宋体" w:eastAsia="宋体" w:hint="default"/>
                <w:sz w:val="21"/>
                <w:szCs w:val="21"/>
              </w:rPr>
              <w:t>渤海银行杭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州凤起支行</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72" w:lineRule="exact"/>
              <w:ind w:left="103" w:right="295"/>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财产品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633,000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2017-7-11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2017-8-25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72" w:lineRule="exact"/>
              <w:ind w:left="103" w:right="187"/>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结构性存款产</w:t>
            </w:r>
          </w:p>
          <w:p>
            <w:pPr>
              <w:pStyle w:val="TableParagraph"/>
              <w:spacing w:line="237" w:lineRule="auto"/>
              <w:ind w:left="103" w:right="171"/>
              <w:jc w:val="both"/>
              <w:rPr>
                <w:rFonts w:ascii="宋体" w:hAnsi="宋体" w:cs="宋体" w:eastAsia="宋体" w:hint="default"/>
                <w:sz w:val="21"/>
                <w:szCs w:val="21"/>
              </w:rPr>
            </w:pPr>
            <w:r>
              <w:rPr>
                <w:rFonts w:ascii="宋体" w:hAnsi="宋体" w:cs="宋体" w:eastAsia="宋体" w:hint="default"/>
                <w:sz w:val="21"/>
                <w:szCs w:val="21"/>
              </w:rPr>
              <w:t>品，其结构性衍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生产品部分与</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w w:val="100"/>
                <w:sz w:val="21"/>
                <w:szCs w:val="21"/>
              </w:rPr>
              <w:t> </w:t>
            </w:r>
            <w:r>
              <w:rPr>
                <w:rFonts w:ascii="宋体" w:hAnsi="宋体" w:cs="宋体" w:eastAsia="宋体" w:hint="default"/>
                <w:sz w:val="21"/>
                <w:szCs w:val="21"/>
              </w:rPr>
              <w:t>个月美元计伦敦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同业拆借利率</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Libor</w:t>
            </w:r>
            <w:r>
              <w:rPr>
                <w:rFonts w:ascii="宋体" w:hAnsi="宋体" w:cs="宋体" w:eastAsia="宋体" w:hint="default"/>
                <w:sz w:val="21"/>
                <w:szCs w:val="21"/>
              </w:rPr>
              <w:t>）挂钩</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72" w:lineRule="exact"/>
              <w:ind w:left="100" w:right="180"/>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z w:val="21"/>
              </w:rPr>
              <w:t>4.00%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3,121.60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633,000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w:t>
            </w:r>
          </w:p>
        </w:tc>
      </w:tr>
      <w:tr>
        <w:trPr>
          <w:trHeight w:val="557"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州分行</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780,000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2017-6-1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2017-6-27</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76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37" w:lineRule="auto"/>
              <w:ind w:left="103" w:right="171"/>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53"/>
                <w:sz w:val="21"/>
                <w:szCs w:val="21"/>
              </w:rPr>
              <w:t> </w:t>
            </w:r>
            <w:r>
              <w:rPr>
                <w:rFonts w:ascii="宋体" w:hAnsi="宋体" w:cs="宋体" w:eastAsia="宋体" w:hint="default"/>
                <w:sz w:val="21"/>
                <w:szCs w:val="21"/>
              </w:rPr>
              <w:t>30-100%</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货币市场类和固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定收益类资产，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0-70%</w:t>
            </w:r>
            <w:r>
              <w:rPr>
                <w:rFonts w:ascii="宋体" w:hAnsi="宋体" w:cs="宋体" w:eastAsia="宋体" w:hint="default"/>
                <w:sz w:val="21"/>
                <w:szCs w:val="21"/>
              </w:rPr>
              <w:t>的非标准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化债权资产和其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他类资产等</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动收益</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3.60%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1,923.29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780,000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w:t>
            </w:r>
          </w:p>
        </w:tc>
      </w:tr>
      <w:tr>
        <w:trPr>
          <w:trHeight w:val="55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州分行</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1,200,000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2017-10-12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2017-11-16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760" w:type="dxa"/>
            <w:vMerge/>
            <w:tcBorders>
              <w:left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动收益</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z w:val="21"/>
              </w:rPr>
              <w:t>4.70%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5,408.20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1,200,000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w w:val="100"/>
                <w:sz w:val="21"/>
              </w:rPr>
              <w:t>/</w:t>
            </w:r>
          </w:p>
        </w:tc>
      </w:tr>
      <w:tr>
        <w:trPr>
          <w:trHeight w:val="555"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州分行</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2017-11-20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2017-12-25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760" w:type="dxa"/>
            <w:vMerge/>
            <w:tcBorders>
              <w:left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动收益</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4.00%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4,746.60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1,100,000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w:t>
            </w:r>
          </w:p>
        </w:tc>
      </w:tr>
      <w:tr>
        <w:trPr>
          <w:trHeight w:val="55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州分行</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2017-12-27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2018-1-2</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760"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动收益</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4.00%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591.8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w:t>
            </w:r>
          </w:p>
        </w:tc>
      </w:tr>
    </w:tbl>
    <w:p>
      <w:pPr>
        <w:spacing w:after="0" w:line="240" w:lineRule="auto"/>
        <w:jc w:val="left"/>
        <w:rPr>
          <w:rFonts w:ascii="宋体" w:hAnsi="宋体" w:cs="宋体" w:eastAsia="宋体" w:hint="default"/>
          <w:sz w:val="21"/>
          <w:szCs w:val="21"/>
        </w:rPr>
        <w:sectPr>
          <w:pgSz w:w="16840" w:h="11910" w:orient="landscape"/>
          <w:pgMar w:header="882" w:footer="1195" w:top="1120" w:bottom="1380" w:left="620" w:right="700"/>
        </w:sectPr>
      </w:pPr>
    </w:p>
    <w:p>
      <w:pPr>
        <w:spacing w:line="240" w:lineRule="auto" w:before="6"/>
        <w:rPr>
          <w:rFonts w:ascii="Times New Roman" w:hAnsi="Times New Roman" w:cs="Times New Roman" w:eastAsia="Times New Roman" w:hint="default"/>
          <w:sz w:val="29"/>
          <w:szCs w:val="29"/>
        </w:rPr>
      </w:pPr>
    </w:p>
    <w:p>
      <w:pPr>
        <w:pStyle w:val="BodyText"/>
        <w:spacing w:line="313" w:lineRule="exact" w:before="26"/>
        <w:ind w:left="218" w:right="233"/>
        <w:jc w:val="left"/>
      </w:pPr>
      <w:r>
        <w:rPr/>
        <w:t>其他情况</w:t>
      </w:r>
    </w:p>
    <w:p>
      <w:pPr>
        <w:pStyle w:val="BodyText"/>
        <w:tabs>
          <w:tab w:pos="1177" w:val="left" w:leader="none"/>
        </w:tabs>
        <w:spacing w:line="312" w:lineRule="exact"/>
        <w:ind w:left="218" w:right="233"/>
        <w:jc w:val="left"/>
      </w:pPr>
      <w:r>
        <w:rPr>
          <w:spacing w:val="-1"/>
        </w:rPr>
        <w:t>□适用</w:t>
        <w:tab/>
      </w:r>
      <w:r>
        <w:rPr/>
        <w:t>√不适用</w:t>
      </w:r>
    </w:p>
    <w:p>
      <w:pPr>
        <w:tabs>
          <w:tab w:pos="1057" w:val="left" w:leader="none"/>
        </w:tabs>
        <w:spacing w:line="311" w:lineRule="exact" w:before="0"/>
        <w:ind w:left="218" w:right="233" w:firstLine="0"/>
        <w:jc w:val="left"/>
        <w:rPr>
          <w:rFonts w:ascii="宋体" w:hAnsi="宋体" w:cs="宋体" w:eastAsia="宋体" w:hint="default"/>
          <w:sz w:val="24"/>
          <w:szCs w:val="24"/>
        </w:rPr>
      </w:pPr>
      <w:r>
        <w:rPr>
          <w:rFonts w:ascii="宋体" w:hAnsi="宋体" w:cs="宋体" w:eastAsia="宋体" w:hint="default"/>
          <w:b/>
          <w:bCs/>
          <w:sz w:val="24"/>
          <w:szCs w:val="24"/>
        </w:rPr>
        <w:t>(3).</w:t>
        <w:tab/>
      </w:r>
      <w:r>
        <w:rPr>
          <w:rFonts w:ascii="宋体" w:hAnsi="宋体" w:cs="宋体" w:eastAsia="宋体" w:hint="default"/>
          <w:sz w:val="24"/>
          <w:szCs w:val="24"/>
        </w:rPr>
        <w:t>委托理财减值准备</w:t>
      </w:r>
    </w:p>
    <w:p>
      <w:pPr>
        <w:pStyle w:val="BodyText"/>
        <w:tabs>
          <w:tab w:pos="1177" w:val="left" w:leader="none"/>
        </w:tabs>
        <w:spacing w:line="283" w:lineRule="auto"/>
        <w:ind w:left="218" w:right="7146"/>
        <w:jc w:val="left"/>
      </w:pPr>
      <w:r>
        <w:rPr>
          <w:spacing w:val="-1"/>
        </w:rPr>
        <w:t>□适用</w:t>
        <w:tab/>
      </w:r>
      <w:r>
        <w:rPr/>
        <w:t>√不适用</w:t>
      </w:r>
      <w:r>
        <w:rPr/>
        <w:t> </w:t>
      </w:r>
      <w:r>
        <w:rPr>
          <w:rFonts w:ascii="宋体" w:hAnsi="宋体" w:cs="宋体" w:eastAsia="宋体" w:hint="default"/>
        </w:rPr>
        <w:t>2</w:t>
      </w:r>
      <w:r>
        <w:rPr/>
        <w:t>、</w:t>
      </w:r>
      <w:r>
        <w:rPr>
          <w:spacing w:val="-61"/>
        </w:rPr>
        <w:t> </w:t>
      </w:r>
      <w:r>
        <w:rPr/>
        <w:t>委托贷款情况</w:t>
      </w:r>
    </w:p>
    <w:p>
      <w:pPr>
        <w:tabs>
          <w:tab w:pos="1057" w:val="left" w:leader="none"/>
        </w:tabs>
        <w:spacing w:line="313" w:lineRule="exact" w:before="14"/>
        <w:ind w:left="218" w:right="233" w:firstLine="0"/>
        <w:jc w:val="left"/>
        <w:rPr>
          <w:rFonts w:ascii="宋体" w:hAnsi="宋体" w:cs="宋体" w:eastAsia="宋体" w:hint="default"/>
          <w:sz w:val="24"/>
          <w:szCs w:val="24"/>
        </w:rPr>
      </w:pPr>
      <w:r>
        <w:rPr>
          <w:rFonts w:ascii="宋体" w:hAnsi="宋体" w:cs="宋体" w:eastAsia="宋体" w:hint="default"/>
          <w:b/>
          <w:bCs/>
          <w:sz w:val="24"/>
          <w:szCs w:val="24"/>
        </w:rPr>
        <w:t>(1).</w:t>
        <w:tab/>
      </w:r>
      <w:r>
        <w:rPr>
          <w:rFonts w:ascii="宋体" w:hAnsi="宋体" w:cs="宋体" w:eastAsia="宋体" w:hint="default"/>
          <w:sz w:val="24"/>
          <w:szCs w:val="24"/>
        </w:rPr>
        <w:t>委托贷款总体情况</w:t>
      </w:r>
    </w:p>
    <w:p>
      <w:pPr>
        <w:pStyle w:val="BodyText"/>
        <w:tabs>
          <w:tab w:pos="1177" w:val="left" w:leader="none"/>
        </w:tabs>
        <w:spacing w:line="311" w:lineRule="exact"/>
        <w:ind w:left="218" w:right="233"/>
        <w:jc w:val="left"/>
      </w:pPr>
      <w:r>
        <w:rPr>
          <w:spacing w:val="-1"/>
        </w:rPr>
        <w:t>□适用</w:t>
        <w:tab/>
      </w:r>
      <w:r>
        <w:rPr/>
        <w:t>√不适用</w:t>
      </w:r>
    </w:p>
    <w:p>
      <w:pPr>
        <w:tabs>
          <w:tab w:pos="1057" w:val="left" w:leader="none"/>
        </w:tabs>
        <w:spacing w:line="311" w:lineRule="exact" w:before="0"/>
        <w:ind w:left="218" w:right="233" w:firstLine="0"/>
        <w:jc w:val="left"/>
        <w:rPr>
          <w:rFonts w:ascii="宋体" w:hAnsi="宋体" w:cs="宋体" w:eastAsia="宋体" w:hint="default"/>
          <w:sz w:val="24"/>
          <w:szCs w:val="24"/>
        </w:rPr>
      </w:pPr>
      <w:r>
        <w:rPr>
          <w:rFonts w:ascii="宋体" w:hAnsi="宋体" w:cs="宋体" w:eastAsia="宋体" w:hint="default"/>
          <w:b/>
          <w:bCs/>
          <w:sz w:val="24"/>
          <w:szCs w:val="24"/>
        </w:rPr>
        <w:t>(2).</w:t>
        <w:tab/>
      </w:r>
      <w:r>
        <w:rPr>
          <w:rFonts w:ascii="宋体" w:hAnsi="宋体" w:cs="宋体" w:eastAsia="宋体" w:hint="default"/>
          <w:sz w:val="24"/>
          <w:szCs w:val="24"/>
        </w:rPr>
        <w:t>单项委托贷款情况</w:t>
      </w:r>
    </w:p>
    <w:p>
      <w:pPr>
        <w:pStyle w:val="BodyText"/>
        <w:tabs>
          <w:tab w:pos="1177" w:val="left" w:leader="none"/>
        </w:tabs>
        <w:spacing w:line="312" w:lineRule="exact"/>
        <w:ind w:left="218" w:right="233"/>
        <w:jc w:val="left"/>
      </w:pPr>
      <w:r>
        <w:rPr>
          <w:spacing w:val="-1"/>
        </w:rPr>
        <w:t>□适用</w:t>
        <w:tab/>
      </w:r>
      <w:r>
        <w:rPr/>
        <w:t>√不适用</w:t>
      </w:r>
    </w:p>
    <w:p>
      <w:pPr>
        <w:tabs>
          <w:tab w:pos="1057" w:val="left" w:leader="none"/>
        </w:tabs>
        <w:spacing w:line="311" w:lineRule="exact" w:before="0"/>
        <w:ind w:left="218" w:right="233" w:firstLine="0"/>
        <w:jc w:val="left"/>
        <w:rPr>
          <w:rFonts w:ascii="宋体" w:hAnsi="宋体" w:cs="宋体" w:eastAsia="宋体" w:hint="default"/>
          <w:sz w:val="24"/>
          <w:szCs w:val="24"/>
        </w:rPr>
      </w:pPr>
      <w:r>
        <w:rPr>
          <w:rFonts w:ascii="宋体" w:hAnsi="宋体" w:cs="宋体" w:eastAsia="宋体" w:hint="default"/>
          <w:b/>
          <w:bCs/>
          <w:sz w:val="24"/>
          <w:szCs w:val="24"/>
        </w:rPr>
        <w:t>(3).</w:t>
        <w:tab/>
      </w:r>
      <w:r>
        <w:rPr>
          <w:rFonts w:ascii="宋体" w:hAnsi="宋体" w:cs="宋体" w:eastAsia="宋体" w:hint="default"/>
          <w:sz w:val="24"/>
          <w:szCs w:val="24"/>
        </w:rPr>
        <w:t>委托贷款减值准备</w:t>
      </w:r>
    </w:p>
    <w:p>
      <w:pPr>
        <w:pStyle w:val="BodyText"/>
        <w:tabs>
          <w:tab w:pos="1177" w:val="left" w:leader="none"/>
        </w:tabs>
        <w:spacing w:line="283" w:lineRule="auto"/>
        <w:ind w:left="218" w:right="7146"/>
        <w:jc w:val="left"/>
      </w:pPr>
      <w:r>
        <w:rPr>
          <w:spacing w:val="-1"/>
        </w:rPr>
        <w:t>□适用</w:t>
        <w:tab/>
      </w:r>
      <w:r>
        <w:rPr/>
        <w:t>√不适用</w:t>
      </w:r>
      <w:r>
        <w:rPr/>
        <w:t> </w:t>
      </w:r>
      <w:r>
        <w:rPr>
          <w:rFonts w:ascii="宋体" w:hAnsi="宋体" w:cs="宋体" w:eastAsia="宋体" w:hint="default"/>
          <w:b/>
          <w:bCs/>
        </w:rPr>
        <w:t>3</w:t>
      </w:r>
      <w:r>
        <w:rPr>
          <w:rFonts w:ascii="宋体" w:hAnsi="宋体" w:cs="宋体" w:eastAsia="宋体" w:hint="default"/>
          <w:b/>
          <w:bCs/>
        </w:rPr>
        <w:t>、</w:t>
      </w:r>
      <w:r>
        <w:rPr>
          <w:rFonts w:ascii="宋体" w:hAnsi="宋体" w:cs="宋体" w:eastAsia="宋体" w:hint="default"/>
          <w:b/>
          <w:bCs/>
          <w:spacing w:val="-64"/>
        </w:rPr>
        <w:t> </w:t>
      </w:r>
      <w:r>
        <w:rPr/>
        <w:t>其他情况</w:t>
      </w:r>
    </w:p>
    <w:p>
      <w:pPr>
        <w:tabs>
          <w:tab w:pos="1057" w:val="left" w:leader="none"/>
        </w:tabs>
        <w:spacing w:line="283" w:lineRule="auto" w:before="14"/>
        <w:ind w:left="218" w:right="6782" w:firstLine="0"/>
        <w:jc w:val="left"/>
        <w:rPr>
          <w:rFonts w:ascii="宋体" w:hAnsi="宋体" w:cs="宋体" w:eastAsia="宋体" w:hint="default"/>
          <w:sz w:val="24"/>
          <w:szCs w:val="24"/>
        </w:rPr>
      </w:pPr>
      <w:r>
        <w:rPr>
          <w:rFonts w:ascii="宋体" w:hAnsi="宋体" w:cs="宋体" w:eastAsia="宋体" w:hint="default"/>
          <w:spacing w:val="-1"/>
          <w:sz w:val="24"/>
          <w:szCs w:val="24"/>
        </w:rPr>
        <w:t>□适用</w:t>
        <w:tab/>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w w:val="95"/>
          <w:sz w:val="24"/>
          <w:szCs w:val="24"/>
        </w:rPr>
        <w:t>(</w:t>
      </w:r>
      <w:r>
        <w:rPr>
          <w:rFonts w:ascii="宋体" w:hAnsi="宋体" w:cs="宋体" w:eastAsia="宋体" w:hint="default"/>
          <w:b/>
          <w:bCs/>
          <w:w w:val="95"/>
          <w:sz w:val="24"/>
          <w:szCs w:val="24"/>
        </w:rPr>
        <w:t>四</w:t>
      </w:r>
      <w:r>
        <w:rPr>
          <w:rFonts w:ascii="宋体" w:hAnsi="宋体" w:cs="宋体" w:eastAsia="宋体" w:hint="default"/>
          <w:b/>
          <w:bCs/>
          <w:w w:val="95"/>
          <w:sz w:val="24"/>
          <w:szCs w:val="24"/>
        </w:rPr>
        <w:t>)</w:t>
        <w:tab/>
      </w:r>
      <w:r>
        <w:rPr>
          <w:rFonts w:ascii="宋体" w:hAnsi="宋体" w:cs="宋体" w:eastAsia="宋体" w:hint="default"/>
          <w:b/>
          <w:bCs/>
          <w:sz w:val="24"/>
          <w:szCs w:val="24"/>
        </w:rPr>
        <w:t>其他重大合同</w:t>
      </w:r>
      <w:r>
        <w:rPr>
          <w:rFonts w:ascii="宋体" w:hAnsi="宋体" w:cs="宋体" w:eastAsia="宋体" w:hint="default"/>
          <w:sz w:val="24"/>
          <w:szCs w:val="24"/>
        </w:rPr>
      </w:r>
    </w:p>
    <w:p>
      <w:pPr>
        <w:pStyle w:val="BodyText"/>
        <w:tabs>
          <w:tab w:pos="1177" w:val="left" w:leader="none"/>
        </w:tabs>
        <w:spacing w:line="240" w:lineRule="auto" w:before="14"/>
        <w:ind w:left="218" w:right="233"/>
        <w:jc w:val="left"/>
      </w:pPr>
      <w:r>
        <w:rPr>
          <w:spacing w:val="-1"/>
        </w:rPr>
        <w:t>□适用</w:t>
        <w:tab/>
      </w:r>
      <w:r>
        <w:rPr/>
        <w:t>√不适用</w:t>
      </w:r>
    </w:p>
    <w:p>
      <w:pPr>
        <w:spacing w:line="240" w:lineRule="auto" w:before="1"/>
        <w:rPr>
          <w:rFonts w:ascii="宋体" w:hAnsi="宋体" w:cs="宋体" w:eastAsia="宋体" w:hint="default"/>
          <w:sz w:val="28"/>
          <w:szCs w:val="28"/>
        </w:rPr>
      </w:pPr>
    </w:p>
    <w:p>
      <w:pPr>
        <w:pStyle w:val="Heading2"/>
        <w:spacing w:line="240" w:lineRule="auto" w:before="0"/>
        <w:ind w:right="233"/>
        <w:jc w:val="left"/>
        <w:rPr>
          <w:b w:val="0"/>
          <w:bCs w:val="0"/>
        </w:rPr>
      </w:pPr>
      <w:r>
        <w:rPr/>
        <w:t>十六、其他重大事项的说明</w:t>
      </w:r>
      <w:r>
        <w:rPr>
          <w:b w:val="0"/>
          <w:bCs w:val="0"/>
        </w:rPr>
      </w:r>
    </w:p>
    <w:p>
      <w:pPr>
        <w:pStyle w:val="BodyText"/>
        <w:spacing w:line="312" w:lineRule="exact" w:before="88"/>
        <w:ind w:left="218" w:right="7249"/>
        <w:jc w:val="left"/>
      </w:pPr>
      <w:r>
        <w:rPr/>
        <w:t>√适用</w:t>
      </w:r>
      <w:r>
        <w:rPr>
          <w:spacing w:val="-1"/>
        </w:rPr>
        <w:t> </w:t>
      </w:r>
      <w:r>
        <w:rPr/>
        <w:t>□不适用</w:t>
      </w:r>
      <w:r>
        <w:rPr/>
        <w:t> </w:t>
      </w:r>
      <w:r>
        <w:rPr>
          <w:rFonts w:ascii="宋体" w:hAnsi="宋体" w:cs="宋体" w:eastAsia="宋体" w:hint="default"/>
        </w:rPr>
        <w:t>1</w:t>
      </w:r>
      <w:r>
        <w:rPr/>
        <w:t>、重大投资</w:t>
      </w:r>
    </w:p>
    <w:p>
      <w:pPr>
        <w:spacing w:line="240" w:lineRule="auto" w:before="6"/>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232"/>
        <w:gridCol w:w="4818"/>
      </w:tblGrid>
      <w:tr>
        <w:trPr>
          <w:trHeight w:val="284"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554"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联合发起设立浙江浙商产融投资合伙企业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5"/>
                <w:sz w:val="21"/>
                <w:szCs w:val="21"/>
              </w:rPr>
              <w:t> </w:t>
            </w:r>
            <w:r>
              <w:rPr>
                <w:rFonts w:ascii="宋体" w:hAnsi="宋体" w:cs="宋体" w:eastAsia="宋体" w:hint="default"/>
                <w:sz w:val="21"/>
                <w:szCs w:val="21"/>
              </w:rPr>
              <w:t>2017-034</w:t>
            </w:r>
            <w:r>
              <w:rPr>
                <w:rFonts w:ascii="宋体" w:hAnsi="宋体" w:cs="宋体" w:eastAsia="宋体" w:hint="default"/>
                <w:sz w:val="21"/>
                <w:szCs w:val="21"/>
              </w:rPr>
              <w:t>、临</w:t>
            </w:r>
            <w:r>
              <w:rPr>
                <w:rFonts w:ascii="宋体" w:hAnsi="宋体" w:cs="宋体" w:eastAsia="宋体" w:hint="default"/>
                <w:spacing w:val="-55"/>
                <w:sz w:val="21"/>
                <w:szCs w:val="21"/>
              </w:rPr>
              <w:t> </w:t>
            </w:r>
            <w:r>
              <w:rPr>
                <w:rFonts w:ascii="宋体" w:hAnsi="宋体" w:cs="宋体" w:eastAsia="宋体" w:hint="default"/>
                <w:sz w:val="21"/>
                <w:szCs w:val="21"/>
              </w:rPr>
              <w:t>2017-035</w:t>
            </w:r>
            <w:r>
              <w:rPr>
                <w:rFonts w:ascii="宋体" w:hAnsi="宋体" w:cs="宋体" w:eastAsia="宋体" w:hint="default"/>
                <w:sz w:val="21"/>
                <w:szCs w:val="21"/>
              </w:rPr>
              <w:t>（</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r>
        <w:trPr>
          <w:trHeight w:val="554"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增资中信银行（国际）有限公司</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6"/>
                <w:sz w:val="21"/>
                <w:szCs w:val="21"/>
              </w:rPr>
              <w:t> </w:t>
            </w:r>
            <w:r>
              <w:rPr>
                <w:rFonts w:ascii="宋体" w:hAnsi="宋体" w:cs="宋体" w:eastAsia="宋体" w:hint="default"/>
                <w:sz w:val="21"/>
                <w:szCs w:val="21"/>
              </w:rPr>
              <w:t>2017-103</w:t>
            </w:r>
            <w:r>
              <w:rPr>
                <w:rFonts w:ascii="宋体" w:hAnsi="宋体" w:cs="宋体" w:eastAsia="宋体" w:hint="default"/>
                <w:sz w:val="21"/>
                <w:szCs w:val="21"/>
              </w:rPr>
              <w:t>、临</w:t>
            </w:r>
            <w:r>
              <w:rPr>
                <w:rFonts w:ascii="宋体" w:hAnsi="宋体" w:cs="宋体" w:eastAsia="宋体" w:hint="default"/>
                <w:spacing w:val="-56"/>
                <w:sz w:val="21"/>
                <w:szCs w:val="21"/>
              </w:rPr>
              <w:t> </w:t>
            </w:r>
            <w:r>
              <w:rPr>
                <w:rFonts w:ascii="宋体" w:hAnsi="宋体" w:cs="宋体" w:eastAsia="宋体" w:hint="default"/>
                <w:sz w:val="21"/>
                <w:szCs w:val="21"/>
              </w:rPr>
              <w:t>2017-105</w:t>
            </w:r>
            <w:r>
              <w:rPr>
                <w:rFonts w:ascii="宋体" w:hAnsi="宋体" w:cs="宋体" w:eastAsia="宋体" w:hint="default"/>
                <w:sz w:val="21"/>
                <w:szCs w:val="21"/>
              </w:rPr>
              <w:t>、临</w:t>
            </w:r>
            <w:r>
              <w:rPr>
                <w:rFonts w:ascii="宋体" w:hAnsi="宋体" w:cs="宋体" w:eastAsia="宋体" w:hint="default"/>
                <w:spacing w:val="-55"/>
                <w:sz w:val="21"/>
                <w:szCs w:val="21"/>
              </w:rPr>
              <w:t> </w:t>
            </w:r>
            <w:r>
              <w:rPr>
                <w:rFonts w:ascii="宋体" w:hAnsi="宋体" w:cs="宋体" w:eastAsia="宋体" w:hint="default"/>
                <w:sz w:val="21"/>
                <w:szCs w:val="21"/>
              </w:rPr>
              <w:t>2017-111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bl>
    <w:p>
      <w:pPr>
        <w:spacing w:line="240" w:lineRule="auto" w:before="5"/>
        <w:rPr>
          <w:rFonts w:ascii="宋体" w:hAnsi="宋体" w:cs="宋体" w:eastAsia="宋体" w:hint="default"/>
          <w:sz w:val="23"/>
          <w:szCs w:val="23"/>
        </w:rPr>
      </w:pPr>
    </w:p>
    <w:p>
      <w:pPr>
        <w:pStyle w:val="Heading2"/>
        <w:spacing w:line="283" w:lineRule="auto"/>
        <w:ind w:right="5193"/>
        <w:jc w:val="left"/>
        <w:rPr>
          <w:b w:val="0"/>
          <w:bCs w:val="0"/>
        </w:rPr>
      </w:pPr>
      <w:r>
        <w:rPr/>
        <w:t>十七、积极履行社会责任的工作情况</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5"/>
        </w:rPr>
        <w:t> </w:t>
      </w:r>
      <w:r>
        <w:rPr/>
        <w:t>上市公司扶贫工作情况</w:t>
      </w:r>
      <w:r>
        <w:rPr>
          <w:b w:val="0"/>
          <w:bCs w:val="0"/>
        </w:rPr>
      </w:r>
    </w:p>
    <w:p>
      <w:pPr>
        <w:spacing w:line="283" w:lineRule="auto" w:before="12"/>
        <w:ind w:left="218" w:right="718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pacing w:val="59"/>
          <w:sz w:val="24"/>
          <w:szCs w:val="24"/>
        </w:rPr>
        <w:t> </w:t>
      </w:r>
      <w:r>
        <w:rPr>
          <w:rFonts w:ascii="宋体" w:hAnsi="宋体" w:cs="宋体" w:eastAsia="宋体" w:hint="default"/>
          <w:b/>
          <w:bCs/>
          <w:sz w:val="24"/>
          <w:szCs w:val="24"/>
        </w:rPr>
        <w:t>精准扶贫规划</w:t>
      </w:r>
      <w:r>
        <w:rPr>
          <w:rFonts w:ascii="宋体" w:hAnsi="宋体" w:cs="宋体" w:eastAsia="宋体" w:hint="default"/>
          <w:sz w:val="24"/>
          <w:szCs w:val="24"/>
        </w:rPr>
      </w:r>
    </w:p>
    <w:p>
      <w:pPr>
        <w:pStyle w:val="BodyText"/>
        <w:spacing w:line="240" w:lineRule="auto" w:before="15"/>
        <w:ind w:left="698" w:right="233"/>
        <w:jc w:val="left"/>
      </w:pPr>
      <w:r>
        <w:rPr/>
        <w:t>公司推进和实施精准扶贫和慈善事业计划。具体情况如下：</w:t>
      </w:r>
    </w:p>
    <w:p>
      <w:pPr>
        <w:pStyle w:val="BodyText"/>
        <w:spacing w:line="357" w:lineRule="auto" w:before="151"/>
        <w:ind w:left="698" w:right="233"/>
        <w:jc w:val="left"/>
      </w:pPr>
      <w:r>
        <w:rPr/>
        <w:t>（</w:t>
      </w:r>
      <w:r>
        <w:rPr>
          <w:rFonts w:ascii="宋体" w:hAnsi="宋体" w:cs="宋体" w:eastAsia="宋体" w:hint="default"/>
        </w:rPr>
        <w:t>1</w:t>
      </w:r>
      <w:r>
        <w:rPr/>
        <w:t>）基本方略 </w:t>
      </w:r>
      <w:r>
        <w:rPr>
          <w:spacing w:val="-2"/>
        </w:rPr>
        <w:t>为全面贯彻《国务院关于印发“十三五”脱贫攻坚规划的通知》精神，认真落实</w:t>
      </w:r>
    </w:p>
    <w:p>
      <w:pPr>
        <w:pStyle w:val="BodyText"/>
        <w:spacing w:line="357" w:lineRule="auto" w:before="34"/>
        <w:ind w:left="218" w:right="232"/>
        <w:jc w:val="both"/>
      </w:pPr>
      <w:r>
        <w:rPr>
          <w:spacing w:val="-8"/>
        </w:rPr>
        <w:t>中国证监会《关于发挥资本市场作用服务国家脱贫攻坚战略的意见》，发挥公司优势，</w:t>
      </w:r>
      <w:r>
        <w:rPr>
          <w:spacing w:val="-104"/>
        </w:rPr>
        <w:t> </w:t>
      </w:r>
      <w:r>
        <w:rPr>
          <w:spacing w:val="-104"/>
        </w:rPr>
      </w:r>
      <w:r>
        <w:rPr>
          <w:spacing w:val="-2"/>
        </w:rPr>
        <w:t>服务国家脱贫战略，公司将着力开展各项精准扶贫工作，深刻领会“六个精准和五个</w:t>
      </w:r>
      <w:r>
        <w:rPr>
          <w:spacing w:val="-93"/>
        </w:rPr>
        <w:t> </w:t>
      </w:r>
      <w:r>
        <w:rPr>
          <w:spacing w:val="-93"/>
        </w:rPr>
      </w:r>
      <w:r>
        <w:rPr>
          <w:spacing w:val="-2"/>
        </w:rPr>
        <w:t>一批”的精准扶贫、精准脱贫的基本方略，坚持真扶贫、扶真贫，把帮助贫困群众摆</w:t>
      </w:r>
      <w:r>
        <w:rPr>
          <w:spacing w:val="-96"/>
        </w:rPr>
        <w:t> </w:t>
      </w:r>
      <w:r>
        <w:rPr>
          <w:spacing w:val="-96"/>
        </w:rPr>
      </w:r>
      <w:r>
        <w:rPr/>
        <w:t>脱贫困、实现共同富裕，作为公司履行社会责任的具体行动之一。</w:t>
      </w:r>
    </w:p>
    <w:p>
      <w:pPr>
        <w:pStyle w:val="BodyText"/>
        <w:spacing w:line="240" w:lineRule="auto" w:before="36"/>
        <w:ind w:left="698" w:right="233"/>
        <w:jc w:val="left"/>
      </w:pPr>
      <w:r>
        <w:rPr/>
        <w:t>（</w:t>
      </w:r>
      <w:r>
        <w:rPr>
          <w:rFonts w:ascii="宋体" w:hAnsi="宋体" w:cs="宋体" w:eastAsia="宋体" w:hint="default"/>
        </w:rPr>
        <w:t>2</w:t>
      </w:r>
      <w:r>
        <w:rPr/>
        <w:t>）总体目标</w:t>
      </w:r>
    </w:p>
    <w:p>
      <w:pPr>
        <w:spacing w:after="0" w:line="240" w:lineRule="auto"/>
        <w:jc w:val="left"/>
        <w:sectPr>
          <w:headerReference w:type="default" r:id="rId38"/>
          <w:footerReference w:type="default" r:id="rId39"/>
          <w:pgSz w:w="11910" w:h="16840"/>
          <w:pgMar w:header="880" w:footer="1195" w:top="1100" w:bottom="1380" w:left="1580" w:right="1040"/>
          <w:pgNumType w:start="4"/>
        </w:sectPr>
      </w:pPr>
    </w:p>
    <w:p>
      <w:pPr>
        <w:spacing w:line="240" w:lineRule="auto" w:before="8"/>
        <w:rPr>
          <w:rFonts w:ascii="宋体" w:hAnsi="宋体" w:cs="宋体" w:eastAsia="宋体" w:hint="default"/>
          <w:sz w:val="25"/>
          <w:szCs w:val="25"/>
        </w:rPr>
      </w:pPr>
    </w:p>
    <w:p>
      <w:pPr>
        <w:pStyle w:val="BodyText"/>
        <w:spacing w:line="357" w:lineRule="auto" w:before="26"/>
        <w:ind w:left="218" w:right="232" w:firstLine="479"/>
        <w:jc w:val="both"/>
      </w:pPr>
      <w:r>
        <w:rPr/>
        <w:t>公司计划三年（</w:t>
      </w:r>
      <w:r>
        <w:rPr>
          <w:rFonts w:ascii="宋体" w:hAnsi="宋体" w:cs="宋体" w:eastAsia="宋体" w:hint="default"/>
        </w:rPr>
        <w:t>2017-2019</w:t>
      </w:r>
      <w:r>
        <w:rPr>
          <w:rFonts w:ascii="宋体" w:hAnsi="宋体" w:cs="宋体" w:eastAsia="宋体" w:hint="default"/>
          <w:spacing w:val="-60"/>
        </w:rPr>
        <w:t> </w:t>
      </w:r>
      <w:r>
        <w:rPr/>
        <w:t>年）精准扶贫和慈善事业支出约</w:t>
      </w:r>
      <w:r>
        <w:rPr>
          <w:spacing w:val="-60"/>
        </w:rPr>
        <w:t> </w:t>
      </w:r>
      <w:r>
        <w:rPr>
          <w:rFonts w:ascii="宋体" w:hAnsi="宋体" w:cs="宋体" w:eastAsia="宋体" w:hint="default"/>
        </w:rPr>
        <w:t>1</w:t>
      </w:r>
      <w:r>
        <w:rPr>
          <w:rFonts w:ascii="宋体" w:hAnsi="宋体" w:cs="宋体" w:eastAsia="宋体" w:hint="default"/>
          <w:spacing w:val="-60"/>
        </w:rPr>
        <w:t> </w:t>
      </w:r>
      <w:r>
        <w:rPr/>
        <w:t>亿元，主要用于贫 </w:t>
      </w:r>
      <w:r>
        <w:rPr>
          <w:spacing w:val="-2"/>
        </w:rPr>
        <w:t>困地区的教育脱贫和乡村振兴等项目，重点帮助提升贫困地区学前教育水平和资助贫</w:t>
      </w:r>
      <w:r>
        <w:rPr>
          <w:spacing w:val="-93"/>
        </w:rPr>
        <w:t> </w:t>
      </w:r>
      <w:r>
        <w:rPr>
          <w:spacing w:val="-93"/>
        </w:rPr>
      </w:r>
      <w:r>
        <w:rPr/>
        <w:t>困家庭学生。</w:t>
      </w:r>
    </w:p>
    <w:p>
      <w:pPr>
        <w:pStyle w:val="BodyText"/>
        <w:spacing w:line="240" w:lineRule="auto" w:before="36"/>
        <w:ind w:left="698" w:right="233"/>
        <w:jc w:val="left"/>
      </w:pPr>
      <w:r>
        <w:rPr/>
        <w:t>（</w:t>
      </w:r>
      <w:r>
        <w:rPr>
          <w:rFonts w:ascii="宋体" w:hAnsi="宋体" w:cs="宋体" w:eastAsia="宋体" w:hint="default"/>
        </w:rPr>
        <w:t>3</w:t>
      </w:r>
      <w:r>
        <w:rPr/>
        <w:t>）保障措施</w:t>
      </w:r>
    </w:p>
    <w:p>
      <w:pPr>
        <w:pStyle w:val="BodyText"/>
        <w:spacing w:line="357" w:lineRule="auto" w:before="154"/>
        <w:ind w:left="218" w:right="233" w:firstLine="479"/>
        <w:jc w:val="both"/>
      </w:pPr>
      <w:r>
        <w:rPr/>
        <w:t>公司成立精准扶贫和慈善工作小组</w:t>
      </w:r>
      <w:r>
        <w:rPr>
          <w:rFonts w:ascii="宋体" w:hAnsi="宋体" w:cs="宋体" w:eastAsia="宋体" w:hint="default"/>
        </w:rPr>
        <w:t>,</w:t>
      </w:r>
      <w:r>
        <w:rPr>
          <w:rFonts w:ascii="宋体" w:hAnsi="宋体" w:cs="宋体" w:eastAsia="宋体" w:hint="default"/>
          <w:spacing w:val="8"/>
        </w:rPr>
        <w:t> </w:t>
      </w:r>
      <w:r>
        <w:rPr>
          <w:spacing w:val="-3"/>
        </w:rPr>
        <w:t>做好精准扶贫工作的统一部署，在已经开展</w:t>
      </w:r>
      <w:r>
        <w:rPr/>
        <w:t> </w:t>
      </w:r>
      <w:r>
        <w:rPr>
          <w:spacing w:val="-2"/>
        </w:rPr>
        <w:t>的各项扶贫工作和慈善工作成果基础上，加快选定精准帮扶对象和相关项目。公司董</w:t>
      </w:r>
      <w:r>
        <w:rPr>
          <w:spacing w:val="-94"/>
        </w:rPr>
        <w:t> </w:t>
      </w:r>
      <w:r>
        <w:rPr>
          <w:spacing w:val="-94"/>
        </w:rPr>
      </w:r>
      <w:r>
        <w:rPr>
          <w:spacing w:val="-2"/>
        </w:rPr>
        <w:t>事会授权副董事长领导精准扶贫和慈善工作，负责具体项目的选定、协议签订、项目</w:t>
      </w:r>
      <w:r>
        <w:rPr>
          <w:spacing w:val="-96"/>
        </w:rPr>
        <w:t> </w:t>
      </w:r>
      <w:r>
        <w:rPr>
          <w:spacing w:val="-96"/>
        </w:rPr>
      </w:r>
      <w:r>
        <w:rPr/>
        <w:t>管理、并决定项目每年投入的具体金额等相关事项。</w:t>
      </w:r>
    </w:p>
    <w:p>
      <w:pPr>
        <w:spacing w:line="240" w:lineRule="auto" w:before="0"/>
        <w:rPr>
          <w:rFonts w:ascii="宋体" w:hAnsi="宋体" w:cs="宋体" w:eastAsia="宋体" w:hint="default"/>
          <w:sz w:val="31"/>
          <w:szCs w:val="31"/>
        </w:rPr>
      </w:pPr>
    </w:p>
    <w:p>
      <w:pPr>
        <w:pStyle w:val="Heading2"/>
        <w:spacing w:line="240" w:lineRule="auto" w:before="0"/>
        <w:ind w:left="0" w:right="6497"/>
        <w:jc w:val="center"/>
        <w:rPr>
          <w:b w:val="0"/>
          <w:bCs w:val="0"/>
        </w:rPr>
      </w:pPr>
      <w:r>
        <w:rPr>
          <w:rFonts w:ascii="宋体" w:hAnsi="宋体" w:cs="宋体" w:eastAsia="宋体" w:hint="default"/>
        </w:rPr>
        <w:t>2.</w:t>
      </w:r>
      <w:r>
        <w:rPr>
          <w:rFonts w:ascii="宋体" w:hAnsi="宋体" w:cs="宋体" w:eastAsia="宋体" w:hint="default"/>
          <w:spacing w:val="59"/>
        </w:rPr>
        <w:t> </w:t>
      </w:r>
      <w:r>
        <w:rPr/>
        <w:t>年度精准扶贫概要</w:t>
      </w:r>
      <w:r>
        <w:rPr>
          <w:b w:val="0"/>
          <w:bCs w:val="0"/>
        </w:rPr>
      </w:r>
    </w:p>
    <w:p>
      <w:pPr>
        <w:pStyle w:val="BodyText"/>
        <w:spacing w:line="240" w:lineRule="auto" w:before="58"/>
        <w:ind w:left="698" w:right="233"/>
        <w:jc w:val="left"/>
      </w:pPr>
      <w:r>
        <w:rPr/>
        <w:t>捐助新家园协会</w:t>
      </w:r>
      <w:r>
        <w:rPr>
          <w:spacing w:val="-60"/>
        </w:rPr>
        <w:t> </w:t>
      </w:r>
      <w:r>
        <w:rPr>
          <w:rFonts w:ascii="宋体" w:hAnsi="宋体" w:cs="宋体" w:eastAsia="宋体" w:hint="default"/>
        </w:rPr>
        <w:t>2000</w:t>
      </w:r>
      <w:r>
        <w:rPr>
          <w:rFonts w:ascii="宋体" w:hAnsi="宋体" w:cs="宋体" w:eastAsia="宋体" w:hint="default"/>
          <w:spacing w:val="-60"/>
        </w:rPr>
        <w:t> </w:t>
      </w:r>
      <w:r>
        <w:rPr/>
        <w:t>万元港币，以推进该协会各项慈善扶贫工作。</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3.</w:t>
      </w:r>
      <w:r>
        <w:rPr>
          <w:rFonts w:ascii="宋体" w:hAnsi="宋体" w:cs="宋体" w:eastAsia="宋体" w:hint="default"/>
          <w:spacing w:val="59"/>
        </w:rPr>
        <w:t> </w:t>
      </w:r>
      <w:r>
        <w:rPr/>
        <w:t>精准扶贫成效</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1480" w:val="left" w:leader="none"/>
        </w:tabs>
        <w:spacing w:before="142"/>
        <w:ind w:left="21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单位：万元</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1910" w:h="16840"/>
          <w:pgMar w:top="1000" w:bottom="280" w:left="1580" w:right="1040"/>
          <w:cols w:num="2" w:equalWidth="0">
            <w:col w:w="2088" w:space="4223"/>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指</w:t>
              <w:tab/>
              <w:t>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2" w:right="0"/>
              <w:jc w:val="left"/>
              <w:rPr>
                <w:rFonts w:ascii="宋体" w:hAnsi="宋体" w:cs="宋体" w:eastAsia="宋体" w:hint="default"/>
                <w:sz w:val="21"/>
                <w:szCs w:val="21"/>
              </w:rPr>
            </w:pPr>
            <w:r>
              <w:rPr>
                <w:rFonts w:ascii="宋体" w:hAnsi="宋体" w:cs="宋体" w:eastAsia="宋体" w:hint="default"/>
                <w:sz w:val="21"/>
                <w:szCs w:val="21"/>
              </w:rPr>
              <w:t>数量及开展情况</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z w:val="21"/>
                <w:szCs w:val="21"/>
              </w:rPr>
              <w:t>资金</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1,892.12</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产业发展脱贫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产业扶贫项目类型</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农林产业扶贫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 旅游扶贫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 电商扶贫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资产收益扶贫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 科技扶贫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pacing w:val="-3"/>
                <w:sz w:val="21"/>
                <w:szCs w:val="21"/>
              </w:rPr>
              <w:t>其他</w:t>
            </w:r>
            <w:r>
              <w:rPr>
                <w:rFonts w:ascii="宋体" w:hAnsi="宋体" w:cs="宋体" w:eastAsia="宋体" w:hint="default"/>
                <w:sz w:val="21"/>
                <w:szCs w:val="21"/>
              </w:rPr>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产业扶贫项目个数（个）</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9</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产业扶贫项目投入金额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1,892.12</w:t>
            </w:r>
          </w:p>
        </w:tc>
      </w:tr>
    </w:tbl>
    <w:p>
      <w:pPr>
        <w:spacing w:line="240" w:lineRule="auto" w:before="5"/>
        <w:rPr>
          <w:rFonts w:ascii="宋体" w:hAnsi="宋体" w:cs="宋体" w:eastAsia="宋体" w:hint="default"/>
          <w:sz w:val="23"/>
          <w:szCs w:val="23"/>
        </w:rPr>
      </w:pPr>
    </w:p>
    <w:p>
      <w:pPr>
        <w:spacing w:line="283" w:lineRule="auto" w:before="26"/>
        <w:ind w:left="698" w:right="408" w:hanging="48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pacing w:val="60"/>
          <w:sz w:val="24"/>
          <w:szCs w:val="24"/>
        </w:rPr>
        <w:t> </w:t>
      </w:r>
      <w:r>
        <w:rPr>
          <w:rFonts w:ascii="宋体" w:hAnsi="宋体" w:cs="宋体" w:eastAsia="宋体" w:hint="default"/>
          <w:b/>
          <w:bCs/>
          <w:sz w:val="24"/>
          <w:szCs w:val="24"/>
        </w:rPr>
        <w:t>后续精准扶贫计划</w:t>
      </w:r>
      <w:r>
        <w:rPr>
          <w:rFonts w:ascii="宋体" w:hAnsi="宋体" w:cs="宋体" w:eastAsia="宋体" w:hint="default"/>
          <w:b/>
          <w:bCs/>
          <w:w w:val="99"/>
          <w:sz w:val="24"/>
          <w:szCs w:val="24"/>
        </w:rPr>
        <w:t> </w:t>
      </w:r>
      <w:r>
        <w:rPr>
          <w:rFonts w:ascii="宋体" w:hAnsi="宋体" w:cs="宋体" w:eastAsia="宋体" w:hint="default"/>
          <w:sz w:val="24"/>
          <w:szCs w:val="24"/>
        </w:rPr>
        <w:t>作为主要发起人之一共同发起的浙江新湖慈善基金会将经浙江省民政厅核准正</w:t>
      </w:r>
    </w:p>
    <w:p>
      <w:pPr>
        <w:pStyle w:val="BodyText"/>
        <w:spacing w:line="357" w:lineRule="auto" w:before="108"/>
        <w:ind w:left="218" w:right="234"/>
        <w:jc w:val="both"/>
      </w:pPr>
      <w:r>
        <w:rPr>
          <w:spacing w:val="-2"/>
        </w:rPr>
        <w:t>式成立。这标志新湖慈善公益事业进入一个新起点、新阶段，我们要不忘初心，砥砺</w:t>
      </w:r>
      <w:r>
        <w:rPr>
          <w:spacing w:val="-94"/>
        </w:rPr>
        <w:t> </w:t>
      </w:r>
      <w:r>
        <w:rPr>
          <w:spacing w:val="-94"/>
        </w:rPr>
      </w:r>
      <w:r>
        <w:rPr>
          <w:spacing w:val="-8"/>
        </w:rPr>
        <w:t>前行，继续践行新湖“财富共享才最有价值”的理念，不断进行新开拓，取得新业绩，</w:t>
      </w:r>
      <w:r>
        <w:rPr>
          <w:spacing w:val="-106"/>
        </w:rPr>
        <w:t> </w:t>
      </w:r>
      <w:r>
        <w:rPr>
          <w:spacing w:val="-106"/>
        </w:rPr>
      </w:r>
      <w:r>
        <w:rPr/>
        <w:t>为社会作出更大贡献。</w:t>
      </w:r>
    </w:p>
    <w:p>
      <w:pPr>
        <w:pStyle w:val="BodyText"/>
        <w:spacing w:line="240" w:lineRule="auto" w:before="36"/>
        <w:ind w:left="698" w:right="233"/>
        <w:jc w:val="left"/>
      </w:pPr>
      <w:r>
        <w:rPr>
          <w:rFonts w:ascii="宋体" w:hAnsi="宋体" w:cs="宋体" w:eastAsia="宋体" w:hint="default"/>
        </w:rPr>
        <w:t>2018</w:t>
      </w:r>
      <w:r>
        <w:rPr>
          <w:rFonts w:ascii="宋体" w:hAnsi="宋体" w:cs="宋体" w:eastAsia="宋体" w:hint="default"/>
          <w:spacing w:val="-60"/>
        </w:rPr>
        <w:t> </w:t>
      </w:r>
      <w:r>
        <w:rPr/>
        <w:t>年度主要慈善公益项目安排：</w:t>
      </w:r>
    </w:p>
    <w:p>
      <w:pPr>
        <w:pStyle w:val="BodyText"/>
        <w:spacing w:line="357" w:lineRule="auto" w:before="151"/>
        <w:ind w:left="698" w:right="233"/>
        <w:jc w:val="left"/>
      </w:pPr>
      <w:r>
        <w:rPr/>
        <w:t>（</w:t>
      </w:r>
      <w:r>
        <w:rPr>
          <w:rFonts w:ascii="宋体" w:hAnsi="宋体" w:cs="宋体" w:eastAsia="宋体" w:hint="default"/>
        </w:rPr>
        <w:t>1</w:t>
      </w:r>
      <w:r>
        <w:rPr/>
        <w:t>）“新湖乡村幼儿园计划” </w:t>
      </w:r>
      <w:r>
        <w:rPr>
          <w:spacing w:val="-2"/>
        </w:rPr>
        <w:t>新湖中宝坚决响应党中央的号召，决定将其慈善资源聚焦深度贫困地区的脱贫攻</w:t>
      </w:r>
    </w:p>
    <w:p>
      <w:pPr>
        <w:pStyle w:val="BodyText"/>
        <w:spacing w:line="240" w:lineRule="auto" w:before="34"/>
        <w:ind w:left="218" w:right="0"/>
        <w:jc w:val="both"/>
      </w:pPr>
      <w:r>
        <w:rPr>
          <w:spacing w:val="-4"/>
        </w:rPr>
        <w:t>坚工作，特别是在深度贫困地区的农村实施“新湖乡村幼儿园计划”。</w:t>
      </w:r>
      <w:r>
        <w:rPr>
          <w:rFonts w:ascii="宋体" w:hAnsi="宋体" w:cs="宋体" w:eastAsia="宋体" w:hint="default"/>
          <w:spacing w:val="-4"/>
        </w:rPr>
        <w:t>2018</w:t>
      </w:r>
      <w:r>
        <w:rPr>
          <w:rFonts w:ascii="宋体" w:hAnsi="宋体" w:cs="宋体" w:eastAsia="宋体" w:hint="default"/>
          <w:spacing w:val="-26"/>
        </w:rPr>
        <w:t> </w:t>
      </w:r>
      <w:r>
        <w:rPr/>
        <w:t>年计划投</w:t>
      </w:r>
    </w:p>
    <w:p>
      <w:pPr>
        <w:spacing w:after="0" w:line="240" w:lineRule="auto"/>
        <w:jc w:val="both"/>
        <w:sectPr>
          <w:type w:val="continuous"/>
          <w:pgSz w:w="11910" w:h="16840"/>
          <w:pgMar w:top="1000" w:bottom="280" w:left="1580" w:right="1040"/>
        </w:sectPr>
      </w:pPr>
    </w:p>
    <w:p>
      <w:pPr>
        <w:spacing w:line="240" w:lineRule="auto" w:before="8"/>
        <w:rPr>
          <w:rFonts w:ascii="宋体" w:hAnsi="宋体" w:cs="宋体" w:eastAsia="宋体" w:hint="default"/>
          <w:sz w:val="25"/>
          <w:szCs w:val="25"/>
        </w:rPr>
      </w:pPr>
    </w:p>
    <w:p>
      <w:pPr>
        <w:pStyle w:val="BodyText"/>
        <w:spacing w:line="357" w:lineRule="auto" w:before="26"/>
        <w:ind w:right="119"/>
        <w:jc w:val="left"/>
      </w:pPr>
      <w:r>
        <w:rPr/>
        <w:t>入</w:t>
      </w:r>
      <w:r>
        <w:rPr>
          <w:spacing w:val="-61"/>
        </w:rPr>
        <w:t> </w:t>
      </w:r>
      <w:r>
        <w:rPr>
          <w:rFonts w:ascii="宋体" w:hAnsi="宋体" w:cs="宋体" w:eastAsia="宋体" w:hint="default"/>
        </w:rPr>
        <w:t>3000</w:t>
      </w:r>
      <w:r>
        <w:rPr>
          <w:rFonts w:ascii="宋体" w:hAnsi="宋体" w:cs="宋体" w:eastAsia="宋体" w:hint="default"/>
          <w:spacing w:val="-60"/>
        </w:rPr>
        <w:t> </w:t>
      </w:r>
      <w:r>
        <w:rPr/>
        <w:t>万，将云南省傈僳自治州作为其重点支持的区域，并将在沪滇对口帮扶工作 的框架下适当兼顾其他贫困地区。云南省怒江自治州属于中央确定的“三区三州”，</w:t>
      </w:r>
      <w:r>
        <w:rPr>
          <w:spacing w:val="-56"/>
        </w:rPr>
        <w:t> </w:t>
      </w:r>
      <w:r>
        <w:rPr>
          <w:spacing w:val="-56"/>
        </w:rPr>
      </w:r>
      <w:r>
        <w:rPr/>
        <w:t>中央和社会高度关注；怒江州农村学前儿童教育资源缺口很大。新湖慈善基金会建办</w:t>
      </w:r>
      <w:r>
        <w:rPr/>
        <w:t> 乡村幼儿园，三年达到新湖乡村幼儿园在全州覆盖。</w:t>
      </w:r>
    </w:p>
    <w:p>
      <w:pPr>
        <w:pStyle w:val="BodyText"/>
        <w:spacing w:line="355" w:lineRule="auto" w:before="36"/>
        <w:ind w:left="618" w:right="288"/>
        <w:jc w:val="left"/>
      </w:pPr>
      <w:r>
        <w:rPr/>
        <w:t>（</w:t>
      </w:r>
      <w:r>
        <w:rPr>
          <w:rFonts w:ascii="宋体" w:hAnsi="宋体" w:cs="宋体" w:eastAsia="宋体" w:hint="default"/>
        </w:rPr>
        <w:t>2</w:t>
      </w:r>
      <w:r>
        <w:rPr/>
        <w:t>）新湖 “益贫乡村”公益项目 该项目由新湖慈善基金会、新湖•恩施裕丰房地产开发有限公司与我国著名扶贫</w:t>
      </w:r>
    </w:p>
    <w:p>
      <w:pPr>
        <w:pStyle w:val="BodyText"/>
        <w:spacing w:line="357" w:lineRule="auto" w:before="38"/>
        <w:ind w:right="119"/>
        <w:jc w:val="left"/>
      </w:pPr>
      <w:r>
        <w:rPr>
          <w:spacing w:val="-2"/>
        </w:rPr>
        <w:t>专家李小云教授发起的小云助贫中心、盛家坝乡政府、龙洞河村委会共同发起，在恩</w:t>
      </w:r>
      <w:r>
        <w:rPr>
          <w:spacing w:val="-96"/>
        </w:rPr>
        <w:t> </w:t>
      </w:r>
      <w:r>
        <w:rPr>
          <w:spacing w:val="-96"/>
        </w:rPr>
      </w:r>
      <w:r>
        <w:rPr/>
        <w:t>施州恩施市盛家坝乡龙洞河村枫香河自然村开展为期两年的深度性贫困与乡村振兴</w:t>
      </w:r>
      <w:r>
        <w:rPr/>
        <w:t> 综合性治理实验，并由新湖慈善基金会捐助启动性资金</w:t>
      </w:r>
      <w:r>
        <w:rPr>
          <w:spacing w:val="-60"/>
        </w:rPr>
        <w:t> </w:t>
      </w:r>
      <w:r>
        <w:rPr>
          <w:rFonts w:ascii="宋体" w:hAnsi="宋体" w:cs="宋体" w:eastAsia="宋体" w:hint="default"/>
        </w:rPr>
        <w:t>300</w:t>
      </w:r>
      <w:r>
        <w:rPr>
          <w:rFonts w:ascii="宋体" w:hAnsi="宋体" w:cs="宋体" w:eastAsia="宋体" w:hint="default"/>
          <w:spacing w:val="-60"/>
        </w:rPr>
        <w:t> </w:t>
      </w:r>
      <w:r>
        <w:rPr/>
        <w:t>万元。</w:t>
      </w:r>
    </w:p>
    <w:p>
      <w:pPr>
        <w:pStyle w:val="BodyText"/>
        <w:spacing w:line="357" w:lineRule="auto" w:before="34"/>
        <w:ind w:right="234" w:firstLine="479"/>
        <w:jc w:val="both"/>
      </w:pPr>
      <w:r>
        <w:rPr>
          <w:spacing w:val="-2"/>
        </w:rPr>
        <w:t>项目将以枫香河益贫合作社、枫香河益贫儿童乐园作为公益建设的抓手，以此与</w:t>
      </w:r>
      <w:r>
        <w:rPr/>
        <w:t> </w:t>
      </w:r>
      <w:r>
        <w:rPr>
          <w:spacing w:val="-2"/>
        </w:rPr>
        <w:t>政府和其他社会资源协力，在基础设施、产业、社会福利等方面进行投入。同时，构</w:t>
      </w:r>
      <w:r>
        <w:rPr>
          <w:spacing w:val="-96"/>
        </w:rPr>
        <w:t> </w:t>
      </w:r>
      <w:r>
        <w:rPr>
          <w:spacing w:val="-96"/>
        </w:rPr>
      </w:r>
      <w:r>
        <w:rPr>
          <w:spacing w:val="-2"/>
        </w:rPr>
        <w:t>建综合性产业合作社，解决农户在种植生产方面的技术难题，推动枫香河益贫合作社</w:t>
      </w:r>
      <w:r>
        <w:rPr>
          <w:spacing w:val="-94"/>
        </w:rPr>
        <w:t> </w:t>
      </w:r>
      <w:r>
        <w:rPr>
          <w:spacing w:val="-94"/>
        </w:rPr>
      </w:r>
      <w:r>
        <w:rPr>
          <w:spacing w:val="-2"/>
        </w:rPr>
        <w:t>与外部市场对接，将村子里已初具规模的种植畜牧产业（畜牧、烤烟、茶叶等）推向</w:t>
      </w:r>
      <w:r>
        <w:rPr>
          <w:spacing w:val="-96"/>
        </w:rPr>
        <w:t> </w:t>
      </w:r>
      <w:r>
        <w:rPr>
          <w:spacing w:val="-96"/>
        </w:rPr>
      </w:r>
      <w:r>
        <w:rPr/>
        <w:t>消费终端，从而帮助农户快速持续地增加收入。</w:t>
      </w:r>
    </w:p>
    <w:p>
      <w:pPr>
        <w:pStyle w:val="BodyText"/>
        <w:spacing w:line="355" w:lineRule="auto" w:before="36"/>
        <w:ind w:right="119" w:firstLine="479"/>
        <w:jc w:val="left"/>
      </w:pPr>
      <w:r>
        <w:rPr>
          <w:spacing w:val="-2"/>
        </w:rPr>
        <w:t>项目的目标是：将枫香河自然村建设成文化、自然、生态一体化的持续益贫示范</w:t>
      </w:r>
      <w:r>
        <w:rPr/>
        <w:t> 乡村，同时为解决整村深度性贫困问题和乡村振兴，提供一个样板方案。</w:t>
      </w:r>
    </w:p>
    <w:p>
      <w:pPr>
        <w:pStyle w:val="BodyText"/>
        <w:spacing w:line="355" w:lineRule="auto" w:before="38"/>
        <w:ind w:right="104" w:firstLine="479"/>
        <w:jc w:val="left"/>
      </w:pPr>
      <w:r>
        <w:rPr/>
        <w:t>项目安排时间为两年，已于</w:t>
      </w:r>
      <w:r>
        <w:rPr>
          <w:spacing w:val="-59"/>
        </w:rPr>
        <w:t> </w:t>
      </w:r>
      <w:r>
        <w:rPr>
          <w:rFonts w:ascii="宋体" w:hAnsi="宋体" w:cs="宋体" w:eastAsia="宋体" w:hint="default"/>
        </w:rPr>
        <w:t>2017</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月在恩施正式启动，</w:t>
      </w:r>
      <w:r>
        <w:rPr>
          <w:rFonts w:ascii="宋体" w:hAnsi="宋体" w:cs="宋体" w:eastAsia="宋体" w:hint="default"/>
        </w:rPr>
        <w:t>2018</w:t>
      </w:r>
      <w:r>
        <w:rPr>
          <w:rFonts w:ascii="宋体" w:hAnsi="宋体" w:cs="宋体" w:eastAsia="宋体" w:hint="default"/>
          <w:spacing w:val="-59"/>
        </w:rPr>
        <w:t> </w:t>
      </w:r>
      <w:r>
        <w:rPr/>
        <w:t>年是关键一年， 力争实现项目取得实质性突破和进展，并形成雏形。</w:t>
      </w:r>
    </w:p>
    <w:p>
      <w:pPr>
        <w:pStyle w:val="Heading2"/>
        <w:spacing w:line="240" w:lineRule="auto" w:before="98"/>
        <w:ind w:left="138" w:right="119"/>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5"/>
        </w:rPr>
        <w:t> </w:t>
      </w:r>
      <w:r>
        <w:rPr/>
        <w:t>社会责任工作情况</w:t>
      </w:r>
      <w:r>
        <w:rPr>
          <w:b w:val="0"/>
          <w:bCs w:val="0"/>
        </w:rPr>
      </w:r>
    </w:p>
    <w:p>
      <w:pPr>
        <w:pStyle w:val="BodyText"/>
        <w:tabs>
          <w:tab w:pos="1097" w:val="left" w:leader="none"/>
        </w:tabs>
        <w:spacing w:line="312" w:lineRule="exact" w:before="58"/>
        <w:ind w:right="119"/>
        <w:jc w:val="left"/>
      </w:pPr>
      <w:r>
        <w:rPr>
          <w:spacing w:val="-1"/>
        </w:rPr>
        <w:t>√适用</w:t>
        <w:tab/>
      </w:r>
      <w:r>
        <w:rPr/>
        <w:t>□不适用</w:t>
      </w:r>
    </w:p>
    <w:p>
      <w:pPr>
        <w:pStyle w:val="BodyText"/>
        <w:spacing w:line="312" w:lineRule="exact"/>
        <w:ind w:left="618" w:right="119"/>
        <w:jc w:val="left"/>
      </w:pPr>
      <w:r>
        <w:rPr/>
        <w:t>详见上交所网站（</w:t>
      </w:r>
      <w:hyperlink r:id="rId11">
        <w:r>
          <w:rPr>
            <w:rFonts w:ascii="宋体" w:hAnsi="宋体" w:cs="宋体" w:eastAsia="宋体" w:hint="default"/>
          </w:rPr>
          <w:t>www.sse.com.cn</w:t>
        </w:r>
      </w:hyperlink>
      <w:r>
        <w:rPr/>
        <w:t>）披露的《</w:t>
      </w:r>
      <w:r>
        <w:rPr>
          <w:rFonts w:ascii="宋体" w:hAnsi="宋体" w:cs="宋体" w:eastAsia="宋体" w:hint="default"/>
        </w:rPr>
        <w:t>2017</w:t>
      </w:r>
      <w:r>
        <w:rPr>
          <w:rFonts w:ascii="宋体" w:hAnsi="宋体" w:cs="宋体" w:eastAsia="宋体" w:hint="default"/>
          <w:spacing w:val="-60"/>
        </w:rPr>
        <w:t> </w:t>
      </w:r>
      <w:r>
        <w:rPr/>
        <w:t>年度公司社会责任报告》。</w:t>
      </w:r>
    </w:p>
    <w:p>
      <w:pPr>
        <w:spacing w:line="240" w:lineRule="auto" w:before="4"/>
        <w:rPr>
          <w:rFonts w:ascii="宋体" w:hAnsi="宋体" w:cs="宋体" w:eastAsia="宋体" w:hint="default"/>
          <w:sz w:val="28"/>
          <w:szCs w:val="28"/>
        </w:rPr>
      </w:pPr>
    </w:p>
    <w:p>
      <w:pPr>
        <w:pStyle w:val="Heading2"/>
        <w:spacing w:line="240" w:lineRule="auto" w:before="0"/>
        <w:ind w:left="138" w:right="119"/>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5"/>
        </w:rPr>
        <w:t> </w:t>
      </w:r>
      <w:r>
        <w:rPr/>
        <w:t>环境信息情况</w:t>
      </w:r>
      <w:r>
        <w:rPr>
          <w:b w:val="0"/>
          <w:bCs w:val="0"/>
        </w:rPr>
      </w:r>
    </w:p>
    <w:p>
      <w:pPr>
        <w:pStyle w:val="BodyText"/>
        <w:spacing w:line="240" w:lineRule="auto" w:before="55"/>
        <w:ind w:right="119"/>
        <w:jc w:val="left"/>
      </w:pPr>
      <w:r>
        <w:rPr>
          <w:rFonts w:ascii="宋体" w:hAnsi="宋体" w:cs="宋体" w:eastAsia="宋体" w:hint="default"/>
          <w:b/>
          <w:bCs/>
        </w:rPr>
        <w:t>1.</w:t>
      </w:r>
      <w:r>
        <w:rPr>
          <w:rFonts w:ascii="宋体" w:hAnsi="宋体" w:cs="宋体" w:eastAsia="宋体" w:hint="default"/>
          <w:b/>
          <w:bCs/>
          <w:spacing w:val="62"/>
        </w:rPr>
        <w:t> </w:t>
      </w:r>
      <w:r>
        <w:rPr/>
        <w:t>属于环境保护部门公布的重点排污单位的公司及其重要子公司的环保情况说明</w:t>
      </w:r>
    </w:p>
    <w:p>
      <w:pPr>
        <w:pStyle w:val="BodyText"/>
        <w:tabs>
          <w:tab w:pos="1097" w:val="left" w:leader="none"/>
        </w:tabs>
        <w:spacing w:line="240" w:lineRule="auto" w:before="58"/>
        <w:ind w:right="119"/>
        <w:jc w:val="left"/>
      </w:pPr>
      <w:r>
        <w:rPr>
          <w:spacing w:val="-1"/>
        </w:rPr>
        <w:t>□适用</w:t>
        <w:tab/>
      </w:r>
      <w:r>
        <w:rPr/>
        <w:t>√不适用</w:t>
      </w:r>
    </w:p>
    <w:p>
      <w:pPr>
        <w:spacing w:line="240" w:lineRule="auto" w:before="1"/>
        <w:rPr>
          <w:rFonts w:ascii="宋体" w:hAnsi="宋体" w:cs="宋体" w:eastAsia="宋体" w:hint="default"/>
          <w:sz w:val="28"/>
          <w:szCs w:val="28"/>
        </w:rPr>
      </w:pPr>
    </w:p>
    <w:p>
      <w:pPr>
        <w:pStyle w:val="BodyText"/>
        <w:spacing w:line="240" w:lineRule="auto"/>
        <w:ind w:right="119"/>
        <w:jc w:val="left"/>
      </w:pPr>
      <w:r>
        <w:rPr>
          <w:rFonts w:ascii="宋体" w:hAnsi="宋体" w:cs="宋体" w:eastAsia="宋体" w:hint="default"/>
        </w:rPr>
        <w:t>2.</w:t>
      </w:r>
      <w:r>
        <w:rPr>
          <w:rFonts w:ascii="宋体" w:hAnsi="宋体" w:cs="宋体" w:eastAsia="宋体" w:hint="default"/>
          <w:spacing w:val="64"/>
        </w:rPr>
        <w:t> </w:t>
      </w:r>
      <w:r>
        <w:rPr/>
        <w:t>重点排污单位之外的公司</w:t>
      </w:r>
    </w:p>
    <w:p>
      <w:pPr>
        <w:pStyle w:val="BodyText"/>
        <w:tabs>
          <w:tab w:pos="1097" w:val="left" w:leader="none"/>
        </w:tabs>
        <w:spacing w:line="357" w:lineRule="auto" w:before="58"/>
        <w:ind w:left="618" w:right="234" w:hanging="480"/>
        <w:jc w:val="left"/>
      </w:pPr>
      <w:r>
        <w:rPr>
          <w:spacing w:val="-1"/>
        </w:rPr>
        <w:t>√适用</w:t>
        <w:tab/>
      </w:r>
      <w:r>
        <w:rPr/>
        <w:t>□不适用</w:t>
      </w:r>
      <w:r>
        <w:rPr/>
        <w:t> </w:t>
      </w:r>
      <w:r>
        <w:rPr>
          <w:spacing w:val="-2"/>
        </w:rPr>
        <w:t>公司及下属子公司不属于重点排污单位。报告期内，公司及下属子公司严格遵守</w:t>
      </w:r>
    </w:p>
    <w:p>
      <w:pPr>
        <w:pStyle w:val="BodyText"/>
        <w:spacing w:line="357" w:lineRule="auto" w:before="34"/>
        <w:ind w:right="234"/>
        <w:jc w:val="both"/>
      </w:pPr>
      <w:r>
        <w:rPr>
          <w:spacing w:val="-2"/>
        </w:rPr>
        <w:t>国家和地方关于环境保护的法律法规及各项规定的要求，在项目开发过程中严格履行</w:t>
      </w:r>
      <w:r>
        <w:rPr>
          <w:spacing w:val="-94"/>
        </w:rPr>
        <w:t> </w:t>
      </w:r>
      <w:r>
        <w:rPr>
          <w:spacing w:val="-94"/>
        </w:rPr>
      </w:r>
      <w:r>
        <w:rPr>
          <w:spacing w:val="-2"/>
        </w:rPr>
        <w:t>项目所在地环保部门的各项审批手续，不存在违反环保法律法规的行为和污染事故纠</w:t>
      </w:r>
      <w:r>
        <w:rPr>
          <w:spacing w:val="-94"/>
        </w:rPr>
        <w:t> </w:t>
      </w:r>
      <w:r>
        <w:rPr>
          <w:spacing w:val="-94"/>
        </w:rPr>
      </w:r>
      <w:r>
        <w:rPr/>
        <w:t>纷，未因环境违法受到环保部门的行政处罚。</w:t>
      </w:r>
    </w:p>
    <w:p>
      <w:pPr>
        <w:spacing w:after="0" w:line="357" w:lineRule="auto"/>
        <w:jc w:val="both"/>
        <w:sectPr>
          <w:footerReference w:type="default" r:id="rId40"/>
          <w:pgSz w:w="11910" w:h="16840"/>
          <w:pgMar w:footer="1195" w:header="880" w:top="1120" w:bottom="1380" w:left="1660" w:right="1040"/>
          <w:pgNumType w:start="51"/>
        </w:sectPr>
      </w:pPr>
    </w:p>
    <w:p>
      <w:pPr>
        <w:spacing w:line="240" w:lineRule="auto" w:before="8"/>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37"/>
        </w:rPr>
        <w:t> </w:t>
      </w:r>
      <w:r>
        <w:rPr/>
        <w:t>其他说明</w:t>
      </w:r>
      <w:r>
        <w:rPr>
          <w:b w:val="0"/>
          <w:bCs w:val="0"/>
        </w:rPr>
      </w:r>
    </w:p>
    <w:p>
      <w:pPr>
        <w:pStyle w:val="BodyText"/>
        <w:spacing w:line="240" w:lineRule="auto" w:before="58"/>
        <w:ind w:right="0"/>
        <w:jc w:val="both"/>
      </w:pPr>
      <w:r>
        <w:rPr/>
        <w:t>□适用</w:t>
      </w:r>
      <w:r>
        <w:rPr>
          <w:spacing w:val="119"/>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138" w:right="0"/>
        <w:jc w:val="both"/>
        <w:rPr>
          <w:b w:val="0"/>
          <w:bCs w:val="0"/>
        </w:rPr>
      </w:pPr>
      <w:r>
        <w:rPr/>
        <w:t>十八、可转换公司债券情况</w:t>
      </w:r>
      <w:r>
        <w:rPr>
          <w:b w:val="0"/>
          <w:bCs w:val="0"/>
        </w:rPr>
      </w:r>
    </w:p>
    <w:p>
      <w:pPr>
        <w:pStyle w:val="Heading2"/>
        <w:spacing w:line="240" w:lineRule="auto" w:before="58"/>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转债发行情况</w:t>
      </w:r>
      <w:r>
        <w:rPr>
          <w:b w:val="0"/>
          <w:bCs w:val="0"/>
        </w:rPr>
      </w:r>
    </w:p>
    <w:p>
      <w:pPr>
        <w:pStyle w:val="BodyText"/>
        <w:spacing w:line="240" w:lineRule="auto" w:before="27"/>
        <w:ind w:right="0"/>
        <w:jc w:val="both"/>
      </w:pPr>
      <w:r>
        <w:rPr/>
        <w:t>□适用</w:t>
      </w:r>
      <w:r>
        <w:rPr>
          <w:spacing w:val="119"/>
        </w:rPr>
        <w:t> </w:t>
      </w:r>
      <w:r>
        <w:rPr/>
        <w:t>√不适用</w:t>
      </w:r>
    </w:p>
    <w:p>
      <w:pPr>
        <w:pStyle w:val="Heading2"/>
        <w:spacing w:line="240" w:lineRule="auto" w:before="58"/>
        <w:ind w:left="138"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25"/>
        <w:ind w:right="0"/>
        <w:jc w:val="both"/>
      </w:pPr>
      <w:r>
        <w:rPr/>
        <w:t>□适用</w:t>
      </w:r>
      <w:r>
        <w:rPr>
          <w:spacing w:val="-1"/>
        </w:rPr>
        <w:t> </w:t>
      </w:r>
      <w:r>
        <w:rPr/>
        <w:t>√不适用</w:t>
      </w:r>
    </w:p>
    <w:p>
      <w:pPr>
        <w:pStyle w:val="Heading2"/>
        <w:spacing w:line="240" w:lineRule="auto" w:before="58"/>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7"/>
        </w:rPr>
        <w:t> </w:t>
      </w:r>
      <w:r>
        <w:rPr/>
        <w:t>报告期转债变动情况</w:t>
      </w:r>
      <w:r>
        <w:rPr>
          <w:b w:val="0"/>
          <w:bCs w:val="0"/>
        </w:rPr>
      </w:r>
    </w:p>
    <w:p>
      <w:pPr>
        <w:pStyle w:val="BodyText"/>
        <w:spacing w:line="310" w:lineRule="exact" w:before="60"/>
        <w:ind w:right="6288"/>
        <w:jc w:val="left"/>
      </w:pPr>
      <w:r>
        <w:rPr/>
        <w:t>□适用</w:t>
      </w:r>
      <w:r>
        <w:rPr>
          <w:spacing w:val="-1"/>
        </w:rPr>
        <w:t> </w:t>
      </w:r>
      <w:r>
        <w:rPr/>
        <w:t>√不适用</w:t>
      </w:r>
      <w:r>
        <w:rPr/>
        <w:t> 报告期转债累计转股情况</w:t>
      </w:r>
    </w:p>
    <w:p>
      <w:pPr>
        <w:pStyle w:val="BodyText"/>
        <w:spacing w:line="284" w:lineRule="exact"/>
        <w:ind w:right="0"/>
        <w:jc w:val="both"/>
      </w:pPr>
      <w:r>
        <w:rPr/>
        <w:t>□适用</w:t>
      </w:r>
      <w:r>
        <w:rPr>
          <w:spacing w:val="-1"/>
        </w:rPr>
        <w:t> </w:t>
      </w:r>
      <w:r>
        <w:rPr/>
        <w:t>√不适用</w:t>
      </w:r>
    </w:p>
    <w:p>
      <w:pPr>
        <w:pStyle w:val="Heading2"/>
        <w:spacing w:line="240" w:lineRule="auto" w:before="58"/>
        <w:ind w:left="138"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8"/>
        </w:rPr>
        <w:t> </w:t>
      </w:r>
      <w:r>
        <w:rPr/>
        <w:t>转股价格历次调整情况</w:t>
      </w:r>
      <w:r>
        <w:rPr>
          <w:b w:val="0"/>
          <w:bCs w:val="0"/>
        </w:rPr>
      </w:r>
    </w:p>
    <w:p>
      <w:pPr>
        <w:pStyle w:val="BodyText"/>
        <w:spacing w:line="240" w:lineRule="auto" w:before="25"/>
        <w:ind w:right="0"/>
        <w:jc w:val="both"/>
      </w:pPr>
      <w:r>
        <w:rPr/>
        <w:t>□适用</w:t>
      </w:r>
      <w:r>
        <w:rPr>
          <w:spacing w:val="-1"/>
        </w:rPr>
        <w:t> </w:t>
      </w:r>
      <w:r>
        <w:rPr/>
        <w:t>√不适用</w:t>
      </w:r>
    </w:p>
    <w:p>
      <w:pPr>
        <w:pStyle w:val="Heading2"/>
        <w:spacing w:line="240" w:lineRule="auto" w:before="58"/>
        <w:ind w:left="138" w:right="0"/>
        <w:jc w:val="both"/>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公司的负债情况、资信变化情况及在未来年度还债的现金安排</w:t>
      </w:r>
      <w:r>
        <w:rPr>
          <w:b w:val="0"/>
          <w:bCs w:val="0"/>
        </w:rPr>
      </w:r>
    </w:p>
    <w:p>
      <w:pPr>
        <w:pStyle w:val="BodyText"/>
        <w:spacing w:line="240" w:lineRule="auto" w:before="27"/>
        <w:ind w:right="0"/>
        <w:jc w:val="both"/>
      </w:pPr>
      <w:r>
        <w:rPr/>
        <w:t>□适用</w:t>
      </w:r>
      <w:r>
        <w:rPr>
          <w:spacing w:val="119"/>
        </w:rPr>
        <w:t> </w:t>
      </w:r>
      <w:r>
        <w:rPr/>
        <w:t>√不适用</w:t>
      </w:r>
    </w:p>
    <w:p>
      <w:pPr>
        <w:pStyle w:val="Heading2"/>
        <w:spacing w:line="240" w:lineRule="auto" w:before="55"/>
        <w:ind w:left="138" w:right="0"/>
        <w:jc w:val="both"/>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28"/>
        </w:rPr>
        <w:t> </w:t>
      </w:r>
      <w:r>
        <w:rPr/>
        <w:t>转债其他情况说明</w:t>
      </w:r>
      <w:r>
        <w:rPr>
          <w:b w:val="0"/>
          <w:bCs w:val="0"/>
        </w:rPr>
      </w:r>
    </w:p>
    <w:p>
      <w:pPr>
        <w:pStyle w:val="BodyText"/>
        <w:spacing w:line="240" w:lineRule="auto" w:before="27"/>
        <w:ind w:right="0"/>
        <w:jc w:val="both"/>
      </w:pPr>
      <w:r>
        <w:rPr/>
        <w:t>□适用</w:t>
      </w:r>
      <w:r>
        <w:rPr>
          <w:spacing w:val="119"/>
        </w:rPr>
        <w:t> </w:t>
      </w:r>
      <w:r>
        <w:rPr/>
        <w:t>√不适用</w:t>
      </w:r>
    </w:p>
    <w:p>
      <w:pPr>
        <w:spacing w:line="240" w:lineRule="auto" w:before="6"/>
        <w:rPr>
          <w:rFonts w:ascii="宋体" w:hAnsi="宋体" w:cs="宋体" w:eastAsia="宋体" w:hint="default"/>
          <w:sz w:val="27"/>
          <w:szCs w:val="27"/>
        </w:rPr>
      </w:pPr>
    </w:p>
    <w:p>
      <w:pPr>
        <w:pStyle w:val="Heading1"/>
        <w:tabs>
          <w:tab w:pos="1280" w:val="left" w:leader="none"/>
        </w:tabs>
        <w:spacing w:line="240" w:lineRule="auto"/>
        <w:ind w:left="20" w:right="0"/>
        <w:jc w:val="center"/>
        <w:rPr>
          <w:b w:val="0"/>
          <w:bCs w:val="0"/>
        </w:rPr>
      </w:pPr>
      <w:bookmarkStart w:name="_TOC_250006" w:id="6"/>
      <w:r>
        <w:rPr>
          <w:w w:val="95"/>
        </w:rPr>
        <w:t>第六节</w:t>
        <w:tab/>
      </w:r>
      <w:r>
        <w:rPr/>
        <w:t>普通股股份变动及股东情况</w:t>
      </w:r>
      <w:bookmarkEnd w:id="6"/>
      <w:r>
        <w:rPr>
          <w:b w:val="0"/>
          <w:bCs w:val="0"/>
        </w:rPr>
      </w:r>
    </w:p>
    <w:p>
      <w:pPr>
        <w:spacing w:line="271" w:lineRule="auto" w:before="246"/>
        <w:ind w:left="138" w:right="5937" w:firstLine="0"/>
        <w:jc w:val="both"/>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114"/>
          <w:sz w:val="24"/>
          <w:szCs w:val="24"/>
        </w:rPr>
        <w:t> </w:t>
      </w:r>
      <w:r>
        <w:rPr>
          <w:rFonts w:ascii="宋体" w:hAnsi="宋体" w:cs="宋体" w:eastAsia="宋体" w:hint="default"/>
          <w:b/>
          <w:bCs/>
          <w:sz w:val="24"/>
          <w:szCs w:val="24"/>
        </w:rPr>
        <w:t>普通股股本变动情况</w:t>
      </w:r>
      <w:r>
        <w:rPr>
          <w:rFonts w:ascii="宋体" w:hAnsi="宋体" w:cs="宋体" w:eastAsia="宋体" w:hint="default"/>
          <w:b/>
          <w:bCs/>
          <w:w w:val="99"/>
          <w:sz w:val="24"/>
          <w:szCs w:val="24"/>
        </w:rPr>
        <w:t> </w:t>
      </w:r>
      <w:r>
        <w:rPr>
          <w:rFonts w:ascii="Calibri" w:hAnsi="Calibri" w:cs="Calibri" w:eastAsia="Calibri" w:hint="default"/>
          <w:b/>
          <w:bCs/>
          <w:sz w:val="24"/>
          <w:szCs w:val="24"/>
        </w:rPr>
        <w:t>(</w:t>
      </w:r>
      <w:r>
        <w:rPr>
          <w:rFonts w:ascii="宋体" w:hAnsi="宋体" w:cs="宋体" w:eastAsia="宋体" w:hint="default"/>
          <w:b/>
          <w:bCs/>
          <w:sz w:val="24"/>
          <w:szCs w:val="24"/>
        </w:rPr>
        <w:t>一</w:t>
      </w:r>
      <w:r>
        <w:rPr>
          <w:rFonts w:ascii="Calibri" w:hAnsi="Calibri" w:cs="Calibri" w:eastAsia="Calibri" w:hint="default"/>
          <w:b/>
          <w:bCs/>
          <w:sz w:val="24"/>
          <w:szCs w:val="24"/>
        </w:rPr>
        <w:t>)</w:t>
      </w:r>
      <w:r>
        <w:rPr>
          <w:rFonts w:ascii="Calibri" w:hAnsi="Calibri" w:cs="Calibri" w:eastAsia="Calibri" w:hint="default"/>
          <w:b/>
          <w:bCs/>
          <w:spacing w:val="10"/>
          <w:sz w:val="24"/>
          <w:szCs w:val="24"/>
        </w:rPr>
        <w:t> </w:t>
      </w:r>
      <w:r>
        <w:rPr>
          <w:rFonts w:ascii="宋体" w:hAnsi="宋体" w:cs="宋体" w:eastAsia="宋体" w:hint="default"/>
          <w:b/>
          <w:bCs/>
          <w:sz w:val="24"/>
          <w:szCs w:val="24"/>
        </w:rPr>
        <w:t>普通股股份变动情况表</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pacing w:val="-61"/>
          <w:sz w:val="24"/>
          <w:szCs w:val="24"/>
        </w:rPr>
        <w:t> </w:t>
      </w:r>
      <w:r>
        <w:rPr>
          <w:rFonts w:ascii="宋体" w:hAnsi="宋体" w:cs="宋体" w:eastAsia="宋体" w:hint="default"/>
          <w:sz w:val="24"/>
          <w:szCs w:val="24"/>
        </w:rPr>
        <w:t>普通股股份变动情况表</w:t>
      </w:r>
    </w:p>
    <w:p>
      <w:pPr>
        <w:pStyle w:val="BodyText"/>
        <w:spacing w:line="283" w:lineRule="auto" w:before="24"/>
        <w:ind w:right="2928"/>
        <w:jc w:val="left"/>
      </w:pPr>
      <w:r>
        <w:rPr/>
        <w:t>报告期内，公司普通股股份总数及股本结构未发生变化。 </w:t>
      </w:r>
      <w:r>
        <w:rPr>
          <w:rFonts w:ascii="宋体" w:hAnsi="宋体" w:cs="宋体" w:eastAsia="宋体" w:hint="default"/>
        </w:rPr>
        <w:t>2</w:t>
      </w:r>
      <w:r>
        <w:rPr/>
        <w:t>、</w:t>
      </w:r>
      <w:r>
        <w:rPr>
          <w:spacing w:val="-61"/>
        </w:rPr>
        <w:t> </w:t>
      </w:r>
      <w:r>
        <w:rPr/>
        <w:t>普通股股份变动情况说明</w:t>
      </w:r>
    </w:p>
    <w:p>
      <w:pPr>
        <w:pStyle w:val="BodyText"/>
        <w:spacing w:line="240" w:lineRule="auto" w:before="14"/>
        <w:ind w:right="0"/>
        <w:jc w:val="both"/>
      </w:pPr>
      <w:r>
        <w:rPr/>
        <w:t>□适用</w:t>
      </w:r>
      <w:r>
        <w:rPr>
          <w:spacing w:val="119"/>
        </w:rPr>
        <w:t> </w:t>
      </w:r>
      <w:r>
        <w:rPr/>
        <w:t>√不适用</w:t>
      </w:r>
    </w:p>
    <w:p>
      <w:pPr>
        <w:pStyle w:val="BodyText"/>
        <w:spacing w:line="312" w:lineRule="exact" w:before="58"/>
        <w:ind w:right="0"/>
        <w:jc w:val="both"/>
      </w:pPr>
      <w:r>
        <w:rPr>
          <w:rFonts w:ascii="宋体" w:hAnsi="宋体" w:cs="宋体" w:eastAsia="宋体" w:hint="default"/>
          <w:b/>
          <w:bCs/>
        </w:rPr>
        <w:t>3</w:t>
      </w:r>
      <w:r>
        <w:rPr>
          <w:rFonts w:ascii="宋体" w:hAnsi="宋体" w:cs="宋体" w:eastAsia="宋体" w:hint="default"/>
          <w:b/>
          <w:bCs/>
        </w:rPr>
        <w:t>、</w:t>
      </w:r>
      <w:r>
        <w:rPr>
          <w:rFonts w:ascii="宋体" w:hAnsi="宋体" w:cs="宋体" w:eastAsia="宋体" w:hint="default"/>
          <w:b/>
          <w:bCs/>
          <w:spacing w:val="-54"/>
        </w:rPr>
        <w:t> </w:t>
      </w:r>
      <w:r>
        <w:rPr/>
        <w:t>普通股股份变动对最近一年和最近一期每股收益、每股净资产等财务指标的影响</w:t>
      </w:r>
    </w:p>
    <w:p>
      <w:pPr>
        <w:pStyle w:val="BodyText"/>
        <w:spacing w:line="312" w:lineRule="exact"/>
        <w:ind w:right="0"/>
        <w:jc w:val="both"/>
      </w:pPr>
      <w:r>
        <w:rPr/>
        <w:t>（如有）</w:t>
      </w:r>
    </w:p>
    <w:p>
      <w:pPr>
        <w:pStyle w:val="BodyText"/>
        <w:spacing w:line="240" w:lineRule="auto" w:before="58"/>
        <w:ind w:right="0"/>
        <w:jc w:val="both"/>
      </w:pPr>
      <w:r>
        <w:rPr/>
        <w:t>□适用</w:t>
      </w:r>
      <w:r>
        <w:rPr>
          <w:spacing w:val="119"/>
        </w:rPr>
        <w:t> </w:t>
      </w:r>
      <w:r>
        <w:rPr/>
        <w:t>√不适用</w:t>
      </w:r>
    </w:p>
    <w:p>
      <w:pPr>
        <w:pStyle w:val="BodyText"/>
        <w:spacing w:line="240" w:lineRule="auto" w:before="58"/>
        <w:ind w:right="0"/>
        <w:jc w:val="both"/>
      </w:pPr>
      <w:r>
        <w:rPr>
          <w:rFonts w:ascii="宋体" w:hAnsi="宋体" w:cs="宋体" w:eastAsia="宋体" w:hint="default"/>
        </w:rPr>
        <w:t>4</w:t>
      </w:r>
      <w:r>
        <w:rPr/>
        <w:t>、</w:t>
      </w:r>
      <w:r>
        <w:rPr>
          <w:spacing w:val="-61"/>
        </w:rPr>
        <w:t> </w:t>
      </w:r>
      <w:r>
        <w:rPr/>
        <w:t>公司认为必要或证券监管机构要求披露的其他内容</w:t>
      </w:r>
    </w:p>
    <w:p>
      <w:pPr>
        <w:pStyle w:val="BodyText"/>
        <w:spacing w:line="240" w:lineRule="auto" w:before="55"/>
        <w:ind w:right="0"/>
        <w:jc w:val="both"/>
      </w:pPr>
      <w:r>
        <w:rPr/>
        <w:t>□适用</w:t>
      </w:r>
      <w:r>
        <w:rPr>
          <w:spacing w:val="119"/>
        </w:rPr>
        <w:t> </w:t>
      </w:r>
      <w:r>
        <w:rPr/>
        <w:t>√不适用</w:t>
      </w:r>
    </w:p>
    <w:p>
      <w:pPr>
        <w:pStyle w:val="Heading2"/>
        <w:spacing w:line="240" w:lineRule="auto" w:before="58"/>
        <w:ind w:left="138" w:right="0"/>
        <w:jc w:val="both"/>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10"/>
        </w:rPr>
        <w:t> </w:t>
      </w:r>
      <w:r>
        <w:rPr/>
        <w:t>限售股份变动情况</w:t>
      </w:r>
      <w:r>
        <w:rPr>
          <w:b w:val="0"/>
          <w:bCs w:val="0"/>
        </w:rPr>
      </w:r>
    </w:p>
    <w:p>
      <w:pPr>
        <w:pStyle w:val="BodyText"/>
        <w:spacing w:line="240" w:lineRule="auto" w:before="27"/>
        <w:ind w:right="0"/>
        <w:jc w:val="both"/>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138" w:right="0"/>
        <w:jc w:val="both"/>
        <w:rPr>
          <w:b w:val="0"/>
          <w:bCs w:val="0"/>
        </w:rPr>
      </w:pPr>
      <w:r>
        <w:rPr/>
        <w:t>二、 </w:t>
      </w:r>
      <w:r>
        <w:rPr>
          <w:spacing w:val="114"/>
        </w:rPr>
        <w:t> </w:t>
      </w:r>
      <w:r>
        <w:rPr/>
        <w:t>证券发行与上市情况</w:t>
      </w:r>
      <w:r>
        <w:rPr>
          <w:b w:val="0"/>
          <w:bCs w:val="0"/>
        </w:rPr>
      </w:r>
    </w:p>
    <w:p>
      <w:pPr>
        <w:pStyle w:val="Heading2"/>
        <w:spacing w:line="240" w:lineRule="auto" w:before="58"/>
        <w:ind w:left="138" w:right="0"/>
        <w:jc w:val="both"/>
        <w:rPr>
          <w:b w:val="0"/>
          <w:bCs w:val="0"/>
        </w:rPr>
      </w:pPr>
      <w:r>
        <w:rPr>
          <w:rFonts w:ascii="宋体" w:hAnsi="宋体" w:cs="宋体" w:eastAsia="宋体" w:hint="default"/>
        </w:rPr>
        <w:t>(</w:t>
      </w:r>
      <w:r>
        <w:rPr/>
        <w:t>一</w:t>
      </w:r>
      <w:r>
        <w:rPr>
          <w:rFonts w:ascii="宋体" w:hAnsi="宋体" w:cs="宋体" w:eastAsia="宋体" w:hint="default"/>
        </w:rPr>
        <w:t>) </w:t>
      </w:r>
      <w:r>
        <w:rPr>
          <w:rFonts w:ascii="宋体" w:hAnsi="宋体" w:cs="宋体" w:eastAsia="宋体" w:hint="default"/>
          <w:spacing w:val="112"/>
        </w:rPr>
        <w:t> </w:t>
      </w:r>
      <w:r>
        <w:rPr/>
        <w:t>截至报告期内证券发行情况</w:t>
      </w:r>
      <w:r>
        <w:rPr>
          <w:b w:val="0"/>
          <w:bCs w:val="0"/>
        </w:rPr>
      </w:r>
    </w:p>
    <w:p>
      <w:pPr>
        <w:pStyle w:val="BodyText"/>
        <w:spacing w:line="240" w:lineRule="auto" w:before="56"/>
        <w:ind w:right="0"/>
        <w:jc w:val="both"/>
      </w:pPr>
      <w:r>
        <w:rPr/>
        <w:t>√适用</w:t>
      </w:r>
      <w:r>
        <w:rPr>
          <w:spacing w:val="-1"/>
        </w:rPr>
        <w:t> </w:t>
      </w:r>
      <w:r>
        <w:rPr/>
        <w:t>□不适用</w:t>
      </w:r>
    </w:p>
    <w:p>
      <w:pPr>
        <w:spacing w:after="0" w:line="240" w:lineRule="auto"/>
        <w:jc w:val="both"/>
        <w:sectPr>
          <w:pgSz w:w="11910" w:h="16840"/>
          <w:pgMar w:header="880" w:footer="1195" w:top="1120" w:bottom="1380" w:left="1660" w:right="1160"/>
        </w:sectPr>
      </w:pPr>
    </w:p>
    <w:p>
      <w:pPr>
        <w:spacing w:line="240" w:lineRule="auto" w:before="4"/>
        <w:rPr>
          <w:rFonts w:ascii="宋体" w:hAnsi="宋体" w:cs="宋体" w:eastAsia="宋体" w:hint="default"/>
          <w:sz w:val="25"/>
          <w:szCs w:val="25"/>
        </w:rPr>
      </w:pPr>
    </w:p>
    <w:p>
      <w:pPr>
        <w:tabs>
          <w:tab w:pos="1051" w:val="left" w:leader="none"/>
        </w:tabs>
        <w:spacing w:before="36"/>
        <w:ind w:left="0" w:right="790" w:firstLine="0"/>
        <w:jc w:val="right"/>
        <w:rPr>
          <w:rFonts w:ascii="宋体" w:hAnsi="宋体" w:cs="宋体" w:eastAsia="宋体" w:hint="default"/>
          <w:sz w:val="21"/>
          <w:szCs w:val="21"/>
        </w:rPr>
      </w:pPr>
      <w:r>
        <w:rPr>
          <w:rFonts w:ascii="宋体" w:hAnsi="宋体" w:cs="宋体" w:eastAsia="宋体" w:hint="default"/>
          <w:spacing w:val="-1"/>
          <w:sz w:val="21"/>
          <w:szCs w:val="21"/>
        </w:rPr>
        <w:t>单位：股</w:t>
        <w:tab/>
      </w:r>
      <w:r>
        <w:rPr>
          <w:rFonts w:ascii="宋体" w:hAnsi="宋体" w:cs="宋体" w:eastAsia="宋体" w:hint="default"/>
          <w:spacing w:val="-2"/>
          <w:sz w:val="21"/>
          <w:szCs w:val="21"/>
        </w:rPr>
        <w:t>币种：人民币</w:t>
      </w:r>
    </w:p>
    <w:p>
      <w:pPr>
        <w:spacing w:line="240" w:lineRule="auto" w:before="7"/>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994"/>
        <w:gridCol w:w="1918"/>
        <w:gridCol w:w="809"/>
        <w:gridCol w:w="1676"/>
        <w:gridCol w:w="1922"/>
        <w:gridCol w:w="1582"/>
        <w:gridCol w:w="1037"/>
      </w:tblGrid>
      <w:tr>
        <w:trPr>
          <w:trHeight w:val="109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both"/>
              <w:rPr>
                <w:rFonts w:ascii="宋体" w:hAnsi="宋体" w:cs="宋体" w:eastAsia="宋体" w:hint="default"/>
                <w:sz w:val="21"/>
                <w:szCs w:val="21"/>
              </w:rPr>
            </w:pPr>
            <w:r>
              <w:rPr>
                <w:rFonts w:ascii="宋体" w:hAnsi="宋体" w:cs="宋体" w:eastAsia="宋体" w:hint="default"/>
                <w:sz w:val="21"/>
                <w:szCs w:val="21"/>
              </w:rPr>
              <w:t>股票及</w:t>
            </w:r>
          </w:p>
          <w:p>
            <w:pPr>
              <w:pStyle w:val="TableParagraph"/>
              <w:spacing w:line="272" w:lineRule="exact" w:before="27"/>
              <w:ind w:left="175" w:right="173"/>
              <w:jc w:val="both"/>
              <w:rPr>
                <w:rFonts w:ascii="宋体" w:hAnsi="宋体" w:cs="宋体" w:eastAsia="宋体" w:hint="default"/>
                <w:sz w:val="21"/>
                <w:szCs w:val="21"/>
              </w:rPr>
            </w:pPr>
            <w:r>
              <w:rPr>
                <w:rFonts w:ascii="宋体" w:hAnsi="宋体" w:cs="宋体" w:eastAsia="宋体" w:hint="default"/>
                <w:sz w:val="21"/>
                <w:szCs w:val="21"/>
              </w:rPr>
              <w:t>其衍生</w:t>
            </w:r>
            <w:r>
              <w:rPr>
                <w:rFonts w:ascii="宋体" w:hAnsi="宋体" w:cs="宋体" w:eastAsia="宋体" w:hint="default"/>
                <w:spacing w:val="-102"/>
                <w:sz w:val="21"/>
                <w:szCs w:val="21"/>
              </w:rPr>
              <w:t> </w:t>
            </w:r>
            <w:r>
              <w:rPr>
                <w:rFonts w:ascii="宋体" w:hAnsi="宋体" w:cs="宋体" w:eastAsia="宋体" w:hint="default"/>
                <w:sz w:val="21"/>
                <w:szCs w:val="21"/>
              </w:rPr>
              <w:t>证券的</w:t>
            </w:r>
            <w:r>
              <w:rPr>
                <w:rFonts w:ascii="宋体" w:hAnsi="宋体" w:cs="宋体" w:eastAsia="宋体" w:hint="default"/>
                <w:spacing w:val="-102"/>
                <w:sz w:val="21"/>
                <w:szCs w:val="21"/>
              </w:rPr>
              <w:t> </w:t>
            </w:r>
            <w:r>
              <w:rPr>
                <w:rFonts w:ascii="宋体" w:hAnsi="宋体" w:cs="宋体" w:eastAsia="宋体" w:hint="default"/>
                <w:sz w:val="21"/>
                <w:szCs w:val="21"/>
              </w:rPr>
              <w:t>种类</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2" w:lineRule="exact"/>
              <w:ind w:left="187" w:right="0"/>
              <w:jc w:val="left"/>
              <w:rPr>
                <w:rFonts w:ascii="宋体" w:hAnsi="宋体" w:cs="宋体" w:eastAsia="宋体" w:hint="default"/>
                <w:sz w:val="21"/>
                <w:szCs w:val="21"/>
              </w:rPr>
            </w:pPr>
            <w:r>
              <w:rPr>
                <w:rFonts w:ascii="宋体" w:hAnsi="宋体" w:cs="宋体" w:eastAsia="宋体" w:hint="default"/>
                <w:sz w:val="21"/>
                <w:szCs w:val="21"/>
              </w:rPr>
              <w:t>价格</w:t>
            </w:r>
          </w:p>
          <w:p>
            <w:pPr>
              <w:pStyle w:val="TableParagraph"/>
              <w:spacing w:line="272" w:lineRule="exact" w:before="26"/>
              <w:ind w:left="103" w:right="62" w:firstLine="84"/>
              <w:jc w:val="left"/>
              <w:rPr>
                <w:rFonts w:ascii="宋体" w:hAnsi="宋体" w:cs="宋体" w:eastAsia="宋体" w:hint="default"/>
                <w:sz w:val="21"/>
                <w:szCs w:val="21"/>
              </w:rPr>
            </w:pP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利率）</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35"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76" w:right="152" w:hanging="421"/>
              <w:jc w:val="left"/>
              <w:rPr>
                <w:rFonts w:ascii="宋体" w:hAnsi="宋体" w:cs="宋体" w:eastAsia="宋体" w:hint="default"/>
                <w:sz w:val="21"/>
                <w:szCs w:val="21"/>
              </w:rPr>
            </w:pPr>
            <w:r>
              <w:rPr>
                <w:rFonts w:ascii="宋体" w:hAnsi="宋体" w:cs="宋体" w:eastAsia="宋体" w:hint="default"/>
                <w:sz w:val="21"/>
                <w:szCs w:val="21"/>
              </w:rPr>
              <w:t>获准上市交易</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94" w:right="197"/>
              <w:jc w:val="left"/>
              <w:rPr>
                <w:rFonts w:ascii="宋体" w:hAnsi="宋体" w:cs="宋体" w:eastAsia="宋体" w:hint="default"/>
                <w:sz w:val="21"/>
                <w:szCs w:val="21"/>
              </w:rPr>
            </w:pPr>
            <w:r>
              <w:rPr>
                <w:rFonts w:ascii="宋体" w:hAnsi="宋体" w:cs="宋体" w:eastAsia="宋体" w:hint="default"/>
                <w:sz w:val="21"/>
                <w:szCs w:val="21"/>
              </w:rPr>
              <w:t>交易终</w:t>
            </w:r>
            <w:r>
              <w:rPr>
                <w:rFonts w:ascii="宋体" w:hAnsi="宋体" w:cs="宋体" w:eastAsia="宋体" w:hint="default"/>
                <w:spacing w:val="-102"/>
                <w:sz w:val="21"/>
                <w:szCs w:val="21"/>
              </w:rPr>
              <w:t> </w:t>
            </w:r>
            <w:r>
              <w:rPr>
                <w:rFonts w:ascii="宋体" w:hAnsi="宋体" w:cs="宋体" w:eastAsia="宋体" w:hint="default"/>
                <w:sz w:val="21"/>
                <w:szCs w:val="21"/>
              </w:rPr>
              <w:t>止日期</w:t>
            </w:r>
          </w:p>
        </w:tc>
      </w:tr>
      <w:tr>
        <w:trPr>
          <w:trHeight w:val="283" w:hRule="exact"/>
        </w:trPr>
        <w:tc>
          <w:tcPr>
            <w:tcW w:w="993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28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5"/>
              <w:jc w:val="righ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1,773,958,060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1,773,958,060</w:t>
            </w: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5"/>
              <w:jc w:val="righ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5.07</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105,316,100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105,316,100</w:t>
            </w: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5"/>
              <w:jc w:val="righ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11</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25</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961,538,461</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11</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25</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961,538,461</w:t>
            </w: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93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5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5"/>
              <w:jc w:val="right"/>
              <w:rPr>
                <w:rFonts w:ascii="宋体" w:hAnsi="宋体" w:cs="宋体" w:eastAsia="宋体" w:hint="default"/>
                <w:sz w:val="21"/>
                <w:szCs w:val="21"/>
              </w:rPr>
            </w:pPr>
            <w:r>
              <w:rPr>
                <w:rFonts w:ascii="宋体" w:hAnsi="宋体" w:cs="宋体" w:eastAsia="宋体" w:hint="default"/>
                <w:sz w:val="21"/>
                <w:szCs w:val="21"/>
              </w:rPr>
              <w:t>公司债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5.50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3,500,000,000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3,500,000,000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7</w:t>
            </w:r>
          </w:p>
          <w:p>
            <w:pPr>
              <w:pStyle w:val="TableParagraph"/>
              <w:spacing w:line="274" w:lineRule="exact"/>
              <w:ind w:left="187"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5"/>
              <w:jc w:val="right"/>
              <w:rPr>
                <w:rFonts w:ascii="宋体" w:hAnsi="宋体" w:cs="宋体" w:eastAsia="宋体" w:hint="default"/>
                <w:sz w:val="21"/>
                <w:szCs w:val="21"/>
              </w:rPr>
            </w:pPr>
            <w:r>
              <w:rPr>
                <w:rFonts w:ascii="宋体" w:hAnsi="宋体" w:cs="宋体" w:eastAsia="宋体" w:hint="default"/>
                <w:sz w:val="21"/>
                <w:szCs w:val="21"/>
              </w:rPr>
              <w:t>公司债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5.20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3,500,000,000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3,500,000,000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p>
          <w:p>
            <w:pPr>
              <w:pStyle w:val="TableParagraph"/>
              <w:spacing w:line="274" w:lineRule="exact"/>
              <w:ind w:left="187"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8"/>
        <w:rPr>
          <w:rFonts w:ascii="宋体" w:hAnsi="宋体" w:cs="宋体" w:eastAsia="宋体" w:hint="default"/>
          <w:sz w:val="18"/>
          <w:szCs w:val="18"/>
        </w:rPr>
      </w:pPr>
    </w:p>
    <w:p>
      <w:pPr>
        <w:pStyle w:val="BodyText"/>
        <w:spacing w:line="313" w:lineRule="exact" w:before="26"/>
        <w:ind w:left="778" w:right="794"/>
        <w:jc w:val="left"/>
      </w:pPr>
      <w:r>
        <w:rPr/>
        <w:t>截至报告期内证券发行情况的说明（存续期内利率不同的债券，请分别说明）：</w:t>
      </w:r>
    </w:p>
    <w:p>
      <w:pPr>
        <w:pStyle w:val="BodyText"/>
        <w:tabs>
          <w:tab w:pos="1737" w:val="left" w:leader="none"/>
        </w:tabs>
        <w:spacing w:line="313" w:lineRule="exact"/>
        <w:ind w:left="778" w:right="794"/>
        <w:jc w:val="left"/>
      </w:pPr>
      <w:r>
        <w:rPr>
          <w:spacing w:val="-1"/>
        </w:rPr>
        <w:t>□适用</w:t>
        <w:tab/>
      </w:r>
      <w:r>
        <w:rPr/>
        <w:t>√不适用</w:t>
      </w:r>
    </w:p>
    <w:p>
      <w:pPr>
        <w:spacing w:line="240" w:lineRule="auto" w:before="1"/>
        <w:rPr>
          <w:rFonts w:ascii="宋体" w:hAnsi="宋体" w:cs="宋体" w:eastAsia="宋体" w:hint="default"/>
          <w:sz w:val="28"/>
          <w:szCs w:val="28"/>
        </w:rPr>
      </w:pPr>
    </w:p>
    <w:p>
      <w:pPr>
        <w:pStyle w:val="Heading2"/>
        <w:tabs>
          <w:tab w:pos="1617" w:val="left" w:leader="none"/>
        </w:tabs>
        <w:spacing w:line="240" w:lineRule="auto" w:before="0"/>
        <w:ind w:left="778" w:right="794"/>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公司普通股股份总数及股东结构变动及公司资产和负债结构的变动情况</w:t>
      </w:r>
      <w:r>
        <w:rPr>
          <w:b w:val="0"/>
          <w:bCs w:val="0"/>
        </w:rPr>
      </w:r>
    </w:p>
    <w:p>
      <w:pPr>
        <w:pStyle w:val="BodyText"/>
        <w:tabs>
          <w:tab w:pos="1737" w:val="left" w:leader="none"/>
        </w:tabs>
        <w:spacing w:line="240" w:lineRule="auto" w:before="58"/>
        <w:ind w:left="778" w:right="794"/>
        <w:jc w:val="left"/>
      </w:pPr>
      <w:r>
        <w:rPr>
          <w:spacing w:val="-1"/>
        </w:rPr>
        <w:t>□适用</w:t>
        <w:tab/>
      </w:r>
      <w:r>
        <w:rPr/>
        <w:t>√不适用</w:t>
      </w:r>
    </w:p>
    <w:p>
      <w:pPr>
        <w:pStyle w:val="Heading2"/>
        <w:tabs>
          <w:tab w:pos="1617" w:val="left" w:leader="none"/>
        </w:tabs>
        <w:spacing w:line="240" w:lineRule="auto" w:before="58"/>
        <w:ind w:left="778" w:right="794"/>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现存的内部职工股情况</w:t>
      </w:r>
      <w:r>
        <w:rPr>
          <w:b w:val="0"/>
          <w:bCs w:val="0"/>
        </w:rPr>
      </w:r>
    </w:p>
    <w:p>
      <w:pPr>
        <w:pStyle w:val="BodyText"/>
        <w:spacing w:line="240" w:lineRule="auto" w:before="55"/>
        <w:ind w:left="778" w:right="794"/>
        <w:jc w:val="left"/>
      </w:pPr>
      <w:r>
        <w:rPr/>
        <w:t>□适用</w:t>
      </w:r>
      <w:r>
        <w:rPr>
          <w:spacing w:val="-1"/>
        </w:rPr>
        <w:t> </w:t>
      </w:r>
      <w:r>
        <w:rPr/>
        <w:t>√不适用</w:t>
      </w:r>
    </w:p>
    <w:p>
      <w:pPr>
        <w:pStyle w:val="Heading2"/>
        <w:tabs>
          <w:tab w:pos="1617" w:val="left" w:leader="none"/>
        </w:tabs>
        <w:spacing w:line="283" w:lineRule="auto" w:before="58"/>
        <w:ind w:left="778" w:right="6376"/>
        <w:jc w:val="left"/>
        <w:rPr>
          <w:b w:val="0"/>
          <w:bCs w:val="0"/>
        </w:rPr>
      </w:pPr>
      <w:r>
        <w:rPr/>
        <w:t>三、</w:t>
        <w:tab/>
        <w:t>股东和实际控制人情况</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股东总数</w:t>
      </w:r>
      <w:r>
        <w:rPr>
          <w:b w:val="0"/>
          <w:bCs w:val="0"/>
        </w:rPr>
      </w:r>
    </w:p>
    <w:p>
      <w:pPr>
        <w:spacing w:line="240" w:lineRule="auto" w:before="0"/>
        <w:rPr>
          <w:rFonts w:ascii="宋体" w:hAnsi="宋体" w:cs="宋体" w:eastAsia="宋体" w:hint="default"/>
          <w:b/>
          <w:bCs/>
          <w:sz w:val="4"/>
          <w:szCs w:val="4"/>
        </w:rPr>
      </w:pPr>
    </w:p>
    <w:tbl>
      <w:tblPr>
        <w:tblW w:w="0" w:type="auto"/>
        <w:jc w:val="left"/>
        <w:tblInd w:w="665" w:type="dxa"/>
        <w:tblLayout w:type="fixed"/>
        <w:tblCellMar>
          <w:top w:w="0" w:type="dxa"/>
          <w:left w:w="0" w:type="dxa"/>
          <w:bottom w:w="0" w:type="dxa"/>
          <w:right w:w="0" w:type="dxa"/>
        </w:tblCellMar>
        <w:tblLook w:val="01E0"/>
      </w:tblPr>
      <w:tblGrid>
        <w:gridCol w:w="5922"/>
        <w:gridCol w:w="3128"/>
      </w:tblGrid>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97,634</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102,285</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spacing w:val="-4"/>
                <w:sz w:val="21"/>
                <w:szCs w:val="21"/>
              </w:rPr>
              <w:t>年度报告披露日前上一月末表决权恢复的优先股股东总数（户）</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7"/>
          <w:szCs w:val="27"/>
        </w:rPr>
      </w:pPr>
    </w:p>
    <w:p>
      <w:pPr>
        <w:pStyle w:val="Heading2"/>
        <w:tabs>
          <w:tab w:pos="1617" w:val="left" w:leader="none"/>
        </w:tabs>
        <w:spacing w:line="310" w:lineRule="exact" w:before="58"/>
        <w:ind w:left="1205" w:right="794" w:hanging="428"/>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截止报告期末前十名股东、前十名流通股东（或无限售条件股东）持股情况</w:t>
      </w:r>
      <w:r>
        <w:rPr>
          <w:spacing w:val="-93"/>
        </w:rPr>
        <w:t> </w:t>
      </w:r>
      <w:r>
        <w:rPr>
          <w:spacing w:val="-93"/>
        </w:rPr>
      </w:r>
      <w:r>
        <w:rPr/>
        <w:t>表</w:t>
      </w:r>
      <w:r>
        <w:rPr>
          <w:b w:val="0"/>
          <w:bCs w:val="0"/>
        </w:rPr>
      </w:r>
    </w:p>
    <w:p>
      <w:pPr>
        <w:spacing w:before="36"/>
        <w:ind w:left="0" w:right="790" w:firstLine="0"/>
        <w:jc w:val="right"/>
        <w:rPr>
          <w:rFonts w:ascii="宋体" w:hAnsi="宋体" w:cs="宋体" w:eastAsia="宋体" w:hint="default"/>
          <w:sz w:val="21"/>
          <w:szCs w:val="21"/>
        </w:rPr>
      </w:pPr>
      <w:r>
        <w:rPr>
          <w:rFonts w:ascii="宋体" w:hAnsi="宋体" w:cs="宋体" w:eastAsia="宋体" w:hint="default"/>
          <w:spacing w:val="-1"/>
          <w:sz w:val="21"/>
          <w:szCs w:val="21"/>
        </w:rPr>
        <w:t>单位</w:t>
      </w:r>
      <w:r>
        <w:rPr>
          <w:rFonts w:ascii="宋体" w:hAnsi="宋体" w:cs="宋体" w:eastAsia="宋体" w:hint="default"/>
          <w:spacing w:val="-1"/>
          <w:sz w:val="21"/>
          <w:szCs w:val="21"/>
        </w:rPr>
        <w:t>:</w:t>
      </w:r>
      <w:r>
        <w:rPr>
          <w:rFonts w:ascii="宋体" w:hAnsi="宋体" w:cs="宋体" w:eastAsia="宋体" w:hint="default"/>
          <w:spacing w:val="-1"/>
          <w:sz w:val="21"/>
          <w:szCs w:val="21"/>
        </w:rPr>
        <w:t>股</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16"/>
        <w:gridCol w:w="1477"/>
        <w:gridCol w:w="1582"/>
        <w:gridCol w:w="783"/>
        <w:gridCol w:w="768"/>
        <w:gridCol w:w="761"/>
        <w:gridCol w:w="1582"/>
        <w:gridCol w:w="1205"/>
      </w:tblGrid>
      <w:tr>
        <w:trPr>
          <w:trHeight w:val="283" w:hRule="exact"/>
        </w:trPr>
        <w:tc>
          <w:tcPr>
            <w:tcW w:w="1017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3" w:hRule="exact"/>
        </w:trPr>
        <w:tc>
          <w:tcPr>
            <w:tcW w:w="20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4" w:lineRule="exact"/>
              <w:ind w:left="583"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583"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报告期内增减</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7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25" w:right="17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exact"/>
              <w:ind w:left="168" w:right="0"/>
              <w:jc w:val="both"/>
              <w:rPr>
                <w:rFonts w:ascii="宋体" w:hAnsi="宋体" w:cs="宋体" w:eastAsia="宋体" w:hint="default"/>
                <w:sz w:val="21"/>
                <w:szCs w:val="21"/>
              </w:rPr>
            </w:pPr>
            <w:r>
              <w:rPr>
                <w:rFonts w:ascii="宋体" w:hAnsi="宋体" w:cs="宋体" w:eastAsia="宋体" w:hint="default"/>
                <w:sz w:val="21"/>
                <w:szCs w:val="21"/>
              </w:rPr>
              <w:t>持有</w:t>
            </w:r>
          </w:p>
          <w:p>
            <w:pPr>
              <w:pStyle w:val="TableParagraph"/>
              <w:spacing w:line="237" w:lineRule="auto" w:before="2"/>
              <w:ind w:left="168" w:right="167"/>
              <w:jc w:val="both"/>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售条</w:t>
            </w:r>
            <w:r>
              <w:rPr>
                <w:rFonts w:ascii="宋体" w:hAnsi="宋体" w:cs="宋体" w:eastAsia="宋体" w:hint="default"/>
                <w:spacing w:val="-103"/>
                <w:sz w:val="21"/>
                <w:szCs w:val="21"/>
              </w:rPr>
              <w:t> </w:t>
            </w:r>
            <w:r>
              <w:rPr>
                <w:rFonts w:ascii="宋体" w:hAnsi="宋体" w:cs="宋体" w:eastAsia="宋体" w:hint="default"/>
                <w:sz w:val="21"/>
                <w:szCs w:val="21"/>
              </w:rPr>
              <w:t>件股</w:t>
            </w:r>
            <w:r>
              <w:rPr>
                <w:rFonts w:ascii="宋体" w:hAnsi="宋体" w:cs="宋体" w:eastAsia="宋体" w:hint="default"/>
                <w:spacing w:val="-103"/>
                <w:sz w:val="21"/>
                <w:szCs w:val="21"/>
              </w:rPr>
              <w:t> </w:t>
            </w:r>
            <w:r>
              <w:rPr>
                <w:rFonts w:ascii="宋体" w:hAnsi="宋体" w:cs="宋体" w:eastAsia="宋体" w:hint="default"/>
                <w:sz w:val="21"/>
                <w:szCs w:val="21"/>
              </w:rPr>
              <w:t>份数</w:t>
            </w:r>
            <w:r>
              <w:rPr>
                <w:rFonts w:ascii="宋体" w:hAnsi="宋体" w:cs="宋体" w:eastAsia="宋体" w:hint="default"/>
                <w:spacing w:val="-103"/>
                <w:sz w:val="21"/>
                <w:szCs w:val="21"/>
              </w:rPr>
              <w:t> </w:t>
            </w:r>
            <w:r>
              <w:rPr>
                <w:rFonts w:ascii="宋体" w:hAnsi="宋体" w:cs="宋体" w:eastAsia="宋体" w:hint="default"/>
                <w:sz w:val="21"/>
                <w:szCs w:val="21"/>
              </w:rPr>
              <w:t>量</w:t>
            </w:r>
          </w:p>
        </w:tc>
        <w:tc>
          <w:tcPr>
            <w:tcW w:w="2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86" w:right="384"/>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1361" w:hRule="exact"/>
        </w:trPr>
        <w:tc>
          <w:tcPr>
            <w:tcW w:w="2016" w:type="dxa"/>
            <w:vMerge/>
            <w:tcBorders>
              <w:left w:val="single" w:sz="4" w:space="0" w:color="000000"/>
              <w:bottom w:val="single" w:sz="4" w:space="0" w:color="000000"/>
              <w:right w:val="single" w:sz="4" w:space="0" w:color="000000"/>
            </w:tcBorders>
          </w:tcPr>
          <w:p>
            <w:pPr/>
          </w:p>
        </w:tc>
        <w:tc>
          <w:tcPr>
            <w:tcW w:w="1477"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5"/>
              <w:ind w:left="165" w:right="161"/>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205" w:type="dxa"/>
            <w:vMerge/>
            <w:tcBorders>
              <w:left w:val="single" w:sz="4" w:space="0" w:color="000000"/>
              <w:bottom w:val="single" w:sz="4" w:space="0" w:color="000000"/>
              <w:right w:val="single" w:sz="4" w:space="0" w:color="000000"/>
            </w:tcBorders>
          </w:tcPr>
          <w:p>
            <w:pPr/>
          </w:p>
        </w:tc>
      </w:tr>
      <w:tr>
        <w:trPr>
          <w:trHeight w:val="55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浙江新湖集团股份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2,786,910,170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 w:right="0"/>
              <w:jc w:val="center"/>
              <w:rPr>
                <w:rFonts w:ascii="宋体" w:hAnsi="宋体" w:cs="宋体" w:eastAsia="宋体" w:hint="default"/>
                <w:sz w:val="21"/>
                <w:szCs w:val="21"/>
              </w:rPr>
            </w:pPr>
            <w:r>
              <w:rPr>
                <w:rFonts w:ascii="宋体"/>
                <w:sz w:val="21"/>
              </w:rPr>
              <w:t>32.41</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质押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1,713,908,414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有法人</w:t>
            </w:r>
          </w:p>
        </w:tc>
      </w:tr>
      <w:tr>
        <w:trPr>
          <w:trHeight w:val="555"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黄伟</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429,967,233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1,449,967,233</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 w:right="0"/>
              <w:jc w:val="center"/>
              <w:rPr>
                <w:rFonts w:ascii="宋体" w:hAnsi="宋体" w:cs="宋体" w:eastAsia="宋体" w:hint="default"/>
                <w:sz w:val="21"/>
                <w:szCs w:val="21"/>
              </w:rPr>
            </w:pPr>
            <w:r>
              <w:rPr>
                <w:rFonts w:ascii="宋体"/>
                <w:sz w:val="21"/>
              </w:rPr>
              <w:t>16.86</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质押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1,449,967,233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557"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宁波嘉源实业发展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462,334,913</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4" w:right="0"/>
              <w:jc w:val="center"/>
              <w:rPr>
                <w:rFonts w:ascii="宋体" w:hAnsi="宋体" w:cs="宋体" w:eastAsia="宋体" w:hint="default"/>
                <w:sz w:val="21"/>
                <w:szCs w:val="21"/>
              </w:rPr>
            </w:pPr>
            <w:r>
              <w:rPr>
                <w:rFonts w:ascii="宋体"/>
                <w:sz w:val="21"/>
              </w:rPr>
              <w:t>5.38</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质押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192,500,000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有法人</w:t>
            </w:r>
          </w:p>
        </w:tc>
      </w:tr>
    </w:tbl>
    <w:p>
      <w:pPr>
        <w:spacing w:after="0" w:line="273" w:lineRule="exact"/>
        <w:jc w:val="left"/>
        <w:rPr>
          <w:rFonts w:ascii="宋体" w:hAnsi="宋体" w:cs="宋体" w:eastAsia="宋体" w:hint="default"/>
          <w:sz w:val="21"/>
          <w:szCs w:val="21"/>
        </w:rPr>
        <w:sectPr>
          <w:pgSz w:w="11910" w:h="16840"/>
          <w:pgMar w:header="880" w:footer="1195" w:top="1120" w:bottom="1380" w:left="1020" w:right="4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016"/>
        <w:gridCol w:w="1477"/>
        <w:gridCol w:w="1582"/>
        <w:gridCol w:w="783"/>
        <w:gridCol w:w="768"/>
        <w:gridCol w:w="761"/>
        <w:gridCol w:w="793"/>
        <w:gridCol w:w="790"/>
        <w:gridCol w:w="1205"/>
      </w:tblGrid>
      <w:tr>
        <w:trPr>
          <w:trHeight w:val="557"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178,610,012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379,952,759</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4.42</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浙江恒兴力控股集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209,991,540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2.44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hAnsi="宋体" w:cs="宋体" w:eastAsia="宋体" w:hint="default"/>
                <w:sz w:val="21"/>
                <w:szCs w:val="21"/>
              </w:rPr>
              <w:t>质押</w:t>
            </w:r>
          </w:p>
        </w:tc>
        <w:tc>
          <w:tcPr>
            <w:tcW w:w="1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8" w:right="0"/>
              <w:jc w:val="left"/>
              <w:rPr>
                <w:rFonts w:ascii="宋体" w:hAnsi="宋体" w:cs="宋体" w:eastAsia="宋体" w:hint="default"/>
                <w:sz w:val="21"/>
                <w:szCs w:val="21"/>
              </w:rPr>
            </w:pPr>
            <w:r>
              <w:rPr>
                <w:rFonts w:ascii="宋体"/>
                <w:sz w:val="21"/>
              </w:rPr>
              <w:t>83,460,000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有法人</w:t>
            </w:r>
          </w:p>
        </w:tc>
      </w:tr>
      <w:tr>
        <w:trPr>
          <w:trHeight w:val="281"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中国北方工业公司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192,928,040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中国银河证券股份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未知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192,287,693</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2.24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28"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江信基金－民生银</w:t>
            </w:r>
          </w:p>
          <w:p>
            <w:pPr>
              <w:pStyle w:val="TableParagraph"/>
              <w:spacing w:line="240" w:lineRule="auto"/>
              <w:ind w:left="103" w:right="165"/>
              <w:jc w:val="left"/>
              <w:rPr>
                <w:rFonts w:ascii="宋体" w:hAnsi="宋体" w:cs="宋体" w:eastAsia="宋体" w:hint="default"/>
                <w:sz w:val="21"/>
                <w:szCs w:val="21"/>
              </w:rPr>
            </w:pPr>
            <w:r>
              <w:rPr>
                <w:rFonts w:ascii="宋体" w:hAnsi="宋体" w:cs="宋体" w:eastAsia="宋体" w:hint="default"/>
                <w:sz w:val="21"/>
                <w:szCs w:val="21"/>
              </w:rPr>
              <w:t>行－江信基金定增</w:t>
            </w:r>
            <w:r>
              <w:rPr>
                <w:rFonts w:ascii="宋体" w:hAnsi="宋体" w:cs="宋体" w:eastAsia="宋体" w:hint="default"/>
                <w:w w:val="100"/>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号资产管理计划</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-171,986,800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116,474,738</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1.35</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37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华澳国际信托有限</w:t>
            </w:r>
          </w:p>
          <w:p>
            <w:pPr>
              <w:pStyle w:val="TableParagraph"/>
              <w:spacing w:line="237" w:lineRule="auto" w:before="2"/>
              <w:ind w:left="103" w:right="165"/>
              <w:jc w:val="both"/>
              <w:rPr>
                <w:rFonts w:ascii="宋体" w:hAnsi="宋体" w:cs="宋体" w:eastAsia="宋体" w:hint="default"/>
                <w:sz w:val="21"/>
                <w:szCs w:val="21"/>
              </w:rPr>
            </w:pPr>
            <w:r>
              <w:rPr>
                <w:rFonts w:ascii="宋体" w:hAnsi="宋体" w:cs="宋体" w:eastAsia="宋体" w:hint="default"/>
                <w:sz w:val="21"/>
                <w:szCs w:val="21"/>
              </w:rPr>
              <w:t>公司－华澳·臻智</w:t>
            </w:r>
            <w:r>
              <w:rPr>
                <w:rFonts w:ascii="宋体" w:hAnsi="宋体" w:cs="宋体" w:eastAsia="宋体" w:hint="default"/>
                <w:spacing w:val="-3"/>
                <w:w w:val="100"/>
                <w:sz w:val="21"/>
                <w:szCs w:val="21"/>
              </w:rPr>
              <w:t> </w:t>
            </w:r>
            <w:r>
              <w:rPr>
                <w:rFonts w:ascii="宋体" w:hAnsi="宋体" w:cs="宋体" w:eastAsia="宋体" w:hint="default"/>
                <w:sz w:val="21"/>
                <w:szCs w:val="21"/>
              </w:rPr>
              <w:t>56</w:t>
            </w:r>
            <w:r>
              <w:rPr>
                <w:rFonts w:ascii="宋体" w:hAnsi="宋体" w:cs="宋体" w:eastAsia="宋体" w:hint="default"/>
                <w:spacing w:val="-52"/>
                <w:sz w:val="21"/>
                <w:szCs w:val="21"/>
              </w:rPr>
              <w:t> </w:t>
            </w:r>
            <w:r>
              <w:rPr>
                <w:rFonts w:ascii="宋体" w:hAnsi="宋体" w:cs="宋体" w:eastAsia="宋体" w:hint="default"/>
                <w:sz w:val="21"/>
                <w:szCs w:val="21"/>
              </w:rPr>
              <w:t>号－新湖中宝员</w:t>
            </w:r>
            <w:r>
              <w:rPr>
                <w:rFonts w:ascii="宋体" w:hAnsi="宋体" w:cs="宋体" w:eastAsia="宋体" w:hint="default"/>
                <w:w w:val="100"/>
                <w:sz w:val="21"/>
                <w:szCs w:val="21"/>
              </w:rPr>
              <w:t> </w:t>
            </w:r>
            <w:r>
              <w:rPr>
                <w:rFonts w:ascii="宋体" w:hAnsi="宋体" w:cs="宋体" w:eastAsia="宋体" w:hint="default"/>
                <w:sz w:val="21"/>
                <w:szCs w:val="21"/>
              </w:rPr>
              <w:t>工持股计划集合资</w:t>
            </w:r>
            <w:r>
              <w:rPr>
                <w:rFonts w:ascii="宋体" w:hAnsi="宋体" w:cs="宋体" w:eastAsia="宋体" w:hint="default"/>
                <w:w w:val="100"/>
                <w:sz w:val="21"/>
                <w:szCs w:val="21"/>
              </w:rPr>
              <w:t> </w:t>
            </w:r>
            <w:r>
              <w:rPr>
                <w:rFonts w:ascii="宋体" w:hAnsi="宋体" w:cs="宋体" w:eastAsia="宋体" w:hint="default"/>
                <w:sz w:val="21"/>
                <w:szCs w:val="21"/>
              </w:rPr>
              <w:t>金信托计划</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106,218,733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106,218,733</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1.24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826"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泰康人寿保险有限</w:t>
            </w:r>
          </w:p>
          <w:p>
            <w:pPr>
              <w:pStyle w:val="TableParagraph"/>
              <w:spacing w:line="240" w:lineRule="auto"/>
              <w:ind w:left="103" w:right="218"/>
              <w:jc w:val="left"/>
              <w:rPr>
                <w:rFonts w:ascii="宋体" w:hAnsi="宋体" w:cs="宋体" w:eastAsia="宋体" w:hint="default"/>
                <w:sz w:val="21"/>
                <w:szCs w:val="21"/>
              </w:rPr>
            </w:pPr>
            <w:r>
              <w:rPr>
                <w:rFonts w:ascii="宋体" w:hAnsi="宋体" w:cs="宋体" w:eastAsia="宋体" w:hint="default"/>
                <w:sz w:val="21"/>
                <w:szCs w:val="21"/>
              </w:rPr>
              <w:t>责任公司－投连－</w:t>
            </w:r>
            <w:r>
              <w:rPr>
                <w:rFonts w:ascii="宋体" w:hAnsi="宋体" w:cs="宋体" w:eastAsia="宋体" w:hint="default"/>
                <w:w w:val="100"/>
                <w:sz w:val="21"/>
                <w:szCs w:val="21"/>
              </w:rPr>
              <w:t> </w:t>
            </w:r>
            <w:r>
              <w:rPr>
                <w:rFonts w:ascii="宋体" w:hAnsi="宋体" w:cs="宋体" w:eastAsia="宋体" w:hint="default"/>
                <w:sz w:val="21"/>
                <w:szCs w:val="21"/>
              </w:rPr>
              <w:t>创新动力</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未知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104,963,631</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1.22</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3" w:hRule="exact"/>
        </w:trPr>
        <w:tc>
          <w:tcPr>
            <w:tcW w:w="10173"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1" w:hRule="exact"/>
        </w:trPr>
        <w:tc>
          <w:tcPr>
            <w:tcW w:w="3493" w:type="dxa"/>
            <w:gridSpan w:val="2"/>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32"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194"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35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1"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3493" w:type="dxa"/>
            <w:gridSpan w:val="2"/>
            <w:vMerge/>
            <w:tcBorders>
              <w:left w:val="single" w:sz="4" w:space="0" w:color="000000"/>
              <w:bottom w:val="single" w:sz="4" w:space="0" w:color="000000"/>
              <w:right w:val="single" w:sz="4" w:space="0" w:color="000000"/>
            </w:tcBorders>
          </w:tcPr>
          <w:p>
            <w:pPr/>
          </w:p>
        </w:tc>
        <w:tc>
          <w:tcPr>
            <w:tcW w:w="3132" w:type="dxa"/>
            <w:gridSpan w:val="3"/>
            <w:vMerge/>
            <w:tcBorders>
              <w:left w:val="single" w:sz="4" w:space="0" w:color="000000"/>
              <w:bottom w:val="single" w:sz="4" w:space="0" w:color="000000"/>
              <w:right w:val="single" w:sz="4" w:space="0" w:color="000000"/>
            </w:tcBorders>
          </w:tcPr>
          <w:p>
            <w:pP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3" w:hRule="exact"/>
        </w:trPr>
        <w:tc>
          <w:tcPr>
            <w:tcW w:w="3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浙江新湖集团股份有限公司</w:t>
            </w:r>
          </w:p>
        </w:tc>
        <w:tc>
          <w:tcPr>
            <w:tcW w:w="31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3" w:right="0"/>
              <w:jc w:val="left"/>
              <w:rPr>
                <w:rFonts w:ascii="宋体" w:hAnsi="宋体" w:cs="宋体" w:eastAsia="宋体" w:hint="default"/>
                <w:sz w:val="21"/>
                <w:szCs w:val="21"/>
              </w:rPr>
            </w:pPr>
            <w:r>
              <w:rPr>
                <w:rFonts w:ascii="宋体"/>
                <w:sz w:val="21"/>
              </w:rPr>
              <w:t>2,786,910,170</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sz w:val="21"/>
              </w:rPr>
              <w:t>2,786,910,170</w:t>
            </w:r>
          </w:p>
        </w:tc>
      </w:tr>
      <w:tr>
        <w:trPr>
          <w:trHeight w:val="281" w:hRule="exact"/>
        </w:trPr>
        <w:tc>
          <w:tcPr>
            <w:tcW w:w="3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黄伟</w:t>
            </w:r>
          </w:p>
        </w:tc>
        <w:tc>
          <w:tcPr>
            <w:tcW w:w="31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3" w:right="0"/>
              <w:jc w:val="left"/>
              <w:rPr>
                <w:rFonts w:ascii="宋体" w:hAnsi="宋体" w:cs="宋体" w:eastAsia="宋体" w:hint="default"/>
                <w:sz w:val="21"/>
                <w:szCs w:val="21"/>
              </w:rPr>
            </w:pPr>
            <w:r>
              <w:rPr>
                <w:rFonts w:ascii="宋体"/>
                <w:sz w:val="21"/>
              </w:rPr>
              <w:t>1,449,967,233</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sz w:val="21"/>
              </w:rPr>
              <w:t>1,449,967,233</w:t>
            </w:r>
          </w:p>
        </w:tc>
      </w:tr>
      <w:tr>
        <w:trPr>
          <w:trHeight w:val="284" w:hRule="exact"/>
        </w:trPr>
        <w:tc>
          <w:tcPr>
            <w:tcW w:w="3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宁波嘉源实业发展有限公司</w:t>
            </w:r>
          </w:p>
        </w:tc>
        <w:tc>
          <w:tcPr>
            <w:tcW w:w="31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65" w:right="0"/>
              <w:jc w:val="left"/>
              <w:rPr>
                <w:rFonts w:ascii="宋体" w:hAnsi="宋体" w:cs="宋体" w:eastAsia="宋体" w:hint="default"/>
                <w:sz w:val="21"/>
                <w:szCs w:val="21"/>
              </w:rPr>
            </w:pPr>
            <w:r>
              <w:rPr>
                <w:rFonts w:ascii="宋体"/>
                <w:sz w:val="21"/>
              </w:rPr>
              <w:t>462,334,913</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4" w:right="0"/>
              <w:jc w:val="left"/>
              <w:rPr>
                <w:rFonts w:ascii="宋体" w:hAnsi="宋体" w:cs="宋体" w:eastAsia="宋体" w:hint="default"/>
                <w:sz w:val="21"/>
                <w:szCs w:val="21"/>
              </w:rPr>
            </w:pPr>
            <w:r>
              <w:rPr>
                <w:rFonts w:ascii="宋体"/>
                <w:sz w:val="21"/>
              </w:rPr>
              <w:t>462,334,913</w:t>
            </w:r>
          </w:p>
        </w:tc>
      </w:tr>
      <w:tr>
        <w:trPr>
          <w:trHeight w:val="283" w:hRule="exact"/>
        </w:trPr>
        <w:tc>
          <w:tcPr>
            <w:tcW w:w="3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31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65" w:right="0"/>
              <w:jc w:val="left"/>
              <w:rPr>
                <w:rFonts w:ascii="宋体" w:hAnsi="宋体" w:cs="宋体" w:eastAsia="宋体" w:hint="default"/>
                <w:sz w:val="21"/>
                <w:szCs w:val="21"/>
              </w:rPr>
            </w:pPr>
            <w:r>
              <w:rPr>
                <w:rFonts w:ascii="宋体"/>
                <w:sz w:val="21"/>
              </w:rPr>
              <w:t>379,952,759</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sz w:val="21"/>
              </w:rPr>
              <w:t>379,952,759</w:t>
            </w:r>
          </w:p>
        </w:tc>
      </w:tr>
      <w:tr>
        <w:trPr>
          <w:trHeight w:val="281" w:hRule="exact"/>
        </w:trPr>
        <w:tc>
          <w:tcPr>
            <w:tcW w:w="3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浙江恒兴力控股集团有限公司</w:t>
            </w:r>
          </w:p>
        </w:tc>
        <w:tc>
          <w:tcPr>
            <w:tcW w:w="31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65" w:right="0"/>
              <w:jc w:val="left"/>
              <w:rPr>
                <w:rFonts w:ascii="宋体" w:hAnsi="宋体" w:cs="宋体" w:eastAsia="宋体" w:hint="default"/>
                <w:sz w:val="21"/>
                <w:szCs w:val="21"/>
              </w:rPr>
            </w:pPr>
            <w:r>
              <w:rPr>
                <w:rFonts w:ascii="宋体"/>
                <w:sz w:val="21"/>
              </w:rPr>
              <w:t>209,991,540</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sz w:val="21"/>
              </w:rPr>
              <w:t>209,991,540</w:t>
            </w:r>
          </w:p>
        </w:tc>
      </w:tr>
      <w:tr>
        <w:trPr>
          <w:trHeight w:val="283" w:hRule="exact"/>
        </w:trPr>
        <w:tc>
          <w:tcPr>
            <w:tcW w:w="3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中国北方工业公司</w:t>
            </w:r>
          </w:p>
        </w:tc>
        <w:tc>
          <w:tcPr>
            <w:tcW w:w="31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65" w:right="0"/>
              <w:jc w:val="left"/>
              <w:rPr>
                <w:rFonts w:ascii="宋体" w:hAnsi="宋体" w:cs="宋体" w:eastAsia="宋体" w:hint="default"/>
                <w:sz w:val="21"/>
                <w:szCs w:val="21"/>
              </w:rPr>
            </w:pPr>
            <w:r>
              <w:rPr>
                <w:rFonts w:ascii="宋体"/>
                <w:sz w:val="21"/>
              </w:rPr>
              <w:t>192,928,040</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sz w:val="21"/>
              </w:rPr>
              <w:t>192,928,040</w:t>
            </w:r>
          </w:p>
        </w:tc>
      </w:tr>
      <w:tr>
        <w:trPr>
          <w:trHeight w:val="283" w:hRule="exact"/>
        </w:trPr>
        <w:tc>
          <w:tcPr>
            <w:tcW w:w="3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中国银河证券股份有限公司</w:t>
            </w:r>
          </w:p>
        </w:tc>
        <w:tc>
          <w:tcPr>
            <w:tcW w:w="31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65" w:right="0"/>
              <w:jc w:val="left"/>
              <w:rPr>
                <w:rFonts w:ascii="宋体" w:hAnsi="宋体" w:cs="宋体" w:eastAsia="宋体" w:hint="default"/>
                <w:sz w:val="21"/>
                <w:szCs w:val="21"/>
              </w:rPr>
            </w:pPr>
            <w:r>
              <w:rPr>
                <w:rFonts w:ascii="宋体"/>
                <w:sz w:val="21"/>
              </w:rPr>
              <w:t>192,287,693</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sz w:val="21"/>
              </w:rPr>
              <w:t>192,287,693</w:t>
            </w:r>
          </w:p>
        </w:tc>
      </w:tr>
      <w:tr>
        <w:trPr>
          <w:trHeight w:val="554" w:hRule="exact"/>
        </w:trPr>
        <w:tc>
          <w:tcPr>
            <w:tcW w:w="3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江信基金－民生银行－江信基金定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号资产管理计划</w:t>
            </w:r>
          </w:p>
        </w:tc>
        <w:tc>
          <w:tcPr>
            <w:tcW w:w="31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65" w:right="0"/>
              <w:jc w:val="left"/>
              <w:rPr>
                <w:rFonts w:ascii="宋体" w:hAnsi="宋体" w:cs="宋体" w:eastAsia="宋体" w:hint="default"/>
                <w:sz w:val="21"/>
                <w:szCs w:val="21"/>
              </w:rPr>
            </w:pPr>
            <w:r>
              <w:rPr>
                <w:rFonts w:ascii="宋体"/>
                <w:sz w:val="21"/>
              </w:rPr>
              <w:t>116,474,738</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24" w:right="0"/>
              <w:jc w:val="left"/>
              <w:rPr>
                <w:rFonts w:ascii="宋体" w:hAnsi="宋体" w:cs="宋体" w:eastAsia="宋体" w:hint="default"/>
                <w:sz w:val="21"/>
                <w:szCs w:val="21"/>
              </w:rPr>
            </w:pPr>
            <w:r>
              <w:rPr>
                <w:rFonts w:ascii="宋体"/>
                <w:sz w:val="21"/>
              </w:rPr>
              <w:t>116,474,738</w:t>
            </w:r>
          </w:p>
        </w:tc>
      </w:tr>
      <w:tr>
        <w:trPr>
          <w:trHeight w:val="826" w:hRule="exact"/>
        </w:trPr>
        <w:tc>
          <w:tcPr>
            <w:tcW w:w="3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华澳国际信托有限公司－华澳·臻</w:t>
            </w:r>
          </w:p>
          <w:p>
            <w:pPr>
              <w:pStyle w:val="TableParagraph"/>
              <w:spacing w:line="240" w:lineRule="auto"/>
              <w:ind w:left="103" w:right="120"/>
              <w:jc w:val="left"/>
              <w:rPr>
                <w:rFonts w:ascii="宋体" w:hAnsi="宋体" w:cs="宋体" w:eastAsia="宋体" w:hint="default"/>
                <w:sz w:val="21"/>
                <w:szCs w:val="21"/>
              </w:rPr>
            </w:pPr>
            <w:r>
              <w:rPr>
                <w:rFonts w:ascii="宋体" w:hAnsi="宋体" w:cs="宋体" w:eastAsia="宋体" w:hint="default"/>
                <w:sz w:val="21"/>
                <w:szCs w:val="21"/>
              </w:rPr>
              <w:t>智</w:t>
            </w:r>
            <w:r>
              <w:rPr>
                <w:rFonts w:ascii="宋体" w:hAnsi="宋体" w:cs="宋体" w:eastAsia="宋体" w:hint="default"/>
                <w:spacing w:val="-52"/>
                <w:sz w:val="21"/>
                <w:szCs w:val="21"/>
              </w:rPr>
              <w:t> </w:t>
            </w:r>
            <w:r>
              <w:rPr>
                <w:rFonts w:ascii="宋体" w:hAnsi="宋体" w:cs="宋体" w:eastAsia="宋体" w:hint="default"/>
                <w:sz w:val="21"/>
                <w:szCs w:val="21"/>
              </w:rPr>
              <w:t>56</w:t>
            </w:r>
            <w:r>
              <w:rPr>
                <w:rFonts w:ascii="宋体" w:hAnsi="宋体" w:cs="宋体" w:eastAsia="宋体" w:hint="default"/>
                <w:spacing w:val="-55"/>
                <w:sz w:val="21"/>
                <w:szCs w:val="21"/>
              </w:rPr>
              <w:t> </w:t>
            </w:r>
            <w:r>
              <w:rPr>
                <w:rFonts w:ascii="宋体" w:hAnsi="宋体" w:cs="宋体" w:eastAsia="宋体" w:hint="default"/>
                <w:sz w:val="21"/>
                <w:szCs w:val="21"/>
              </w:rPr>
              <w:t>号－新湖中宝员工持股计划集</w:t>
            </w:r>
            <w:r>
              <w:rPr>
                <w:rFonts w:ascii="宋体" w:hAnsi="宋体" w:cs="宋体" w:eastAsia="宋体" w:hint="default"/>
                <w:w w:val="100"/>
                <w:sz w:val="21"/>
                <w:szCs w:val="21"/>
              </w:rPr>
              <w:t> </w:t>
            </w:r>
            <w:r>
              <w:rPr>
                <w:rFonts w:ascii="宋体" w:hAnsi="宋体" w:cs="宋体" w:eastAsia="宋体" w:hint="default"/>
                <w:sz w:val="21"/>
                <w:szCs w:val="21"/>
              </w:rPr>
              <w:t>合资金信托计划</w:t>
            </w:r>
          </w:p>
        </w:tc>
        <w:tc>
          <w:tcPr>
            <w:tcW w:w="31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65" w:right="0"/>
              <w:jc w:val="left"/>
              <w:rPr>
                <w:rFonts w:ascii="宋体" w:hAnsi="宋体" w:cs="宋体" w:eastAsia="宋体" w:hint="default"/>
                <w:sz w:val="21"/>
                <w:szCs w:val="21"/>
              </w:rPr>
            </w:pPr>
            <w:r>
              <w:rPr>
                <w:rFonts w:ascii="宋体"/>
                <w:sz w:val="21"/>
              </w:rPr>
              <w:t>106,218,733</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24" w:right="0"/>
              <w:jc w:val="left"/>
              <w:rPr>
                <w:rFonts w:ascii="宋体" w:hAnsi="宋体" w:cs="宋体" w:eastAsia="宋体" w:hint="default"/>
                <w:sz w:val="21"/>
                <w:szCs w:val="21"/>
              </w:rPr>
            </w:pPr>
            <w:r>
              <w:rPr>
                <w:rFonts w:ascii="宋体"/>
                <w:sz w:val="21"/>
              </w:rPr>
              <w:t>106,218,733</w:t>
            </w:r>
          </w:p>
        </w:tc>
      </w:tr>
      <w:tr>
        <w:trPr>
          <w:trHeight w:val="554" w:hRule="exact"/>
        </w:trPr>
        <w:tc>
          <w:tcPr>
            <w:tcW w:w="3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泰康人寿保险有限责任公司－投连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－创新动力</w:t>
            </w:r>
          </w:p>
        </w:tc>
        <w:tc>
          <w:tcPr>
            <w:tcW w:w="31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65" w:right="0"/>
              <w:jc w:val="left"/>
              <w:rPr>
                <w:rFonts w:ascii="宋体" w:hAnsi="宋体" w:cs="宋体" w:eastAsia="宋体" w:hint="default"/>
                <w:sz w:val="21"/>
                <w:szCs w:val="21"/>
              </w:rPr>
            </w:pPr>
            <w:r>
              <w:rPr>
                <w:rFonts w:ascii="宋体"/>
                <w:sz w:val="21"/>
              </w:rPr>
              <w:t>104,963,631</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4" w:right="0"/>
              <w:jc w:val="left"/>
              <w:rPr>
                <w:rFonts w:ascii="宋体" w:hAnsi="宋体" w:cs="宋体" w:eastAsia="宋体" w:hint="default"/>
                <w:sz w:val="21"/>
                <w:szCs w:val="21"/>
              </w:rPr>
            </w:pPr>
            <w:r>
              <w:rPr>
                <w:rFonts w:ascii="宋体"/>
                <w:sz w:val="21"/>
              </w:rPr>
              <w:t>104,963,631</w:t>
            </w:r>
          </w:p>
        </w:tc>
      </w:tr>
      <w:tr>
        <w:trPr>
          <w:trHeight w:val="1102" w:hRule="exact"/>
        </w:trPr>
        <w:tc>
          <w:tcPr>
            <w:tcW w:w="3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224"/>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上述股东关联关系或一致行动的说</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明</w:t>
            </w:r>
          </w:p>
        </w:tc>
        <w:tc>
          <w:tcPr>
            <w:tcW w:w="668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黄伟先生为新湖集团的控股股东，浙江恒兴力为新湖集团的全资子公</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司，宁波嘉源为新湖集团的控股子公司。黄伟先生、新湖集团、浙江恒</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兴力、宁波嘉源为一致行动人。公司未知其他股东之间是否存在关联关</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系。</w:t>
            </w:r>
          </w:p>
        </w:tc>
      </w:tr>
      <w:tr>
        <w:trPr>
          <w:trHeight w:val="554" w:hRule="exact"/>
        </w:trPr>
        <w:tc>
          <w:tcPr>
            <w:tcW w:w="3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量的说明</w:t>
            </w:r>
          </w:p>
        </w:tc>
        <w:tc>
          <w:tcPr>
            <w:tcW w:w="668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bl>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020" w:right="480"/>
        </w:sectPr>
      </w:pPr>
    </w:p>
    <w:p>
      <w:pPr>
        <w:pStyle w:val="BodyText"/>
        <w:spacing w:line="313" w:lineRule="exact" w:before="26"/>
        <w:ind w:left="778" w:right="-20"/>
        <w:jc w:val="left"/>
      </w:pPr>
      <w:r>
        <w:rPr/>
        <w:t>前十名有限售条件股东持股数量及限售条件</w:t>
      </w:r>
    </w:p>
    <w:p>
      <w:pPr>
        <w:pStyle w:val="BodyText"/>
        <w:spacing w:line="313" w:lineRule="exact"/>
        <w:ind w:left="77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32"/>
        <w:ind w:left="778"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00" w:bottom="280" w:left="1020" w:right="480"/>
          <w:cols w:num="2" w:equalWidth="0">
            <w:col w:w="5339" w:space="2655"/>
            <w:col w:w="2416"/>
          </w:cols>
        </w:sectPr>
      </w:pPr>
    </w:p>
    <w:p>
      <w:pPr>
        <w:spacing w:line="240" w:lineRule="auto" w:before="4"/>
        <w:rPr>
          <w:rFonts w:ascii="宋体" w:hAnsi="宋体" w:cs="宋体" w:eastAsia="宋体" w:hint="default"/>
          <w:sz w:val="2"/>
          <w:szCs w:val="2"/>
        </w:rPr>
      </w:pPr>
    </w:p>
    <w:tbl>
      <w:tblPr>
        <w:tblW w:w="0" w:type="auto"/>
        <w:jc w:val="left"/>
        <w:tblInd w:w="665" w:type="dxa"/>
        <w:tblLayout w:type="fixed"/>
        <w:tblCellMar>
          <w:top w:w="0" w:type="dxa"/>
          <w:left w:w="0" w:type="dxa"/>
          <w:bottom w:w="0" w:type="dxa"/>
          <w:right w:w="0" w:type="dxa"/>
        </w:tblCellMar>
        <w:tblLook w:val="01E0"/>
      </w:tblPr>
      <w:tblGrid>
        <w:gridCol w:w="427"/>
        <w:gridCol w:w="2813"/>
        <w:gridCol w:w="1361"/>
        <w:gridCol w:w="1930"/>
        <w:gridCol w:w="1390"/>
        <w:gridCol w:w="1128"/>
      </w:tblGrid>
      <w:tr>
        <w:trPr>
          <w:trHeight w:val="283" w:hRule="exact"/>
        </w:trPr>
        <w:tc>
          <w:tcPr>
            <w:tcW w:w="4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281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361" w:type="dxa"/>
            <w:vMerge w:val="restart"/>
            <w:tcBorders>
              <w:top w:val="single" w:sz="4" w:space="0" w:color="000000"/>
              <w:left w:val="single" w:sz="4" w:space="0" w:color="000000"/>
              <w:right w:val="single" w:sz="4" w:space="0" w:color="000000"/>
            </w:tcBorders>
          </w:tcPr>
          <w:p>
            <w:pPr>
              <w:pStyle w:val="TableParagraph"/>
              <w:spacing w:line="237" w:lineRule="auto" w:before="110"/>
              <w:ind w:left="148" w:right="146"/>
              <w:jc w:val="center"/>
              <w:rPr>
                <w:rFonts w:ascii="宋体" w:hAnsi="宋体" w:cs="宋体" w:eastAsia="宋体" w:hint="default"/>
                <w:sz w:val="21"/>
                <w:szCs w:val="21"/>
              </w:rPr>
            </w:pPr>
            <w:r>
              <w:rPr>
                <w:rFonts w:ascii="宋体" w:hAnsi="宋体" w:cs="宋体" w:eastAsia="宋体" w:hint="default"/>
                <w:sz w:val="21"/>
                <w:szCs w:val="21"/>
              </w:rPr>
              <w:t>持有的有限</w:t>
            </w:r>
            <w:r>
              <w:rPr>
                <w:rFonts w:ascii="宋体" w:hAnsi="宋体" w:cs="宋体" w:eastAsia="宋体" w:hint="default"/>
                <w:w w:val="100"/>
                <w:sz w:val="21"/>
                <w:szCs w:val="21"/>
              </w:rPr>
              <w:t> </w:t>
            </w:r>
            <w:r>
              <w:rPr>
                <w:rFonts w:ascii="宋体" w:hAnsi="宋体" w:cs="宋体" w:eastAsia="宋体" w:hint="default"/>
                <w:sz w:val="21"/>
                <w:szCs w:val="21"/>
              </w:rPr>
              <w:t>售条件股份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3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828" w:hRule="exact"/>
        </w:trPr>
        <w:tc>
          <w:tcPr>
            <w:tcW w:w="427" w:type="dxa"/>
            <w:vMerge/>
            <w:tcBorders>
              <w:left w:val="single" w:sz="4" w:space="0" w:color="000000"/>
              <w:bottom w:val="single" w:sz="4" w:space="0" w:color="000000"/>
              <w:right w:val="single" w:sz="4" w:space="0" w:color="000000"/>
            </w:tcBorders>
          </w:tcPr>
          <w:p>
            <w:pPr/>
          </w:p>
        </w:tc>
        <w:tc>
          <w:tcPr>
            <w:tcW w:w="2813" w:type="dxa"/>
            <w:vMerge/>
            <w:tcBorders>
              <w:left w:val="single" w:sz="4" w:space="0" w:color="000000"/>
              <w:bottom w:val="single" w:sz="4" w:space="0" w:color="000000"/>
              <w:right w:val="single" w:sz="4" w:space="0" w:color="000000"/>
            </w:tcBorders>
          </w:tcPr>
          <w:p>
            <w:pPr/>
          </w:p>
        </w:tc>
        <w:tc>
          <w:tcPr>
            <w:tcW w:w="1361" w:type="dxa"/>
            <w:vMerge/>
            <w:tcBorders>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新增可上市</w:t>
            </w:r>
          </w:p>
          <w:p>
            <w:pPr>
              <w:pStyle w:val="TableParagraph"/>
              <w:spacing w:line="272" w:lineRule="exact" w:before="27"/>
              <w:ind w:left="583" w:right="161" w:hanging="420"/>
              <w:jc w:val="left"/>
              <w:rPr>
                <w:rFonts w:ascii="宋体" w:hAnsi="宋体" w:cs="宋体" w:eastAsia="宋体" w:hint="default"/>
                <w:sz w:val="21"/>
                <w:szCs w:val="21"/>
              </w:rPr>
            </w:pPr>
            <w:r>
              <w:rPr>
                <w:rFonts w:ascii="宋体" w:hAnsi="宋体" w:cs="宋体" w:eastAsia="宋体" w:hint="default"/>
                <w:sz w:val="21"/>
                <w:szCs w:val="21"/>
              </w:rPr>
              <w:t>交易股份数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1128"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00" w:bottom="280" w:left="1020" w:right="4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27"/>
        <w:gridCol w:w="2813"/>
        <w:gridCol w:w="1361"/>
        <w:gridCol w:w="1930"/>
        <w:gridCol w:w="1390"/>
        <w:gridCol w:w="1128"/>
      </w:tblGrid>
      <w:tr>
        <w:trPr>
          <w:trHeight w:val="356"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1</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中国工商银行绍兴市分行</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414,455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w w:val="100"/>
                <w:sz w:val="21"/>
              </w:rPr>
              <w:t>/</w:t>
            </w:r>
          </w:p>
        </w:tc>
      </w:tr>
      <w:tr>
        <w:trPr>
          <w:trHeight w:val="554"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2</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中国银行杭州信托咨询公司</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绍兴办事处</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342,857</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w:t>
            </w:r>
          </w:p>
        </w:tc>
      </w:tr>
      <w:tr>
        <w:trPr>
          <w:trHeight w:val="557"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3</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绍兴电器厂</w:t>
            </w:r>
            <w:r>
              <w:rPr>
                <w:rFonts w:ascii="宋体" w:hAnsi="宋体" w:cs="宋体" w:eastAsia="宋体" w:hint="default"/>
                <w:sz w:val="21"/>
                <w:szCs w:val="21"/>
              </w:rPr>
              <w:t>(</w:t>
            </w:r>
            <w:r>
              <w:rPr>
                <w:rFonts w:ascii="宋体" w:hAnsi="宋体" w:cs="宋体" w:eastAsia="宋体" w:hint="default"/>
                <w:sz w:val="21"/>
                <w:szCs w:val="21"/>
              </w:rPr>
              <w:t>绍兴市农机修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理制造厂</w:t>
            </w:r>
            <w:r>
              <w:rPr>
                <w:rFonts w:ascii="宋体" w:hAnsi="宋体" w:cs="宋体" w:eastAsia="宋体" w:hint="default"/>
                <w:sz w:val="21"/>
                <w:szCs w:val="21"/>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207,152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w:t>
            </w:r>
          </w:p>
        </w:tc>
      </w:tr>
      <w:tr>
        <w:trPr>
          <w:trHeight w:val="554"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4</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中国工商银行浙江信托投资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公司绍兴市办事处</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103,576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3</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22</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w w:val="100"/>
                <w:sz w:val="21"/>
              </w:rPr>
              <w:t>/</w:t>
            </w:r>
          </w:p>
        </w:tc>
      </w:tr>
      <w:tr>
        <w:trPr>
          <w:trHeight w:val="355"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绍兴显建锋塑料厂</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103,575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w:t>
            </w:r>
          </w:p>
        </w:tc>
      </w:tr>
      <w:tr>
        <w:trPr>
          <w:trHeight w:val="554" w:hRule="exact"/>
        </w:trPr>
        <w:tc>
          <w:tcPr>
            <w:tcW w:w="3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的说明</w:t>
            </w:r>
          </w:p>
        </w:tc>
        <w:tc>
          <w:tcPr>
            <w:tcW w:w="580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公司未知上述股东之间是否存在关联关系。</w:t>
            </w:r>
          </w:p>
        </w:tc>
      </w:tr>
    </w:tbl>
    <w:p>
      <w:pPr>
        <w:spacing w:line="240" w:lineRule="auto" w:before="5"/>
        <w:rPr>
          <w:rFonts w:ascii="宋体" w:hAnsi="宋体" w:cs="宋体" w:eastAsia="宋体" w:hint="default"/>
          <w:sz w:val="23"/>
          <w:szCs w:val="23"/>
        </w:rPr>
      </w:pPr>
    </w:p>
    <w:p>
      <w:pPr>
        <w:pStyle w:val="Heading2"/>
        <w:spacing w:line="240" w:lineRule="auto"/>
        <w:ind w:right="233"/>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40"/>
        </w:rPr>
        <w:t> </w:t>
      </w:r>
      <w:r>
        <w:rPr/>
        <w:t>战略投资者或一般法人因配售新股成为前</w:t>
      </w:r>
      <w:r>
        <w:rPr>
          <w:spacing w:val="-58"/>
        </w:rPr>
        <w:t> </w:t>
      </w:r>
      <w:r>
        <w:rPr>
          <w:rFonts w:ascii="Calibri" w:hAnsi="Calibri" w:cs="Calibri" w:eastAsia="Calibri" w:hint="default"/>
        </w:rPr>
        <w:t>10</w:t>
      </w:r>
      <w:r>
        <w:rPr>
          <w:rFonts w:ascii="Calibri" w:hAnsi="Calibri" w:cs="Calibri" w:eastAsia="Calibri" w:hint="default"/>
          <w:spacing w:val="2"/>
        </w:rPr>
        <w:t> </w:t>
      </w:r>
      <w:r>
        <w:rPr/>
        <w:t>名股东</w:t>
      </w:r>
      <w:r>
        <w:rPr>
          <w:b w:val="0"/>
          <w:bCs w:val="0"/>
        </w:rPr>
      </w:r>
    </w:p>
    <w:p>
      <w:pPr>
        <w:pStyle w:val="BodyText"/>
        <w:spacing w:line="240" w:lineRule="auto" w:before="25"/>
        <w:ind w:left="218" w:right="233"/>
        <w:jc w:val="left"/>
      </w:pPr>
      <w:r>
        <w:rPr/>
        <w:t>□适用</w:t>
      </w:r>
      <w:r>
        <w:rPr>
          <w:spacing w:val="-1"/>
        </w:rPr>
        <w:t> </w:t>
      </w:r>
      <w:r>
        <w:rPr/>
        <w:t>√不适用</w:t>
      </w:r>
    </w:p>
    <w:p>
      <w:pPr>
        <w:pStyle w:val="Heading2"/>
        <w:tabs>
          <w:tab w:pos="1057" w:val="left" w:leader="none"/>
        </w:tabs>
        <w:spacing w:line="283" w:lineRule="auto" w:before="58"/>
        <w:ind w:right="5335"/>
        <w:jc w:val="left"/>
        <w:rPr>
          <w:b w:val="0"/>
          <w:bCs w:val="0"/>
        </w:rPr>
      </w:pPr>
      <w:r>
        <w:rPr/>
        <w:t>四、</w:t>
        <w:tab/>
        <w:t>控股股东及实际控制人情况</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控股股东情况</w:t>
      </w:r>
      <w:r>
        <w:rPr>
          <w:b w:val="0"/>
          <w:bCs w:val="0"/>
        </w:rPr>
      </w:r>
    </w:p>
    <w:p>
      <w:pPr>
        <w:tabs>
          <w:tab w:pos="637" w:val="left" w:leader="none"/>
        </w:tabs>
        <w:spacing w:before="12"/>
        <w:ind w:left="218" w:right="233" w:firstLine="0"/>
        <w:jc w:val="left"/>
        <w:rPr>
          <w:rFonts w:ascii="宋体" w:hAnsi="宋体" w:cs="宋体" w:eastAsia="宋体" w:hint="default"/>
          <w:sz w:val="24"/>
          <w:szCs w:val="24"/>
        </w:rPr>
      </w:pPr>
      <w:r>
        <w:rPr>
          <w:rFonts w:ascii="宋体" w:hAnsi="宋体" w:cs="宋体" w:eastAsia="宋体" w:hint="default"/>
          <w:b/>
          <w:bCs/>
          <w:w w:val="95"/>
          <w:sz w:val="24"/>
          <w:szCs w:val="24"/>
        </w:rPr>
        <w:t>1</w:t>
        <w:tab/>
      </w:r>
      <w:r>
        <w:rPr>
          <w:rFonts w:ascii="宋体" w:hAnsi="宋体" w:cs="宋体" w:eastAsia="宋体" w:hint="default"/>
          <w:sz w:val="24"/>
          <w:szCs w:val="24"/>
        </w:rPr>
        <w:t>法人</w:t>
      </w:r>
    </w:p>
    <w:p>
      <w:pPr>
        <w:pStyle w:val="BodyText"/>
        <w:spacing w:line="240" w:lineRule="auto" w:before="58"/>
        <w:ind w:left="218" w:right="233"/>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5"/>
        <w:gridCol w:w="5965"/>
      </w:tblGrid>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浙江新湖集团股份有限公司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林俊波</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能源、农业、交通、建材工业、贸易、投资等</w:t>
            </w:r>
          </w:p>
        </w:tc>
      </w:tr>
      <w:tr>
        <w:trPr>
          <w:trHeight w:val="82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报告期内控股和参股的其他境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内外上市公司的股权情况</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48"/>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31</w:t>
            </w:r>
            <w:r>
              <w:rPr>
                <w:rFonts w:ascii="宋体" w:hAnsi="宋体" w:cs="宋体" w:eastAsia="宋体" w:hint="default"/>
                <w:spacing w:val="-48"/>
                <w:sz w:val="21"/>
                <w:szCs w:val="21"/>
              </w:rPr>
              <w:t> </w:t>
            </w:r>
            <w:r>
              <w:rPr>
                <w:rFonts w:ascii="宋体" w:hAnsi="宋体" w:cs="宋体" w:eastAsia="宋体" w:hint="default"/>
                <w:spacing w:val="-3"/>
                <w:sz w:val="21"/>
                <w:szCs w:val="21"/>
              </w:rPr>
              <w:t>日，持有哈尔滨高科技</w:t>
            </w:r>
            <w:r>
              <w:rPr>
                <w:rFonts w:ascii="宋体" w:hAnsi="宋体" w:cs="宋体" w:eastAsia="宋体" w:hint="default"/>
                <w:spacing w:val="-3"/>
                <w:sz w:val="21"/>
                <w:szCs w:val="21"/>
              </w:rPr>
              <w:t>(</w:t>
            </w:r>
            <w:r>
              <w:rPr>
                <w:rFonts w:ascii="宋体" w:hAnsi="宋体" w:cs="宋体" w:eastAsia="宋体" w:hint="default"/>
                <w:spacing w:val="-3"/>
                <w:sz w:val="21"/>
                <w:szCs w:val="21"/>
              </w:rPr>
              <w:t>集团</w:t>
            </w:r>
            <w:r>
              <w:rPr>
                <w:rFonts w:ascii="宋体" w:hAnsi="宋体" w:cs="宋体" w:eastAsia="宋体" w:hint="default"/>
                <w:spacing w:val="-3"/>
                <w:sz w:val="21"/>
                <w:szCs w:val="21"/>
              </w:rPr>
              <w:t>)</w:t>
            </w:r>
            <w:r>
              <w:rPr>
                <w:rFonts w:ascii="宋体" w:hAnsi="宋体" w:cs="宋体" w:eastAsia="宋体" w:hint="default"/>
                <w:spacing w:val="-3"/>
                <w:sz w:val="21"/>
                <w:szCs w:val="21"/>
              </w:rPr>
              <w:t>股份有限公</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43"/>
                <w:sz w:val="21"/>
                <w:szCs w:val="21"/>
              </w:rPr>
              <w:t> </w:t>
            </w:r>
            <w:r>
              <w:rPr>
                <w:rFonts w:ascii="宋体" w:hAnsi="宋体" w:cs="宋体" w:eastAsia="宋体" w:hint="default"/>
                <w:sz w:val="21"/>
                <w:szCs w:val="21"/>
              </w:rPr>
              <w:t>58,094,308</w:t>
            </w:r>
            <w:r>
              <w:rPr>
                <w:rFonts w:ascii="宋体" w:hAnsi="宋体" w:cs="宋体" w:eastAsia="宋体" w:hint="default"/>
                <w:spacing w:val="-45"/>
                <w:sz w:val="21"/>
                <w:szCs w:val="21"/>
              </w:rPr>
              <w:t> </w:t>
            </w:r>
            <w:r>
              <w:rPr>
                <w:rFonts w:ascii="宋体" w:hAnsi="宋体" w:cs="宋体" w:eastAsia="宋体" w:hint="default"/>
                <w:spacing w:val="-7"/>
                <w:sz w:val="21"/>
                <w:szCs w:val="21"/>
              </w:rPr>
              <w:t>股，持股比例为</w:t>
            </w:r>
            <w:r>
              <w:rPr>
                <w:rFonts w:ascii="宋体" w:hAnsi="宋体" w:cs="宋体" w:eastAsia="宋体" w:hint="default"/>
                <w:spacing w:val="-42"/>
                <w:sz w:val="21"/>
                <w:szCs w:val="21"/>
              </w:rPr>
              <w:t> </w:t>
            </w:r>
            <w:r>
              <w:rPr>
                <w:rFonts w:ascii="宋体" w:hAnsi="宋体" w:cs="宋体" w:eastAsia="宋体" w:hint="default"/>
                <w:spacing w:val="-4"/>
                <w:sz w:val="21"/>
                <w:szCs w:val="21"/>
              </w:rPr>
              <w:t>16.08%</w:t>
            </w:r>
            <w:r>
              <w:rPr>
                <w:rFonts w:ascii="宋体" w:hAnsi="宋体" w:cs="宋体" w:eastAsia="宋体" w:hint="default"/>
                <w:spacing w:val="-4"/>
                <w:sz w:val="21"/>
                <w:szCs w:val="21"/>
              </w:rPr>
              <w:t>；持有上海大智慧股份有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r>
              <w:rPr>
                <w:rFonts w:ascii="宋体" w:hAnsi="宋体" w:cs="宋体" w:eastAsia="宋体" w:hint="default"/>
                <w:spacing w:val="-54"/>
                <w:sz w:val="21"/>
                <w:szCs w:val="21"/>
              </w:rPr>
              <w:t> </w:t>
            </w:r>
            <w:r>
              <w:rPr>
                <w:rFonts w:ascii="宋体" w:hAnsi="宋体" w:cs="宋体" w:eastAsia="宋体" w:hint="default"/>
                <w:sz w:val="21"/>
                <w:szCs w:val="21"/>
              </w:rPr>
              <w:t>410,499,823</w:t>
            </w:r>
            <w:r>
              <w:rPr>
                <w:rFonts w:ascii="宋体" w:hAnsi="宋体" w:cs="宋体" w:eastAsia="宋体" w:hint="default"/>
                <w:spacing w:val="-56"/>
                <w:sz w:val="21"/>
                <w:szCs w:val="21"/>
              </w:rPr>
              <w:t> </w:t>
            </w:r>
            <w:r>
              <w:rPr>
                <w:rFonts w:ascii="宋体" w:hAnsi="宋体" w:cs="宋体" w:eastAsia="宋体" w:hint="default"/>
                <w:sz w:val="21"/>
                <w:szCs w:val="21"/>
              </w:rPr>
              <w:t>股股份，持股比例为</w:t>
            </w:r>
            <w:r>
              <w:rPr>
                <w:rFonts w:ascii="宋体" w:hAnsi="宋体" w:cs="宋体" w:eastAsia="宋体" w:hint="default"/>
                <w:spacing w:val="-54"/>
                <w:sz w:val="21"/>
                <w:szCs w:val="21"/>
              </w:rPr>
              <w:t> </w:t>
            </w:r>
            <w:r>
              <w:rPr>
                <w:rFonts w:ascii="宋体" w:hAnsi="宋体" w:cs="宋体" w:eastAsia="宋体" w:hint="default"/>
                <w:sz w:val="21"/>
                <w:szCs w:val="21"/>
              </w:rPr>
              <w:t>20.65%</w:t>
            </w:r>
            <w:r>
              <w:rPr>
                <w:rFonts w:ascii="宋体" w:hAnsi="宋体" w:cs="宋体" w:eastAsia="宋体" w:hint="default"/>
                <w:sz w:val="21"/>
                <w:szCs w:val="21"/>
              </w:rPr>
              <w:t>。</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3"/>
          <w:szCs w:val="23"/>
        </w:rPr>
      </w:pPr>
    </w:p>
    <w:p>
      <w:pPr>
        <w:tabs>
          <w:tab w:pos="637" w:val="left" w:leader="none"/>
        </w:tabs>
        <w:spacing w:before="26"/>
        <w:ind w:left="218" w:right="233" w:firstLine="0"/>
        <w:jc w:val="left"/>
        <w:rPr>
          <w:rFonts w:ascii="宋体" w:hAnsi="宋体" w:cs="宋体" w:eastAsia="宋体" w:hint="default"/>
          <w:sz w:val="24"/>
          <w:szCs w:val="24"/>
        </w:rPr>
      </w:pPr>
      <w:r>
        <w:rPr>
          <w:rFonts w:ascii="宋体" w:hAnsi="宋体" w:cs="宋体" w:eastAsia="宋体" w:hint="default"/>
          <w:b/>
          <w:bCs/>
          <w:w w:val="95"/>
          <w:sz w:val="24"/>
          <w:szCs w:val="24"/>
        </w:rPr>
        <w:t>2</w:t>
        <w:tab/>
      </w:r>
      <w:r>
        <w:rPr>
          <w:rFonts w:ascii="宋体" w:hAnsi="宋体" w:cs="宋体" w:eastAsia="宋体" w:hint="default"/>
          <w:sz w:val="24"/>
          <w:szCs w:val="24"/>
        </w:rPr>
        <w:t>自然人</w:t>
      </w:r>
    </w:p>
    <w:p>
      <w:pPr>
        <w:pStyle w:val="BodyText"/>
        <w:spacing w:line="240" w:lineRule="auto" w:before="58"/>
        <w:ind w:left="218" w:right="233"/>
        <w:jc w:val="left"/>
      </w:pPr>
      <w:r>
        <w:rPr/>
        <w:t>□适用</w:t>
      </w:r>
      <w:r>
        <w:rPr>
          <w:spacing w:val="-1"/>
        </w:rPr>
        <w:t> </w:t>
      </w:r>
      <w:r>
        <w:rPr/>
        <w:t>√不适用</w:t>
      </w:r>
    </w:p>
    <w:p>
      <w:pPr>
        <w:pStyle w:val="BodyText"/>
        <w:tabs>
          <w:tab w:pos="637" w:val="left" w:leader="none"/>
        </w:tabs>
        <w:spacing w:line="240" w:lineRule="auto" w:before="58"/>
        <w:ind w:left="218" w:right="233"/>
        <w:jc w:val="left"/>
      </w:pPr>
      <w:r>
        <w:rPr>
          <w:rFonts w:ascii="宋体" w:hAnsi="宋体" w:cs="宋体" w:eastAsia="宋体" w:hint="default"/>
          <w:b/>
          <w:bCs/>
          <w:w w:val="95"/>
        </w:rPr>
        <w:t>3</w:t>
        <w:tab/>
      </w:r>
      <w:r>
        <w:rPr/>
        <w:t>公司不存在控股股东情况的特别说明</w:t>
      </w:r>
    </w:p>
    <w:p>
      <w:pPr>
        <w:pStyle w:val="BodyText"/>
        <w:tabs>
          <w:tab w:pos="1177" w:val="left" w:leader="none"/>
        </w:tabs>
        <w:spacing w:line="240" w:lineRule="auto" w:before="55"/>
        <w:ind w:left="218" w:right="233"/>
        <w:jc w:val="left"/>
      </w:pPr>
      <w:r>
        <w:rPr>
          <w:spacing w:val="-1"/>
        </w:rPr>
        <w:t>□适用</w:t>
        <w:tab/>
      </w:r>
      <w:r>
        <w:rPr/>
        <w:t>√不适用</w:t>
      </w:r>
    </w:p>
    <w:p>
      <w:pPr>
        <w:pStyle w:val="BodyText"/>
        <w:tabs>
          <w:tab w:pos="637" w:val="left" w:leader="none"/>
        </w:tabs>
        <w:spacing w:line="240" w:lineRule="auto" w:before="58"/>
        <w:ind w:left="218" w:right="233"/>
        <w:jc w:val="left"/>
      </w:pPr>
      <w:r>
        <w:rPr>
          <w:rFonts w:ascii="宋体" w:hAnsi="宋体" w:cs="宋体" w:eastAsia="宋体" w:hint="default"/>
        </w:rPr>
        <w:t>4</w:t>
        <w:tab/>
      </w:r>
      <w:r>
        <w:rPr/>
        <w:t>报告期内控股股东变更情况索引及日期</w:t>
      </w:r>
    </w:p>
    <w:p>
      <w:pPr>
        <w:pStyle w:val="BodyText"/>
        <w:tabs>
          <w:tab w:pos="1177" w:val="left" w:leader="none"/>
        </w:tabs>
        <w:spacing w:line="240" w:lineRule="auto" w:before="58"/>
        <w:ind w:left="218" w:right="233"/>
        <w:jc w:val="left"/>
      </w:pPr>
      <w:r>
        <w:rPr>
          <w:spacing w:val="-1"/>
        </w:rPr>
        <w:t>□适用</w:t>
        <w:tab/>
      </w:r>
      <w:r>
        <w:rPr/>
        <w:t>√不适用</w:t>
      </w:r>
    </w:p>
    <w:p>
      <w:pPr>
        <w:pStyle w:val="BodyText"/>
        <w:tabs>
          <w:tab w:pos="637" w:val="left" w:leader="none"/>
        </w:tabs>
        <w:spacing w:line="240" w:lineRule="auto" w:before="58"/>
        <w:ind w:left="218" w:right="233"/>
        <w:jc w:val="left"/>
      </w:pPr>
      <w:r>
        <w:rPr>
          <w:rFonts w:ascii="宋体" w:hAnsi="宋体" w:cs="宋体" w:eastAsia="宋体" w:hint="default"/>
        </w:rPr>
        <w:t>5</w:t>
        <w:tab/>
      </w:r>
      <w:r>
        <w:rPr/>
        <w:t>公司与控股股东之间的产权及控制关系的方框图</w:t>
      </w:r>
    </w:p>
    <w:p>
      <w:pPr>
        <w:pStyle w:val="BodyText"/>
        <w:tabs>
          <w:tab w:pos="1177" w:val="left" w:leader="none"/>
        </w:tabs>
        <w:spacing w:line="240" w:lineRule="auto" w:before="55"/>
        <w:ind w:left="218" w:right="233"/>
        <w:jc w:val="left"/>
      </w:pPr>
      <w:r>
        <w:rPr>
          <w:spacing w:val="-1"/>
        </w:rPr>
        <w:t>√适用</w:t>
        <w:tab/>
      </w:r>
      <w:r>
        <w:rPr/>
        <w:t>□不适用</w:t>
      </w:r>
    </w:p>
    <w:p>
      <w:pPr>
        <w:spacing w:line="240" w:lineRule="auto" w:before="10"/>
        <w:rPr>
          <w:rFonts w:ascii="宋体" w:hAnsi="宋体" w:cs="宋体" w:eastAsia="宋体" w:hint="default"/>
          <w:sz w:val="2"/>
          <w:szCs w:val="2"/>
        </w:rPr>
      </w:pPr>
    </w:p>
    <w:p>
      <w:pPr>
        <w:spacing w:line="2582" w:lineRule="exact"/>
        <w:ind w:left="1167" w:right="0" w:firstLine="0"/>
        <w:rPr>
          <w:rFonts w:ascii="宋体" w:hAnsi="宋体" w:cs="宋体" w:eastAsia="宋体" w:hint="default"/>
          <w:sz w:val="20"/>
          <w:szCs w:val="20"/>
        </w:rPr>
      </w:pPr>
      <w:r>
        <w:rPr>
          <w:rFonts w:ascii="宋体" w:hAnsi="宋体" w:cs="宋体" w:eastAsia="宋体" w:hint="default"/>
          <w:position w:val="-51"/>
          <w:sz w:val="20"/>
          <w:szCs w:val="20"/>
        </w:rPr>
        <w:drawing>
          <wp:inline distT="0" distB="0" distL="0" distR="0">
            <wp:extent cx="4371603" cy="1639633"/>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41" cstate="print"/>
                    <a:stretch>
                      <a:fillRect/>
                    </a:stretch>
                  </pic:blipFill>
                  <pic:spPr>
                    <a:xfrm>
                      <a:off x="0" y="0"/>
                      <a:ext cx="4371603" cy="1639633"/>
                    </a:xfrm>
                    <a:prstGeom prst="rect">
                      <a:avLst/>
                    </a:prstGeom>
                  </pic:spPr>
                </pic:pic>
              </a:graphicData>
            </a:graphic>
          </wp:inline>
        </w:drawing>
      </w:r>
      <w:r>
        <w:rPr>
          <w:rFonts w:ascii="宋体" w:hAnsi="宋体" w:cs="宋体" w:eastAsia="宋体" w:hint="default"/>
          <w:position w:val="-51"/>
          <w:sz w:val="20"/>
          <w:szCs w:val="20"/>
        </w:rPr>
      </w:r>
    </w:p>
    <w:p>
      <w:pPr>
        <w:spacing w:after="0" w:line="2582" w:lineRule="exact"/>
        <w:rPr>
          <w:rFonts w:ascii="宋体" w:hAnsi="宋体" w:cs="宋体" w:eastAsia="宋体" w:hint="default"/>
          <w:sz w:val="20"/>
          <w:szCs w:val="20"/>
        </w:rPr>
        <w:sectPr>
          <w:pgSz w:w="11910" w:h="16840"/>
          <w:pgMar w:header="880" w:footer="1195" w:top="1120" w:bottom="1380" w:left="1580" w:right="1040"/>
        </w:sectPr>
      </w:pPr>
    </w:p>
    <w:p>
      <w:pPr>
        <w:spacing w:line="240" w:lineRule="auto" w:before="8"/>
        <w:rPr>
          <w:rFonts w:ascii="宋体" w:hAnsi="宋体" w:cs="宋体" w:eastAsia="宋体" w:hint="default"/>
          <w:sz w:val="25"/>
          <w:szCs w:val="25"/>
        </w:rPr>
      </w:pPr>
    </w:p>
    <w:p>
      <w:pPr>
        <w:pStyle w:val="Heading2"/>
        <w:tabs>
          <w:tab w:pos="802" w:val="left" w:leader="none"/>
          <w:tab w:pos="1217" w:val="left" w:leader="none"/>
        </w:tabs>
        <w:spacing w:line="283" w:lineRule="auto"/>
        <w:ind w:left="378" w:right="6679"/>
        <w:jc w:val="left"/>
        <w:rPr>
          <w:rFonts w:ascii="宋体" w:hAnsi="宋体" w:cs="宋体" w:eastAsia="宋体" w:hint="default"/>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实际控制人情况</w:t>
      </w:r>
      <w:r>
        <w:rPr>
          <w:w w:val="99"/>
        </w:rPr>
        <w:t> </w:t>
      </w:r>
      <w:r>
        <w:rPr>
          <w:rFonts w:ascii="宋体" w:hAnsi="宋体" w:cs="宋体" w:eastAsia="宋体" w:hint="default"/>
          <w:w w:val="95"/>
        </w:rPr>
        <w:t>1</w:t>
        <w:tab/>
      </w:r>
      <w:r>
        <w:rPr>
          <w:rFonts w:ascii="宋体" w:hAnsi="宋体" w:cs="宋体" w:eastAsia="宋体" w:hint="default"/>
          <w:b w:val="0"/>
          <w:bCs w:val="0"/>
        </w:rPr>
        <w:t>法人</w:t>
      </w:r>
    </w:p>
    <w:p>
      <w:pPr>
        <w:pStyle w:val="BodyText"/>
        <w:tabs>
          <w:tab w:pos="802" w:val="left" w:leader="none"/>
        </w:tabs>
        <w:spacing w:line="283" w:lineRule="auto" w:before="14"/>
        <w:ind w:left="378" w:right="7406"/>
        <w:jc w:val="left"/>
      </w:pPr>
      <w:r>
        <w:rPr/>
        <w:t>□适用</w:t>
      </w:r>
      <w:r>
        <w:rPr>
          <w:spacing w:val="-1"/>
        </w:rPr>
        <w:t> </w:t>
      </w:r>
      <w:r>
        <w:rPr/>
        <w:t>√不适用</w:t>
      </w:r>
      <w:r>
        <w:rPr/>
        <w:t> </w:t>
      </w:r>
      <w:r>
        <w:rPr>
          <w:rFonts w:ascii="宋体" w:hAnsi="宋体" w:cs="宋体" w:eastAsia="宋体" w:hint="default"/>
          <w:b/>
          <w:bCs/>
          <w:w w:val="95"/>
        </w:rPr>
        <w:t>2</w:t>
        <w:tab/>
      </w:r>
      <w:r>
        <w:rPr/>
        <w:t>自然人</w:t>
      </w:r>
    </w:p>
    <w:p>
      <w:pPr>
        <w:pStyle w:val="BodyText"/>
        <w:spacing w:line="240" w:lineRule="auto" w:before="14"/>
        <w:ind w:left="378" w:right="6679"/>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841"/>
        <w:gridCol w:w="5516"/>
      </w:tblGrid>
      <w:tr>
        <w:trPr>
          <w:trHeight w:val="281"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黄伟</w:t>
            </w:r>
          </w:p>
        </w:tc>
      </w:tr>
      <w:tr>
        <w:trPr>
          <w:trHeight w:val="283"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5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w:t>
            </w:r>
          </w:p>
        </w:tc>
      </w:tr>
      <w:tr>
        <w:trPr>
          <w:trHeight w:val="283"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0"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新湖控股有限公司董事长</w:t>
            </w:r>
          </w:p>
        </w:tc>
      </w:tr>
      <w:tr>
        <w:trPr>
          <w:trHeight w:val="555"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80"/>
                <w:sz w:val="21"/>
                <w:szCs w:val="21"/>
              </w:rPr>
              <w:t> </w:t>
            </w:r>
            <w:r>
              <w:rPr>
                <w:rFonts w:ascii="宋体" w:hAnsi="宋体" w:cs="宋体" w:eastAsia="宋体" w:hint="default"/>
                <w:sz w:val="21"/>
                <w:szCs w:val="21"/>
              </w:rPr>
              <w:t>10</w:t>
            </w:r>
            <w:r>
              <w:rPr>
                <w:rFonts w:ascii="宋体" w:hAnsi="宋体" w:cs="宋体" w:eastAsia="宋体" w:hint="default"/>
                <w:spacing w:val="-80"/>
                <w:sz w:val="21"/>
                <w:szCs w:val="21"/>
              </w:rPr>
              <w:t> </w:t>
            </w:r>
            <w:r>
              <w:rPr>
                <w:rFonts w:ascii="宋体" w:hAnsi="宋体" w:cs="宋体" w:eastAsia="宋体" w:hint="default"/>
                <w:sz w:val="21"/>
                <w:szCs w:val="21"/>
              </w:rPr>
              <w:t>年曾控股的境内外上市公司情况</w:t>
            </w:r>
          </w:p>
        </w:tc>
        <w:tc>
          <w:tcPr>
            <w:tcW w:w="5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目前控股哈尔滨高科技</w:t>
            </w:r>
            <w:r>
              <w:rPr>
                <w:rFonts w:ascii="宋体" w:hAnsi="宋体" w:cs="宋体" w:eastAsia="宋体" w:hint="default"/>
                <w:sz w:val="21"/>
                <w:szCs w:val="21"/>
              </w:rPr>
              <w:t>(</w:t>
            </w:r>
            <w:r>
              <w:rPr>
                <w:rFonts w:ascii="宋体" w:hAnsi="宋体" w:cs="宋体" w:eastAsia="宋体" w:hint="default"/>
                <w:sz w:val="21"/>
                <w:szCs w:val="21"/>
              </w:rPr>
              <w:t>集团</w:t>
            </w:r>
            <w:r>
              <w:rPr>
                <w:rFonts w:ascii="宋体" w:hAnsi="宋体" w:cs="宋体" w:eastAsia="宋体" w:hint="default"/>
                <w:sz w:val="21"/>
                <w:szCs w:val="21"/>
              </w:rPr>
              <w:t>)</w:t>
            </w:r>
            <w:r>
              <w:rPr>
                <w:rFonts w:ascii="宋体" w:hAnsi="宋体" w:cs="宋体" w:eastAsia="宋体" w:hint="default"/>
                <w:sz w:val="21"/>
                <w:szCs w:val="21"/>
              </w:rPr>
              <w:t>股份有限公司，曾控股“新</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湖创业”，后“新湖创业”被本公司吸收合并</w:t>
            </w:r>
          </w:p>
        </w:tc>
      </w:tr>
    </w:tbl>
    <w:p>
      <w:pPr>
        <w:spacing w:line="240" w:lineRule="auto" w:before="5"/>
        <w:rPr>
          <w:rFonts w:ascii="宋体" w:hAnsi="宋体" w:cs="宋体" w:eastAsia="宋体" w:hint="default"/>
          <w:sz w:val="23"/>
          <w:szCs w:val="23"/>
        </w:rPr>
      </w:pPr>
    </w:p>
    <w:p>
      <w:pPr>
        <w:pStyle w:val="BodyText"/>
        <w:tabs>
          <w:tab w:pos="802" w:val="left" w:leader="none"/>
        </w:tabs>
        <w:spacing w:line="240" w:lineRule="auto" w:before="26"/>
        <w:ind w:left="378" w:right="0"/>
        <w:jc w:val="left"/>
      </w:pPr>
      <w:r>
        <w:rPr>
          <w:rFonts w:ascii="宋体" w:hAnsi="宋体" w:cs="宋体" w:eastAsia="宋体" w:hint="default"/>
          <w:b/>
          <w:bCs/>
          <w:w w:val="95"/>
        </w:rPr>
        <w:t>3</w:t>
        <w:tab/>
      </w:r>
      <w:r>
        <w:rPr/>
        <w:t>公司不存在实际控制人情况的特别说明</w:t>
      </w:r>
    </w:p>
    <w:p>
      <w:pPr>
        <w:pStyle w:val="BodyText"/>
        <w:tabs>
          <w:tab w:pos="1337" w:val="left" w:leader="none"/>
        </w:tabs>
        <w:spacing w:line="240" w:lineRule="auto" w:before="58"/>
        <w:ind w:left="378" w:right="6679"/>
        <w:jc w:val="left"/>
      </w:pPr>
      <w:r>
        <w:rPr>
          <w:spacing w:val="-1"/>
        </w:rPr>
        <w:t>□适用</w:t>
        <w:tab/>
      </w:r>
      <w:r>
        <w:rPr/>
        <w:t>√不适用</w:t>
      </w:r>
    </w:p>
    <w:p>
      <w:pPr>
        <w:spacing w:line="240" w:lineRule="auto" w:before="1"/>
        <w:rPr>
          <w:rFonts w:ascii="宋体" w:hAnsi="宋体" w:cs="宋体" w:eastAsia="宋体" w:hint="default"/>
          <w:sz w:val="28"/>
          <w:szCs w:val="28"/>
        </w:rPr>
      </w:pPr>
    </w:p>
    <w:p>
      <w:pPr>
        <w:pStyle w:val="BodyText"/>
        <w:tabs>
          <w:tab w:pos="802" w:val="left" w:leader="none"/>
        </w:tabs>
        <w:spacing w:line="240" w:lineRule="auto"/>
        <w:ind w:left="378" w:right="0"/>
        <w:jc w:val="left"/>
      </w:pPr>
      <w:r>
        <w:rPr>
          <w:rFonts w:ascii="宋体" w:hAnsi="宋体" w:cs="宋体" w:eastAsia="宋体" w:hint="default"/>
        </w:rPr>
        <w:t>4</w:t>
        <w:tab/>
      </w:r>
      <w:r>
        <w:rPr/>
        <w:t>报告期内实际控制人变更情况索引及日期</w:t>
      </w:r>
    </w:p>
    <w:p>
      <w:pPr>
        <w:pStyle w:val="BodyText"/>
        <w:tabs>
          <w:tab w:pos="1337" w:val="left" w:leader="none"/>
        </w:tabs>
        <w:spacing w:line="240" w:lineRule="auto" w:before="58"/>
        <w:ind w:left="378" w:right="6679"/>
        <w:jc w:val="left"/>
      </w:pPr>
      <w:r>
        <w:rPr>
          <w:spacing w:val="-1"/>
        </w:rPr>
        <w:t>□适用</w:t>
        <w:tab/>
      </w:r>
      <w:r>
        <w:rPr/>
        <w:t>√不适用</w:t>
      </w:r>
    </w:p>
    <w:p>
      <w:pPr>
        <w:spacing w:line="240" w:lineRule="auto" w:before="1"/>
        <w:rPr>
          <w:rFonts w:ascii="宋体" w:hAnsi="宋体" w:cs="宋体" w:eastAsia="宋体" w:hint="default"/>
          <w:sz w:val="28"/>
          <w:szCs w:val="28"/>
        </w:rPr>
      </w:pPr>
    </w:p>
    <w:p>
      <w:pPr>
        <w:pStyle w:val="BodyText"/>
        <w:tabs>
          <w:tab w:pos="802" w:val="left" w:leader="none"/>
        </w:tabs>
        <w:spacing w:line="240" w:lineRule="auto"/>
        <w:ind w:left="378" w:right="0"/>
        <w:jc w:val="left"/>
      </w:pPr>
      <w:r>
        <w:rPr>
          <w:rFonts w:ascii="宋体" w:hAnsi="宋体" w:cs="宋体" w:eastAsia="宋体" w:hint="default"/>
        </w:rPr>
        <w:t>5</w:t>
        <w:tab/>
      </w:r>
      <w:r>
        <w:rPr/>
        <w:t>公司与实际控制人之间的产权及控制关系的方框图</w:t>
      </w:r>
    </w:p>
    <w:p>
      <w:pPr>
        <w:pStyle w:val="BodyText"/>
        <w:tabs>
          <w:tab w:pos="1337" w:val="left" w:leader="none"/>
        </w:tabs>
        <w:spacing w:line="240" w:lineRule="auto" w:before="58"/>
        <w:ind w:left="378" w:right="6679"/>
        <w:jc w:val="left"/>
      </w:pPr>
      <w:r>
        <w:rPr>
          <w:spacing w:val="-1"/>
        </w:rPr>
        <w:t>√适用</w:t>
        <w:tab/>
      </w:r>
      <w:r>
        <w:rPr/>
        <w:t>□不适用</w:t>
      </w:r>
    </w:p>
    <w:p>
      <w:pPr>
        <w:spacing w:line="240" w:lineRule="auto" w:before="10"/>
        <w:rPr>
          <w:rFonts w:ascii="宋体" w:hAnsi="宋体" w:cs="宋体" w:eastAsia="宋体" w:hint="default"/>
          <w:sz w:val="2"/>
          <w:szCs w:val="2"/>
        </w:rPr>
      </w:pPr>
    </w:p>
    <w:p>
      <w:pPr>
        <w:spacing w:line="3491" w:lineRule="exact"/>
        <w:ind w:left="1218"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4509084" cy="2217039"/>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42" cstate="print"/>
                    <a:stretch>
                      <a:fillRect/>
                    </a:stretch>
                  </pic:blipFill>
                  <pic:spPr>
                    <a:xfrm>
                      <a:off x="0" y="0"/>
                      <a:ext cx="4509084" cy="2217039"/>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7"/>
        <w:rPr>
          <w:rFonts w:ascii="宋体" w:hAnsi="宋体" w:cs="宋体" w:eastAsia="宋体" w:hint="default"/>
          <w:sz w:val="27"/>
          <w:szCs w:val="27"/>
        </w:rPr>
      </w:pPr>
    </w:p>
    <w:p>
      <w:pPr>
        <w:pStyle w:val="BodyText"/>
        <w:tabs>
          <w:tab w:pos="802" w:val="left" w:leader="none"/>
        </w:tabs>
        <w:spacing w:line="240" w:lineRule="auto"/>
        <w:ind w:left="378" w:right="0"/>
        <w:jc w:val="left"/>
      </w:pPr>
      <w:r>
        <w:rPr>
          <w:rFonts w:ascii="宋体" w:hAnsi="宋体" w:cs="宋体" w:eastAsia="宋体" w:hint="default"/>
          <w:b/>
          <w:bCs/>
          <w:w w:val="95"/>
        </w:rPr>
        <w:t>6</w:t>
        <w:tab/>
      </w:r>
      <w:r>
        <w:rPr/>
        <w:t>实际控制人通过信托或其他资产管理方式控制公司</w:t>
      </w:r>
    </w:p>
    <w:p>
      <w:pPr>
        <w:pStyle w:val="BodyText"/>
        <w:tabs>
          <w:tab w:pos="1337" w:val="left" w:leader="none"/>
        </w:tabs>
        <w:spacing w:line="240" w:lineRule="auto" w:before="58"/>
        <w:ind w:left="378" w:right="6679"/>
        <w:jc w:val="left"/>
      </w:pPr>
      <w:r>
        <w:rPr>
          <w:spacing w:val="-1"/>
        </w:rPr>
        <w:t>□适用</w:t>
        <w:tab/>
      </w:r>
      <w:r>
        <w:rPr/>
        <w:t>√不适用</w:t>
      </w:r>
    </w:p>
    <w:p>
      <w:pPr>
        <w:spacing w:line="240" w:lineRule="auto" w:before="1"/>
        <w:rPr>
          <w:rFonts w:ascii="宋体" w:hAnsi="宋体" w:cs="宋体" w:eastAsia="宋体" w:hint="default"/>
          <w:sz w:val="28"/>
          <w:szCs w:val="28"/>
        </w:rPr>
      </w:pPr>
    </w:p>
    <w:p>
      <w:pPr>
        <w:pStyle w:val="Heading2"/>
        <w:tabs>
          <w:tab w:pos="1217" w:val="left" w:leader="none"/>
        </w:tabs>
        <w:spacing w:line="240" w:lineRule="auto" w:before="0"/>
        <w:ind w:left="378"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控股股东及实际控制人其他情况介绍</w:t>
      </w:r>
      <w:r>
        <w:rPr>
          <w:b w:val="0"/>
          <w:bCs w:val="0"/>
        </w:rPr>
      </w:r>
    </w:p>
    <w:p>
      <w:pPr>
        <w:pStyle w:val="BodyText"/>
        <w:tabs>
          <w:tab w:pos="1337" w:val="left" w:leader="none"/>
        </w:tabs>
        <w:spacing w:line="240" w:lineRule="auto" w:before="58"/>
        <w:ind w:left="378" w:right="6679"/>
        <w:jc w:val="left"/>
      </w:pPr>
      <w:r>
        <w:rPr>
          <w:spacing w:val="-1"/>
        </w:rPr>
        <w:t>□适用</w:t>
        <w:tab/>
      </w:r>
      <w:r>
        <w:rPr/>
        <w:t>√不适用</w:t>
      </w:r>
    </w:p>
    <w:p>
      <w:pPr>
        <w:spacing w:line="240" w:lineRule="auto" w:before="1"/>
        <w:rPr>
          <w:rFonts w:ascii="宋体" w:hAnsi="宋体" w:cs="宋体" w:eastAsia="宋体" w:hint="default"/>
          <w:sz w:val="28"/>
          <w:szCs w:val="28"/>
        </w:rPr>
      </w:pPr>
    </w:p>
    <w:p>
      <w:pPr>
        <w:pStyle w:val="Heading2"/>
        <w:tabs>
          <w:tab w:pos="1217" w:val="left" w:leader="none"/>
        </w:tabs>
        <w:spacing w:line="240" w:lineRule="auto" w:before="0"/>
        <w:ind w:left="378" w:right="0"/>
        <w:jc w:val="left"/>
        <w:rPr>
          <w:b w:val="0"/>
          <w:bCs w:val="0"/>
        </w:rPr>
      </w:pPr>
      <w:r>
        <w:rPr/>
        <w:t>五、</w:t>
        <w:tab/>
        <w:t>其他持股在百分之十以上的法人股东</w:t>
      </w:r>
      <w:r>
        <w:rPr>
          <w:b w:val="0"/>
          <w:bCs w:val="0"/>
        </w:rPr>
      </w:r>
    </w:p>
    <w:p>
      <w:pPr>
        <w:pStyle w:val="BodyText"/>
        <w:spacing w:line="240" w:lineRule="auto" w:before="58"/>
        <w:ind w:left="378" w:right="6679"/>
        <w:jc w:val="left"/>
      </w:pPr>
      <w:r>
        <w:rPr/>
        <w:t>□适用</w:t>
      </w:r>
      <w:r>
        <w:rPr>
          <w:spacing w:val="-1"/>
        </w:rPr>
        <w:t> </w:t>
      </w:r>
      <w:r>
        <w:rPr/>
        <w:t>√不适用</w:t>
      </w:r>
    </w:p>
    <w:p>
      <w:pPr>
        <w:spacing w:after="0" w:line="240" w:lineRule="auto"/>
        <w:jc w:val="left"/>
        <w:sectPr>
          <w:pgSz w:w="11910" w:h="16840"/>
          <w:pgMar w:header="880" w:footer="1195" w:top="1120" w:bottom="1380" w:left="1420" w:right="900"/>
        </w:sectPr>
      </w:pPr>
    </w:p>
    <w:p>
      <w:pPr>
        <w:spacing w:line="240" w:lineRule="auto" w:before="8"/>
        <w:rPr>
          <w:rFonts w:ascii="宋体" w:hAnsi="宋体" w:cs="宋体" w:eastAsia="宋体" w:hint="default"/>
          <w:sz w:val="25"/>
          <w:szCs w:val="25"/>
        </w:rPr>
      </w:pPr>
    </w:p>
    <w:p>
      <w:pPr>
        <w:pStyle w:val="Heading2"/>
        <w:tabs>
          <w:tab w:pos="977" w:val="left" w:leader="none"/>
        </w:tabs>
        <w:spacing w:line="240" w:lineRule="auto"/>
        <w:ind w:left="138" w:right="0"/>
        <w:jc w:val="left"/>
        <w:rPr>
          <w:b w:val="0"/>
          <w:bCs w:val="0"/>
        </w:rPr>
      </w:pPr>
      <w:r>
        <w:rPr/>
        <w:t>六、</w:t>
        <w:tab/>
        <w:t>股份限制减持情况说明</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5"/>
          <w:szCs w:val="25"/>
        </w:rPr>
      </w:pPr>
    </w:p>
    <w:p>
      <w:pPr>
        <w:pStyle w:val="Heading1"/>
        <w:tabs>
          <w:tab w:pos="4199" w:val="left" w:leader="none"/>
        </w:tabs>
        <w:spacing w:line="240" w:lineRule="auto"/>
        <w:ind w:left="2939" w:right="0"/>
        <w:jc w:val="left"/>
        <w:rPr>
          <w:b w:val="0"/>
          <w:bCs w:val="0"/>
        </w:rPr>
      </w:pPr>
      <w:bookmarkStart w:name="_TOC_250005" w:id="7"/>
      <w:r>
        <w:rPr>
          <w:w w:val="95"/>
        </w:rPr>
        <w:t>第七节</w:t>
        <w:tab/>
      </w:r>
      <w:r>
        <w:rPr/>
        <w:t>优先股相关情况</w:t>
      </w:r>
      <w:bookmarkEnd w:id="7"/>
      <w:r>
        <w:rPr>
          <w:b w:val="0"/>
          <w:bCs w:val="0"/>
        </w:rPr>
      </w:r>
    </w:p>
    <w:p>
      <w:pPr>
        <w:pStyle w:val="BodyText"/>
        <w:spacing w:line="240" w:lineRule="auto" w:before="246"/>
        <w:ind w:right="0"/>
        <w:jc w:val="left"/>
      </w:pPr>
      <w:r>
        <w:rPr/>
        <w:t>□适用</w:t>
      </w:r>
      <w:r>
        <w:rPr>
          <w:spacing w:val="-1"/>
        </w:rPr>
        <w:t> </w:t>
      </w:r>
      <w:r>
        <w:rPr/>
        <w:t>√不适用</w:t>
      </w:r>
    </w:p>
    <w:p>
      <w:pPr>
        <w:spacing w:after="0" w:line="240" w:lineRule="auto"/>
        <w:jc w:val="left"/>
        <w:sectPr>
          <w:pgSz w:w="11910" w:h="16840"/>
          <w:pgMar w:header="880" w:footer="1195" w:top="1120" w:bottom="1380" w:left="1660" w:right="1160"/>
        </w:sectPr>
      </w:pPr>
    </w:p>
    <w:p>
      <w:pPr>
        <w:spacing w:before="17"/>
        <w:ind w:left="3" w:right="22"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pStyle w:val="Heading1"/>
        <w:tabs>
          <w:tab w:pos="1263" w:val="left" w:leader="none"/>
        </w:tabs>
        <w:spacing w:line="240" w:lineRule="auto" w:before="99"/>
        <w:ind w:left="3" w:right="0"/>
        <w:jc w:val="center"/>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11"/>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43"/>
          <w:footerReference w:type="default" r:id="rId44"/>
          <w:pgSz w:w="16840" w:h="11910" w:orient="landscape"/>
          <w:pgMar w:header="0" w:footer="0" w:top="800" w:bottom="280" w:left="1300" w:right="1220"/>
        </w:sectPr>
      </w:pPr>
    </w:p>
    <w:p>
      <w:pPr>
        <w:pStyle w:val="Heading2"/>
        <w:spacing w:line="240" w:lineRule="auto"/>
        <w:ind w:left="224" w:right="0"/>
        <w:jc w:val="left"/>
        <w:rPr>
          <w:b w:val="0"/>
          <w:bCs w:val="0"/>
        </w:rPr>
      </w:pPr>
      <w:r>
        <w:rPr/>
        <w:t>一、持股变动情况及报酬情况</w:t>
      </w:r>
      <w:r>
        <w:rPr>
          <w:b w:val="0"/>
          <w:bCs w:val="0"/>
        </w:rPr>
      </w:r>
    </w:p>
    <w:p>
      <w:pPr>
        <w:pStyle w:val="Heading2"/>
        <w:tabs>
          <w:tab w:pos="1064" w:val="left" w:leader="none"/>
        </w:tabs>
        <w:spacing w:line="240" w:lineRule="auto" w:before="55"/>
        <w:ind w:left="224"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w w:val="95"/>
        </w:rPr>
        <w:t>现任及报告期内离任董事、监事和高级管理人员持股变动及报酬情况</w:t>
      </w:r>
      <w:r>
        <w:rPr>
          <w:b w:val="0"/>
          <w:bCs w:val="0"/>
        </w:rPr>
      </w:r>
    </w:p>
    <w:p>
      <w:pPr>
        <w:pStyle w:val="BodyText"/>
        <w:spacing w:line="240" w:lineRule="auto" w:before="58"/>
        <w:ind w:left="224"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spacing w:before="0"/>
        <w:ind w:left="224"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6840" w:h="11910" w:orient="landscape"/>
          <w:pgMar w:top="1000" w:bottom="280" w:left="1300" w:right="1220"/>
          <w:cols w:num="2" w:equalWidth="0">
            <w:col w:w="8293" w:space="4741"/>
            <w:col w:w="1286"/>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84"/>
        <w:gridCol w:w="1555"/>
        <w:gridCol w:w="427"/>
        <w:gridCol w:w="425"/>
        <w:gridCol w:w="2089"/>
        <w:gridCol w:w="1976"/>
        <w:gridCol w:w="1277"/>
        <w:gridCol w:w="1417"/>
        <w:gridCol w:w="986"/>
        <w:gridCol w:w="874"/>
        <w:gridCol w:w="1236"/>
        <w:gridCol w:w="845"/>
      </w:tblGrid>
      <w:tr>
        <w:trPr>
          <w:trHeight w:val="1373"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73"/>
              <w:jc w:val="right"/>
              <w:rPr>
                <w:rFonts w:ascii="宋体" w:hAnsi="宋体" w:cs="宋体" w:eastAsia="宋体" w:hint="default"/>
                <w:sz w:val="21"/>
                <w:szCs w:val="21"/>
              </w:rPr>
            </w:pPr>
            <w:r>
              <w:rPr>
                <w:rFonts w:ascii="宋体" w:hAnsi="宋体" w:cs="宋体" w:eastAsia="宋体" w:hint="default"/>
                <w:sz w:val="21"/>
                <w:szCs w:val="21"/>
              </w:rPr>
              <w:t>姓名</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105" w:right="98"/>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103" w:right="98"/>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年初持股数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年末持股数</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2" w:right="168"/>
              <w:jc w:val="center"/>
              <w:rPr>
                <w:rFonts w:ascii="宋体" w:hAnsi="宋体" w:cs="宋体" w:eastAsia="宋体" w:hint="default"/>
                <w:sz w:val="21"/>
                <w:szCs w:val="21"/>
              </w:rPr>
            </w:pPr>
            <w:r>
              <w:rPr>
                <w:rFonts w:ascii="宋体" w:hAnsi="宋体" w:cs="宋体" w:eastAsia="宋体" w:hint="default"/>
                <w:sz w:val="21"/>
                <w:szCs w:val="21"/>
              </w:rPr>
              <w:t>年度内</w:t>
            </w:r>
            <w:r>
              <w:rPr>
                <w:rFonts w:ascii="宋体" w:hAnsi="宋体" w:cs="宋体" w:eastAsia="宋体" w:hint="default"/>
                <w:w w:val="100"/>
                <w:sz w:val="21"/>
                <w:szCs w:val="21"/>
              </w:rPr>
              <w:t> </w:t>
            </w:r>
            <w:r>
              <w:rPr>
                <w:rFonts w:ascii="宋体" w:hAnsi="宋体" w:cs="宋体" w:eastAsia="宋体" w:hint="default"/>
                <w:sz w:val="21"/>
                <w:szCs w:val="21"/>
              </w:rPr>
              <w:t>股份增</w:t>
            </w:r>
            <w:r>
              <w:rPr>
                <w:rFonts w:ascii="宋体" w:hAnsi="宋体" w:cs="宋体" w:eastAsia="宋体" w:hint="default"/>
                <w:w w:val="100"/>
                <w:sz w:val="21"/>
                <w:szCs w:val="21"/>
              </w:rPr>
              <w:t> </w:t>
            </w:r>
            <w:r>
              <w:rPr>
                <w:rFonts w:ascii="宋体" w:hAnsi="宋体" w:cs="宋体" w:eastAsia="宋体" w:hint="default"/>
                <w:sz w:val="21"/>
                <w:szCs w:val="21"/>
              </w:rPr>
              <w:t>减变动</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115" w:right="113"/>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1" w:right="0"/>
              <w:jc w:val="both"/>
              <w:rPr>
                <w:rFonts w:ascii="宋体" w:hAnsi="宋体" w:cs="宋体" w:eastAsia="宋体" w:hint="default"/>
                <w:sz w:val="21"/>
                <w:szCs w:val="21"/>
              </w:rPr>
            </w:pPr>
            <w:r>
              <w:rPr>
                <w:rFonts w:ascii="宋体" w:hAnsi="宋体" w:cs="宋体" w:eastAsia="宋体" w:hint="default"/>
                <w:sz w:val="21"/>
                <w:szCs w:val="21"/>
              </w:rPr>
              <w:t>报告期内</w:t>
            </w:r>
          </w:p>
          <w:p>
            <w:pPr>
              <w:pStyle w:val="TableParagraph"/>
              <w:spacing w:line="237" w:lineRule="auto" w:before="2"/>
              <w:ind w:left="191" w:right="190"/>
              <w:jc w:val="both"/>
              <w:rPr>
                <w:rFonts w:ascii="宋体" w:hAnsi="宋体" w:cs="宋体" w:eastAsia="宋体" w:hint="default"/>
                <w:sz w:val="21"/>
                <w:szCs w:val="21"/>
              </w:rPr>
            </w:pPr>
            <w:r>
              <w:rPr>
                <w:rFonts w:ascii="宋体" w:hAnsi="宋体" w:cs="宋体" w:eastAsia="宋体" w:hint="default"/>
                <w:sz w:val="21"/>
                <w:szCs w:val="21"/>
              </w:rPr>
              <w:t>从公司获</w:t>
            </w:r>
            <w:r>
              <w:rPr>
                <w:rFonts w:ascii="宋体" w:hAnsi="宋体" w:cs="宋体" w:eastAsia="宋体" w:hint="default"/>
                <w:w w:val="100"/>
                <w:sz w:val="21"/>
                <w:szCs w:val="21"/>
              </w:rPr>
              <w:t> </w:t>
            </w:r>
            <w:r>
              <w:rPr>
                <w:rFonts w:ascii="宋体" w:hAnsi="宋体" w:cs="宋体" w:eastAsia="宋体" w:hint="default"/>
                <w:sz w:val="21"/>
                <w:szCs w:val="21"/>
              </w:rPr>
              <w:t>得的税前</w:t>
            </w:r>
            <w:r>
              <w:rPr>
                <w:rFonts w:ascii="宋体" w:hAnsi="宋体" w:cs="宋体" w:eastAsia="宋体" w:hint="default"/>
                <w:spacing w:val="-3"/>
                <w:w w:val="100"/>
                <w:sz w:val="21"/>
                <w:szCs w:val="21"/>
              </w:rPr>
              <w:t> </w:t>
            </w:r>
            <w:r>
              <w:rPr>
                <w:rFonts w:ascii="宋体" w:hAnsi="宋体" w:cs="宋体" w:eastAsia="宋体" w:hint="default"/>
                <w:sz w:val="21"/>
                <w:szCs w:val="21"/>
              </w:rPr>
              <w:t>报酬总额</w:t>
            </w:r>
          </w:p>
          <w:p>
            <w:pPr>
              <w:pStyle w:val="TableParagraph"/>
              <w:spacing w:line="271" w:lineRule="exact"/>
              <w:ind w:left="191" w:right="0"/>
              <w:jc w:val="both"/>
              <w:rPr>
                <w:rFonts w:ascii="宋体" w:hAnsi="宋体" w:cs="宋体" w:eastAsia="宋体" w:hint="default"/>
                <w:sz w:val="21"/>
                <w:szCs w:val="21"/>
              </w:rPr>
            </w:pPr>
            <w:r>
              <w:rPr>
                <w:rFonts w:ascii="宋体" w:hAnsi="宋体" w:cs="宋体" w:eastAsia="宋体" w:hint="default"/>
                <w:sz w:val="21"/>
                <w:szCs w:val="21"/>
              </w:rPr>
              <w:t>（万元）</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公司关</w:t>
            </w:r>
            <w:r>
              <w:rPr>
                <w:rFonts w:ascii="宋体" w:hAnsi="宋体" w:cs="宋体" w:eastAsia="宋体" w:hint="default"/>
                <w:spacing w:val="-102"/>
                <w:sz w:val="21"/>
                <w:szCs w:val="21"/>
              </w:rPr>
              <w:t> </w:t>
            </w:r>
            <w:r>
              <w:rPr>
                <w:rFonts w:ascii="宋体" w:hAnsi="宋体" w:cs="宋体" w:eastAsia="宋体" w:hint="default"/>
                <w:sz w:val="21"/>
                <w:szCs w:val="21"/>
              </w:rPr>
              <w:t>联方获</w:t>
            </w:r>
            <w:r>
              <w:rPr>
                <w:rFonts w:ascii="宋体" w:hAnsi="宋体" w:cs="宋体" w:eastAsia="宋体" w:hint="default"/>
                <w:spacing w:val="-102"/>
                <w:sz w:val="21"/>
                <w:szCs w:val="21"/>
              </w:rPr>
              <w:t> </w:t>
            </w:r>
            <w:r>
              <w:rPr>
                <w:rFonts w:ascii="宋体" w:hAnsi="宋体" w:cs="宋体" w:eastAsia="宋体" w:hint="default"/>
                <w:sz w:val="21"/>
                <w:szCs w:val="21"/>
              </w:rPr>
              <w:t>取报酬</w:t>
            </w:r>
          </w:p>
        </w:tc>
      </w:tr>
      <w:tr>
        <w:trPr>
          <w:trHeight w:val="281"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15,648,000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15,648,000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叶正猛</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60</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59</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12,000,000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黄芳</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王晓梅</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金雪军</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60</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王泽霞</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徐永光</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67</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黄立程</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28</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汤云霞</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55</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522,500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522,500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潘孝娜</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副总裁兼财务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总监</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43</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4,320,000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4,320,000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副总裁兼董事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会秘书</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47</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2,880,000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2,880,000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3"/>
              <w:jc w:val="right"/>
              <w:rPr>
                <w:rFonts w:ascii="宋体" w:hAnsi="宋体" w:cs="宋体" w:eastAsia="宋体" w:hint="default"/>
                <w:sz w:val="21"/>
                <w:szCs w:val="21"/>
              </w:rPr>
            </w:pPr>
            <w:r>
              <w:rPr>
                <w:rFonts w:ascii="宋体" w:hAnsi="宋体" w:cs="宋体" w:eastAsia="宋体" w:hint="default"/>
                <w:sz w:val="21"/>
                <w:szCs w:val="21"/>
              </w:rPr>
              <w:t>合计</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w w:val="100"/>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6" w:right="0"/>
              <w:jc w:val="left"/>
              <w:rPr>
                <w:rFonts w:ascii="宋体" w:hAnsi="宋体" w:cs="宋体" w:eastAsia="宋体" w:hint="default"/>
                <w:sz w:val="21"/>
                <w:szCs w:val="21"/>
              </w:rPr>
            </w:pPr>
            <w:r>
              <w:rPr>
                <w:rFonts w:ascii="宋体"/>
                <w:w w:val="100"/>
                <w:sz w:val="21"/>
              </w:rPr>
              <w:t>/</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w w:val="100"/>
                <w:sz w:val="21"/>
              </w:rPr>
              <w:t>/</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35,920,500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35,920,500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448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before="63"/>
        <w:ind w:left="3" w:right="1" w:firstLine="0"/>
        <w:jc w:val="center"/>
        <w:rPr>
          <w:rFonts w:ascii="Calibri" w:hAnsi="Calibri" w:cs="Calibri" w:eastAsia="Calibri" w:hint="default"/>
          <w:sz w:val="18"/>
          <w:szCs w:val="18"/>
        </w:rPr>
      </w:pPr>
      <w:r>
        <w:rPr>
          <w:rFonts w:ascii="Calibri"/>
          <w:b/>
          <w:sz w:val="18"/>
        </w:rPr>
        <w:t>58 </w:t>
      </w:r>
      <w:r>
        <w:rPr>
          <w:rFonts w:ascii="Calibri"/>
          <w:sz w:val="18"/>
        </w:rPr>
        <w:t>/</w:t>
      </w:r>
      <w:r>
        <w:rPr>
          <w:rFonts w:ascii="Calibri"/>
          <w:spacing w:val="-4"/>
          <w:sz w:val="18"/>
        </w:rPr>
        <w:t> </w:t>
      </w:r>
      <w:r>
        <w:rPr>
          <w:rFonts w:ascii="Calibri"/>
          <w:b/>
          <w:sz w:val="18"/>
        </w:rPr>
        <w:t>221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000" w:bottom="280" w:left="1300" w:right="122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2"/>
          <w:szCs w:val="12"/>
        </w:rPr>
      </w:pPr>
    </w:p>
    <w:tbl>
      <w:tblPr>
        <w:tblW w:w="0" w:type="auto"/>
        <w:jc w:val="left"/>
        <w:tblInd w:w="105" w:type="dxa"/>
        <w:tblLayout w:type="fixed"/>
        <w:tblCellMar>
          <w:top w:w="0" w:type="dxa"/>
          <w:left w:w="0" w:type="dxa"/>
          <w:bottom w:w="0" w:type="dxa"/>
          <w:right w:w="0" w:type="dxa"/>
        </w:tblCellMar>
        <w:tblLook w:val="01E0"/>
      </w:tblPr>
      <w:tblGrid>
        <w:gridCol w:w="847"/>
        <w:gridCol w:w="8202"/>
      </w:tblGrid>
      <w:tr>
        <w:trPr>
          <w:trHeight w:val="284"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08"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82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828"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8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4"/>
                <w:sz w:val="21"/>
                <w:szCs w:val="21"/>
              </w:rPr>
              <w:t> </w:t>
            </w:r>
            <w:r>
              <w:rPr>
                <w:rFonts w:ascii="宋体" w:hAnsi="宋体" w:cs="宋体" w:eastAsia="宋体" w:hint="default"/>
                <w:spacing w:val="-3"/>
                <w:sz w:val="21"/>
                <w:szCs w:val="21"/>
              </w:rPr>
              <w:t>年起历任浙江新湖创业投资股份有限公司董事会秘书、杭州新湖美丽洲置业有限公</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pacing w:val="-2"/>
                <w:sz w:val="21"/>
                <w:szCs w:val="21"/>
              </w:rPr>
              <w:t>司总经理、新湖控股有限公司副总裁兼浙江新湖房地产集团有限公司董事长，本公司副</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董事长、总裁。现任本公司董事长。</w:t>
            </w:r>
          </w:p>
        </w:tc>
      </w:tr>
      <w:tr>
        <w:trPr>
          <w:trHeight w:val="1099"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Calibri" w:hAnsi="Calibri" w:cs="Calibri" w:eastAsia="Calibri" w:hint="default"/>
                <w:b/>
                <w:bCs/>
                <w:sz w:val="20"/>
                <w:szCs w:val="20"/>
              </w:rPr>
            </w:pPr>
          </w:p>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sz w:val="21"/>
                <w:szCs w:val="21"/>
              </w:rPr>
              <w:t>叶正猛</w:t>
            </w:r>
          </w:p>
        </w:tc>
        <w:tc>
          <w:tcPr>
            <w:tcW w:w="8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1980</w:t>
            </w:r>
            <w:r>
              <w:rPr>
                <w:rFonts w:ascii="宋体" w:hAnsi="宋体" w:cs="宋体" w:eastAsia="宋体" w:hint="default"/>
                <w:spacing w:val="14"/>
                <w:sz w:val="21"/>
                <w:szCs w:val="21"/>
              </w:rPr>
              <w:t> </w:t>
            </w:r>
            <w:r>
              <w:rPr>
                <w:rFonts w:ascii="宋体" w:hAnsi="宋体" w:cs="宋体" w:eastAsia="宋体" w:hint="default"/>
                <w:spacing w:val="-2"/>
                <w:sz w:val="21"/>
                <w:szCs w:val="21"/>
              </w:rPr>
              <w:t>年起历任永嘉县人民政府办公室秘书，共青团温州市委副书记、书记，洞头县委、</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pacing w:val="-2"/>
                <w:sz w:val="21"/>
                <w:szCs w:val="21"/>
              </w:rPr>
              <w:t>县政府历任副书记、县长、书记，温州市委副秘书长，温州市人民政府副秘书长、办公</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3"/>
                <w:sz w:val="21"/>
                <w:szCs w:val="21"/>
              </w:rPr>
              <w:t>室主任。</w:t>
            </w:r>
            <w:r>
              <w:rPr>
                <w:rFonts w:ascii="宋体" w:hAnsi="宋体" w:cs="宋体" w:eastAsia="宋体" w:hint="default"/>
                <w:spacing w:val="-3"/>
                <w:sz w:val="21"/>
                <w:szCs w:val="21"/>
              </w:rPr>
              <w:t>2000</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z w:val="21"/>
                <w:szCs w:val="21"/>
              </w:rPr>
              <w:t>-2017</w:t>
            </w:r>
            <w:r>
              <w:rPr>
                <w:rFonts w:ascii="宋体" w:hAnsi="宋体" w:cs="宋体" w:eastAsia="宋体" w:hint="default"/>
                <w:spacing w:val="-39"/>
                <w:sz w:val="21"/>
                <w:szCs w:val="21"/>
              </w:rPr>
              <w:t> </w:t>
            </w:r>
            <w:r>
              <w:rPr>
                <w:rFonts w:ascii="宋体" w:hAnsi="宋体" w:cs="宋体" w:eastAsia="宋体" w:hint="default"/>
                <w:spacing w:val="-3"/>
                <w:sz w:val="21"/>
                <w:szCs w:val="21"/>
              </w:rPr>
              <w:t>年任浙江新湖集团股份有限公司副董事长、总经理，</w:t>
            </w:r>
            <w:r>
              <w:rPr>
                <w:rFonts w:ascii="宋体" w:hAnsi="宋体" w:cs="宋体" w:eastAsia="宋体" w:hint="default"/>
                <w:spacing w:val="-3"/>
                <w:sz w:val="21"/>
                <w:szCs w:val="21"/>
              </w:rPr>
              <w:t>2017</w:t>
            </w:r>
            <w:r>
              <w:rPr>
                <w:rFonts w:ascii="宋体" w:hAnsi="宋体" w:cs="宋体" w:eastAsia="宋体" w:hint="default"/>
                <w:spacing w:val="-36"/>
                <w:sz w:val="21"/>
                <w:szCs w:val="21"/>
              </w:rPr>
              <w:t> </w:t>
            </w:r>
            <w:r>
              <w:rPr>
                <w:rFonts w:ascii="宋体" w:hAnsi="宋体" w:cs="宋体" w:eastAsia="宋体" w:hint="default"/>
                <w:sz w:val="21"/>
                <w:szCs w:val="21"/>
              </w:rPr>
              <w:t>年起任</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浙江新湖集团股份有限公司监事会主席，</w:t>
            </w:r>
            <w:r>
              <w:rPr>
                <w:rFonts w:ascii="宋体" w:hAnsi="宋体" w:cs="宋体" w:eastAsia="宋体" w:hint="default"/>
                <w:spacing w:val="-2"/>
                <w:sz w:val="21"/>
                <w:szCs w:val="21"/>
              </w:rPr>
              <w:t>2015</w:t>
            </w:r>
            <w:r>
              <w:rPr>
                <w:rFonts w:ascii="宋体" w:hAnsi="宋体" w:cs="宋体" w:eastAsia="宋体" w:hint="default"/>
                <w:spacing w:val="9"/>
                <w:sz w:val="21"/>
                <w:szCs w:val="21"/>
              </w:rPr>
              <w:t> </w:t>
            </w:r>
            <w:r>
              <w:rPr>
                <w:rFonts w:ascii="宋体" w:hAnsi="宋体" w:cs="宋体" w:eastAsia="宋体" w:hint="default"/>
                <w:spacing w:val="-2"/>
                <w:sz w:val="21"/>
                <w:szCs w:val="21"/>
              </w:rPr>
              <w:t>年起任本公司副董事长。</w:t>
            </w:r>
          </w:p>
        </w:tc>
      </w:tr>
      <w:tr>
        <w:trPr>
          <w:trHeight w:val="554"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8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3"/>
                <w:sz w:val="21"/>
                <w:szCs w:val="21"/>
              </w:rPr>
              <w:t> </w:t>
            </w:r>
            <w:r>
              <w:rPr>
                <w:rFonts w:ascii="宋体" w:hAnsi="宋体" w:cs="宋体" w:eastAsia="宋体" w:hint="default"/>
                <w:spacing w:val="-3"/>
                <w:sz w:val="21"/>
                <w:szCs w:val="21"/>
              </w:rPr>
              <w:t>年起历任浙江新湖房地产集团有限公司副总经理、常务副总经理、沈阳新湖房地产</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开发有限公司总经理，本公司副总裁，副董事长。现任本公司董事、总裁。</w:t>
            </w:r>
          </w:p>
        </w:tc>
      </w:tr>
      <w:tr>
        <w:trPr>
          <w:trHeight w:val="826"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Calibri" w:hAnsi="Calibri" w:cs="Calibri" w:eastAsia="Calibri" w:hint="default"/>
                <w:b/>
                <w:bCs/>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黄芳</w:t>
            </w:r>
          </w:p>
        </w:tc>
        <w:tc>
          <w:tcPr>
            <w:tcW w:w="8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1"/>
                <w:sz w:val="21"/>
                <w:szCs w:val="21"/>
              </w:rPr>
              <w:t> </w:t>
            </w:r>
            <w:r>
              <w:rPr>
                <w:rFonts w:ascii="宋体" w:hAnsi="宋体" w:cs="宋体" w:eastAsia="宋体" w:hint="default"/>
                <w:spacing w:val="-3"/>
                <w:sz w:val="21"/>
                <w:szCs w:val="21"/>
              </w:rPr>
              <w:t>年起历任农行杭州市保俶支行副行长（主持工作），省农行营业部公司业务部、营</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pacing w:val="-2"/>
                <w:sz w:val="21"/>
                <w:szCs w:val="21"/>
              </w:rPr>
              <w:t>业部个人金融部副总经理、总经理，新湖控股有限公司副总裁兼财务总监，现任浙江新</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湖集团股份有限公司董事、副总裁兼财务总监、本公司董事。</w:t>
            </w:r>
          </w:p>
        </w:tc>
      </w:tr>
      <w:tr>
        <w:trPr>
          <w:trHeight w:val="828"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Calibri" w:hAnsi="Calibri" w:cs="Calibri" w:eastAsia="Calibri" w:hint="default"/>
                <w:b/>
                <w:bCs/>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王晓梅</w:t>
            </w:r>
          </w:p>
        </w:tc>
        <w:tc>
          <w:tcPr>
            <w:tcW w:w="8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曾在</w:t>
            </w:r>
            <w:r>
              <w:rPr>
                <w:rFonts w:ascii="宋体" w:hAnsi="宋体" w:cs="宋体" w:eastAsia="宋体" w:hint="default"/>
                <w:spacing w:val="-41"/>
                <w:sz w:val="21"/>
                <w:szCs w:val="21"/>
              </w:rPr>
              <w:t> </w:t>
            </w:r>
            <w:r>
              <w:rPr>
                <w:rFonts w:ascii="宋体" w:hAnsi="宋体" w:cs="宋体" w:eastAsia="宋体" w:hint="default"/>
                <w:sz w:val="21"/>
                <w:szCs w:val="21"/>
              </w:rPr>
              <w:t>IBM</w:t>
            </w:r>
            <w:r>
              <w:rPr>
                <w:rFonts w:ascii="宋体" w:hAnsi="宋体" w:cs="宋体" w:eastAsia="宋体" w:hint="default"/>
                <w:spacing w:val="-43"/>
                <w:sz w:val="21"/>
                <w:szCs w:val="21"/>
              </w:rPr>
              <w:t> </w:t>
            </w:r>
            <w:r>
              <w:rPr>
                <w:rFonts w:ascii="宋体" w:hAnsi="宋体" w:cs="宋体" w:eastAsia="宋体" w:hint="default"/>
                <w:sz w:val="21"/>
                <w:szCs w:val="21"/>
              </w:rPr>
              <w:t>任职近二十年，担任包括</w:t>
            </w:r>
            <w:r>
              <w:rPr>
                <w:rFonts w:ascii="宋体" w:hAnsi="宋体" w:cs="宋体" w:eastAsia="宋体" w:hint="default"/>
                <w:spacing w:val="-40"/>
                <w:sz w:val="21"/>
                <w:szCs w:val="21"/>
              </w:rPr>
              <w:t> </w:t>
            </w:r>
            <w:r>
              <w:rPr>
                <w:rFonts w:ascii="宋体" w:hAnsi="宋体" w:cs="宋体" w:eastAsia="宋体" w:hint="default"/>
                <w:sz w:val="21"/>
                <w:szCs w:val="21"/>
              </w:rPr>
              <w:t>IBM</w:t>
            </w:r>
            <w:r>
              <w:rPr>
                <w:rFonts w:ascii="宋体" w:hAnsi="宋体" w:cs="宋体" w:eastAsia="宋体" w:hint="default"/>
                <w:spacing w:val="-43"/>
                <w:sz w:val="21"/>
                <w:szCs w:val="21"/>
              </w:rPr>
              <w:t> </w:t>
            </w:r>
            <w:r>
              <w:rPr>
                <w:rFonts w:ascii="宋体" w:hAnsi="宋体" w:cs="宋体" w:eastAsia="宋体" w:hint="default"/>
                <w:sz w:val="21"/>
                <w:szCs w:val="21"/>
              </w:rPr>
              <w:t>大数据与分析业务全球负责人、</w:t>
            </w:r>
            <w:r>
              <w:rPr>
                <w:rFonts w:ascii="宋体" w:hAnsi="宋体" w:cs="宋体" w:eastAsia="宋体" w:hint="default"/>
                <w:sz w:val="21"/>
                <w:szCs w:val="21"/>
              </w:rPr>
              <w:t>IBM</w:t>
            </w:r>
            <w:r>
              <w:rPr>
                <w:rFonts w:ascii="宋体" w:hAnsi="宋体" w:cs="宋体" w:eastAsia="宋体" w:hint="default"/>
                <w:spacing w:val="-43"/>
                <w:sz w:val="21"/>
                <w:szCs w:val="21"/>
              </w:rPr>
              <w:t> </w:t>
            </w:r>
            <w:r>
              <w:rPr>
                <w:rFonts w:ascii="宋体" w:hAnsi="宋体" w:cs="宋体" w:eastAsia="宋体" w:hint="default"/>
                <w:sz w:val="21"/>
                <w:szCs w:val="21"/>
              </w:rPr>
              <w:t>新兴市场大</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z w:val="21"/>
                <w:szCs w:val="21"/>
              </w:rPr>
              <w:t>数据中心总监、</w:t>
            </w:r>
            <w:r>
              <w:rPr>
                <w:rFonts w:ascii="宋体" w:hAnsi="宋体" w:cs="宋体" w:eastAsia="宋体" w:hint="default"/>
                <w:sz w:val="21"/>
                <w:szCs w:val="21"/>
              </w:rPr>
              <w:t>IBM</w:t>
            </w:r>
            <w:r>
              <w:rPr>
                <w:rFonts w:ascii="宋体" w:hAnsi="宋体" w:cs="宋体" w:eastAsia="宋体" w:hint="default"/>
                <w:spacing w:val="-3"/>
                <w:sz w:val="21"/>
                <w:szCs w:val="21"/>
              </w:rPr>
              <w:t> </w:t>
            </w:r>
            <w:r>
              <w:rPr>
                <w:rFonts w:ascii="宋体" w:hAnsi="宋体" w:cs="宋体" w:eastAsia="宋体" w:hint="default"/>
                <w:sz w:val="21"/>
                <w:szCs w:val="21"/>
              </w:rPr>
              <w:t>软件部大数据与分析全球总监等高层职务。现任知盛数据集团有限</w:t>
            </w:r>
            <w:r>
              <w:rPr>
                <w:rFonts w:ascii="宋体" w:hAnsi="宋体" w:cs="宋体" w:eastAsia="宋体" w:hint="default"/>
                <w:w w:val="100"/>
                <w:sz w:val="21"/>
                <w:szCs w:val="21"/>
              </w:rPr>
              <w:t> </w:t>
            </w:r>
            <w:r>
              <w:rPr>
                <w:rFonts w:ascii="宋体" w:hAnsi="宋体" w:cs="宋体" w:eastAsia="宋体" w:hint="default"/>
                <w:sz w:val="21"/>
                <w:szCs w:val="21"/>
              </w:rPr>
              <w:t>公司全球首席执行官、本公司独立董事。</w:t>
            </w:r>
          </w:p>
        </w:tc>
      </w:tr>
      <w:tr>
        <w:trPr>
          <w:trHeight w:val="828"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Calibri" w:hAnsi="Calibri" w:cs="Calibri" w:eastAsia="Calibri" w:hint="default"/>
                <w:b/>
                <w:bCs/>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金雪军</w:t>
            </w:r>
          </w:p>
        </w:tc>
        <w:tc>
          <w:tcPr>
            <w:tcW w:w="8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1991</w:t>
            </w:r>
            <w:r>
              <w:rPr>
                <w:rFonts w:ascii="宋体" w:hAnsi="宋体" w:cs="宋体" w:eastAsia="宋体" w:hint="default"/>
                <w:spacing w:val="14"/>
                <w:sz w:val="21"/>
                <w:szCs w:val="21"/>
              </w:rPr>
              <w:t> </w:t>
            </w:r>
            <w:r>
              <w:rPr>
                <w:rFonts w:ascii="宋体" w:hAnsi="宋体" w:cs="宋体" w:eastAsia="宋体" w:hint="default"/>
                <w:spacing w:val="-2"/>
                <w:sz w:val="21"/>
                <w:szCs w:val="21"/>
              </w:rPr>
              <w:t>年起历任浙江大学经济系副系主任、对外经贸学院副院长、经济与金融系系主任、</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pacing w:val="-2"/>
                <w:sz w:val="21"/>
                <w:szCs w:val="21"/>
              </w:rPr>
              <w:t>经济学院副院长。现任浙江大学应用经济研究中心主任、浙江省公共政策研究院执行院</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长、本公司独立董事。</w:t>
            </w:r>
          </w:p>
        </w:tc>
      </w:tr>
      <w:tr>
        <w:trPr>
          <w:trHeight w:val="554"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王泽霞</w:t>
            </w:r>
          </w:p>
        </w:tc>
        <w:tc>
          <w:tcPr>
            <w:tcW w:w="8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3"/>
                <w:sz w:val="21"/>
                <w:szCs w:val="21"/>
              </w:rPr>
              <w:t> </w:t>
            </w:r>
            <w:r>
              <w:rPr>
                <w:rFonts w:ascii="宋体" w:hAnsi="宋体" w:cs="宋体" w:eastAsia="宋体" w:hint="default"/>
                <w:spacing w:val="-3"/>
                <w:sz w:val="21"/>
                <w:szCs w:val="21"/>
              </w:rPr>
              <w:t>年起历任杭州电子科技大学财经学院副院长，财经学院院长、会计学院院长。现就</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职于杭州电子科技大学会计学院，并任本公司独立董事。</w:t>
            </w:r>
          </w:p>
        </w:tc>
      </w:tr>
      <w:tr>
        <w:trPr>
          <w:trHeight w:val="826"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Calibri" w:hAnsi="Calibri" w:cs="Calibri" w:eastAsia="Calibri" w:hint="default"/>
                <w:b/>
                <w:bCs/>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徐永光</w:t>
            </w:r>
          </w:p>
        </w:tc>
        <w:tc>
          <w:tcPr>
            <w:tcW w:w="8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1984 </w:t>
            </w:r>
            <w:r>
              <w:rPr>
                <w:rFonts w:ascii="宋体" w:hAnsi="宋体" w:cs="宋体" w:eastAsia="宋体" w:hint="default"/>
                <w:spacing w:val="-6"/>
                <w:sz w:val="21"/>
                <w:szCs w:val="21"/>
              </w:rPr>
              <w:t>年起历任共青团中央组织部副部长、部长，</w:t>
            </w:r>
            <w:r>
              <w:rPr>
                <w:rFonts w:ascii="宋体" w:hAnsi="宋体" w:cs="宋体" w:eastAsia="宋体" w:hint="default"/>
                <w:spacing w:val="-6"/>
                <w:sz w:val="21"/>
                <w:szCs w:val="21"/>
              </w:rPr>
              <w:t>1989</w:t>
            </w:r>
            <w:r>
              <w:rPr>
                <w:rFonts w:ascii="宋体" w:hAnsi="宋体" w:cs="宋体" w:eastAsia="宋体" w:hint="default"/>
                <w:spacing w:val="-75"/>
                <w:sz w:val="21"/>
                <w:szCs w:val="21"/>
              </w:rPr>
              <w:t> </w:t>
            </w:r>
            <w:r>
              <w:rPr>
                <w:rFonts w:ascii="宋体" w:hAnsi="宋体" w:cs="宋体" w:eastAsia="宋体" w:hint="default"/>
                <w:sz w:val="21"/>
                <w:szCs w:val="21"/>
              </w:rPr>
              <w:t>年起任中国青少年发展基金会秘书</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pacing w:val="-2"/>
                <w:sz w:val="21"/>
                <w:szCs w:val="21"/>
              </w:rPr>
              <w:t>长。曾任第十届、第十一届全国政协委员。现任南都公益基金会理事长、中国慈善联合</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会副会长、国务院参事室特约研究员、本公司监事会主席。</w:t>
            </w:r>
          </w:p>
        </w:tc>
      </w:tr>
      <w:tr>
        <w:trPr>
          <w:trHeight w:val="554"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黄立程</w:t>
            </w:r>
          </w:p>
        </w:tc>
        <w:tc>
          <w:tcPr>
            <w:tcW w:w="8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曾任职于新湖控股有限公司投资部，现任上海新湖房地产开发有限公司董事长、上海玛</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宝房地产开发有限公司董事兼总经理。</w:t>
            </w:r>
          </w:p>
        </w:tc>
      </w:tr>
      <w:tr>
        <w:trPr>
          <w:trHeight w:val="557"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汤云霞</w:t>
            </w:r>
          </w:p>
        </w:tc>
        <w:tc>
          <w:tcPr>
            <w:tcW w:w="8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1994 </w:t>
            </w:r>
            <w:r>
              <w:rPr>
                <w:rFonts w:ascii="宋体" w:hAnsi="宋体" w:cs="宋体" w:eastAsia="宋体" w:hint="default"/>
                <w:spacing w:val="-3"/>
                <w:sz w:val="21"/>
                <w:szCs w:val="21"/>
              </w:rPr>
              <w:t>年起历任浙江兴财房地产公司总裁助理、上海中瀚置业有限公司总经理，现任衢州</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新湖房地产开发有限公司董事长、本公司监事。</w:t>
            </w:r>
          </w:p>
        </w:tc>
      </w:tr>
      <w:tr>
        <w:trPr>
          <w:trHeight w:val="826"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Calibri" w:hAnsi="Calibri" w:cs="Calibri" w:eastAsia="Calibri" w:hint="default"/>
                <w:b/>
                <w:bCs/>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潘孝娜</w:t>
            </w:r>
          </w:p>
        </w:tc>
        <w:tc>
          <w:tcPr>
            <w:tcW w:w="8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3"/>
                <w:sz w:val="21"/>
                <w:szCs w:val="21"/>
              </w:rPr>
              <w:t> </w:t>
            </w:r>
            <w:r>
              <w:rPr>
                <w:rFonts w:ascii="宋体" w:hAnsi="宋体" w:cs="宋体" w:eastAsia="宋体" w:hint="default"/>
                <w:spacing w:val="-3"/>
                <w:sz w:val="21"/>
                <w:szCs w:val="21"/>
              </w:rPr>
              <w:t>年起历任浙江新湖集团股份有限公司财务部经理助理、财务部副经理，宁波嘉源实</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pacing w:val="-2"/>
                <w:sz w:val="21"/>
                <w:szCs w:val="21"/>
              </w:rPr>
              <w:t>业有限公司总经理，浙江新湖集团股份有限公司财务总监兼财务部经理，本公司董事、</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副总裁兼财务总监。现任本公司副总裁兼财务总监。</w:t>
            </w:r>
          </w:p>
        </w:tc>
      </w:tr>
      <w:tr>
        <w:trPr>
          <w:trHeight w:val="554"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8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
                <w:sz w:val="21"/>
                <w:szCs w:val="21"/>
              </w:rPr>
              <w:t> </w:t>
            </w:r>
            <w:r>
              <w:rPr>
                <w:rFonts w:ascii="宋体" w:hAnsi="宋体" w:cs="宋体" w:eastAsia="宋体" w:hint="default"/>
                <w:spacing w:val="-3"/>
                <w:sz w:val="21"/>
                <w:szCs w:val="21"/>
              </w:rPr>
              <w:t>年起历任中国农业银行浙江省分行营业部办公室副主任、中国农业银行杭州解放路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支行副行长，本公司董事、副总裁兼董事会秘书。现任本公司副总裁兼董事会秘书。</w:t>
            </w:r>
          </w:p>
        </w:tc>
      </w:tr>
    </w:tbl>
    <w:p>
      <w:pPr>
        <w:spacing w:line="240" w:lineRule="auto" w:before="2"/>
        <w:rPr>
          <w:rFonts w:ascii="Calibri" w:hAnsi="Calibri" w:cs="Calibri" w:eastAsia="Calibri" w:hint="default"/>
          <w:b/>
          <w:bCs/>
          <w:sz w:val="20"/>
          <w:szCs w:val="20"/>
        </w:rPr>
      </w:pPr>
    </w:p>
    <w:p>
      <w:pPr>
        <w:pStyle w:val="BodyText"/>
        <w:spacing w:line="313" w:lineRule="exact" w:before="26"/>
        <w:ind w:left="218" w:right="233"/>
        <w:jc w:val="left"/>
      </w:pPr>
      <w:r>
        <w:rPr/>
        <w:t>其它情况说明</w:t>
      </w:r>
    </w:p>
    <w:p>
      <w:pPr>
        <w:pStyle w:val="BodyText"/>
        <w:spacing w:line="313" w:lineRule="exact"/>
        <w:ind w:left="218" w:right="233"/>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45"/>
          <w:pgSz w:w="11910" w:h="16840"/>
          <w:pgMar w:footer="1195" w:header="0" w:top="1120" w:bottom="1380" w:left="1580" w:right="1040"/>
          <w:pgNumType w:start="5"/>
        </w:sectPr>
      </w:pPr>
    </w:p>
    <w:p>
      <w:pPr>
        <w:pStyle w:val="Heading2"/>
        <w:tabs>
          <w:tab w:pos="1057" w:val="left" w:leader="none"/>
        </w:tabs>
        <w:spacing w:line="240" w:lineRule="auto"/>
        <w:ind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w w:val="95"/>
        </w:rPr>
        <w:t>董事、高级管理人员报告期内被授予的股权激励情况</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股</w:t>
      </w:r>
    </w:p>
    <w:p>
      <w:pPr>
        <w:spacing w:after="0"/>
        <w:jc w:val="left"/>
        <w:rPr>
          <w:rFonts w:ascii="宋体" w:hAnsi="宋体" w:cs="宋体" w:eastAsia="宋体" w:hint="default"/>
          <w:sz w:val="21"/>
          <w:szCs w:val="21"/>
        </w:rPr>
        <w:sectPr>
          <w:type w:val="continuous"/>
          <w:pgSz w:w="11910" w:h="16840"/>
          <w:pgMar w:top="1000" w:bottom="280" w:left="1580" w:right="1040"/>
          <w:cols w:num="2" w:equalWidth="0">
            <w:col w:w="6598" w:space="1501"/>
            <w:col w:w="119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82"/>
        <w:gridCol w:w="797"/>
        <w:gridCol w:w="1292"/>
        <w:gridCol w:w="979"/>
        <w:gridCol w:w="1292"/>
        <w:gridCol w:w="977"/>
        <w:gridCol w:w="888"/>
        <w:gridCol w:w="1292"/>
        <w:gridCol w:w="852"/>
      </w:tblGrid>
      <w:tr>
        <w:trPr>
          <w:trHeight w:val="1099"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22"/>
              <w:jc w:val="right"/>
              <w:rPr>
                <w:rFonts w:ascii="宋体" w:hAnsi="宋体" w:cs="宋体" w:eastAsia="宋体" w:hint="default"/>
                <w:sz w:val="21"/>
                <w:szCs w:val="21"/>
              </w:rPr>
            </w:pPr>
            <w:r>
              <w:rPr>
                <w:rFonts w:ascii="宋体" w:hAnsi="宋体" w:cs="宋体" w:eastAsia="宋体" w:hint="default"/>
                <w:sz w:val="21"/>
                <w:szCs w:val="21"/>
              </w:rPr>
              <w:t>姓名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15" w:right="111"/>
              <w:jc w:val="left"/>
              <w:rPr>
                <w:rFonts w:ascii="宋体" w:hAnsi="宋体" w:cs="宋体" w:eastAsia="宋体" w:hint="default"/>
                <w:sz w:val="21"/>
                <w:szCs w:val="21"/>
              </w:rPr>
            </w:pPr>
            <w:r>
              <w:rPr>
                <w:rFonts w:ascii="宋体" w:hAnsi="宋体" w:cs="宋体" w:eastAsia="宋体" w:hint="default"/>
                <w:sz w:val="21"/>
                <w:szCs w:val="21"/>
              </w:rPr>
              <w:t>年初持有股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票期权数量</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8" w:right="0"/>
              <w:jc w:val="both"/>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37" w:lineRule="auto" w:before="2"/>
              <w:ind w:left="168" w:right="167"/>
              <w:jc w:val="both"/>
              <w:rPr>
                <w:rFonts w:ascii="宋体" w:hAnsi="宋体" w:cs="宋体" w:eastAsia="宋体" w:hint="default"/>
                <w:sz w:val="21"/>
                <w:szCs w:val="21"/>
              </w:rPr>
            </w:pPr>
            <w:r>
              <w:rPr>
                <w:rFonts w:ascii="宋体" w:hAnsi="宋体" w:cs="宋体" w:eastAsia="宋体" w:hint="default"/>
                <w:sz w:val="21"/>
                <w:szCs w:val="21"/>
              </w:rPr>
              <w:t>新授予</w:t>
            </w:r>
            <w:r>
              <w:rPr>
                <w:rFonts w:ascii="宋体" w:hAnsi="宋体" w:cs="宋体" w:eastAsia="宋体" w:hint="default"/>
                <w:spacing w:val="-102"/>
                <w:sz w:val="21"/>
                <w:szCs w:val="21"/>
              </w:rPr>
              <w:t> </w:t>
            </w:r>
            <w:r>
              <w:rPr>
                <w:rFonts w:ascii="宋体" w:hAnsi="宋体" w:cs="宋体" w:eastAsia="宋体" w:hint="default"/>
                <w:sz w:val="21"/>
                <w:szCs w:val="21"/>
              </w:rPr>
              <w:t>股票期</w:t>
            </w:r>
            <w:r>
              <w:rPr>
                <w:rFonts w:ascii="宋体" w:hAnsi="宋体" w:cs="宋体" w:eastAsia="宋体" w:hint="default"/>
                <w:spacing w:val="-102"/>
                <w:sz w:val="21"/>
                <w:szCs w:val="21"/>
              </w:rPr>
              <w:t> </w:t>
            </w:r>
            <w:r>
              <w:rPr>
                <w:rFonts w:ascii="宋体" w:hAnsi="宋体" w:cs="宋体" w:eastAsia="宋体" w:hint="default"/>
                <w:sz w:val="21"/>
                <w:szCs w:val="21"/>
              </w:rPr>
              <w:t>权数量</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18" w:right="113" w:hanging="106"/>
              <w:jc w:val="left"/>
              <w:rPr>
                <w:rFonts w:ascii="宋体" w:hAnsi="宋体" w:cs="宋体" w:eastAsia="宋体" w:hint="default"/>
                <w:sz w:val="21"/>
                <w:szCs w:val="21"/>
              </w:rPr>
            </w:pPr>
            <w:r>
              <w:rPr>
                <w:rFonts w:ascii="宋体" w:hAnsi="宋体" w:cs="宋体" w:eastAsia="宋体" w:hint="default"/>
                <w:sz w:val="21"/>
                <w:szCs w:val="21"/>
              </w:rPr>
              <w:t>报告期内可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行权股份</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8" w:right="0"/>
              <w:jc w:val="both"/>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37" w:lineRule="auto" w:before="2"/>
              <w:ind w:left="168" w:right="163"/>
              <w:jc w:val="both"/>
              <w:rPr>
                <w:rFonts w:ascii="宋体" w:hAnsi="宋体" w:cs="宋体" w:eastAsia="宋体" w:hint="default"/>
                <w:sz w:val="21"/>
                <w:szCs w:val="21"/>
              </w:rPr>
            </w:pPr>
            <w:r>
              <w:rPr>
                <w:rFonts w:ascii="宋体" w:hAnsi="宋体" w:cs="宋体" w:eastAsia="宋体" w:hint="default"/>
                <w:sz w:val="21"/>
                <w:szCs w:val="21"/>
              </w:rPr>
              <w:t>股票期</w:t>
            </w:r>
            <w:r>
              <w:rPr>
                <w:rFonts w:ascii="宋体" w:hAnsi="宋体" w:cs="宋体" w:eastAsia="宋体" w:hint="default"/>
                <w:spacing w:val="-102"/>
                <w:sz w:val="21"/>
                <w:szCs w:val="21"/>
              </w:rPr>
              <w:t> </w:t>
            </w:r>
            <w:r>
              <w:rPr>
                <w:rFonts w:ascii="宋体" w:hAnsi="宋体" w:cs="宋体" w:eastAsia="宋体" w:hint="default"/>
                <w:sz w:val="21"/>
                <w:szCs w:val="21"/>
              </w:rPr>
              <w:t>权行权</w:t>
            </w:r>
            <w:r>
              <w:rPr>
                <w:rFonts w:ascii="宋体" w:hAnsi="宋体" w:cs="宋体" w:eastAsia="宋体" w:hint="default"/>
                <w:spacing w:val="-102"/>
                <w:sz w:val="21"/>
                <w:szCs w:val="21"/>
              </w:rPr>
              <w:t> </w:t>
            </w:r>
            <w:r>
              <w:rPr>
                <w:rFonts w:ascii="宋体" w:hAnsi="宋体" w:cs="宋体" w:eastAsia="宋体" w:hint="default"/>
                <w:sz w:val="21"/>
                <w:szCs w:val="21"/>
              </w:rPr>
              <w:t>股份</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股票期</w:t>
            </w:r>
          </w:p>
          <w:p>
            <w:pPr>
              <w:pStyle w:val="TableParagraph"/>
              <w:spacing w:line="272" w:lineRule="exact" w:before="27"/>
              <w:ind w:left="120" w:right="122"/>
              <w:jc w:val="center"/>
              <w:rPr>
                <w:rFonts w:ascii="宋体" w:hAnsi="宋体" w:cs="宋体" w:eastAsia="宋体" w:hint="default"/>
                <w:sz w:val="21"/>
                <w:szCs w:val="21"/>
              </w:rPr>
            </w:pPr>
            <w:r>
              <w:rPr>
                <w:rFonts w:ascii="宋体" w:hAnsi="宋体" w:cs="宋体" w:eastAsia="宋体" w:hint="default"/>
                <w:sz w:val="21"/>
                <w:szCs w:val="21"/>
              </w:rPr>
              <w:t>权行权</w:t>
            </w:r>
            <w:r>
              <w:rPr>
                <w:rFonts w:ascii="宋体" w:hAnsi="宋体" w:cs="宋体" w:eastAsia="宋体" w:hint="default"/>
                <w:w w:val="100"/>
                <w:sz w:val="21"/>
                <w:szCs w:val="21"/>
              </w:rPr>
              <w:t> </w:t>
            </w:r>
            <w:r>
              <w:rPr>
                <w:rFonts w:ascii="宋体" w:hAnsi="宋体" w:cs="宋体" w:eastAsia="宋体" w:hint="default"/>
                <w:sz w:val="21"/>
                <w:szCs w:val="21"/>
              </w:rPr>
              <w:t>价格</w:t>
            </w:r>
            <w:r>
              <w:rPr>
                <w:rFonts w:ascii="宋体" w:hAnsi="宋体" w:cs="宋体" w:eastAsia="宋体" w:hint="default"/>
                <w:sz w:val="21"/>
                <w:szCs w:val="21"/>
              </w:rPr>
              <w:t>(</w:t>
            </w:r>
          </w:p>
          <w:p>
            <w:pPr>
              <w:pStyle w:val="TableParagraph"/>
              <w:spacing w:line="249" w:lineRule="exact"/>
              <w:ind w:right="2"/>
              <w:jc w:val="center"/>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12" w:right="113"/>
              <w:jc w:val="left"/>
              <w:rPr>
                <w:rFonts w:ascii="宋体" w:hAnsi="宋体" w:cs="宋体" w:eastAsia="宋体" w:hint="default"/>
                <w:sz w:val="21"/>
                <w:szCs w:val="21"/>
              </w:rPr>
            </w:pPr>
            <w:r>
              <w:rPr>
                <w:rFonts w:ascii="宋体" w:hAnsi="宋体" w:cs="宋体" w:eastAsia="宋体" w:hint="default"/>
                <w:sz w:val="21"/>
                <w:szCs w:val="21"/>
              </w:rPr>
              <w:t>期末持有股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票期权数量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末市价</w:t>
            </w:r>
          </w:p>
          <w:p>
            <w:pPr>
              <w:pStyle w:val="TableParagraph"/>
              <w:spacing w:line="249" w:lineRule="exact"/>
              <w:ind w:left="105"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283"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53"/>
              <w:jc w:val="right"/>
              <w:rPr>
                <w:rFonts w:ascii="宋体" w:hAnsi="宋体" w:cs="宋体" w:eastAsia="宋体" w:hint="default"/>
                <w:sz w:val="21"/>
                <w:szCs w:val="21"/>
              </w:rPr>
            </w:pPr>
            <w:r>
              <w:rPr>
                <w:rFonts w:ascii="宋体" w:hAnsi="宋体" w:cs="宋体" w:eastAsia="宋体" w:hint="default"/>
                <w:sz w:val="21"/>
                <w:szCs w:val="21"/>
              </w:rPr>
              <w:t>林俊波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10,000,000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4,000,000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w w:val="100"/>
                <w:sz w:val="21"/>
              </w:rPr>
              <w:t>/</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5.22</w:t>
            </w:r>
          </w:p>
        </w:tc>
      </w:tr>
      <w:tr>
        <w:trPr>
          <w:trHeight w:val="555"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53"/>
              <w:jc w:val="right"/>
              <w:rPr>
                <w:rFonts w:ascii="宋体" w:hAnsi="宋体" w:cs="宋体" w:eastAsia="宋体" w:hint="default"/>
                <w:sz w:val="21"/>
                <w:szCs w:val="21"/>
              </w:rPr>
            </w:pPr>
            <w:r>
              <w:rPr>
                <w:rFonts w:ascii="宋体" w:hAnsi="宋体" w:cs="宋体" w:eastAsia="宋体" w:hint="default"/>
                <w:sz w:val="21"/>
                <w:szCs w:val="21"/>
              </w:rPr>
              <w:t>叶正猛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 w:right="0"/>
              <w:jc w:val="left"/>
              <w:rPr>
                <w:rFonts w:ascii="宋体" w:hAnsi="宋体" w:cs="宋体" w:eastAsia="宋体" w:hint="default"/>
                <w:sz w:val="21"/>
                <w:szCs w:val="21"/>
              </w:rPr>
            </w:pPr>
            <w:r>
              <w:rPr>
                <w:rFonts w:ascii="宋体" w:hAnsi="宋体" w:cs="宋体" w:eastAsia="宋体" w:hint="default"/>
                <w:sz w:val="21"/>
                <w:szCs w:val="21"/>
              </w:rPr>
              <w:t>副董事</w:t>
            </w:r>
          </w:p>
          <w:p>
            <w:pPr>
              <w:pStyle w:val="TableParagraph"/>
              <w:spacing w:line="273" w:lineRule="exact"/>
              <w:ind w:left="-17" w:right="0"/>
              <w:jc w:val="left"/>
              <w:rPr>
                <w:rFonts w:ascii="宋体" w:hAnsi="宋体" w:cs="宋体" w:eastAsia="宋体" w:hint="default"/>
                <w:sz w:val="21"/>
                <w:szCs w:val="21"/>
              </w:rPr>
            </w:pPr>
            <w:r>
              <w:rPr>
                <w:rFonts w:ascii="宋体" w:hAnsi="宋体" w:cs="宋体" w:eastAsia="宋体" w:hint="default"/>
                <w:w w:val="100"/>
                <w:sz w:val="21"/>
                <w:szCs w:val="21"/>
              </w:rPr>
              <w:t>长</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10,000,000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4,000,000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w w:val="100"/>
                <w:sz w:val="21"/>
              </w:rPr>
              <w:t>/</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5.22</w:t>
            </w:r>
          </w:p>
        </w:tc>
      </w:tr>
      <w:tr>
        <w:trPr>
          <w:trHeight w:val="283"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53"/>
              <w:jc w:val="right"/>
              <w:rPr>
                <w:rFonts w:ascii="宋体" w:hAnsi="宋体" w:cs="宋体" w:eastAsia="宋体" w:hint="default"/>
                <w:sz w:val="21"/>
                <w:szCs w:val="21"/>
              </w:rPr>
            </w:pPr>
            <w:r>
              <w:rPr>
                <w:rFonts w:ascii="宋体" w:hAnsi="宋体" w:cs="宋体" w:eastAsia="宋体" w:hint="default"/>
                <w:sz w:val="21"/>
                <w:szCs w:val="21"/>
              </w:rPr>
              <w:t>赵伟卿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20"/>
              <w:jc w:val="left"/>
              <w:rPr>
                <w:rFonts w:ascii="宋体" w:hAnsi="宋体" w:cs="宋体" w:eastAsia="宋体" w:hint="default"/>
                <w:sz w:val="21"/>
                <w:szCs w:val="21"/>
              </w:rPr>
            </w:pPr>
            <w:r>
              <w:rPr>
                <w:rFonts w:ascii="宋体" w:hAnsi="宋体" w:cs="宋体" w:eastAsia="宋体" w:hint="default"/>
                <w:spacing w:val="-6"/>
                <w:sz w:val="21"/>
                <w:szCs w:val="21"/>
              </w:rPr>
              <w:t>董事、总</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8,000,000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3,200,000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w w:val="100"/>
                <w:sz w:val="21"/>
              </w:rPr>
              <w:t>/</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8,000,000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5.22</w:t>
            </w:r>
          </w:p>
        </w:tc>
      </w:tr>
    </w:tbl>
    <w:p>
      <w:pPr>
        <w:spacing w:after="0" w:line="241" w:lineRule="exact"/>
        <w:jc w:val="right"/>
        <w:rPr>
          <w:rFonts w:ascii="宋体" w:hAnsi="宋体" w:cs="宋体" w:eastAsia="宋体" w:hint="default"/>
          <w:sz w:val="21"/>
          <w:szCs w:val="21"/>
        </w:rPr>
        <w:sectPr>
          <w:type w:val="continuous"/>
          <w:pgSz w:w="11910" w:h="16840"/>
          <w:pgMar w:top="1000" w:bottom="2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82"/>
        <w:gridCol w:w="797"/>
        <w:gridCol w:w="1292"/>
        <w:gridCol w:w="979"/>
        <w:gridCol w:w="1292"/>
        <w:gridCol w:w="977"/>
        <w:gridCol w:w="888"/>
        <w:gridCol w:w="1292"/>
        <w:gridCol w:w="852"/>
      </w:tblGrid>
      <w:tr>
        <w:trPr>
          <w:trHeight w:val="284" w:hRule="exact"/>
        </w:trPr>
        <w:tc>
          <w:tcPr>
            <w:tcW w:w="68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 w:right="0"/>
              <w:jc w:val="left"/>
              <w:rPr>
                <w:rFonts w:ascii="宋体" w:hAnsi="宋体" w:cs="宋体" w:eastAsia="宋体" w:hint="default"/>
                <w:sz w:val="21"/>
                <w:szCs w:val="21"/>
              </w:rPr>
            </w:pPr>
            <w:r>
              <w:rPr>
                <w:rFonts w:ascii="宋体" w:hAnsi="宋体" w:cs="宋体" w:eastAsia="宋体" w:hint="default"/>
                <w:w w:val="100"/>
                <w:sz w:val="21"/>
                <w:szCs w:val="21"/>
              </w:rPr>
              <w:t>裁</w:t>
            </w:r>
          </w:p>
        </w:tc>
        <w:tc>
          <w:tcPr>
            <w:tcW w:w="129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left"/>
              <w:rPr>
                <w:rFonts w:ascii="宋体" w:hAnsi="宋体" w:cs="宋体" w:eastAsia="宋体" w:hint="default"/>
                <w:sz w:val="21"/>
                <w:szCs w:val="21"/>
              </w:rPr>
            </w:pPr>
            <w:r>
              <w:rPr>
                <w:rFonts w:ascii="宋体" w:hAnsi="宋体" w:cs="宋体" w:eastAsia="宋体" w:hint="default"/>
                <w:sz w:val="21"/>
                <w:szCs w:val="21"/>
              </w:rPr>
              <w:t>黄芳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8,000,000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3,200,000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w w:val="100"/>
                <w:sz w:val="21"/>
              </w:rPr>
              <w:t>/</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8,000,000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5.22</w:t>
            </w:r>
          </w:p>
        </w:tc>
      </w:tr>
      <w:tr>
        <w:trPr>
          <w:trHeight w:val="826"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 w:right="0"/>
              <w:jc w:val="left"/>
              <w:rPr>
                <w:rFonts w:ascii="宋体" w:hAnsi="宋体" w:cs="宋体" w:eastAsia="宋体" w:hint="default"/>
                <w:sz w:val="21"/>
                <w:szCs w:val="21"/>
              </w:rPr>
            </w:pPr>
            <w:r>
              <w:rPr>
                <w:rFonts w:ascii="宋体" w:hAnsi="宋体" w:cs="宋体" w:eastAsia="宋体" w:hint="default"/>
                <w:sz w:val="21"/>
                <w:szCs w:val="21"/>
              </w:rPr>
              <w:t>潘孝娜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 w:right="-39"/>
              <w:jc w:val="left"/>
              <w:rPr>
                <w:rFonts w:ascii="宋体" w:hAnsi="宋体" w:cs="宋体" w:eastAsia="宋体" w:hint="default"/>
                <w:sz w:val="21"/>
                <w:szCs w:val="21"/>
              </w:rPr>
            </w:pPr>
            <w:r>
              <w:rPr>
                <w:rFonts w:ascii="宋体" w:hAnsi="宋体" w:cs="宋体" w:eastAsia="宋体" w:hint="default"/>
                <w:sz w:val="21"/>
                <w:szCs w:val="21"/>
              </w:rPr>
              <w:t>副总裁、</w:t>
            </w:r>
          </w:p>
          <w:p>
            <w:pPr>
              <w:pStyle w:val="TableParagraph"/>
              <w:spacing w:line="240" w:lineRule="auto"/>
              <w:ind w:left="-17" w:right="168"/>
              <w:jc w:val="left"/>
              <w:rPr>
                <w:rFonts w:ascii="宋体" w:hAnsi="宋体" w:cs="宋体" w:eastAsia="宋体" w:hint="default"/>
                <w:sz w:val="21"/>
                <w:szCs w:val="21"/>
              </w:rPr>
            </w:pPr>
            <w:r>
              <w:rPr>
                <w:rFonts w:ascii="宋体" w:hAnsi="宋体" w:cs="宋体" w:eastAsia="宋体" w:hint="default"/>
                <w:sz w:val="21"/>
                <w:szCs w:val="21"/>
              </w:rPr>
              <w:t>财务总</w:t>
            </w:r>
            <w:r>
              <w:rPr>
                <w:rFonts w:ascii="宋体" w:hAnsi="宋体" w:cs="宋体" w:eastAsia="宋体" w:hint="default"/>
                <w:spacing w:val="-102"/>
                <w:sz w:val="21"/>
                <w:szCs w:val="21"/>
              </w:rPr>
              <w:t> </w:t>
            </w:r>
            <w:r>
              <w:rPr>
                <w:rFonts w:ascii="宋体" w:hAnsi="宋体" w:cs="宋体" w:eastAsia="宋体" w:hint="default"/>
                <w:sz w:val="21"/>
                <w:szCs w:val="21"/>
              </w:rPr>
              <w:t>监</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3"/>
              <w:jc w:val="right"/>
              <w:rPr>
                <w:rFonts w:ascii="宋体" w:hAnsi="宋体" w:cs="宋体" w:eastAsia="宋体" w:hint="default"/>
                <w:sz w:val="21"/>
                <w:szCs w:val="21"/>
              </w:rPr>
            </w:pPr>
            <w:r>
              <w:rPr>
                <w:rFonts w:ascii="宋体"/>
                <w:spacing w:val="-1"/>
                <w:sz w:val="21"/>
              </w:rPr>
              <w:t>6,000,000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7"/>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5"/>
              <w:jc w:val="right"/>
              <w:rPr>
                <w:rFonts w:ascii="宋体" w:hAnsi="宋体" w:cs="宋体" w:eastAsia="宋体" w:hint="default"/>
                <w:sz w:val="21"/>
                <w:szCs w:val="21"/>
              </w:rPr>
            </w:pPr>
            <w:r>
              <w:rPr>
                <w:rFonts w:ascii="宋体"/>
                <w:spacing w:val="-1"/>
                <w:sz w:val="21"/>
              </w:rPr>
              <w:t>2,400,000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7"/>
              <w:jc w:val="right"/>
              <w:rPr>
                <w:rFonts w:ascii="宋体" w:hAnsi="宋体" w:cs="宋体" w:eastAsia="宋体" w:hint="default"/>
                <w:sz w:val="21"/>
                <w:szCs w:val="21"/>
              </w:rPr>
            </w:pPr>
            <w:r>
              <w:rPr>
                <w:rFonts w:ascii="宋体"/>
                <w:w w:val="100"/>
                <w:sz w:val="21"/>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1"/>
              <w:jc w:val="center"/>
              <w:rPr>
                <w:rFonts w:ascii="宋体" w:hAnsi="宋体" w:cs="宋体" w:eastAsia="宋体" w:hint="default"/>
                <w:sz w:val="21"/>
                <w:szCs w:val="21"/>
              </w:rPr>
            </w:pPr>
            <w:r>
              <w:rPr>
                <w:rFonts w:ascii="宋体"/>
                <w:w w:val="100"/>
                <w:sz w:val="21"/>
              </w:rPr>
              <w:t>/</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5"/>
              <w:jc w:val="right"/>
              <w:rPr>
                <w:rFonts w:ascii="宋体" w:hAnsi="宋体" w:cs="宋体" w:eastAsia="宋体" w:hint="default"/>
                <w:sz w:val="21"/>
                <w:szCs w:val="21"/>
              </w:rPr>
            </w:pPr>
            <w:r>
              <w:rPr>
                <w:rFonts w:ascii="宋体"/>
                <w:spacing w:val="-1"/>
                <w:sz w:val="21"/>
              </w:rPr>
              <w:t>6,000,000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2"/>
              <w:jc w:val="right"/>
              <w:rPr>
                <w:rFonts w:ascii="宋体" w:hAnsi="宋体" w:cs="宋体" w:eastAsia="宋体" w:hint="default"/>
                <w:sz w:val="21"/>
                <w:szCs w:val="21"/>
              </w:rPr>
            </w:pPr>
            <w:r>
              <w:rPr>
                <w:rFonts w:ascii="宋体"/>
                <w:sz w:val="21"/>
              </w:rPr>
              <w:t>5.22</w:t>
            </w:r>
          </w:p>
        </w:tc>
      </w:tr>
      <w:tr>
        <w:trPr>
          <w:trHeight w:val="82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39"/>
              <w:jc w:val="left"/>
              <w:rPr>
                <w:rFonts w:ascii="宋体" w:hAnsi="宋体" w:cs="宋体" w:eastAsia="宋体" w:hint="default"/>
                <w:sz w:val="21"/>
                <w:szCs w:val="21"/>
              </w:rPr>
            </w:pPr>
            <w:r>
              <w:rPr>
                <w:rFonts w:ascii="宋体" w:hAnsi="宋体" w:cs="宋体" w:eastAsia="宋体" w:hint="default"/>
                <w:sz w:val="21"/>
                <w:szCs w:val="21"/>
              </w:rPr>
              <w:t>副总裁、</w:t>
            </w:r>
          </w:p>
          <w:p>
            <w:pPr>
              <w:pStyle w:val="TableParagraph"/>
              <w:spacing w:line="272" w:lineRule="exact" w:before="27"/>
              <w:ind w:left="-17" w:right="168"/>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spacing w:val="-102"/>
                <w:sz w:val="21"/>
                <w:szCs w:val="21"/>
              </w:rPr>
              <w:t> </w:t>
            </w:r>
            <w:r>
              <w:rPr>
                <w:rFonts w:ascii="宋体" w:hAnsi="宋体" w:cs="宋体" w:eastAsia="宋体" w:hint="default"/>
                <w:sz w:val="21"/>
                <w:szCs w:val="21"/>
              </w:rPr>
              <w:t>秘书</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3"/>
              <w:jc w:val="right"/>
              <w:rPr>
                <w:rFonts w:ascii="宋体" w:hAnsi="宋体" w:cs="宋体" w:eastAsia="宋体" w:hint="default"/>
                <w:sz w:val="21"/>
                <w:szCs w:val="21"/>
              </w:rPr>
            </w:pPr>
            <w:r>
              <w:rPr>
                <w:rFonts w:ascii="宋体"/>
                <w:spacing w:val="-1"/>
                <w:sz w:val="21"/>
              </w:rPr>
              <w:t>6,000,000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7"/>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5"/>
              <w:jc w:val="right"/>
              <w:rPr>
                <w:rFonts w:ascii="宋体" w:hAnsi="宋体" w:cs="宋体" w:eastAsia="宋体" w:hint="default"/>
                <w:sz w:val="21"/>
                <w:szCs w:val="21"/>
              </w:rPr>
            </w:pPr>
            <w:r>
              <w:rPr>
                <w:rFonts w:ascii="宋体"/>
                <w:spacing w:val="-1"/>
                <w:sz w:val="21"/>
              </w:rPr>
              <w:t>2,400,000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7"/>
              <w:jc w:val="right"/>
              <w:rPr>
                <w:rFonts w:ascii="宋体" w:hAnsi="宋体" w:cs="宋体" w:eastAsia="宋体" w:hint="default"/>
                <w:sz w:val="21"/>
                <w:szCs w:val="21"/>
              </w:rPr>
            </w:pPr>
            <w:r>
              <w:rPr>
                <w:rFonts w:ascii="宋体"/>
                <w:w w:val="100"/>
                <w:sz w:val="21"/>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1"/>
              <w:jc w:val="center"/>
              <w:rPr>
                <w:rFonts w:ascii="宋体" w:hAnsi="宋体" w:cs="宋体" w:eastAsia="宋体" w:hint="default"/>
                <w:sz w:val="21"/>
                <w:szCs w:val="21"/>
              </w:rPr>
            </w:pPr>
            <w:r>
              <w:rPr>
                <w:rFonts w:ascii="宋体"/>
                <w:w w:val="100"/>
                <w:sz w:val="21"/>
              </w:rPr>
              <w:t>/</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5"/>
              <w:jc w:val="right"/>
              <w:rPr>
                <w:rFonts w:ascii="宋体" w:hAnsi="宋体" w:cs="宋体" w:eastAsia="宋体" w:hint="default"/>
                <w:sz w:val="21"/>
                <w:szCs w:val="21"/>
              </w:rPr>
            </w:pPr>
            <w:r>
              <w:rPr>
                <w:rFonts w:ascii="宋体"/>
                <w:spacing w:val="-1"/>
                <w:sz w:val="21"/>
              </w:rPr>
              <w:t>6,000,000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2"/>
              <w:jc w:val="right"/>
              <w:rPr>
                <w:rFonts w:ascii="宋体" w:hAnsi="宋体" w:cs="宋体" w:eastAsia="宋体" w:hint="default"/>
                <w:sz w:val="21"/>
                <w:szCs w:val="21"/>
              </w:rPr>
            </w:pPr>
            <w:r>
              <w:rPr>
                <w:rFonts w:ascii="宋体"/>
                <w:sz w:val="21"/>
              </w:rPr>
              <w:t>5.22</w:t>
            </w:r>
          </w:p>
        </w:tc>
      </w:tr>
      <w:tr>
        <w:trPr>
          <w:trHeight w:val="283"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48,000,000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19,200,000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w w:val="100"/>
                <w:sz w:val="21"/>
              </w:rPr>
              <w:t>/</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48,000,000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3"/>
          <w:szCs w:val="23"/>
        </w:rPr>
      </w:pPr>
    </w:p>
    <w:p>
      <w:pPr>
        <w:pStyle w:val="Heading2"/>
        <w:tabs>
          <w:tab w:pos="1057" w:val="left" w:leader="none"/>
        </w:tabs>
        <w:spacing w:line="285" w:lineRule="auto"/>
        <w:ind w:right="2322"/>
        <w:jc w:val="left"/>
        <w:rPr>
          <w:b w:val="0"/>
          <w:bCs w:val="0"/>
        </w:rPr>
      </w:pPr>
      <w:r>
        <w:rPr/>
        <w:t>二、现任及报告期内离任董事、监事和高级管理人员的任职情况</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在股东单位任职情况</w:t>
      </w:r>
      <w:r>
        <w:rPr>
          <w:b w:val="0"/>
          <w:bCs w:val="0"/>
        </w:rPr>
      </w:r>
    </w:p>
    <w:p>
      <w:pPr>
        <w:pStyle w:val="BodyText"/>
        <w:spacing w:line="240" w:lineRule="auto" w:before="12"/>
        <w:ind w:left="218" w:right="233"/>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80"/>
        <w:gridCol w:w="1844"/>
        <w:gridCol w:w="2014"/>
        <w:gridCol w:w="1611"/>
        <w:gridCol w:w="1601"/>
      </w:tblGrid>
      <w:tr>
        <w:trPr>
          <w:trHeight w:val="55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6"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在股东单位担任的</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叶正猛</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黄芳</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副</w:t>
            </w:r>
            <w:r>
              <w:rPr>
                <w:rFonts w:ascii="宋体" w:hAnsi="宋体" w:cs="宋体" w:eastAsia="宋体" w:hint="default"/>
                <w:w w:val="100"/>
                <w:sz w:val="21"/>
                <w:szCs w:val="21"/>
              </w:rPr>
              <w:t>总</w:t>
            </w:r>
            <w:r>
              <w:rPr>
                <w:rFonts w:ascii="宋体" w:hAnsi="宋体" w:cs="宋体" w:eastAsia="宋体" w:hint="default"/>
                <w:spacing w:val="-3"/>
                <w:w w:val="100"/>
                <w:sz w:val="21"/>
                <w:szCs w:val="21"/>
              </w:rPr>
              <w:t>裁</w:t>
            </w:r>
            <w:r>
              <w:rPr>
                <w:rFonts w:ascii="宋体" w:hAnsi="宋体" w:cs="宋体" w:eastAsia="宋体" w:hint="default"/>
                <w:w w:val="100"/>
                <w:sz w:val="21"/>
                <w:szCs w:val="21"/>
              </w:rPr>
              <w:t>兼</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总监</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在股东单位任职情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况的说明</w:t>
            </w:r>
          </w:p>
        </w:tc>
        <w:tc>
          <w:tcPr>
            <w:tcW w:w="70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5"/>
        <w:rPr>
          <w:rFonts w:ascii="宋体" w:hAnsi="宋体" w:cs="宋体" w:eastAsia="宋体" w:hint="default"/>
          <w:sz w:val="23"/>
          <w:szCs w:val="23"/>
        </w:rPr>
      </w:pPr>
    </w:p>
    <w:p>
      <w:pPr>
        <w:pStyle w:val="Heading2"/>
        <w:tabs>
          <w:tab w:pos="1057" w:val="left" w:leader="none"/>
        </w:tabs>
        <w:spacing w:line="240" w:lineRule="auto"/>
        <w:ind w:right="233"/>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在其他单位任职情况</w:t>
      </w:r>
      <w:r>
        <w:rPr>
          <w:b w:val="0"/>
          <w:bCs w:val="0"/>
        </w:rPr>
      </w:r>
    </w:p>
    <w:p>
      <w:pPr>
        <w:pStyle w:val="BodyText"/>
        <w:spacing w:line="240" w:lineRule="auto" w:before="55"/>
        <w:ind w:left="218" w:right="233"/>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2410"/>
        <w:gridCol w:w="1702"/>
        <w:gridCol w:w="1558"/>
        <w:gridCol w:w="1570"/>
      </w:tblGrid>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8"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在其他单位担任</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的职务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center"/>
              <w:rPr>
                <w:rFonts w:ascii="宋体" w:hAnsi="宋体" w:cs="宋体" w:eastAsia="宋体" w:hint="default"/>
                <w:sz w:val="21"/>
                <w:szCs w:val="21"/>
              </w:rPr>
            </w:pPr>
            <w:r>
              <w:rPr>
                <w:rFonts w:ascii="宋体" w:hAnsi="宋体" w:cs="宋体" w:eastAsia="宋体" w:hint="default"/>
                <w:sz w:val="21"/>
                <w:szCs w:val="21"/>
              </w:rPr>
              <w:t>温州银行股份有限公司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center"/>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黄芳</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9"/>
              <w:jc w:val="center"/>
              <w:rPr>
                <w:rFonts w:ascii="宋体" w:hAnsi="宋体" w:cs="宋体" w:eastAsia="宋体" w:hint="default"/>
                <w:sz w:val="21"/>
                <w:szCs w:val="21"/>
              </w:rPr>
            </w:pPr>
            <w:r>
              <w:rPr>
                <w:rFonts w:ascii="宋体" w:hAnsi="宋体" w:cs="宋体" w:eastAsia="宋体" w:hint="default"/>
                <w:sz w:val="21"/>
                <w:szCs w:val="21"/>
              </w:rPr>
              <w:t>中信银行股份有限公司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7"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金雪军</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center"/>
              <w:rPr>
                <w:rFonts w:ascii="宋体" w:hAnsi="宋体" w:cs="宋体" w:eastAsia="宋体" w:hint="default"/>
                <w:sz w:val="21"/>
                <w:szCs w:val="21"/>
              </w:rPr>
            </w:pPr>
            <w:r>
              <w:rPr>
                <w:rFonts w:ascii="宋体" w:hAnsi="宋体" w:cs="宋体" w:eastAsia="宋体" w:hint="default"/>
                <w:sz w:val="21"/>
                <w:szCs w:val="21"/>
              </w:rPr>
              <w:t>浙江省公共政策研究院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执行院长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王晓梅</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center"/>
              <w:rPr>
                <w:rFonts w:ascii="宋体" w:hAnsi="宋体" w:cs="宋体" w:eastAsia="宋体" w:hint="default"/>
                <w:sz w:val="21"/>
                <w:szCs w:val="21"/>
              </w:rPr>
            </w:pPr>
            <w:r>
              <w:rPr>
                <w:rFonts w:ascii="宋体" w:hAnsi="宋体" w:cs="宋体" w:eastAsia="宋体" w:hint="default"/>
                <w:sz w:val="21"/>
                <w:szCs w:val="21"/>
              </w:rPr>
              <w:t>知盛数据集团有限公司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全球首席执行官</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潘孝娜</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center"/>
              <w:rPr>
                <w:rFonts w:ascii="宋体" w:hAnsi="宋体" w:cs="宋体" w:eastAsia="宋体" w:hint="default"/>
                <w:sz w:val="21"/>
                <w:szCs w:val="21"/>
              </w:rPr>
            </w:pPr>
            <w:r>
              <w:rPr>
                <w:rFonts w:ascii="宋体" w:hAnsi="宋体" w:cs="宋体" w:eastAsia="宋体" w:hint="default"/>
                <w:sz w:val="21"/>
                <w:szCs w:val="21"/>
              </w:rPr>
              <w:t>浙江康盛股份有限公司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55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在其他单位任职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p>
        </w:tc>
        <w:tc>
          <w:tcPr>
            <w:tcW w:w="72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23"/>
          <w:szCs w:val="23"/>
        </w:rPr>
      </w:pPr>
    </w:p>
    <w:p>
      <w:pPr>
        <w:pStyle w:val="Heading2"/>
        <w:spacing w:line="240" w:lineRule="auto"/>
        <w:ind w:right="233"/>
        <w:jc w:val="left"/>
        <w:rPr>
          <w:b w:val="0"/>
          <w:bCs w:val="0"/>
        </w:rPr>
      </w:pPr>
      <w:r>
        <w:rPr/>
        <w:t>三、董事、监事、高级管理人员报酬情况</w:t>
      </w:r>
      <w:r>
        <w:rPr>
          <w:b w:val="0"/>
          <w:bCs w:val="0"/>
        </w:rPr>
      </w:r>
    </w:p>
    <w:p>
      <w:pPr>
        <w:pStyle w:val="BodyText"/>
        <w:spacing w:line="240" w:lineRule="auto" w:before="58"/>
        <w:ind w:left="218" w:right="233"/>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25"/>
        <w:gridCol w:w="6325"/>
      </w:tblGrid>
      <w:tr>
        <w:trPr>
          <w:trHeight w:val="554"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董事、监事、高级管理人员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报酬的决策程序</w:t>
            </w:r>
          </w:p>
        </w:tc>
        <w:tc>
          <w:tcPr>
            <w:tcW w:w="63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由董事会薪酬与考核委员会考核，并经董事会批准，董事、监事的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报酬还需由股东大会批准，</w:t>
            </w:r>
          </w:p>
        </w:tc>
      </w:tr>
      <w:tr>
        <w:trPr>
          <w:trHeight w:val="828"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8"/>
              <w:jc w:val="left"/>
              <w:rPr>
                <w:rFonts w:ascii="宋体" w:hAnsi="宋体" w:cs="宋体" w:eastAsia="宋体" w:hint="default"/>
                <w:sz w:val="21"/>
                <w:szCs w:val="21"/>
              </w:rPr>
            </w:pPr>
            <w:r>
              <w:rPr>
                <w:rFonts w:ascii="宋体" w:hAnsi="宋体" w:cs="宋体" w:eastAsia="宋体" w:hint="default"/>
                <w:spacing w:val="-3"/>
                <w:sz w:val="21"/>
                <w:szCs w:val="21"/>
              </w:rPr>
              <w:t>董事、监事、高级管理人员</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报酬确定依据</w:t>
            </w:r>
          </w:p>
        </w:tc>
        <w:tc>
          <w:tcPr>
            <w:tcW w:w="6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根据公司相关薪酬与考评管理办法，综合公司年度经营业绩、高级</w:t>
            </w: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z w:val="21"/>
                <w:szCs w:val="21"/>
              </w:rPr>
              <w:t>管理人员任期目标和年度绩效考核等指标，确定公司高级管理人员</w:t>
            </w:r>
            <w:r>
              <w:rPr>
                <w:rFonts w:ascii="宋体" w:hAnsi="宋体" w:cs="宋体" w:eastAsia="宋体" w:hint="default"/>
                <w:w w:val="100"/>
                <w:sz w:val="21"/>
                <w:szCs w:val="21"/>
              </w:rPr>
              <w:t> </w:t>
            </w:r>
            <w:r>
              <w:rPr>
                <w:rFonts w:ascii="宋体" w:hAnsi="宋体" w:cs="宋体" w:eastAsia="宋体" w:hint="default"/>
                <w:spacing w:val="-5"/>
                <w:sz w:val="21"/>
                <w:szCs w:val="21"/>
              </w:rPr>
              <w:t>的报酬及相应福利待遇。董事、监事则是根据其履行职责情况确定。</w:t>
            </w:r>
          </w:p>
        </w:tc>
      </w:tr>
      <w:tr>
        <w:trPr>
          <w:trHeight w:val="555"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董事、监事和高级管理人员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报酬的实际支付情况</w:t>
            </w:r>
          </w:p>
        </w:tc>
        <w:tc>
          <w:tcPr>
            <w:tcW w:w="6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公司董事、监事及高级管理人员应付报酬合计为</w:t>
            </w:r>
            <w:r>
              <w:rPr>
                <w:rFonts w:ascii="宋体" w:hAnsi="宋体" w:cs="宋体" w:eastAsia="宋体" w:hint="default"/>
                <w:spacing w:val="-55"/>
                <w:sz w:val="21"/>
                <w:szCs w:val="21"/>
              </w:rPr>
              <w:t> </w:t>
            </w:r>
            <w:r>
              <w:rPr>
                <w:rFonts w:ascii="宋体" w:hAnsi="宋体" w:cs="宋体" w:eastAsia="宋体" w:hint="default"/>
                <w:sz w:val="21"/>
                <w:szCs w:val="21"/>
              </w:rPr>
              <w:t>448</w:t>
            </w:r>
            <w:r>
              <w:rPr>
                <w:rFonts w:ascii="宋体" w:hAnsi="宋体" w:cs="宋体" w:eastAsia="宋体" w:hint="default"/>
                <w:spacing w:val="-56"/>
                <w:sz w:val="21"/>
                <w:szCs w:val="21"/>
              </w:rPr>
              <w:t> </w:t>
            </w:r>
            <w:r>
              <w:rPr>
                <w:rFonts w:ascii="宋体" w:hAnsi="宋体" w:cs="宋体" w:eastAsia="宋体" w:hint="default"/>
                <w:sz w:val="21"/>
                <w:szCs w:val="21"/>
              </w:rPr>
              <w:t>万元。</w:t>
            </w:r>
          </w:p>
        </w:tc>
      </w:tr>
      <w:tr>
        <w:trPr>
          <w:trHeight w:val="283"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报告期末全体董事、监事和</w:t>
            </w:r>
          </w:p>
        </w:tc>
        <w:tc>
          <w:tcPr>
            <w:tcW w:w="6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公司董事、监事及高级管理人员实际获得的报酬合计为</w:t>
            </w:r>
            <w:r>
              <w:rPr>
                <w:rFonts w:ascii="宋体" w:hAnsi="宋体" w:cs="宋体" w:eastAsia="宋体" w:hint="default"/>
                <w:spacing w:val="-53"/>
                <w:sz w:val="21"/>
                <w:szCs w:val="21"/>
              </w:rPr>
              <w:t> </w:t>
            </w:r>
            <w:r>
              <w:rPr>
                <w:rFonts w:ascii="宋体" w:hAnsi="宋体" w:cs="宋体" w:eastAsia="宋体" w:hint="default"/>
                <w:sz w:val="21"/>
                <w:szCs w:val="21"/>
              </w:rPr>
              <w:t>448</w:t>
            </w:r>
            <w:r>
              <w:rPr>
                <w:rFonts w:ascii="宋体" w:hAnsi="宋体" w:cs="宋体" w:eastAsia="宋体" w:hint="default"/>
                <w:spacing w:val="-54"/>
                <w:sz w:val="21"/>
                <w:szCs w:val="21"/>
              </w:rPr>
              <w:t> </w:t>
            </w:r>
            <w:r>
              <w:rPr>
                <w:rFonts w:ascii="宋体" w:hAnsi="宋体" w:cs="宋体" w:eastAsia="宋体" w:hint="default"/>
                <w:sz w:val="21"/>
                <w:szCs w:val="21"/>
              </w:rPr>
              <w:t>万元。</w:t>
            </w:r>
          </w:p>
        </w:tc>
      </w:tr>
    </w:tbl>
    <w:p>
      <w:pPr>
        <w:spacing w:after="0" w:line="241" w:lineRule="exact"/>
        <w:jc w:val="left"/>
        <w:rPr>
          <w:rFonts w:ascii="宋体" w:hAnsi="宋体" w:cs="宋体" w:eastAsia="宋体" w:hint="default"/>
          <w:sz w:val="21"/>
          <w:szCs w:val="21"/>
        </w:rPr>
        <w:sectPr>
          <w:pgSz w:w="11910" w:h="16840"/>
          <w:pgMar w:header="0"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p>
      <w:pPr>
        <w:spacing w:line="576" w:lineRule="exact"/>
        <w:ind w:left="105"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453pt;height:28.85pt;mso-position-horizontal-relative:char;mso-position-vertical-relative:line" coordorigin="0,0" coordsize="9060,577">
            <v:group style="position:absolute;left:10;top:10;width:2715;height:2" coordorigin="10,10" coordsize="2715,2">
              <v:shape style="position:absolute;left:10;top:10;width:2715;height:2" coordorigin="10,10" coordsize="2715,0" path="m10,10l2724,10e" filled="false" stroked="true" strokeweight=".48pt" strokecolor="#000000">
                <v:path arrowok="t"/>
              </v:shape>
            </v:group>
            <v:group style="position:absolute;left:2734;top:10;width:6316;height:2" coordorigin="2734,10" coordsize="6316,2">
              <v:shape style="position:absolute;left:2734;top:10;width:6316;height:2" coordorigin="2734,10" coordsize="6316,0" path="m2734,10l9050,10e" filled="false" stroked="true" strokeweight=".48pt" strokecolor="#000000">
                <v:path arrowok="t"/>
              </v:shape>
            </v:group>
            <v:group style="position:absolute;left:5;top:5;width:2;height:567" coordorigin="5,5" coordsize="2,567">
              <v:shape style="position:absolute;left:5;top:5;width:2;height:567" coordorigin="5,5" coordsize="0,567" path="m5,5l5,572e" filled="false" stroked="true" strokeweight=".48pt" strokecolor="#000000">
                <v:path arrowok="t"/>
              </v:shape>
            </v:group>
            <v:group style="position:absolute;left:10;top:567;width:2715;height:2" coordorigin="10,567" coordsize="2715,2">
              <v:shape style="position:absolute;left:10;top:567;width:2715;height:2" coordorigin="10,567" coordsize="2715,0" path="m10,567l2724,567e" filled="false" stroked="true" strokeweight=".48pt" strokecolor="#000000">
                <v:path arrowok="t"/>
              </v:shape>
            </v:group>
            <v:group style="position:absolute;left:2729;top:5;width:2;height:567" coordorigin="2729,5" coordsize="2,567">
              <v:shape style="position:absolute;left:2729;top:5;width:2;height:567" coordorigin="2729,5" coordsize="0,567" path="m2729,5l2729,572e" filled="false" stroked="true" strokeweight=".48pt" strokecolor="#000000">
                <v:path arrowok="t"/>
              </v:shape>
            </v:group>
            <v:group style="position:absolute;left:2734;top:567;width:6316;height:2" coordorigin="2734,567" coordsize="6316,2">
              <v:shape style="position:absolute;left:2734;top:567;width:6316;height:2" coordorigin="2734,567" coordsize="6316,0" path="m2734,567l9050,567e" filled="false" stroked="true" strokeweight=".48pt" strokecolor="#000000">
                <v:path arrowok="t"/>
              </v:shape>
            </v:group>
            <v:group style="position:absolute;left:9054;top:5;width:2;height:567" coordorigin="9054,5" coordsize="2,567">
              <v:shape style="position:absolute;left:9054;top:5;width:2;height:567" coordorigin="9054,5" coordsize="0,567" path="m9054,5l9054,572e" filled="false" stroked="true" strokeweight=".47998pt" strokecolor="#000000">
                <v:path arrowok="t"/>
              </v:shape>
              <v:shape style="position:absolute;left:5;top:10;width:2725;height:558" type="#_x0000_t202" filled="false" stroked="false">
                <v:textbox inset="0,0,0,0">
                  <w:txbxContent>
                    <w:p>
                      <w:pPr>
                        <w:spacing w:line="272" w:lineRule="exact" w:before="1"/>
                        <w:ind w:left="108" w:right="300" w:firstLine="0"/>
                        <w:jc w:val="left"/>
                        <w:rPr>
                          <w:rFonts w:ascii="宋体" w:hAnsi="宋体" w:cs="宋体" w:eastAsia="宋体" w:hint="default"/>
                          <w:sz w:val="21"/>
                          <w:szCs w:val="21"/>
                        </w:rPr>
                      </w:pPr>
                      <w:r>
                        <w:rPr>
                          <w:rFonts w:ascii="宋体" w:hAnsi="宋体" w:cs="宋体" w:eastAsia="宋体" w:hint="default"/>
                          <w:spacing w:val="-2"/>
                          <w:sz w:val="21"/>
                          <w:szCs w:val="21"/>
                        </w:rPr>
                        <w:t>高级管理人员实际获得的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报酬合计</w:t>
                      </w:r>
                    </w:p>
                  </w:txbxContent>
                </v:textbox>
                <w10:wrap type="none"/>
              </v:shape>
            </v:group>
          </v:group>
        </w:pict>
      </w:r>
      <w:r>
        <w:rPr>
          <w:rFonts w:ascii="宋体" w:hAnsi="宋体" w:cs="宋体" w:eastAsia="宋体" w:hint="default"/>
          <w:position w:val="-11"/>
          <w:sz w:val="20"/>
          <w:szCs w:val="20"/>
        </w:rPr>
      </w:r>
    </w:p>
    <w:p>
      <w:pPr>
        <w:spacing w:line="240" w:lineRule="auto" w:before="11"/>
        <w:rPr>
          <w:rFonts w:ascii="宋体" w:hAnsi="宋体" w:cs="宋体" w:eastAsia="宋体" w:hint="default"/>
          <w:sz w:val="22"/>
          <w:szCs w:val="22"/>
        </w:rPr>
      </w:pPr>
    </w:p>
    <w:p>
      <w:pPr>
        <w:pStyle w:val="Heading2"/>
        <w:spacing w:line="240" w:lineRule="auto"/>
        <w:ind w:right="233"/>
        <w:jc w:val="left"/>
        <w:rPr>
          <w:b w:val="0"/>
          <w:bCs w:val="0"/>
        </w:rPr>
      </w:pPr>
      <w:r>
        <w:rPr/>
        <w:t>四、公司董事、监事、高级管理人员变动情况</w:t>
      </w:r>
      <w:r>
        <w:rPr>
          <w:b w:val="0"/>
          <w:bCs w:val="0"/>
        </w:rPr>
      </w:r>
    </w:p>
    <w:p>
      <w:pPr>
        <w:pStyle w:val="BodyText"/>
        <w:spacing w:line="240" w:lineRule="auto" w:before="58"/>
        <w:ind w:left="218" w:right="233"/>
        <w:jc w:val="left"/>
      </w:pPr>
      <w:r>
        <w:rPr/>
        <w:t>□适用</w:t>
      </w:r>
      <w:r>
        <w:rPr>
          <w:spacing w:val="-1"/>
        </w:rPr>
        <w:t> </w:t>
      </w:r>
      <w:r>
        <w:rPr/>
        <w:t>√不适用</w:t>
      </w:r>
    </w:p>
    <w:p>
      <w:pPr>
        <w:pStyle w:val="Heading2"/>
        <w:spacing w:line="240" w:lineRule="auto" w:before="58"/>
        <w:ind w:right="233"/>
        <w:jc w:val="left"/>
        <w:rPr>
          <w:b w:val="0"/>
          <w:bCs w:val="0"/>
        </w:rPr>
      </w:pPr>
      <w:r>
        <w:rPr/>
        <w:t>五、近三年受证券监管机构处罚的情况说明</w:t>
      </w:r>
      <w:r>
        <w:rPr>
          <w:b w:val="0"/>
          <w:bCs w:val="0"/>
        </w:rPr>
      </w:r>
    </w:p>
    <w:p>
      <w:pPr>
        <w:pStyle w:val="BodyText"/>
        <w:spacing w:line="240" w:lineRule="auto" w:before="55"/>
        <w:ind w:left="218" w:right="233"/>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tabs>
          <w:tab w:pos="1057" w:val="left" w:leader="none"/>
        </w:tabs>
        <w:spacing w:line="283" w:lineRule="auto" w:before="0"/>
        <w:ind w:right="5211"/>
        <w:jc w:val="left"/>
        <w:rPr>
          <w:b w:val="0"/>
          <w:bCs w:val="0"/>
        </w:rPr>
      </w:pPr>
      <w:r>
        <w:rPr/>
        <w:t>六、母公司和主要子公司的员工情况</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员工情况</w:t>
      </w:r>
      <w:r>
        <w:rPr>
          <w:b w:val="0"/>
          <w:bCs w:val="0"/>
        </w:rPr>
      </w:r>
    </w:p>
    <w:p>
      <w:pPr>
        <w:spacing w:line="240" w:lineRule="auto" w:before="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5780"/>
        <w:gridCol w:w="3269"/>
      </w:tblGrid>
      <w:tr>
        <w:trPr>
          <w:trHeight w:val="322"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母公司在职员工的数量</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104</w:t>
            </w:r>
          </w:p>
        </w:tc>
      </w:tr>
      <w:tr>
        <w:trPr>
          <w:trHeight w:val="322"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主要子公司在职员工的数量</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1,290</w:t>
            </w:r>
          </w:p>
        </w:tc>
      </w:tr>
      <w:tr>
        <w:trPr>
          <w:trHeight w:val="322"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在职员工的数量合计</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1,394</w:t>
            </w:r>
          </w:p>
        </w:tc>
      </w:tr>
      <w:tr>
        <w:trPr>
          <w:trHeight w:val="322"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母公司及主要子公司需承担费用的离退休职工人数</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39</w:t>
            </w:r>
          </w:p>
        </w:tc>
      </w:tr>
      <w:tr>
        <w:trPr>
          <w:trHeight w:val="319"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专业构成</w:t>
            </w:r>
          </w:p>
        </w:tc>
      </w:tr>
      <w:tr>
        <w:trPr>
          <w:trHeight w:val="322"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专业构成类别</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09" w:right="0"/>
              <w:jc w:val="left"/>
              <w:rPr>
                <w:rFonts w:ascii="宋体" w:hAnsi="宋体" w:cs="宋体" w:eastAsia="宋体" w:hint="default"/>
                <w:sz w:val="24"/>
                <w:szCs w:val="24"/>
              </w:rPr>
            </w:pPr>
            <w:r>
              <w:rPr>
                <w:rFonts w:ascii="宋体" w:hAnsi="宋体" w:cs="宋体" w:eastAsia="宋体" w:hint="default"/>
                <w:sz w:val="24"/>
                <w:szCs w:val="24"/>
              </w:rPr>
              <w:t>专业构成人数</w:t>
            </w:r>
          </w:p>
        </w:tc>
      </w:tr>
      <w:tr>
        <w:trPr>
          <w:trHeight w:val="322"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156</w:t>
            </w:r>
          </w:p>
        </w:tc>
      </w:tr>
      <w:tr>
        <w:trPr>
          <w:trHeight w:val="322"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销售人员</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320</w:t>
            </w:r>
          </w:p>
        </w:tc>
      </w:tr>
      <w:tr>
        <w:trPr>
          <w:trHeight w:val="322"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技术人员</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565</w:t>
            </w:r>
          </w:p>
        </w:tc>
      </w:tr>
      <w:tr>
        <w:trPr>
          <w:trHeight w:val="322"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财务人员</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128</w:t>
            </w:r>
          </w:p>
        </w:tc>
      </w:tr>
      <w:tr>
        <w:trPr>
          <w:trHeight w:val="322"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行政人员</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225</w:t>
            </w:r>
          </w:p>
        </w:tc>
      </w:tr>
      <w:tr>
        <w:trPr>
          <w:trHeight w:val="319"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1,394</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教育程度</w:t>
            </w:r>
          </w:p>
        </w:tc>
      </w:tr>
      <w:tr>
        <w:trPr>
          <w:trHeight w:val="322"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教育程度类别</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9" w:right="0"/>
              <w:jc w:val="left"/>
              <w:rPr>
                <w:rFonts w:ascii="宋体" w:hAnsi="宋体" w:cs="宋体" w:eastAsia="宋体" w:hint="default"/>
                <w:sz w:val="24"/>
                <w:szCs w:val="24"/>
              </w:rPr>
            </w:pPr>
            <w:r>
              <w:rPr>
                <w:rFonts w:ascii="宋体" w:hAnsi="宋体" w:cs="宋体" w:eastAsia="宋体" w:hint="default"/>
                <w:sz w:val="24"/>
                <w:szCs w:val="24"/>
              </w:rPr>
              <w:t>数量（人）</w:t>
            </w:r>
          </w:p>
        </w:tc>
      </w:tr>
      <w:tr>
        <w:trPr>
          <w:trHeight w:val="322"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硕士及以上</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103</w:t>
            </w:r>
          </w:p>
        </w:tc>
      </w:tr>
      <w:tr>
        <w:trPr>
          <w:trHeight w:val="322"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本科</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576</w:t>
            </w:r>
          </w:p>
        </w:tc>
      </w:tr>
      <w:tr>
        <w:trPr>
          <w:trHeight w:val="322"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大专</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487</w:t>
            </w:r>
          </w:p>
        </w:tc>
      </w:tr>
      <w:tr>
        <w:trPr>
          <w:trHeight w:val="322"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大专以下</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228</w:t>
            </w:r>
          </w:p>
        </w:tc>
      </w:tr>
      <w:tr>
        <w:trPr>
          <w:trHeight w:val="322"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1,394</w:t>
            </w:r>
          </w:p>
        </w:tc>
      </w:tr>
    </w:tbl>
    <w:p>
      <w:pPr>
        <w:spacing w:line="240" w:lineRule="auto" w:before="3"/>
        <w:rPr>
          <w:rFonts w:ascii="宋体" w:hAnsi="宋体" w:cs="宋体" w:eastAsia="宋体" w:hint="default"/>
          <w:b/>
          <w:bCs/>
          <w:sz w:val="23"/>
          <w:szCs w:val="23"/>
        </w:rPr>
      </w:pPr>
    </w:p>
    <w:p>
      <w:pPr>
        <w:pStyle w:val="Heading2"/>
        <w:spacing w:line="240" w:lineRule="auto"/>
        <w:ind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13"/>
        </w:rPr>
        <w:t> </w:t>
      </w:r>
      <w:r>
        <w:rPr/>
        <w:t>薪酬政策</w:t>
      </w:r>
      <w:r>
        <w:rPr>
          <w:b w:val="0"/>
          <w:bCs w:val="0"/>
        </w:rPr>
      </w:r>
    </w:p>
    <w:p>
      <w:pPr>
        <w:pStyle w:val="BodyText"/>
        <w:tabs>
          <w:tab w:pos="1177" w:val="left" w:leader="none"/>
        </w:tabs>
        <w:spacing w:line="312" w:lineRule="exact" w:before="88"/>
        <w:ind w:left="698" w:right="232" w:hanging="480"/>
        <w:jc w:val="left"/>
      </w:pPr>
      <w:r>
        <w:rPr>
          <w:spacing w:val="-1"/>
        </w:rPr>
        <w:t>√适用</w:t>
        <w:tab/>
      </w:r>
      <w:r>
        <w:rPr/>
        <w:t>□不适用</w:t>
      </w:r>
      <w:r>
        <w:rPr/>
        <w:t> </w:t>
      </w:r>
      <w:r>
        <w:rPr>
          <w:spacing w:val="-2"/>
        </w:rPr>
        <w:t>公司建立了市场化的、有竞争力的、绩效导向的薪酬体系：通过调整优化薪酬结</w:t>
      </w:r>
    </w:p>
    <w:p>
      <w:pPr>
        <w:pStyle w:val="BodyText"/>
        <w:spacing w:line="357" w:lineRule="auto" w:before="123"/>
        <w:ind w:left="218" w:right="234"/>
        <w:jc w:val="both"/>
      </w:pPr>
      <w:r>
        <w:rPr>
          <w:spacing w:val="-2"/>
        </w:rPr>
        <w:t>构，实施股票期权激励计划，形成以基薪、绩效、奖金、福利和长期激励相结合的薪</w:t>
      </w:r>
      <w:r>
        <w:rPr>
          <w:spacing w:val="-96"/>
        </w:rPr>
        <w:t> </w:t>
      </w:r>
      <w:r>
        <w:rPr>
          <w:spacing w:val="-96"/>
        </w:rPr>
      </w:r>
      <w:r>
        <w:rPr>
          <w:spacing w:val="-2"/>
        </w:rPr>
        <w:t>酬给付体系。认可并尊重人才价值，基于人员的岗位价值贡献和绩效差异，建立反映</w:t>
      </w:r>
      <w:r>
        <w:rPr>
          <w:spacing w:val="-96"/>
        </w:rPr>
        <w:t> </w:t>
      </w:r>
      <w:r>
        <w:rPr>
          <w:spacing w:val="-96"/>
        </w:rPr>
      </w:r>
      <w:r>
        <w:rPr>
          <w:spacing w:val="-8"/>
        </w:rPr>
        <w:t>绩效与能力差异的奖酬文化，落实公司长短期战略，提升公司业绩、增强核心竞争力。</w:t>
      </w:r>
    </w:p>
    <w:p>
      <w:pPr>
        <w:spacing w:line="240" w:lineRule="auto" w:before="0"/>
        <w:rPr>
          <w:rFonts w:ascii="宋体" w:hAnsi="宋体" w:cs="宋体" w:eastAsia="宋体" w:hint="default"/>
          <w:sz w:val="31"/>
          <w:szCs w:val="31"/>
        </w:rPr>
      </w:pPr>
    </w:p>
    <w:p>
      <w:pPr>
        <w:pStyle w:val="Heading2"/>
        <w:spacing w:line="240" w:lineRule="auto" w:before="0"/>
        <w:ind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13"/>
        </w:rPr>
        <w:t> </w:t>
      </w:r>
      <w:r>
        <w:rPr/>
        <w:t>培训计划</w:t>
      </w:r>
      <w:r>
        <w:rPr>
          <w:b w:val="0"/>
          <w:bCs w:val="0"/>
        </w:rPr>
      </w:r>
    </w:p>
    <w:p>
      <w:pPr>
        <w:pStyle w:val="BodyText"/>
        <w:spacing w:line="240" w:lineRule="auto" w:before="58"/>
        <w:ind w:left="218" w:right="0"/>
        <w:jc w:val="both"/>
      </w:pPr>
      <w:r>
        <w:rPr/>
        <w:t>√适用</w:t>
      </w:r>
      <w:r>
        <w:rPr>
          <w:spacing w:val="119"/>
        </w:rPr>
        <w:t> </w:t>
      </w:r>
      <w:r>
        <w:rPr/>
        <w:t>□不适用</w:t>
      </w:r>
    </w:p>
    <w:p>
      <w:pPr>
        <w:spacing w:after="0" w:line="240" w:lineRule="auto"/>
        <w:jc w:val="both"/>
        <w:sectPr>
          <w:footerReference w:type="default" r:id="rId46"/>
          <w:pgSz w:w="11910" w:h="16840"/>
          <w:pgMar w:footer="1195" w:header="0" w:top="1100" w:bottom="1380" w:left="1580" w:right="1040"/>
        </w:sectPr>
      </w:pPr>
    </w:p>
    <w:p>
      <w:pPr>
        <w:spacing w:line="240" w:lineRule="auto" w:before="13"/>
        <w:rPr>
          <w:rFonts w:ascii="宋体" w:hAnsi="宋体" w:cs="宋体" w:eastAsia="宋体" w:hint="default"/>
          <w:sz w:val="25"/>
          <w:szCs w:val="25"/>
        </w:rPr>
      </w:pPr>
    </w:p>
    <w:p>
      <w:pPr>
        <w:pStyle w:val="BodyText"/>
        <w:spacing w:line="357" w:lineRule="auto" w:before="26"/>
        <w:ind w:right="114" w:firstLine="479"/>
        <w:jc w:val="both"/>
      </w:pPr>
      <w:r>
        <w:rPr>
          <w:spacing w:val="-2"/>
        </w:rPr>
        <w:t>为了配合公司业务的不断拓展，为公司储备和培养优秀的后备管理人才，引导新</w:t>
      </w:r>
      <w:r>
        <w:rPr/>
        <w:t> </w:t>
      </w:r>
      <w:r>
        <w:rPr>
          <w:spacing w:val="-2"/>
        </w:rPr>
        <w:t>员工尽快适应工作岗位，加强人才梯队建设，公司建立了一套多维度、针对不同层级</w:t>
      </w:r>
      <w:r>
        <w:rPr>
          <w:spacing w:val="-95"/>
        </w:rPr>
        <w:t> </w:t>
      </w:r>
      <w:r>
        <w:rPr>
          <w:spacing w:val="-95"/>
        </w:rPr>
      </w:r>
      <w:r>
        <w:rPr/>
        <w:t>受众的培训体系。</w:t>
      </w:r>
    </w:p>
    <w:p>
      <w:pPr>
        <w:pStyle w:val="BodyText"/>
        <w:spacing w:line="357" w:lineRule="auto" w:before="36"/>
        <w:ind w:right="111" w:firstLine="479"/>
        <w:jc w:val="both"/>
      </w:pPr>
      <w:r>
        <w:rPr>
          <w:rFonts w:ascii="宋体" w:hAnsi="宋体" w:cs="宋体" w:eastAsia="宋体" w:hint="default"/>
        </w:rPr>
        <w:t>1</w:t>
      </w:r>
      <w:r>
        <w:rPr/>
        <w:t>、针对公司新员工，公司制定了《新员工入职培训方案》和《新员工带教培养 </w:t>
      </w:r>
      <w:r>
        <w:rPr>
          <w:spacing w:val="-2"/>
        </w:rPr>
        <w:t>方案》。公司每年组织新员工入职培训，在公司文化、公司价值观、公司业务、公司</w:t>
      </w:r>
      <w:r>
        <w:rPr>
          <w:spacing w:val="-97"/>
        </w:rPr>
        <w:t> </w:t>
      </w:r>
      <w:r>
        <w:rPr>
          <w:spacing w:val="-97"/>
        </w:rPr>
      </w:r>
      <w:r>
        <w:rPr>
          <w:spacing w:val="-9"/>
        </w:rPr>
        <w:t>基本人事行政和财务制度等方面的培训。同时，为每位新员工配备</w:t>
      </w:r>
      <w:r>
        <w:rPr>
          <w:spacing w:val="-75"/>
        </w:rPr>
        <w:t> </w:t>
      </w:r>
      <w:r>
        <w:rPr>
          <w:rFonts w:ascii="宋体" w:hAnsi="宋体" w:cs="宋体" w:eastAsia="宋体" w:hint="default"/>
        </w:rPr>
        <w:t>1-2</w:t>
      </w:r>
      <w:r>
        <w:rPr>
          <w:rFonts w:ascii="宋体" w:hAnsi="宋体" w:cs="宋体" w:eastAsia="宋体" w:hint="default"/>
          <w:spacing w:val="-75"/>
        </w:rPr>
        <w:t> </w:t>
      </w:r>
      <w:r>
        <w:rPr/>
        <w:t>名的带教老师，</w:t>
      </w:r>
      <w:r>
        <w:rPr>
          <w:spacing w:val="-118"/>
        </w:rPr>
        <w:t> </w:t>
      </w:r>
      <w:r>
        <w:rPr/>
        <w:t>以帮助新员工更好地理解公司文化，更快地融入公司。</w:t>
      </w:r>
    </w:p>
    <w:p>
      <w:pPr>
        <w:pStyle w:val="BodyText"/>
        <w:spacing w:line="357" w:lineRule="auto" w:before="34"/>
        <w:ind w:right="112" w:firstLine="479"/>
        <w:jc w:val="both"/>
      </w:pPr>
      <w:r>
        <w:rPr>
          <w:rFonts w:ascii="宋体" w:hAnsi="宋体" w:cs="宋体" w:eastAsia="宋体" w:hint="default"/>
        </w:rPr>
        <w:t>2</w:t>
      </w:r>
      <w:r>
        <w:rPr/>
        <w:t>、针对后备人才梯队，公司制定了《后备人才梯队培养方案》，面向证券、投 </w:t>
      </w:r>
      <w:r>
        <w:rPr>
          <w:spacing w:val="-2"/>
        </w:rPr>
        <w:t>资、营销、工程、行政、人事等各条线后备储备人才，在开展专业化的课程培训的基</w:t>
      </w:r>
      <w:r>
        <w:rPr>
          <w:spacing w:val="-96"/>
        </w:rPr>
        <w:t> </w:t>
      </w:r>
      <w:r>
        <w:rPr>
          <w:spacing w:val="-96"/>
        </w:rPr>
      </w:r>
      <w:r>
        <w:rPr>
          <w:spacing w:val="-2"/>
        </w:rPr>
        <w:t>础上，丰富后备人才成长形式，适时组织内部后备人才座谈会，加强不同条线后备人</w:t>
      </w:r>
      <w:r>
        <w:rPr>
          <w:spacing w:val="-94"/>
        </w:rPr>
        <w:t> </w:t>
      </w:r>
      <w:r>
        <w:rPr>
          <w:spacing w:val="-94"/>
        </w:rPr>
      </w:r>
      <w:r>
        <w:rPr/>
        <w:t>才沟通，分享各条线专业知识，促进后备人才的共同成长。</w:t>
      </w:r>
    </w:p>
    <w:p>
      <w:pPr>
        <w:pStyle w:val="BodyText"/>
        <w:spacing w:line="357" w:lineRule="auto" w:before="34"/>
        <w:ind w:right="112" w:firstLine="479"/>
        <w:jc w:val="both"/>
      </w:pPr>
      <w:r>
        <w:rPr>
          <w:rFonts w:ascii="宋体" w:hAnsi="宋体" w:cs="宋体" w:eastAsia="宋体" w:hint="default"/>
        </w:rPr>
        <w:t>3</w:t>
      </w:r>
      <w:r>
        <w:rPr/>
        <w:t>、针对管理者队伍的培养，公司不仅注重管理者队伍的年轻化，更注重管理者 </w:t>
      </w:r>
      <w:r>
        <w:rPr>
          <w:spacing w:val="-2"/>
        </w:rPr>
        <w:t>队伍的专业化。一方面引进外部专业培训机构，开展与专业培训机构的合作，为管理</w:t>
      </w:r>
      <w:r>
        <w:rPr>
          <w:spacing w:val="-96"/>
        </w:rPr>
        <w:t> </w:t>
      </w:r>
      <w:r>
        <w:rPr>
          <w:spacing w:val="-96"/>
        </w:rPr>
      </w:r>
      <w:r>
        <w:rPr>
          <w:spacing w:val="-2"/>
        </w:rPr>
        <w:t>者定制专业培训课程；另一方面，公司也支持管理者的对外交流，加强与同行业的对</w:t>
      </w:r>
      <w:r>
        <w:rPr>
          <w:spacing w:val="-94"/>
        </w:rPr>
        <w:t> </w:t>
      </w:r>
      <w:r>
        <w:rPr>
          <w:spacing w:val="-94"/>
        </w:rPr>
      </w:r>
      <w:r>
        <w:rPr/>
        <w:t>标学习。</w:t>
      </w:r>
    </w:p>
    <w:p>
      <w:pPr>
        <w:spacing w:line="240" w:lineRule="auto" w:before="0"/>
        <w:rPr>
          <w:rFonts w:ascii="宋体" w:hAnsi="宋体" w:cs="宋体" w:eastAsia="宋体" w:hint="default"/>
          <w:sz w:val="31"/>
          <w:szCs w:val="31"/>
        </w:rPr>
      </w:pPr>
    </w:p>
    <w:p>
      <w:pPr>
        <w:pStyle w:val="Heading2"/>
        <w:spacing w:line="240" w:lineRule="auto" w:before="0"/>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11"/>
        </w:rPr>
        <w:t> </w:t>
      </w:r>
      <w:r>
        <w:rPr/>
        <w:t>劳务外包情况</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1"/>
        <w:tabs>
          <w:tab w:pos="1282" w:val="left" w:leader="none"/>
        </w:tabs>
        <w:spacing w:line="240" w:lineRule="auto"/>
        <w:ind w:left="22" w:right="0"/>
        <w:jc w:val="center"/>
        <w:rPr>
          <w:b w:val="0"/>
          <w:bCs w:val="0"/>
        </w:rPr>
      </w:pPr>
      <w:bookmarkStart w:name="_TOC_250003" w:id="9"/>
      <w:r>
        <w:rPr>
          <w:w w:val="95"/>
        </w:rPr>
        <w:t>第九节</w:t>
        <w:tab/>
      </w:r>
      <w:r>
        <w:rPr/>
        <w:t>公司治理</w:t>
      </w:r>
      <w:bookmarkEnd w:id="9"/>
      <w:r>
        <w:rPr>
          <w:b w:val="0"/>
          <w:bCs w:val="0"/>
        </w:rPr>
      </w:r>
    </w:p>
    <w:p>
      <w:pPr>
        <w:pStyle w:val="Heading2"/>
        <w:spacing w:line="240" w:lineRule="auto" w:before="246"/>
        <w:ind w:left="138" w:right="0"/>
        <w:jc w:val="both"/>
        <w:rPr>
          <w:b w:val="0"/>
          <w:bCs w:val="0"/>
        </w:rPr>
      </w:pPr>
      <w:r>
        <w:rPr/>
        <w:t>一、 </w:t>
      </w:r>
      <w:r>
        <w:rPr>
          <w:spacing w:val="113"/>
        </w:rPr>
        <w:t> </w:t>
      </w:r>
      <w:r>
        <w:rPr/>
        <w:t>公司治理相关情况说明</w:t>
      </w:r>
      <w:r>
        <w:rPr>
          <w:b w:val="0"/>
          <w:bCs w:val="0"/>
        </w:rPr>
      </w:r>
    </w:p>
    <w:p>
      <w:pPr>
        <w:pStyle w:val="BodyText"/>
        <w:tabs>
          <w:tab w:pos="1097" w:val="left" w:leader="none"/>
        </w:tabs>
        <w:spacing w:line="310" w:lineRule="exact" w:before="90"/>
        <w:ind w:left="618" w:right="114" w:hanging="480"/>
        <w:jc w:val="left"/>
      </w:pPr>
      <w:r>
        <w:rPr>
          <w:spacing w:val="-1"/>
        </w:rPr>
        <w:t>√适用</w:t>
        <w:tab/>
      </w:r>
      <w:r>
        <w:rPr/>
        <w:t>□不适用</w:t>
      </w:r>
      <w:r>
        <w:rPr/>
        <w:t> </w:t>
      </w:r>
      <w:r>
        <w:rPr>
          <w:spacing w:val="-2"/>
        </w:rPr>
        <w:t>报告期内，公司按照《公司法》、《证券法》、《上市公司治理准则》、《上交</w:t>
      </w:r>
    </w:p>
    <w:p>
      <w:pPr>
        <w:pStyle w:val="BodyText"/>
        <w:spacing w:line="352" w:lineRule="auto" w:before="125"/>
        <w:ind w:right="112"/>
        <w:jc w:val="both"/>
      </w:pPr>
      <w:r>
        <w:rPr>
          <w:spacing w:val="-2"/>
        </w:rPr>
        <w:t>所股票上市规则》等法律法规的要求，扎实推进各项制度管理，期内共计召开年度股</w:t>
      </w:r>
      <w:r>
        <w:rPr>
          <w:spacing w:val="-94"/>
        </w:rPr>
        <w:t> </w:t>
      </w:r>
      <w:r>
        <w:rPr>
          <w:spacing w:val="-94"/>
        </w:rPr>
      </w:r>
      <w:r>
        <w:rPr/>
        <w:t>东大会</w:t>
      </w:r>
      <w:r>
        <w:rPr>
          <w:spacing w:val="-61"/>
        </w:rPr>
        <w:t> </w:t>
      </w:r>
      <w:r>
        <w:rPr>
          <w:rFonts w:ascii="Times New Roman" w:hAnsi="Times New Roman" w:cs="Times New Roman" w:eastAsia="Times New Roman" w:hint="default"/>
        </w:rPr>
        <w:t>1 </w:t>
      </w:r>
      <w:r>
        <w:rPr/>
        <w:t>次、临时股东大会</w:t>
      </w:r>
      <w:r>
        <w:rPr>
          <w:spacing w:val="-60"/>
        </w:rPr>
        <w:t> </w:t>
      </w:r>
      <w:r>
        <w:rPr>
          <w:rFonts w:ascii="Times New Roman" w:hAnsi="Times New Roman" w:cs="Times New Roman" w:eastAsia="Times New Roman" w:hint="default"/>
        </w:rPr>
        <w:t>5 </w:t>
      </w:r>
      <w:r>
        <w:rPr/>
        <w:t>次、董事会会议</w:t>
      </w:r>
      <w:r>
        <w:rPr>
          <w:spacing w:val="-60"/>
        </w:rPr>
        <w:t> </w:t>
      </w:r>
      <w:r>
        <w:rPr>
          <w:rFonts w:ascii="Times New Roman" w:hAnsi="Times New Roman" w:cs="Times New Roman" w:eastAsia="Times New Roman" w:hint="default"/>
        </w:rPr>
        <w:t>13 </w:t>
      </w:r>
      <w:r>
        <w:rPr/>
        <w:t>次、监事会会议</w:t>
      </w:r>
      <w:r>
        <w:rPr>
          <w:spacing w:val="-60"/>
        </w:rPr>
        <w:t> </w:t>
      </w:r>
      <w:r>
        <w:rPr>
          <w:rFonts w:ascii="Times New Roman" w:hAnsi="Times New Roman" w:cs="Times New Roman" w:eastAsia="Times New Roman" w:hint="default"/>
        </w:rPr>
        <w:t>4 </w:t>
      </w:r>
      <w:r>
        <w:rPr/>
        <w:t>次，针对公司投 </w:t>
      </w:r>
      <w:r>
        <w:rPr>
          <w:spacing w:val="-2"/>
        </w:rPr>
        <w:t>资计划、利润分配、募集资金使用、关联交易、发行公司债等重要事项进行审议，进</w:t>
      </w:r>
      <w:r>
        <w:rPr>
          <w:spacing w:val="-96"/>
        </w:rPr>
        <w:t> </w:t>
      </w:r>
      <w:r>
        <w:rPr>
          <w:spacing w:val="-96"/>
        </w:rPr>
      </w:r>
      <w:r>
        <w:rPr>
          <w:spacing w:val="-2"/>
        </w:rPr>
        <w:t>一步完善了公司治理结构和公司治理制度，公司决策机构、监督机构及经营管理层之</w:t>
      </w:r>
      <w:r>
        <w:rPr>
          <w:spacing w:val="-94"/>
        </w:rPr>
        <w:t> </w:t>
      </w:r>
      <w:r>
        <w:rPr>
          <w:spacing w:val="-94"/>
        </w:rPr>
      </w:r>
      <w:r>
        <w:rPr/>
        <w:t>间权责明确，运作规范。</w:t>
      </w:r>
    </w:p>
    <w:p>
      <w:pPr>
        <w:pStyle w:val="BodyText"/>
        <w:spacing w:line="348" w:lineRule="auto" w:before="41"/>
        <w:ind w:right="114" w:firstLine="479"/>
        <w:jc w:val="both"/>
      </w:pPr>
      <w:r>
        <w:rPr>
          <w:rFonts w:ascii="Times New Roman" w:hAnsi="Times New Roman" w:cs="Times New Roman" w:eastAsia="Times New Roman" w:hint="default"/>
        </w:rPr>
        <w:t>1</w:t>
      </w:r>
      <w:r>
        <w:rPr/>
        <w:t>、关于控股股东和股东大会。控股股东认真履行诚信义务，行为合法规范，没 </w:t>
      </w:r>
      <w:r>
        <w:rPr>
          <w:spacing w:val="-2"/>
        </w:rPr>
        <w:t>有利用其特殊的地位谋取额外的利益。控股股东不行使行政职能，公司董事会、监事</w:t>
      </w:r>
      <w:r>
        <w:rPr>
          <w:spacing w:val="-96"/>
        </w:rPr>
        <w:t> </w:t>
      </w:r>
      <w:r>
        <w:rPr>
          <w:spacing w:val="-96"/>
        </w:rPr>
      </w:r>
      <w:r>
        <w:rPr/>
        <w:t>会和内部机构能够独立运作。严格按照相关法律法规的要求召集、召开股东大会。</w:t>
      </w:r>
    </w:p>
    <w:p>
      <w:pPr>
        <w:spacing w:after="0" w:line="348" w:lineRule="auto"/>
        <w:jc w:val="both"/>
        <w:sectPr>
          <w:footerReference w:type="default" r:id="rId47"/>
          <w:pgSz w:w="11910" w:h="16840"/>
          <w:pgMar w:footer="1195" w:header="0" w:top="1100" w:bottom="1380" w:left="1660" w:right="1160"/>
          <w:pgNumType w:start="62"/>
        </w:sectPr>
      </w:pPr>
    </w:p>
    <w:p>
      <w:pPr>
        <w:spacing w:line="240" w:lineRule="auto" w:before="13"/>
        <w:rPr>
          <w:rFonts w:ascii="宋体" w:hAnsi="宋体" w:cs="宋体" w:eastAsia="宋体" w:hint="default"/>
          <w:sz w:val="25"/>
          <w:szCs w:val="25"/>
        </w:rPr>
      </w:pPr>
    </w:p>
    <w:p>
      <w:pPr>
        <w:pStyle w:val="BodyText"/>
        <w:spacing w:line="355" w:lineRule="auto" w:before="26"/>
        <w:ind w:right="113" w:firstLine="479"/>
        <w:jc w:val="both"/>
      </w:pPr>
      <w:r>
        <w:rPr>
          <w:rFonts w:ascii="Times New Roman" w:hAnsi="Times New Roman" w:cs="Times New Roman" w:eastAsia="Times New Roman" w:hint="default"/>
        </w:rPr>
        <w:t>2</w:t>
      </w:r>
      <w:r>
        <w:rPr/>
        <w:t>、关于董事会。董事与董事会严格履行职责。公司董事会由七名董事组成，其 </w:t>
      </w:r>
      <w:r>
        <w:rPr>
          <w:spacing w:val="-2"/>
        </w:rPr>
        <w:t>中三名为独立董事。董事会下设审计、提名、薪酬与考核、战略四个专门委员会，专</w:t>
      </w:r>
      <w:r>
        <w:rPr>
          <w:spacing w:val="-96"/>
        </w:rPr>
        <w:t> </w:t>
      </w:r>
      <w:r>
        <w:rPr>
          <w:spacing w:val="-96"/>
        </w:rPr>
      </w:r>
      <w:r>
        <w:rPr>
          <w:spacing w:val="-2"/>
        </w:rPr>
        <w:t>门委员会成员全部由董事组成，各委员会中独立董事占三分之二并担任召集人，审计</w:t>
      </w:r>
      <w:r>
        <w:rPr>
          <w:spacing w:val="-94"/>
        </w:rPr>
        <w:t> </w:t>
      </w:r>
      <w:r>
        <w:rPr>
          <w:spacing w:val="-94"/>
        </w:rPr>
      </w:r>
      <w:r>
        <w:rPr>
          <w:spacing w:val="-2"/>
        </w:rPr>
        <w:t>委员会中有一名独立董事是会计专业人士。董事会及各专门委员会制订了相应的议事</w:t>
      </w:r>
      <w:r>
        <w:rPr>
          <w:spacing w:val="-94"/>
        </w:rPr>
        <w:t> </w:t>
      </w:r>
      <w:r>
        <w:rPr>
          <w:spacing w:val="-94"/>
        </w:rPr>
      </w:r>
      <w:r>
        <w:rPr>
          <w:spacing w:val="-2"/>
        </w:rPr>
        <w:t>规则或工作规程。专门委员会设立以来，公司各相关部门做好与各专门委员会的工作</w:t>
      </w:r>
      <w:r>
        <w:rPr>
          <w:spacing w:val="-94"/>
        </w:rPr>
        <w:t> </w:t>
      </w:r>
      <w:r>
        <w:rPr>
          <w:spacing w:val="-94"/>
        </w:rPr>
      </w:r>
      <w:r>
        <w:rPr>
          <w:spacing w:val="-2"/>
        </w:rPr>
        <w:t>衔接。公司董事积极参加有关培训，学习有关的法律法规，了解作为董事的权利、义</w:t>
      </w:r>
      <w:r>
        <w:rPr>
          <w:spacing w:val="-94"/>
        </w:rPr>
        <w:t> </w:t>
      </w:r>
      <w:r>
        <w:rPr>
          <w:spacing w:val="-94"/>
        </w:rPr>
      </w:r>
      <w:r>
        <w:rPr>
          <w:spacing w:val="-2"/>
        </w:rPr>
        <w:t>务和责任，认真审阅董事会和股东大会的各项议案，以认真负责的态度出席或授权委</w:t>
      </w:r>
      <w:r>
        <w:rPr>
          <w:spacing w:val="-94"/>
        </w:rPr>
        <w:t> </w:t>
      </w:r>
      <w:r>
        <w:rPr>
          <w:spacing w:val="-94"/>
        </w:rPr>
      </w:r>
      <w:r>
        <w:rPr/>
        <w:t>托参加董事会和股东大会，为公司科学决策提供强有力的支持。</w:t>
      </w:r>
    </w:p>
    <w:p>
      <w:pPr>
        <w:pStyle w:val="BodyText"/>
        <w:spacing w:line="350" w:lineRule="auto" w:before="38"/>
        <w:ind w:right="111" w:firstLine="479"/>
        <w:jc w:val="both"/>
      </w:pPr>
      <w:r>
        <w:rPr>
          <w:rFonts w:ascii="Times New Roman" w:hAnsi="Times New Roman" w:cs="Times New Roman" w:eastAsia="Times New Roman" w:hint="default"/>
        </w:rPr>
        <w:t>3</w:t>
      </w:r>
      <w:r>
        <w:rPr/>
        <w:t>、关于监事会。公司监事会由三名监事组成。本着对全体股东负责的精神，监 </w:t>
      </w:r>
      <w:r>
        <w:rPr>
          <w:spacing w:val="-2"/>
        </w:rPr>
        <w:t>事严格按照法律、法规、《公司章程》及《监事会议事规则》等规定认真履行自己的</w:t>
      </w:r>
      <w:r>
        <w:rPr>
          <w:spacing w:val="-96"/>
        </w:rPr>
        <w:t> </w:t>
      </w:r>
      <w:r>
        <w:rPr>
          <w:spacing w:val="-96"/>
        </w:rPr>
      </w:r>
      <w:r>
        <w:rPr>
          <w:spacing w:val="-2"/>
        </w:rPr>
        <w:t>职责，规范运作，对公司财务以及公司董事、高级管理人员履行职责的合法合规性进</w:t>
      </w:r>
      <w:r>
        <w:rPr>
          <w:spacing w:val="-92"/>
        </w:rPr>
        <w:t> </w:t>
      </w:r>
      <w:r>
        <w:rPr>
          <w:spacing w:val="-92"/>
        </w:rPr>
      </w:r>
      <w:r>
        <w:rPr/>
        <w:t>行监督。</w:t>
      </w:r>
    </w:p>
    <w:p>
      <w:pPr>
        <w:pStyle w:val="BodyText"/>
        <w:spacing w:line="348" w:lineRule="auto" w:before="43"/>
        <w:ind w:right="112" w:firstLine="479"/>
        <w:jc w:val="both"/>
      </w:pPr>
      <w:r>
        <w:rPr>
          <w:rFonts w:ascii="Times New Roman" w:hAnsi="Times New Roman" w:cs="Times New Roman" w:eastAsia="Times New Roman" w:hint="default"/>
        </w:rPr>
        <w:t>4</w:t>
      </w:r>
      <w:r>
        <w:rPr/>
        <w:t>、关于投资者关系管理。公开、公平、守信地对待公司相关投资者，持续提升 </w:t>
      </w:r>
      <w:r>
        <w:rPr>
          <w:spacing w:val="-2"/>
        </w:rPr>
        <w:t>投资者关系管理。根据《国务院办公厅关于进一步加强资本市场中小投资者合法权益</w:t>
      </w:r>
      <w:r>
        <w:rPr>
          <w:spacing w:val="-94"/>
        </w:rPr>
        <w:t> </w:t>
      </w:r>
      <w:r>
        <w:rPr>
          <w:spacing w:val="-94"/>
        </w:rPr>
      </w:r>
      <w:r>
        <w:rPr>
          <w:spacing w:val="-2"/>
        </w:rPr>
        <w:t>保护工作的意见》、上交所《关于推进上市公司召开投资者说明会工作的通知》、浙</w:t>
      </w:r>
      <w:r>
        <w:rPr>
          <w:spacing w:val="-96"/>
        </w:rPr>
        <w:t> </w:t>
      </w:r>
      <w:r>
        <w:rPr>
          <w:spacing w:val="-96"/>
        </w:rPr>
      </w:r>
      <w:r>
        <w:rPr>
          <w:spacing w:val="-3"/>
        </w:rPr>
        <w:t>江证监局《关于印发</w:t>
      </w:r>
      <w:r>
        <w:rPr>
          <w:rFonts w:ascii="Times New Roman" w:hAnsi="Times New Roman" w:cs="Times New Roman" w:eastAsia="Times New Roman" w:hint="default"/>
          <w:spacing w:val="-3"/>
        </w:rPr>
        <w:t>&lt;</w:t>
      </w:r>
      <w:r>
        <w:rPr>
          <w:spacing w:val="-3"/>
        </w:rPr>
        <w:t>浙江辖区上市公司投资者接待日工作指引</w:t>
      </w:r>
      <w:r>
        <w:rPr>
          <w:rFonts w:ascii="Times New Roman" w:hAnsi="Times New Roman" w:cs="Times New Roman" w:eastAsia="Times New Roman" w:hint="default"/>
          <w:spacing w:val="-3"/>
        </w:rPr>
        <w:t>&gt;</w:t>
      </w:r>
      <w:r>
        <w:rPr>
          <w:spacing w:val="-3"/>
        </w:rPr>
        <w:t>的通知》等要求，完</w:t>
      </w:r>
      <w:r>
        <w:rPr>
          <w:spacing w:val="-87"/>
        </w:rPr>
        <w:t> </w:t>
      </w:r>
      <w:r>
        <w:rPr>
          <w:spacing w:val="-87"/>
        </w:rPr>
      </w:r>
      <w:r>
        <w:rPr/>
        <w:t>善投资者关系管理，开通投资者互动平台，举行</w:t>
      </w:r>
      <w:r>
        <w:rPr>
          <w:spacing w:val="-60"/>
        </w:rPr>
        <w:t> </w:t>
      </w:r>
      <w:r>
        <w:rPr>
          <w:rFonts w:ascii="Times New Roman" w:hAnsi="Times New Roman" w:cs="Times New Roman" w:eastAsia="Times New Roman" w:hint="default"/>
        </w:rPr>
        <w:t>2016 </w:t>
      </w:r>
      <w:r>
        <w:rPr/>
        <w:t>年度业绩说明会，就公司的经 </w:t>
      </w:r>
      <w:r>
        <w:rPr>
          <w:spacing w:val="-2"/>
        </w:rPr>
        <w:t>营业绩、发展战略、分配方案等情况与广大投资者沟通，聆听投资者意见并传递公司</w:t>
      </w:r>
      <w:r>
        <w:rPr>
          <w:spacing w:val="-93"/>
        </w:rPr>
        <w:t> </w:t>
      </w:r>
      <w:r>
        <w:rPr>
          <w:spacing w:val="-93"/>
        </w:rPr>
      </w:r>
      <w:r>
        <w:rPr/>
        <w:t>信息，切实维护投资者的合法权益。</w:t>
      </w:r>
    </w:p>
    <w:p>
      <w:pPr>
        <w:pStyle w:val="BodyText"/>
        <w:spacing w:line="352" w:lineRule="auto" w:before="46"/>
        <w:ind w:right="111" w:firstLine="479"/>
        <w:jc w:val="both"/>
      </w:pPr>
      <w:r>
        <w:rPr>
          <w:rFonts w:ascii="Times New Roman" w:hAnsi="Times New Roman" w:cs="Times New Roman" w:eastAsia="Times New Roman" w:hint="default"/>
        </w:rPr>
        <w:t>5</w:t>
      </w:r>
      <w:r>
        <w:rPr/>
        <w:t>、关于信息披露。依法履行信息披露义务、接待来访、回答咨询等，持续优化 </w:t>
      </w:r>
      <w:r>
        <w:rPr>
          <w:spacing w:val="-8"/>
        </w:rPr>
        <w:t>信息披露的流程，切实提升披露质量。公司能够按照法律、法规、《公司章程》和《信</w:t>
      </w:r>
      <w:r>
        <w:rPr>
          <w:spacing w:val="-103"/>
        </w:rPr>
        <w:t> </w:t>
      </w:r>
      <w:r>
        <w:rPr>
          <w:spacing w:val="-103"/>
        </w:rPr>
      </w:r>
      <w:r>
        <w:rPr>
          <w:spacing w:val="-2"/>
        </w:rPr>
        <w:t>息披露管理制度》的规定，真实、准确、完整、及时地披露有关信息，并做好信息披</w:t>
      </w:r>
      <w:r>
        <w:rPr>
          <w:spacing w:val="-97"/>
        </w:rPr>
        <w:t> </w:t>
      </w:r>
      <w:r>
        <w:rPr>
          <w:spacing w:val="-97"/>
        </w:rPr>
      </w:r>
      <w:r>
        <w:rPr>
          <w:spacing w:val="-2"/>
        </w:rPr>
        <w:t>露前的保密工作，确保所有股东均能公平、公正地获得信息。在不涉及经营机密的基</w:t>
      </w:r>
      <w:r>
        <w:rPr>
          <w:spacing w:val="-94"/>
        </w:rPr>
        <w:t> </w:t>
      </w:r>
      <w:r>
        <w:rPr>
          <w:spacing w:val="-94"/>
        </w:rPr>
      </w:r>
      <w:r>
        <w:rPr>
          <w:spacing w:val="-2"/>
        </w:rPr>
        <w:t>础上，在公司网站上主动披露决策、经营及管理信息，使所有投资者有平等的机会获</w:t>
      </w:r>
      <w:r>
        <w:rPr>
          <w:spacing w:val="-94"/>
        </w:rPr>
        <w:t> </w:t>
      </w:r>
      <w:r>
        <w:rPr>
          <w:spacing w:val="-94"/>
        </w:rPr>
      </w:r>
      <w:r>
        <w:rPr/>
        <w:t>得信息。</w:t>
      </w:r>
    </w:p>
    <w:p>
      <w:pPr>
        <w:pStyle w:val="BodyText"/>
        <w:spacing w:line="357" w:lineRule="auto" w:before="41"/>
        <w:ind w:right="111" w:firstLine="479"/>
        <w:jc w:val="both"/>
      </w:pPr>
      <w:r>
        <w:rPr>
          <w:rFonts w:ascii="宋体" w:hAnsi="宋体" w:cs="宋体" w:eastAsia="宋体" w:hint="default"/>
        </w:rPr>
        <w:t>6</w:t>
      </w:r>
      <w:r>
        <w:rPr/>
        <w:t>、关于利益相关者。公司不仅维护股东的利益，同时能够充分尊重和维护银行 </w:t>
      </w:r>
      <w:r>
        <w:rPr>
          <w:spacing w:val="-2"/>
        </w:rPr>
        <w:t>及其他债权人、职工、客户等其他相关利益者的合法权益，在经济交往中，做到诚实</w:t>
      </w:r>
      <w:r>
        <w:rPr>
          <w:spacing w:val="-93"/>
        </w:rPr>
        <w:t> </w:t>
      </w:r>
      <w:r>
        <w:rPr>
          <w:spacing w:val="-93"/>
        </w:rPr>
      </w:r>
      <w:r>
        <w:rPr>
          <w:spacing w:val="-2"/>
        </w:rPr>
        <w:t>守信，公平交易，使公司稳健成长。公司尊重投资者、债权人、员工、消费者等利益</w:t>
      </w:r>
      <w:r>
        <w:rPr>
          <w:spacing w:val="-97"/>
        </w:rPr>
        <w:t> </w:t>
      </w:r>
      <w:r>
        <w:rPr>
          <w:spacing w:val="-97"/>
        </w:rPr>
      </w:r>
      <w:r>
        <w:rPr>
          <w:spacing w:val="-2"/>
        </w:rPr>
        <w:t>相关者的合法权利，并积极合作推动公司持续健康发展。同时，公司有较强的社会责</w:t>
      </w:r>
    </w:p>
    <w:p>
      <w:pPr>
        <w:pStyle w:val="BodyText"/>
        <w:spacing w:line="240" w:lineRule="auto" w:before="36"/>
        <w:ind w:right="0"/>
        <w:jc w:val="left"/>
      </w:pPr>
      <w:r>
        <w:rPr/>
        <w:t>任意识，在精准扶贫、公益事业、环境保护等方面积极相应国家号召。</w:t>
      </w:r>
    </w:p>
    <w:p>
      <w:pPr>
        <w:spacing w:after="0" w:line="240" w:lineRule="auto"/>
        <w:jc w:val="left"/>
        <w:sectPr>
          <w:footerReference w:type="default" r:id="rId48"/>
          <w:pgSz w:w="11910" w:h="16840"/>
          <w:pgMar w:footer="1195" w:header="0" w:top="1100" w:bottom="1380" w:left="1660" w:right="1160"/>
          <w:pgNumType w:start="63"/>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left="218" w:right="0" w:firstLine="479"/>
        <w:jc w:val="left"/>
      </w:pPr>
      <w:r>
        <w:rPr>
          <w:spacing w:val="-2"/>
        </w:rPr>
        <w:t>公司治理与中国证监会相关规定的要求是否存在重大差异；如有重大差异，应当</w:t>
      </w:r>
      <w:r>
        <w:rPr/>
        <w:t> 说明原因</w:t>
      </w:r>
    </w:p>
    <w:p>
      <w:pPr>
        <w:pStyle w:val="BodyText"/>
        <w:spacing w:line="281" w:lineRule="exact"/>
        <w:ind w:left="218" w:right="233"/>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tabs>
          <w:tab w:pos="1057" w:val="left" w:leader="none"/>
        </w:tabs>
        <w:spacing w:line="240" w:lineRule="auto" w:before="0"/>
        <w:ind w:right="233"/>
        <w:jc w:val="left"/>
        <w:rPr>
          <w:b w:val="0"/>
          <w:bCs w:val="0"/>
        </w:rPr>
      </w:pPr>
      <w:r>
        <w:rPr/>
        <w:t>二、</w:t>
        <w:tab/>
        <w:t>股东大会情况简介</w:t>
      </w:r>
      <w:r>
        <w:rPr>
          <w:b w:val="0"/>
          <w:bCs w:val="0"/>
        </w:rPr>
      </w:r>
    </w:p>
    <w:p>
      <w:pPr>
        <w:spacing w:line="240" w:lineRule="auto" w:before="7"/>
        <w:rPr>
          <w:rFonts w:ascii="宋体" w:hAnsi="宋体" w:cs="宋体" w:eastAsia="宋体" w:hint="default"/>
          <w:b/>
          <w:bCs/>
          <w:sz w:val="7"/>
          <w:szCs w:val="7"/>
        </w:rPr>
      </w:pPr>
    </w:p>
    <w:tbl>
      <w:tblPr>
        <w:tblW w:w="0" w:type="auto"/>
        <w:jc w:val="left"/>
        <w:tblInd w:w="393" w:type="dxa"/>
        <w:tblLayout w:type="fixed"/>
        <w:tblCellMar>
          <w:top w:w="0" w:type="dxa"/>
          <w:left w:w="0" w:type="dxa"/>
          <w:bottom w:w="0" w:type="dxa"/>
          <w:right w:w="0" w:type="dxa"/>
        </w:tblCellMar>
        <w:tblLook w:val="01E0"/>
      </w:tblPr>
      <w:tblGrid>
        <w:gridCol w:w="3368"/>
        <w:gridCol w:w="1419"/>
        <w:gridCol w:w="2098"/>
        <w:gridCol w:w="1589"/>
      </w:tblGrid>
      <w:tr>
        <w:trPr>
          <w:trHeight w:val="55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3"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站的查询索引</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决议刊登的披</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露日期</w:t>
            </w:r>
          </w:p>
        </w:tc>
      </w:tr>
      <w:tr>
        <w:trPr>
          <w:trHeight w:val="28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2017-4-5</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1">
              <w:r>
                <w:rPr>
                  <w:rFonts w:ascii="宋体"/>
                  <w:sz w:val="21"/>
                </w:rPr>
                <w:t>www.sse.com.cn</w:t>
              </w:r>
            </w:hyperlink>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2017-4-6</w:t>
            </w:r>
          </w:p>
        </w:tc>
      </w:tr>
      <w:tr>
        <w:trPr>
          <w:trHeight w:val="28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2017-4-24</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1">
              <w:r>
                <w:rPr>
                  <w:rFonts w:ascii="宋体"/>
                  <w:sz w:val="21"/>
                </w:rPr>
                <w:t>www.sse.com.cn</w:t>
              </w:r>
            </w:hyperlink>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2017-4-25</w:t>
            </w:r>
          </w:p>
        </w:tc>
      </w:tr>
      <w:tr>
        <w:trPr>
          <w:trHeight w:val="28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2017-5-19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1">
              <w:r>
                <w:rPr>
                  <w:rFonts w:ascii="宋体"/>
                  <w:sz w:val="21"/>
                </w:rPr>
                <w:t>www.sse.com.cn</w:t>
              </w:r>
            </w:hyperlink>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2017-5-20</w:t>
            </w:r>
          </w:p>
        </w:tc>
      </w:tr>
      <w:tr>
        <w:trPr>
          <w:trHeight w:val="28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年第三次临时股东大会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2017-10-10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1">
              <w:r>
                <w:rPr>
                  <w:rFonts w:ascii="宋体"/>
                  <w:sz w:val="21"/>
                </w:rPr>
                <w:t>www.sse.com.cn</w:t>
              </w:r>
            </w:hyperlink>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2017-10-11</w:t>
            </w:r>
          </w:p>
        </w:tc>
      </w:tr>
      <w:tr>
        <w:trPr>
          <w:trHeight w:val="28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年第四次临时股东大会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2017-10-17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1">
              <w:r>
                <w:rPr>
                  <w:rFonts w:ascii="宋体"/>
                  <w:sz w:val="21"/>
                </w:rPr>
                <w:t>www.sse.com.cn</w:t>
              </w:r>
            </w:hyperlink>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2017-10-18</w:t>
            </w:r>
          </w:p>
        </w:tc>
      </w:tr>
      <w:tr>
        <w:trPr>
          <w:trHeight w:val="28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年第五次临时股东大会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2017-11-9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1">
              <w:r>
                <w:rPr>
                  <w:rFonts w:ascii="宋体"/>
                  <w:sz w:val="21"/>
                </w:rPr>
                <w:t>www.sse.com.cn</w:t>
              </w:r>
            </w:hyperlink>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2017-11-10</w:t>
            </w:r>
          </w:p>
        </w:tc>
      </w:tr>
    </w:tbl>
    <w:p>
      <w:pPr>
        <w:spacing w:line="240" w:lineRule="auto" w:before="8"/>
        <w:rPr>
          <w:rFonts w:ascii="宋体" w:hAnsi="宋体" w:cs="宋体" w:eastAsia="宋体" w:hint="default"/>
          <w:b/>
          <w:bCs/>
          <w:sz w:val="18"/>
          <w:szCs w:val="18"/>
        </w:rPr>
      </w:pPr>
    </w:p>
    <w:p>
      <w:pPr>
        <w:pStyle w:val="BodyText"/>
        <w:spacing w:line="313" w:lineRule="exact" w:before="26"/>
        <w:ind w:left="218" w:right="233"/>
        <w:jc w:val="left"/>
      </w:pPr>
      <w:r>
        <w:rPr/>
        <w:t>股东大会情况说明</w:t>
      </w:r>
    </w:p>
    <w:p>
      <w:pPr>
        <w:pStyle w:val="BodyText"/>
        <w:spacing w:line="313" w:lineRule="exact"/>
        <w:ind w:left="218" w:right="233"/>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tabs>
          <w:tab w:pos="1057" w:val="left" w:leader="none"/>
        </w:tabs>
        <w:spacing w:line="240" w:lineRule="auto" w:before="0"/>
        <w:ind w:right="233"/>
        <w:jc w:val="left"/>
        <w:rPr>
          <w:b w:val="0"/>
          <w:bCs w:val="0"/>
        </w:rPr>
      </w:pPr>
      <w:r>
        <w:rPr/>
        <w:t>三、</w:t>
        <w:tab/>
        <w:t>董事履行职责情况</w:t>
      </w:r>
      <w:r>
        <w:rPr>
          <w:b w:val="0"/>
          <w:bCs w:val="0"/>
        </w:rPr>
      </w:r>
    </w:p>
    <w:p>
      <w:pPr>
        <w:pStyle w:val="Heading2"/>
        <w:tabs>
          <w:tab w:pos="1057" w:val="left" w:leader="none"/>
        </w:tabs>
        <w:spacing w:line="240" w:lineRule="auto" w:before="58"/>
        <w:ind w:right="233"/>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董事参加董事会和股东大会的情况</w:t>
      </w:r>
      <w:r>
        <w:rPr>
          <w:b w:val="0"/>
          <w:bCs w:val="0"/>
        </w:rPr>
      </w:r>
    </w:p>
    <w:p>
      <w:pPr>
        <w:spacing w:line="240" w:lineRule="auto" w:before="7"/>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2"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5</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叶正猛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4</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5</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金雪军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王泽霞</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王晓梅</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bl>
    <w:p>
      <w:pPr>
        <w:spacing w:line="240" w:lineRule="auto" w:before="11"/>
        <w:rPr>
          <w:rFonts w:ascii="宋体" w:hAnsi="宋体" w:cs="宋体" w:eastAsia="宋体" w:hint="default"/>
          <w:b/>
          <w:bCs/>
          <w:sz w:val="18"/>
          <w:szCs w:val="18"/>
        </w:rPr>
      </w:pPr>
    </w:p>
    <w:p>
      <w:pPr>
        <w:pStyle w:val="BodyText"/>
        <w:spacing w:line="312" w:lineRule="exact" w:before="26"/>
        <w:ind w:left="218" w:right="233"/>
        <w:jc w:val="left"/>
      </w:pPr>
      <w:r>
        <w:rPr/>
        <w:t>连续两次未亲自出席董事会会议的说明</w:t>
      </w:r>
    </w:p>
    <w:p>
      <w:pPr>
        <w:pStyle w:val="BodyText"/>
        <w:spacing w:line="312" w:lineRule="exact"/>
        <w:ind w:left="218" w:right="233"/>
        <w:jc w:val="left"/>
      </w:pPr>
      <w:r>
        <w:rPr/>
        <w:t>□适用</w:t>
      </w:r>
      <w:r>
        <w:rPr>
          <w:spacing w:val="-1"/>
        </w:rPr>
        <w:t> </w:t>
      </w:r>
      <w:r>
        <w:rPr/>
        <w:t>√不适用</w:t>
      </w:r>
    </w:p>
    <w:p>
      <w:pPr>
        <w:spacing w:line="240" w:lineRule="auto" w:before="10"/>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5639"/>
        <w:gridCol w:w="3411"/>
      </w:tblGrid>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5"/>
        <w:rPr>
          <w:rFonts w:ascii="宋体" w:hAnsi="宋体" w:cs="宋体" w:eastAsia="宋体" w:hint="default"/>
          <w:sz w:val="23"/>
          <w:szCs w:val="23"/>
        </w:rPr>
      </w:pPr>
    </w:p>
    <w:p>
      <w:pPr>
        <w:pStyle w:val="Heading2"/>
        <w:tabs>
          <w:tab w:pos="1057" w:val="left" w:leader="none"/>
        </w:tabs>
        <w:spacing w:line="240" w:lineRule="auto"/>
        <w:ind w:right="233"/>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独立董事对公司有关事项提出异议的情况</w:t>
      </w:r>
      <w:r>
        <w:rPr>
          <w:b w:val="0"/>
          <w:bCs w:val="0"/>
        </w:rPr>
      </w:r>
    </w:p>
    <w:p>
      <w:pPr>
        <w:pStyle w:val="BodyText"/>
        <w:spacing w:line="240" w:lineRule="auto" w:before="58"/>
        <w:ind w:left="218" w:right="233"/>
        <w:jc w:val="left"/>
      </w:pPr>
      <w:r>
        <w:rPr/>
        <w:t>□适用</w:t>
      </w:r>
      <w:r>
        <w:rPr>
          <w:spacing w:val="-1"/>
        </w:rPr>
        <w:t> </w:t>
      </w:r>
      <w:r>
        <w:rPr/>
        <w:t>√不适用</w:t>
      </w:r>
    </w:p>
    <w:p>
      <w:pPr>
        <w:spacing w:after="0" w:line="240" w:lineRule="auto"/>
        <w:jc w:val="left"/>
        <w:sectPr>
          <w:pgSz w:w="11910" w:h="16840"/>
          <w:pgMar w:header="0" w:footer="1195" w:top="1100" w:bottom="1380" w:left="1580" w:right="1040"/>
        </w:sectPr>
      </w:pPr>
    </w:p>
    <w:p>
      <w:pPr>
        <w:spacing w:line="240" w:lineRule="auto" w:before="13"/>
        <w:rPr>
          <w:rFonts w:ascii="宋体" w:hAnsi="宋体" w:cs="宋体" w:eastAsia="宋体" w:hint="default"/>
          <w:sz w:val="25"/>
          <w:szCs w:val="25"/>
        </w:rPr>
      </w:pPr>
    </w:p>
    <w:p>
      <w:pPr>
        <w:pStyle w:val="Heading2"/>
        <w:tabs>
          <w:tab w:pos="1477" w:val="left" w:leader="none"/>
        </w:tabs>
        <w:spacing w:line="312" w:lineRule="exact" w:before="56"/>
        <w:ind w:left="1062" w:right="654" w:hanging="425"/>
        <w:jc w:val="left"/>
        <w:rPr>
          <w:b w:val="0"/>
          <w:bCs w:val="0"/>
        </w:rPr>
      </w:pPr>
      <w:r>
        <w:rPr/>
        <w:t>四、</w:t>
        <w:tab/>
        <w:t>董事会下设专门委员会在报告期内履行职责时所提出的重要意见和建议，存</w:t>
      </w:r>
      <w:r>
        <w:rPr>
          <w:spacing w:val="-93"/>
        </w:rPr>
        <w:t> </w:t>
      </w:r>
      <w:r>
        <w:rPr>
          <w:spacing w:val="-93"/>
        </w:rPr>
      </w:r>
      <w:r>
        <w:rPr/>
        <w:t>在异议事项的，应当披露具体情况</w:t>
      </w:r>
      <w:r>
        <w:rPr>
          <w:b w:val="0"/>
          <w:bCs w:val="0"/>
        </w:rPr>
      </w:r>
    </w:p>
    <w:p>
      <w:pPr>
        <w:pStyle w:val="BodyText"/>
        <w:tabs>
          <w:tab w:pos="1597" w:val="left" w:leader="none"/>
        </w:tabs>
        <w:spacing w:line="310" w:lineRule="exact" w:before="61"/>
        <w:ind w:left="1118" w:right="652" w:hanging="480"/>
        <w:jc w:val="left"/>
      </w:pPr>
      <w:r>
        <w:rPr>
          <w:spacing w:val="-1"/>
        </w:rPr>
        <w:t>√适用</w:t>
        <w:tab/>
      </w:r>
      <w:r>
        <w:rPr/>
        <w:t>□不适用</w:t>
      </w:r>
      <w:r>
        <w:rPr/>
        <w:t> </w:t>
      </w:r>
      <w:r>
        <w:rPr>
          <w:spacing w:val="-2"/>
        </w:rPr>
        <w:t>期内，公司董事会下设审计委员会、薪酬与考核委员会、提名委员会和战略决策</w:t>
      </w:r>
    </w:p>
    <w:p>
      <w:pPr>
        <w:pStyle w:val="BodyText"/>
        <w:spacing w:line="357" w:lineRule="auto" w:before="125"/>
        <w:ind w:left="1118" w:right="0" w:hanging="480"/>
        <w:jc w:val="left"/>
      </w:pPr>
      <w:r>
        <w:rPr/>
        <w:t>委员会均按照工作细则的规定，以认真负责、勤勉诚信的态度履行职责。 </w:t>
      </w:r>
      <w:r>
        <w:rPr>
          <w:spacing w:val="-2"/>
        </w:rPr>
        <w:t>期内，审计委员会独立履行内控机制的监督、检查与评价职能，提出内控机制存</w:t>
      </w:r>
    </w:p>
    <w:p>
      <w:pPr>
        <w:pStyle w:val="BodyText"/>
        <w:spacing w:line="357" w:lineRule="auto" w:before="34"/>
        <w:ind w:left="638" w:right="654"/>
        <w:jc w:val="both"/>
      </w:pPr>
      <w:r>
        <w:rPr>
          <w:spacing w:val="-2"/>
        </w:rPr>
        <w:t>在的缺陷和改进建议，向管理层及董事会报告内控机制建设与内控制度执行情况。本</w:t>
      </w:r>
      <w:r>
        <w:rPr>
          <w:spacing w:val="-94"/>
        </w:rPr>
        <w:t> </w:t>
      </w:r>
      <w:r>
        <w:rPr>
          <w:spacing w:val="-94"/>
        </w:rPr>
      </w:r>
      <w:r>
        <w:rPr>
          <w:spacing w:val="-2"/>
        </w:rPr>
        <w:t>着勤勉尽职的原则，审计委员会依法规范地履行职责，召开审计委员会会议和沟通会</w:t>
      </w:r>
      <w:r>
        <w:rPr>
          <w:spacing w:val="-94"/>
        </w:rPr>
        <w:t> </w:t>
      </w:r>
      <w:r>
        <w:rPr>
          <w:spacing w:val="-94"/>
        </w:rPr>
      </w:r>
      <w:r>
        <w:rPr>
          <w:rFonts w:ascii="宋体" w:hAnsi="宋体" w:cs="宋体" w:eastAsia="宋体" w:hint="default"/>
        </w:rPr>
        <w:t>7</w:t>
      </w:r>
      <w:r>
        <w:rPr>
          <w:rFonts w:ascii="宋体" w:hAnsi="宋体" w:cs="宋体" w:eastAsia="宋体" w:hint="default"/>
          <w:spacing w:val="-60"/>
        </w:rPr>
        <w:t> </w:t>
      </w:r>
      <w:r>
        <w:rPr/>
        <w:t>次，表决审议事项</w:t>
      </w:r>
      <w:r>
        <w:rPr>
          <w:spacing w:val="-60"/>
        </w:rPr>
        <w:t> </w:t>
      </w:r>
      <w:r>
        <w:rPr>
          <w:rFonts w:ascii="宋体" w:hAnsi="宋体" w:cs="宋体" w:eastAsia="宋体" w:hint="default"/>
        </w:rPr>
        <w:t>9</w:t>
      </w:r>
      <w:r>
        <w:rPr>
          <w:rFonts w:ascii="宋体" w:hAnsi="宋体" w:cs="宋体" w:eastAsia="宋体" w:hint="default"/>
          <w:spacing w:val="-60"/>
        </w:rPr>
        <w:t> </w:t>
      </w:r>
      <w:r>
        <w:rPr/>
        <w:t>项，对定期财务报告、担保事项、审计师聘任、审计费用、内 部控制制度建设等事项进行审议。</w:t>
      </w:r>
    </w:p>
    <w:p>
      <w:pPr>
        <w:pStyle w:val="BodyText"/>
        <w:spacing w:line="357" w:lineRule="auto" w:before="34"/>
        <w:ind w:left="638" w:right="651" w:firstLine="479"/>
        <w:jc w:val="both"/>
      </w:pPr>
      <w:r>
        <w:rPr>
          <w:spacing w:val="-2"/>
        </w:rPr>
        <w:t>期内，薪酬与考核委员会共召开了一次会议，对董事、监事津贴和高管薪酬发表</w:t>
      </w:r>
      <w:r>
        <w:rPr/>
        <w:t> 了专业意见，拟订了</w:t>
      </w:r>
      <w:r>
        <w:rPr>
          <w:spacing w:val="-60"/>
        </w:rPr>
        <w:t> </w:t>
      </w:r>
      <w:r>
        <w:rPr>
          <w:rFonts w:ascii="宋体" w:hAnsi="宋体" w:cs="宋体" w:eastAsia="宋体" w:hint="default"/>
        </w:rPr>
        <w:t>2016</w:t>
      </w:r>
      <w:r>
        <w:rPr>
          <w:rFonts w:ascii="宋体" w:hAnsi="宋体" w:cs="宋体" w:eastAsia="宋体" w:hint="default"/>
          <w:spacing w:val="-60"/>
        </w:rPr>
        <w:t> </w:t>
      </w:r>
      <w:r>
        <w:rPr/>
        <w:t>年度董事、监事和高级管理人员的薪酬标准并提交公司董 事会审议。</w:t>
      </w:r>
    </w:p>
    <w:p>
      <w:pPr>
        <w:pStyle w:val="BodyText"/>
        <w:spacing w:line="357" w:lineRule="auto" w:before="36"/>
        <w:ind w:left="638" w:right="0" w:firstLine="479"/>
        <w:jc w:val="left"/>
      </w:pPr>
      <w:r>
        <w:rPr/>
        <w:t>期内，提名委员会对公司人力资源部的运作及子公司高级管理人员的选择标准和 选择提出了一些建议；同时根据公司经营活动情况、资产规模和股权结构对公司管理 层结构和总部部门调整向董事会提出建议。公司地产业务组织架构逐步完善，在设计 管理中心、成本管理中心、工程管理中心、营销管理中心之外新增酒店管理事业部、</w:t>
      </w:r>
      <w:r>
        <w:rPr>
          <w:spacing w:val="-63"/>
        </w:rPr>
        <w:t> </w:t>
      </w:r>
      <w:r>
        <w:rPr>
          <w:spacing w:val="-63"/>
        </w:rPr>
      </w:r>
      <w:r>
        <w:rPr/>
        <w:t>商业管理事业部，在上海新增上海地产产品中心；同时将成本管理中心按职责及专业</w:t>
      </w:r>
      <w:r>
        <w:rPr/>
        <w:t> 划分为土建景观部、安装部、装饰部、合约部、采购部，完善了公司管理的专业划分 和员工人才梯队建设。</w:t>
      </w:r>
    </w:p>
    <w:p>
      <w:pPr>
        <w:pStyle w:val="BodyText"/>
        <w:spacing w:line="357" w:lineRule="auto" w:before="36"/>
        <w:ind w:left="638" w:right="654" w:firstLine="479"/>
        <w:jc w:val="both"/>
      </w:pPr>
      <w:r>
        <w:rPr/>
        <w:t>期内，战略决策委员会作为负责公司长期发展战略和重大投资决策的专门机构</w:t>
      </w:r>
      <w:r>
        <w:rPr>
          <w:rFonts w:ascii="宋体" w:hAnsi="宋体" w:cs="宋体" w:eastAsia="宋体" w:hint="default"/>
        </w:rPr>
        <w:t>, </w:t>
      </w:r>
      <w:r>
        <w:rPr>
          <w:spacing w:val="-2"/>
        </w:rPr>
        <w:t>针对宏观环境和行业形势的变化，提出在夯实地产业务的同时，要加快转型步伐，前</w:t>
      </w:r>
      <w:r>
        <w:rPr>
          <w:spacing w:val="-96"/>
        </w:rPr>
        <w:t> </w:t>
      </w:r>
      <w:r>
        <w:rPr>
          <w:spacing w:val="-96"/>
        </w:rPr>
      </w:r>
      <w:r>
        <w:rPr/>
        <w:t>瞻布局未来，加大了对金融及金融科技和聚焦于高科技的股权投资力度。</w:t>
      </w:r>
    </w:p>
    <w:p>
      <w:pPr>
        <w:spacing w:line="240" w:lineRule="auto" w:before="0"/>
        <w:rPr>
          <w:rFonts w:ascii="宋体" w:hAnsi="宋体" w:cs="宋体" w:eastAsia="宋体" w:hint="default"/>
          <w:sz w:val="31"/>
          <w:szCs w:val="31"/>
        </w:rPr>
      </w:pPr>
    </w:p>
    <w:p>
      <w:pPr>
        <w:pStyle w:val="Heading2"/>
        <w:tabs>
          <w:tab w:pos="1477" w:val="left" w:leader="none"/>
        </w:tabs>
        <w:spacing w:line="240" w:lineRule="auto" w:before="0"/>
        <w:ind w:left="638" w:right="654"/>
        <w:jc w:val="left"/>
        <w:rPr>
          <w:b w:val="0"/>
          <w:bCs w:val="0"/>
        </w:rPr>
      </w:pPr>
      <w:r>
        <w:rPr/>
        <w:t>五、</w:t>
        <w:tab/>
        <w:t>监事会发现公司存在风险的说明</w:t>
      </w:r>
      <w:r>
        <w:rPr>
          <w:b w:val="0"/>
          <w:bCs w:val="0"/>
        </w:rPr>
      </w:r>
    </w:p>
    <w:p>
      <w:pPr>
        <w:pStyle w:val="BodyText"/>
        <w:spacing w:line="240" w:lineRule="auto" w:before="55"/>
        <w:ind w:left="638" w:right="654"/>
        <w:jc w:val="left"/>
      </w:pPr>
      <w:r>
        <w:rPr/>
        <w:t>□适用</w:t>
      </w:r>
      <w:r>
        <w:rPr>
          <w:spacing w:val="-1"/>
        </w:rPr>
        <w:t> </w:t>
      </w:r>
      <w:r>
        <w:rPr/>
        <w:t>√不适用</w:t>
      </w:r>
    </w:p>
    <w:p>
      <w:pPr>
        <w:spacing w:line="240" w:lineRule="auto" w:before="8"/>
        <w:rPr>
          <w:rFonts w:ascii="宋体" w:hAnsi="宋体" w:cs="宋体" w:eastAsia="宋体" w:hint="default"/>
          <w:sz w:val="30"/>
          <w:szCs w:val="30"/>
        </w:rPr>
      </w:pPr>
    </w:p>
    <w:p>
      <w:pPr>
        <w:pStyle w:val="Heading2"/>
        <w:tabs>
          <w:tab w:pos="1477" w:val="left" w:leader="none"/>
        </w:tabs>
        <w:spacing w:line="312" w:lineRule="exact" w:before="0"/>
        <w:ind w:left="1062" w:right="654" w:hanging="425"/>
        <w:jc w:val="left"/>
        <w:rPr>
          <w:b w:val="0"/>
          <w:bCs w:val="0"/>
        </w:rPr>
      </w:pPr>
      <w:r>
        <w:rPr/>
        <w:t>六、</w:t>
        <w:tab/>
        <w:t>公司就其与控股股东在业务、人员、资产、机构、财务等方面存在的不能保</w:t>
      </w:r>
      <w:r>
        <w:rPr>
          <w:spacing w:val="-92"/>
        </w:rPr>
        <w:t> </w:t>
      </w:r>
      <w:r>
        <w:rPr>
          <w:spacing w:val="-92"/>
        </w:rPr>
      </w:r>
      <w:r>
        <w:rPr/>
        <w:t>证独立性、不能保持自主经营能力的情况说明</w:t>
      </w:r>
      <w:r>
        <w:rPr>
          <w:b w:val="0"/>
          <w:bCs w:val="0"/>
        </w:rPr>
      </w:r>
    </w:p>
    <w:p>
      <w:pPr>
        <w:pStyle w:val="BodyText"/>
        <w:tabs>
          <w:tab w:pos="1597" w:val="left" w:leader="none"/>
        </w:tabs>
        <w:spacing w:line="240" w:lineRule="auto" w:before="27"/>
        <w:ind w:left="638" w:right="654"/>
        <w:jc w:val="left"/>
      </w:pPr>
      <w:r>
        <w:rPr>
          <w:spacing w:val="-1"/>
        </w:rPr>
        <w:t>√适用</w:t>
        <w:tab/>
      </w:r>
      <w:r>
        <w:rPr/>
        <w:t>□不适用</w:t>
      </w:r>
    </w:p>
    <w:p>
      <w:pPr>
        <w:spacing w:line="240" w:lineRule="auto" w:before="10"/>
        <w:rPr>
          <w:rFonts w:ascii="宋体" w:hAnsi="宋体" w:cs="宋体" w:eastAsia="宋体"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2797"/>
        <w:gridCol w:w="989"/>
        <w:gridCol w:w="6107"/>
      </w:tblGrid>
      <w:tr>
        <w:trPr>
          <w:trHeight w:val="555" w:hRule="exact"/>
        </w:trPr>
        <w:tc>
          <w:tcPr>
            <w:tcW w:w="2797"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是否独</w:t>
            </w:r>
          </w:p>
          <w:p>
            <w:pPr>
              <w:pStyle w:val="TableParagraph"/>
              <w:spacing w:line="273" w:lineRule="exact"/>
              <w:ind w:left="172" w:right="0"/>
              <w:jc w:val="left"/>
              <w:rPr>
                <w:rFonts w:ascii="宋体" w:hAnsi="宋体" w:cs="宋体" w:eastAsia="宋体" w:hint="default"/>
                <w:sz w:val="21"/>
                <w:szCs w:val="21"/>
              </w:rPr>
            </w:pPr>
            <w:r>
              <w:rPr>
                <w:rFonts w:ascii="宋体" w:hAnsi="宋体" w:cs="宋体" w:eastAsia="宋体" w:hint="default"/>
                <w:sz w:val="21"/>
                <w:szCs w:val="21"/>
              </w:rPr>
              <w:t>立完整</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情况说明</w:t>
            </w:r>
          </w:p>
        </w:tc>
      </w:tr>
    </w:tbl>
    <w:p>
      <w:pPr>
        <w:spacing w:after="0" w:line="240" w:lineRule="auto"/>
        <w:jc w:val="center"/>
        <w:rPr>
          <w:rFonts w:ascii="宋体" w:hAnsi="宋体" w:cs="宋体" w:eastAsia="宋体" w:hint="default"/>
          <w:sz w:val="21"/>
          <w:szCs w:val="21"/>
        </w:rPr>
        <w:sectPr>
          <w:pgSz w:w="11910" w:h="16840"/>
          <w:pgMar w:header="0" w:footer="1195" w:top="1100" w:bottom="1380" w:left="1160" w:right="6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797"/>
        <w:gridCol w:w="989"/>
        <w:gridCol w:w="6107"/>
      </w:tblGrid>
      <w:tr>
        <w:trPr>
          <w:trHeight w:val="550" w:hRule="exact"/>
        </w:trPr>
        <w:tc>
          <w:tcPr>
            <w:tcW w:w="2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业务方面独立完整情况</w:t>
            </w:r>
          </w:p>
        </w:tc>
        <w:tc>
          <w:tcPr>
            <w:tcW w:w="9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6107"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公司拥有完整的决策机制、业务运营体系，自主经营，自负盈亏，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与控股股东不存在同业竞争。</w:t>
            </w:r>
          </w:p>
        </w:tc>
      </w:tr>
      <w:tr>
        <w:trPr>
          <w:trHeight w:val="55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人员方面独立完整情况</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公司总裁、副总裁、董事会秘书、财务总监等高级管理人员和业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务骨干均专职在本公司工作并领取薪酬。</w:t>
            </w:r>
          </w:p>
        </w:tc>
      </w:tr>
      <w:tr>
        <w:trPr>
          <w:trHeight w:val="557"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资产方面独立完整情况</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与</w:t>
            </w:r>
            <w:r>
              <w:rPr>
                <w:rFonts w:ascii="宋体" w:hAnsi="宋体" w:cs="宋体" w:eastAsia="宋体" w:hint="default"/>
                <w:w w:val="100"/>
                <w:sz w:val="21"/>
                <w:szCs w:val="21"/>
              </w:rPr>
              <w:t>控</w:t>
            </w:r>
            <w:r>
              <w:rPr>
                <w:rFonts w:ascii="宋体" w:hAnsi="宋体" w:cs="宋体" w:eastAsia="宋体" w:hint="default"/>
                <w:spacing w:val="-3"/>
                <w:w w:val="100"/>
                <w:sz w:val="21"/>
                <w:szCs w:val="21"/>
              </w:rPr>
              <w:t>股</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关</w:t>
            </w:r>
            <w:r>
              <w:rPr>
                <w:rFonts w:ascii="宋体" w:hAnsi="宋体" w:cs="宋体" w:eastAsia="宋体" w:hint="default"/>
                <w:spacing w:val="-3"/>
                <w:w w:val="100"/>
                <w:sz w:val="21"/>
                <w:szCs w:val="21"/>
              </w:rPr>
              <w:t>系</w:t>
            </w:r>
            <w:r>
              <w:rPr>
                <w:rFonts w:ascii="宋体" w:hAnsi="宋体" w:cs="宋体" w:eastAsia="宋体" w:hint="default"/>
                <w:w w:val="100"/>
                <w:sz w:val="21"/>
                <w:szCs w:val="21"/>
              </w:rPr>
              <w:t>明晰</w:t>
            </w:r>
            <w:r>
              <w:rPr>
                <w:rFonts w:ascii="宋体" w:hAnsi="宋体" w:cs="宋体" w:eastAsia="宋体" w:hint="default"/>
                <w:spacing w:val="-99"/>
                <w:w w:val="100"/>
                <w:sz w:val="21"/>
                <w:szCs w:val="21"/>
              </w:rPr>
              <w:t>，</w:t>
            </w:r>
            <w:r>
              <w:rPr>
                <w:rFonts w:ascii="宋体" w:hAnsi="宋体" w:cs="宋体" w:eastAsia="宋体" w:hint="default"/>
                <w:w w:val="100"/>
                <w:sz w:val="21"/>
                <w:szCs w:val="21"/>
              </w:rPr>
              <w:t>对</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有</w:t>
            </w:r>
            <w:r>
              <w:rPr>
                <w:rFonts w:ascii="宋体" w:hAnsi="宋体" w:cs="宋体" w:eastAsia="宋体" w:hint="default"/>
                <w:w w:val="100"/>
                <w:sz w:val="21"/>
                <w:szCs w:val="21"/>
              </w:rPr>
              <w:t>完</w:t>
            </w:r>
            <w:r>
              <w:rPr>
                <w:rFonts w:ascii="宋体" w:hAnsi="宋体" w:cs="宋体" w:eastAsia="宋体" w:hint="default"/>
                <w:spacing w:val="-3"/>
                <w:w w:val="100"/>
                <w:sz w:val="21"/>
                <w:szCs w:val="21"/>
              </w:rPr>
              <w:t>全</w:t>
            </w:r>
            <w:r>
              <w:rPr>
                <w:rFonts w:ascii="宋体" w:hAnsi="宋体" w:cs="宋体" w:eastAsia="宋体" w:hint="default"/>
                <w:w w:val="100"/>
                <w:sz w:val="21"/>
                <w:szCs w:val="21"/>
              </w:rPr>
              <w:t>的</w:t>
            </w:r>
            <w:r>
              <w:rPr>
                <w:rFonts w:ascii="宋体" w:hAnsi="宋体" w:cs="宋体" w:eastAsia="宋体" w:hint="default"/>
                <w:spacing w:val="-3"/>
                <w:w w:val="100"/>
                <w:sz w:val="21"/>
                <w:szCs w:val="21"/>
              </w:rPr>
              <w:t>控制</w:t>
            </w:r>
            <w:r>
              <w:rPr>
                <w:rFonts w:ascii="宋体" w:hAnsi="宋体" w:cs="宋体" w:eastAsia="宋体" w:hint="default"/>
                <w:w w:val="100"/>
                <w:sz w:val="21"/>
                <w:szCs w:val="21"/>
              </w:rPr>
              <w:t>权与</w:t>
            </w:r>
            <w:r>
              <w:rPr>
                <w:rFonts w:ascii="宋体" w:hAnsi="宋体" w:cs="宋体" w:eastAsia="宋体" w:hint="default"/>
                <w:spacing w:val="-3"/>
                <w:w w:val="100"/>
                <w:sz w:val="21"/>
                <w:szCs w:val="21"/>
              </w:rPr>
              <w:t>支</w:t>
            </w:r>
            <w:r>
              <w:rPr>
                <w:rFonts w:ascii="宋体" w:hAnsi="宋体" w:cs="宋体" w:eastAsia="宋体" w:hint="default"/>
                <w:w w:val="100"/>
                <w:sz w:val="21"/>
                <w:szCs w:val="21"/>
              </w:rPr>
              <w:t>配</w:t>
            </w:r>
            <w:r>
              <w:rPr>
                <w:rFonts w:ascii="宋体" w:hAnsi="宋体" w:cs="宋体" w:eastAsia="宋体" w:hint="default"/>
                <w:spacing w:val="-3"/>
                <w:w w:val="100"/>
                <w:sz w:val="21"/>
                <w:szCs w:val="21"/>
              </w:rPr>
              <w:t>权</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不存在控股股东占用上市公司资产的情况。</w:t>
            </w:r>
          </w:p>
        </w:tc>
      </w:tr>
      <w:tr>
        <w:trPr>
          <w:trHeight w:val="55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机构方面独立完整情况</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公司机构设置独立，公司各职能机构与控股股东机构完全分离，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不存在隶属关系。</w:t>
            </w:r>
          </w:p>
        </w:tc>
      </w:tr>
      <w:tr>
        <w:trPr>
          <w:trHeight w:val="55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财务方面独立完整情况</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公司设有独立的财务部门，具有独立的财务核算体系和财务管理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体系，能够独立做出财务决策。</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313" w:lineRule="exact" w:before="26"/>
        <w:ind w:left="638" w:right="654"/>
        <w:jc w:val="left"/>
      </w:pPr>
      <w:r>
        <w:rPr/>
        <w:t>存在同业竞争的，公司相应的解决措施、工作进度及后续工作计划</w:t>
      </w:r>
    </w:p>
    <w:p>
      <w:pPr>
        <w:pStyle w:val="BodyText"/>
        <w:tabs>
          <w:tab w:pos="1597" w:val="left" w:leader="none"/>
        </w:tabs>
        <w:spacing w:line="312" w:lineRule="exact"/>
        <w:ind w:left="638" w:right="654"/>
        <w:jc w:val="left"/>
      </w:pPr>
      <w:r>
        <w:rPr>
          <w:spacing w:val="-1"/>
        </w:rPr>
        <w:t>√适用</w:t>
        <w:tab/>
      </w:r>
      <w:r>
        <w:rPr/>
        <w:t>□不适用</w:t>
      </w:r>
    </w:p>
    <w:p>
      <w:pPr>
        <w:pStyle w:val="BodyText"/>
        <w:spacing w:line="313" w:lineRule="exact"/>
        <w:ind w:left="1118" w:right="0"/>
        <w:jc w:val="left"/>
      </w:pPr>
      <w:r>
        <w:rPr>
          <w:rFonts w:ascii="宋体" w:hAnsi="宋体" w:cs="宋体" w:eastAsia="宋体" w:hint="default"/>
        </w:rPr>
        <w:t>2010</w:t>
      </w:r>
      <w:r>
        <w:rPr>
          <w:rFonts w:ascii="宋体" w:hAnsi="宋体" w:cs="宋体" w:eastAsia="宋体" w:hint="default"/>
          <w:spacing w:val="-82"/>
        </w:rPr>
        <w:t> </w:t>
      </w:r>
      <w:r>
        <w:rPr/>
        <w:t>年</w:t>
      </w:r>
      <w:r>
        <w:rPr>
          <w:spacing w:val="-82"/>
        </w:rPr>
        <w:t> </w:t>
      </w:r>
      <w:r>
        <w:rPr>
          <w:rFonts w:ascii="宋体" w:hAnsi="宋体" w:cs="宋体" w:eastAsia="宋体" w:hint="default"/>
        </w:rPr>
        <w:t>5</w:t>
      </w:r>
      <w:r>
        <w:rPr>
          <w:rFonts w:ascii="宋体" w:hAnsi="宋体" w:cs="宋体" w:eastAsia="宋体" w:hint="default"/>
          <w:spacing w:val="-82"/>
        </w:rPr>
        <w:t> </w:t>
      </w:r>
      <w:r>
        <w:rPr/>
        <w:t>月</w:t>
      </w:r>
      <w:r>
        <w:rPr>
          <w:spacing w:val="-82"/>
        </w:rPr>
        <w:t> </w:t>
      </w:r>
      <w:r>
        <w:rPr>
          <w:rFonts w:ascii="宋体" w:hAnsi="宋体" w:cs="宋体" w:eastAsia="宋体" w:hint="default"/>
        </w:rPr>
        <w:t>5</w:t>
      </w:r>
      <w:r>
        <w:rPr>
          <w:rFonts w:ascii="宋体" w:hAnsi="宋体" w:cs="宋体" w:eastAsia="宋体" w:hint="default"/>
          <w:spacing w:val="-82"/>
        </w:rPr>
        <w:t> </w:t>
      </w:r>
      <w:r>
        <w:rPr/>
        <w:t>日</w:t>
      </w:r>
      <w:r>
        <w:rPr>
          <w:spacing w:val="-120"/>
        </w:rPr>
        <w:t>，</w:t>
      </w:r>
      <w:r>
        <w:rPr/>
        <w:t>新湖集团</w:t>
      </w:r>
      <w:r>
        <w:rPr>
          <w:spacing w:val="-120"/>
        </w:rPr>
        <w:t>、</w:t>
      </w:r>
      <w:r>
        <w:rPr/>
        <w:t>实际控制人黄伟先生出具</w:t>
      </w:r>
      <w:r>
        <w:rPr>
          <w:spacing w:val="-120"/>
        </w:rPr>
        <w:t>了</w:t>
      </w:r>
      <w:r>
        <w:rPr/>
        <w:t>《避免同业竞争承诺函</w:t>
      </w:r>
      <w:r>
        <w:rPr>
          <w:spacing w:val="-120"/>
        </w:rPr>
        <w:t>》</w:t>
      </w:r>
      <w:r>
        <w:rPr/>
        <w:t>，</w:t>
      </w:r>
    </w:p>
    <w:p>
      <w:pPr>
        <w:pStyle w:val="BodyText"/>
        <w:spacing w:line="357" w:lineRule="auto" w:before="151"/>
        <w:ind w:left="638" w:right="638"/>
        <w:jc w:val="left"/>
      </w:pPr>
      <w:r>
        <w:rPr/>
        <w:t>对避免同业竞争做出了一系列承诺（详见公告临</w:t>
      </w:r>
      <w:r>
        <w:rPr>
          <w:spacing w:val="-65"/>
        </w:rPr>
        <w:t> </w:t>
      </w:r>
      <w:r>
        <w:rPr>
          <w:rFonts w:ascii="宋体" w:hAnsi="宋体" w:cs="宋体" w:eastAsia="宋体" w:hint="default"/>
        </w:rPr>
        <w:t>2010-28</w:t>
      </w:r>
      <w:r>
        <w:rPr>
          <w:rFonts w:ascii="宋体" w:hAnsi="宋体" w:cs="宋体" w:eastAsia="宋体" w:hint="default"/>
          <w:spacing w:val="-65"/>
        </w:rPr>
        <w:t> </w:t>
      </w:r>
      <w:r>
        <w:rPr>
          <w:spacing w:val="-15"/>
        </w:rPr>
        <w:t>号）。截至</w:t>
      </w:r>
      <w:r>
        <w:rPr>
          <w:spacing w:val="-65"/>
        </w:rPr>
        <w:t> </w:t>
      </w:r>
      <w:r>
        <w:rPr>
          <w:rFonts w:ascii="宋体" w:hAnsi="宋体" w:cs="宋体" w:eastAsia="宋体" w:hint="default"/>
        </w:rPr>
        <w:t>2017</w:t>
      </w:r>
      <w:r>
        <w:rPr>
          <w:rFonts w:ascii="宋体" w:hAnsi="宋体" w:cs="宋体" w:eastAsia="宋体" w:hint="default"/>
          <w:spacing w:val="-65"/>
        </w:rPr>
        <w:t> </w:t>
      </w:r>
      <w:r>
        <w:rPr/>
        <w:t>年</w:t>
      </w:r>
      <w:r>
        <w:rPr>
          <w:spacing w:val="-65"/>
        </w:rPr>
        <w:t> </w:t>
      </w:r>
      <w:r>
        <w:rPr>
          <w:rFonts w:ascii="宋体" w:hAnsi="宋体" w:cs="宋体" w:eastAsia="宋体" w:hint="default"/>
        </w:rPr>
        <w:t>12</w:t>
      </w:r>
      <w:r>
        <w:rPr>
          <w:rFonts w:ascii="宋体" w:hAnsi="宋体" w:cs="宋体" w:eastAsia="宋体" w:hint="default"/>
          <w:spacing w:val="-65"/>
        </w:rPr>
        <w:t> </w:t>
      </w:r>
      <w:r>
        <w:rPr/>
        <w:t>月</w:t>
      </w:r>
      <w:r>
        <w:rPr>
          <w:spacing w:val="-65"/>
        </w:rPr>
        <w:t> </w:t>
      </w:r>
      <w:r>
        <w:rPr>
          <w:rFonts w:ascii="宋体" w:hAnsi="宋体" w:cs="宋体" w:eastAsia="宋体" w:hint="default"/>
        </w:rPr>
        <w:t>31 </w:t>
      </w:r>
      <w:r>
        <w:rPr/>
        <w:t>日，公司控股股东及实际控制人严格遵守了上述承诺。</w:t>
      </w:r>
    </w:p>
    <w:p>
      <w:pPr>
        <w:spacing w:line="240" w:lineRule="auto" w:before="0"/>
        <w:rPr>
          <w:rFonts w:ascii="宋体" w:hAnsi="宋体" w:cs="宋体" w:eastAsia="宋体" w:hint="default"/>
          <w:sz w:val="31"/>
          <w:szCs w:val="31"/>
        </w:rPr>
      </w:pPr>
    </w:p>
    <w:p>
      <w:pPr>
        <w:pStyle w:val="Heading2"/>
        <w:tabs>
          <w:tab w:pos="1477" w:val="left" w:leader="none"/>
        </w:tabs>
        <w:spacing w:line="240" w:lineRule="auto" w:before="0"/>
        <w:ind w:left="638" w:right="654"/>
        <w:jc w:val="left"/>
        <w:rPr>
          <w:b w:val="0"/>
          <w:bCs w:val="0"/>
        </w:rPr>
      </w:pPr>
      <w:r>
        <w:rPr/>
        <w:t>七、</w:t>
        <w:tab/>
        <w:t>报告期内对高级管理人员的考评机制，以及激励机制的建立、实施情况</w:t>
      </w:r>
      <w:r>
        <w:rPr>
          <w:b w:val="0"/>
          <w:bCs w:val="0"/>
        </w:rPr>
      </w:r>
    </w:p>
    <w:p>
      <w:pPr>
        <w:pStyle w:val="BodyText"/>
        <w:tabs>
          <w:tab w:pos="1597" w:val="left" w:leader="none"/>
        </w:tabs>
        <w:spacing w:line="310" w:lineRule="exact" w:before="90"/>
        <w:ind w:left="1118" w:right="654" w:hanging="480"/>
        <w:jc w:val="left"/>
      </w:pPr>
      <w:r>
        <w:rPr>
          <w:spacing w:val="-1"/>
        </w:rPr>
        <w:t>√适用</w:t>
        <w:tab/>
      </w:r>
      <w:r>
        <w:rPr/>
        <w:t>□不适用</w:t>
      </w:r>
      <w:r>
        <w:rPr/>
        <w:t> </w:t>
      </w:r>
      <w:r>
        <w:rPr>
          <w:spacing w:val="-2"/>
        </w:rPr>
        <w:t>公司结合《股权激励计划实施考核办法》，通过对考评体系的不断优化，已建立</w:t>
      </w:r>
    </w:p>
    <w:p>
      <w:pPr>
        <w:pStyle w:val="BodyText"/>
        <w:spacing w:line="355" w:lineRule="auto" w:before="125"/>
        <w:ind w:left="638" w:right="0"/>
        <w:jc w:val="left"/>
      </w:pPr>
      <w:r>
        <w:rPr>
          <w:spacing w:val="-2"/>
        </w:rPr>
        <w:t>了目标、责任、业绩相结合的考评体系，使其更具科学性、有效性、激励性；考评结</w:t>
      </w:r>
      <w:r>
        <w:rPr>
          <w:spacing w:val="-97"/>
        </w:rPr>
        <w:t> </w:t>
      </w:r>
      <w:r>
        <w:rPr>
          <w:spacing w:val="-97"/>
        </w:rPr>
      </w:r>
      <w:r>
        <w:rPr/>
        <w:t>果决定高级管理人员的薪金、奖励、股权激励及聘用。</w:t>
      </w:r>
    </w:p>
    <w:p>
      <w:pPr>
        <w:spacing w:line="240" w:lineRule="auto" w:before="5"/>
        <w:rPr>
          <w:rFonts w:ascii="宋体" w:hAnsi="宋体" w:cs="宋体" w:eastAsia="宋体" w:hint="default"/>
          <w:sz w:val="31"/>
          <w:szCs w:val="31"/>
        </w:rPr>
      </w:pPr>
    </w:p>
    <w:p>
      <w:pPr>
        <w:pStyle w:val="Heading2"/>
        <w:tabs>
          <w:tab w:pos="1477" w:val="left" w:leader="none"/>
        </w:tabs>
        <w:spacing w:line="240" w:lineRule="auto" w:before="0"/>
        <w:ind w:left="638" w:right="654"/>
        <w:jc w:val="left"/>
        <w:rPr>
          <w:b w:val="0"/>
          <w:bCs w:val="0"/>
        </w:rPr>
      </w:pPr>
      <w:r>
        <w:rPr/>
        <w:t>八、</w:t>
        <w:tab/>
        <w:t>是否披露内部控制自我评价报告</w:t>
      </w:r>
      <w:r>
        <w:rPr>
          <w:b w:val="0"/>
          <w:bCs w:val="0"/>
        </w:rPr>
      </w:r>
    </w:p>
    <w:p>
      <w:pPr>
        <w:pStyle w:val="BodyText"/>
        <w:spacing w:line="313" w:lineRule="exact" w:before="55"/>
        <w:ind w:left="638" w:right="654"/>
        <w:jc w:val="left"/>
      </w:pPr>
      <w:r>
        <w:rPr/>
        <w:t>√适用</w:t>
      </w:r>
      <w:r>
        <w:rPr>
          <w:spacing w:val="-1"/>
        </w:rPr>
        <w:t> </w:t>
      </w:r>
      <w:r>
        <w:rPr/>
        <w:t>□不适用</w:t>
      </w:r>
    </w:p>
    <w:p>
      <w:pPr>
        <w:pStyle w:val="BodyText"/>
        <w:spacing w:line="313" w:lineRule="exact"/>
        <w:ind w:left="1118" w:right="654"/>
        <w:jc w:val="left"/>
      </w:pPr>
      <w:r>
        <w:rPr/>
        <w:t>详见上交所网站（</w:t>
      </w:r>
      <w:hyperlink r:id="rId11">
        <w:r>
          <w:rPr>
            <w:rFonts w:ascii="宋体" w:hAnsi="宋体" w:cs="宋体" w:eastAsia="宋体" w:hint="default"/>
          </w:rPr>
          <w:t>www.sse.com.cn</w:t>
        </w:r>
      </w:hyperlink>
      <w:r>
        <w:rPr/>
        <w:t>）披露的《</w:t>
      </w:r>
      <w:r>
        <w:rPr>
          <w:rFonts w:ascii="宋体" w:hAnsi="宋体" w:cs="宋体" w:eastAsia="宋体" w:hint="default"/>
        </w:rPr>
        <w:t>2017</w:t>
      </w:r>
      <w:r>
        <w:rPr>
          <w:rFonts w:ascii="宋体" w:hAnsi="宋体" w:cs="宋体" w:eastAsia="宋体" w:hint="default"/>
          <w:spacing w:val="-60"/>
        </w:rPr>
        <w:t> </w:t>
      </w:r>
      <w:r>
        <w:rPr/>
        <w:t>年度内部控制评价报告》。</w:t>
      </w:r>
    </w:p>
    <w:p>
      <w:pPr>
        <w:spacing w:line="240" w:lineRule="auto" w:before="7"/>
        <w:rPr>
          <w:rFonts w:ascii="宋体" w:hAnsi="宋体" w:cs="宋体" w:eastAsia="宋体" w:hint="default"/>
          <w:sz w:val="23"/>
          <w:szCs w:val="23"/>
        </w:rPr>
      </w:pPr>
    </w:p>
    <w:p>
      <w:pPr>
        <w:pStyle w:val="BodyText"/>
        <w:spacing w:line="313" w:lineRule="exact"/>
        <w:ind w:left="638" w:right="654"/>
        <w:jc w:val="left"/>
      </w:pPr>
      <w:r>
        <w:rPr/>
        <w:t>报告期内部控制存在重大缺陷情况的说明</w:t>
      </w:r>
    </w:p>
    <w:p>
      <w:pPr>
        <w:pStyle w:val="BodyText"/>
        <w:spacing w:line="313" w:lineRule="exact"/>
        <w:ind w:left="638" w:right="654"/>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tabs>
          <w:tab w:pos="1477" w:val="left" w:leader="none"/>
        </w:tabs>
        <w:spacing w:line="240" w:lineRule="auto" w:before="0"/>
        <w:ind w:left="638" w:right="654"/>
        <w:jc w:val="left"/>
        <w:rPr>
          <w:b w:val="0"/>
          <w:bCs w:val="0"/>
        </w:rPr>
      </w:pPr>
      <w:r>
        <w:rPr/>
        <w:t>九、</w:t>
        <w:tab/>
        <w:t>内部控制审计报告的相关情况说明</w:t>
      </w:r>
      <w:r>
        <w:rPr>
          <w:b w:val="0"/>
          <w:bCs w:val="0"/>
        </w:rPr>
      </w:r>
    </w:p>
    <w:p>
      <w:pPr>
        <w:pStyle w:val="BodyText"/>
        <w:tabs>
          <w:tab w:pos="1597" w:val="left" w:leader="none"/>
        </w:tabs>
        <w:spacing w:line="312" w:lineRule="exact" w:before="86"/>
        <w:ind w:left="1118" w:right="3245" w:hanging="480"/>
        <w:jc w:val="left"/>
      </w:pPr>
      <w:r>
        <w:rPr>
          <w:spacing w:val="-1"/>
        </w:rPr>
        <w:t>√适用</w:t>
        <w:tab/>
      </w:r>
      <w:r>
        <w:rPr/>
        <w:t>□不适用</w:t>
      </w:r>
      <w:r>
        <w:rPr/>
        <w:t> 内部控制审计报告与公司内部控制评价报告意见一致。</w:t>
      </w:r>
    </w:p>
    <w:p>
      <w:pPr>
        <w:pStyle w:val="BodyText"/>
        <w:spacing w:line="240" w:lineRule="auto" w:before="123"/>
        <w:ind w:left="638" w:right="654"/>
        <w:jc w:val="left"/>
      </w:pPr>
      <w:r>
        <w:rPr/>
        <w:t>是否披露内部控制审计报告：是</w:t>
      </w:r>
    </w:p>
    <w:p>
      <w:pPr>
        <w:spacing w:line="240" w:lineRule="auto" w:before="0"/>
        <w:rPr>
          <w:rFonts w:ascii="宋体" w:hAnsi="宋体" w:cs="宋体" w:eastAsia="宋体" w:hint="default"/>
          <w:sz w:val="24"/>
          <w:szCs w:val="24"/>
        </w:rPr>
      </w:pPr>
    </w:p>
    <w:p>
      <w:pPr>
        <w:pStyle w:val="Heading2"/>
        <w:tabs>
          <w:tab w:pos="1477" w:val="left" w:leader="none"/>
        </w:tabs>
        <w:spacing w:line="240" w:lineRule="auto" w:before="212"/>
        <w:ind w:left="638" w:right="654"/>
        <w:jc w:val="left"/>
        <w:rPr>
          <w:b w:val="0"/>
          <w:bCs w:val="0"/>
        </w:rPr>
      </w:pPr>
      <w:r>
        <w:rPr/>
        <w:t>十、</w:t>
        <w:tab/>
        <w:t>其他</w:t>
      </w:r>
      <w:r>
        <w:rPr>
          <w:b w:val="0"/>
          <w:bCs w:val="0"/>
        </w:rPr>
      </w:r>
    </w:p>
    <w:p>
      <w:pPr>
        <w:pStyle w:val="BodyText"/>
        <w:tabs>
          <w:tab w:pos="1597" w:val="left" w:leader="none"/>
        </w:tabs>
        <w:spacing w:line="240" w:lineRule="auto" w:before="56"/>
        <w:ind w:left="638" w:right="654"/>
        <w:jc w:val="left"/>
      </w:pPr>
      <w:r>
        <w:rPr>
          <w:spacing w:val="-1"/>
        </w:rPr>
        <w:t>□适用</w:t>
        <w:tab/>
      </w:r>
      <w:r>
        <w:rPr/>
        <w:t>√不适用</w:t>
      </w:r>
    </w:p>
    <w:p>
      <w:pPr>
        <w:spacing w:after="0" w:line="240" w:lineRule="auto"/>
        <w:jc w:val="left"/>
        <w:sectPr>
          <w:pgSz w:w="11910" w:h="16840"/>
          <w:pgMar w:header="0" w:footer="1195" w:top="1100" w:bottom="1380" w:left="1160" w:right="620"/>
        </w:sectPr>
      </w:pPr>
    </w:p>
    <w:p>
      <w:pPr>
        <w:spacing w:line="240" w:lineRule="auto" w:before="3"/>
        <w:rPr>
          <w:rFonts w:ascii="宋体" w:hAnsi="宋体" w:cs="宋体" w:eastAsia="宋体" w:hint="default"/>
          <w:sz w:val="26"/>
          <w:szCs w:val="26"/>
        </w:rPr>
      </w:pPr>
    </w:p>
    <w:p>
      <w:pPr>
        <w:pStyle w:val="Heading1"/>
        <w:tabs>
          <w:tab w:pos="4580" w:val="left" w:leader="none"/>
        </w:tabs>
        <w:spacing w:line="240" w:lineRule="auto" w:before="14"/>
        <w:ind w:left="3320" w:right="416"/>
        <w:jc w:val="left"/>
        <w:rPr>
          <w:b w:val="0"/>
          <w:bCs w:val="0"/>
        </w:rPr>
      </w:pPr>
      <w:bookmarkStart w:name="_TOC_250002" w:id="10"/>
      <w:r>
        <w:rPr>
          <w:w w:val="95"/>
        </w:rPr>
        <w:t>第十节</w:t>
        <w:tab/>
      </w:r>
      <w:r>
        <w:rPr/>
        <w:t>公司债券相关情况</w:t>
      </w:r>
      <w:bookmarkEnd w:id="10"/>
      <w:r>
        <w:rPr>
          <w:b w:val="0"/>
          <w:bCs w:val="0"/>
        </w:rPr>
      </w:r>
    </w:p>
    <w:p>
      <w:pPr>
        <w:spacing w:line="240" w:lineRule="auto" w:before="11"/>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0" w:footer="1195" w:top="1100" w:bottom="1380" w:left="1140" w:right="600"/>
        </w:sectPr>
      </w:pPr>
    </w:p>
    <w:p>
      <w:pPr>
        <w:pStyle w:val="BodyText"/>
        <w:spacing w:line="240" w:lineRule="auto" w:before="26"/>
        <w:ind w:left="658" w:right="0"/>
        <w:jc w:val="left"/>
      </w:pPr>
      <w:r>
        <w:rPr/>
        <w:t>√适用</w:t>
      </w:r>
      <w:r>
        <w:rPr>
          <w:spacing w:val="-1"/>
        </w:rPr>
        <w:t> </w:t>
      </w:r>
      <w:r>
        <w:rPr/>
        <w:t>□不适用</w:t>
      </w:r>
    </w:p>
    <w:p>
      <w:pPr>
        <w:pStyle w:val="Heading2"/>
        <w:spacing w:line="240" w:lineRule="auto" w:before="58"/>
        <w:ind w:left="658" w:right="0"/>
        <w:jc w:val="left"/>
        <w:rPr>
          <w:b w:val="0"/>
          <w:bCs w:val="0"/>
        </w:rPr>
      </w:pPr>
      <w:r>
        <w:rPr>
          <w:w w:val="95"/>
        </w:rPr>
        <w:t>一、公司债券基本情况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tabs>
          <w:tab w:pos="1815" w:val="left" w:leader="none"/>
        </w:tabs>
        <w:spacing w:before="0"/>
        <w:ind w:left="65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w:t>
      </w:r>
      <w:r>
        <w:rPr>
          <w:rFonts w:ascii="宋体" w:hAnsi="宋体" w:cs="宋体" w:eastAsia="宋体" w:hint="default"/>
          <w:spacing w:val="-1"/>
          <w:sz w:val="21"/>
          <w:szCs w:val="21"/>
        </w:rPr>
        <w:t>:</w:t>
      </w:r>
      <w:r>
        <w:rPr>
          <w:rFonts w:ascii="宋体" w:hAnsi="宋体" w:cs="宋体" w:eastAsia="宋体" w:hint="default"/>
          <w:spacing w:val="-1"/>
          <w:sz w:val="21"/>
          <w:szCs w:val="21"/>
        </w:rPr>
        <w:t>千元</w:t>
        <w:tab/>
        <w:t>币种</w:t>
      </w:r>
      <w:r>
        <w:rPr>
          <w:rFonts w:ascii="宋体" w:hAnsi="宋体" w:cs="宋体" w:eastAsia="宋体" w:hint="default"/>
          <w:spacing w:val="-1"/>
          <w:sz w:val="21"/>
          <w:szCs w:val="21"/>
        </w:rPr>
        <w:t>:</w:t>
      </w:r>
      <w:r>
        <w:rPr>
          <w:rFonts w:ascii="宋体" w:hAnsi="宋体" w:cs="宋体" w:eastAsia="宋体" w:hint="default"/>
          <w:spacing w:val="-1"/>
          <w:sz w:val="21"/>
          <w:szCs w:val="21"/>
        </w:rPr>
        <w:t>人民币</w:t>
      </w:r>
    </w:p>
    <w:p>
      <w:pPr>
        <w:spacing w:after="0"/>
        <w:jc w:val="left"/>
        <w:rPr>
          <w:rFonts w:ascii="宋体" w:hAnsi="宋体" w:cs="宋体" w:eastAsia="宋体" w:hint="default"/>
          <w:sz w:val="21"/>
          <w:szCs w:val="21"/>
        </w:rPr>
        <w:sectPr>
          <w:type w:val="continuous"/>
          <w:pgSz w:w="11910" w:h="16840"/>
          <w:pgMar w:top="1000" w:bottom="280" w:left="1140" w:right="600"/>
          <w:cols w:num="2" w:equalWidth="0">
            <w:col w:w="3067" w:space="3454"/>
            <w:col w:w="3649"/>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48"/>
        <w:gridCol w:w="857"/>
        <w:gridCol w:w="938"/>
        <w:gridCol w:w="1296"/>
        <w:gridCol w:w="1294"/>
        <w:gridCol w:w="1296"/>
        <w:gridCol w:w="817"/>
        <w:gridCol w:w="828"/>
        <w:gridCol w:w="864"/>
      </w:tblGrid>
      <w:tr>
        <w:trPr>
          <w:trHeight w:val="828"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简称</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52"/>
              <w:jc w:val="right"/>
              <w:rPr>
                <w:rFonts w:ascii="宋体" w:hAnsi="宋体" w:cs="宋体" w:eastAsia="宋体" w:hint="default"/>
                <w:sz w:val="21"/>
                <w:szCs w:val="21"/>
              </w:rPr>
            </w:pPr>
            <w:r>
              <w:rPr>
                <w:rFonts w:ascii="宋体" w:hAnsi="宋体" w:cs="宋体" w:eastAsia="宋体" w:hint="default"/>
                <w:sz w:val="21"/>
                <w:szCs w:val="21"/>
              </w:rPr>
              <w:t>代码</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发行日</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8"/>
              <w:jc w:val="right"/>
              <w:rPr>
                <w:rFonts w:ascii="宋体" w:hAnsi="宋体" w:cs="宋体" w:eastAsia="宋体" w:hint="default"/>
                <w:sz w:val="21"/>
                <w:szCs w:val="21"/>
              </w:rPr>
            </w:pPr>
            <w:r>
              <w:rPr>
                <w:rFonts w:ascii="宋体" w:hAnsi="宋体" w:cs="宋体" w:eastAsia="宋体" w:hint="default"/>
                <w:spacing w:val="-1"/>
                <w:sz w:val="21"/>
                <w:szCs w:val="21"/>
              </w:rPr>
              <w:t>债券余额</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91" w:right="0"/>
              <w:jc w:val="left"/>
              <w:rPr>
                <w:rFonts w:ascii="宋体" w:hAnsi="宋体" w:cs="宋体" w:eastAsia="宋体" w:hint="default"/>
                <w:sz w:val="21"/>
                <w:szCs w:val="21"/>
              </w:rPr>
            </w:pPr>
            <w:r>
              <w:rPr>
                <w:rFonts w:ascii="宋体" w:hAnsi="宋体" w:cs="宋体" w:eastAsia="宋体" w:hint="default"/>
                <w:sz w:val="21"/>
                <w:szCs w:val="21"/>
              </w:rPr>
              <w:t>利率</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hAnsi="宋体" w:cs="宋体" w:eastAsia="宋体" w:hint="default"/>
                <w:sz w:val="21"/>
                <w:szCs w:val="21"/>
              </w:rPr>
              <w:t>还本</w:t>
            </w:r>
          </w:p>
          <w:p>
            <w:pPr>
              <w:pStyle w:val="TableParagraph"/>
              <w:spacing w:line="272" w:lineRule="exact" w:before="27"/>
              <w:ind w:left="199" w:right="194"/>
              <w:jc w:val="left"/>
              <w:rPr>
                <w:rFonts w:ascii="宋体" w:hAnsi="宋体" w:cs="宋体" w:eastAsia="宋体" w:hint="default"/>
                <w:sz w:val="21"/>
                <w:szCs w:val="21"/>
              </w:rPr>
            </w:pPr>
            <w:r>
              <w:rPr>
                <w:rFonts w:ascii="宋体" w:hAnsi="宋体" w:cs="宋体" w:eastAsia="宋体" w:hint="default"/>
                <w:sz w:val="21"/>
                <w:szCs w:val="21"/>
              </w:rPr>
              <w:t>付息</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108" w:hanging="209"/>
              <w:jc w:val="left"/>
              <w:rPr>
                <w:rFonts w:ascii="宋体" w:hAnsi="宋体" w:cs="宋体" w:eastAsia="宋体" w:hint="default"/>
                <w:sz w:val="21"/>
                <w:szCs w:val="21"/>
              </w:rPr>
            </w:pPr>
            <w:r>
              <w:rPr>
                <w:rFonts w:ascii="宋体" w:hAnsi="宋体" w:cs="宋体" w:eastAsia="宋体" w:hint="default"/>
                <w:sz w:val="21"/>
                <w:szCs w:val="21"/>
              </w:rPr>
              <w:t>交易场</w:t>
            </w:r>
            <w:r>
              <w:rPr>
                <w:rFonts w:ascii="宋体" w:hAnsi="宋体" w:cs="宋体" w:eastAsia="宋体" w:hint="default"/>
                <w:spacing w:val="-102"/>
                <w:sz w:val="21"/>
                <w:szCs w:val="21"/>
              </w:rPr>
              <w:t> </w:t>
            </w:r>
            <w:r>
              <w:rPr>
                <w:rFonts w:ascii="宋体" w:hAnsi="宋体" w:cs="宋体" w:eastAsia="宋体" w:hint="default"/>
                <w:sz w:val="21"/>
                <w:szCs w:val="21"/>
              </w:rPr>
              <w:t>所</w:t>
            </w:r>
          </w:p>
        </w:tc>
      </w:tr>
      <w:tr>
        <w:trPr>
          <w:trHeight w:val="826"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新湖中宝股份有</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pacing w:val="-75"/>
                <w:sz w:val="21"/>
                <w:szCs w:val="21"/>
              </w:rPr>
              <w:t> </w:t>
            </w:r>
            <w:r>
              <w:rPr>
                <w:rFonts w:ascii="宋体" w:hAnsi="宋体" w:cs="宋体" w:eastAsia="宋体" w:hint="default"/>
                <w:sz w:val="21"/>
                <w:szCs w:val="21"/>
              </w:rPr>
              <w:t>2015</w:t>
            </w:r>
            <w:r>
              <w:rPr>
                <w:rFonts w:ascii="宋体" w:hAnsi="宋体" w:cs="宋体" w:eastAsia="宋体" w:hint="default"/>
                <w:spacing w:val="-75"/>
                <w:sz w:val="21"/>
                <w:szCs w:val="21"/>
              </w:rPr>
              <w:t> </w:t>
            </w:r>
            <w:r>
              <w:rPr>
                <w:rFonts w:ascii="宋体" w:hAnsi="宋体" w:cs="宋体" w:eastAsia="宋体" w:hint="default"/>
                <w:spacing w:val="-3"/>
                <w:sz w:val="21"/>
                <w:szCs w:val="21"/>
              </w:rPr>
              <w:t>年公</w:t>
            </w:r>
            <w:r>
              <w:rPr>
                <w:rFonts w:ascii="宋体" w:hAnsi="宋体" w:cs="宋体" w:eastAsia="宋体" w:hint="default"/>
                <w:spacing w:val="-3"/>
                <w:w w:val="100"/>
                <w:sz w:val="21"/>
                <w:szCs w:val="21"/>
              </w:rPr>
              <w:t> </w:t>
            </w:r>
            <w:r>
              <w:rPr>
                <w:rFonts w:ascii="宋体" w:hAnsi="宋体" w:cs="宋体" w:eastAsia="宋体" w:hint="default"/>
                <w:sz w:val="21"/>
                <w:szCs w:val="21"/>
              </w:rPr>
              <w:t>司债券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0" w:right="269"/>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湖债</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1"/>
              <w:jc w:val="right"/>
              <w:rPr>
                <w:rFonts w:ascii="宋体" w:hAnsi="宋体" w:cs="宋体" w:eastAsia="宋体" w:hint="default"/>
                <w:sz w:val="21"/>
                <w:szCs w:val="21"/>
              </w:rPr>
            </w:pPr>
            <w:r>
              <w:rPr>
                <w:rFonts w:ascii="宋体"/>
                <w:sz w:val="21"/>
              </w:rPr>
              <w:t>122406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1"/>
              <w:jc w:val="center"/>
              <w:rPr>
                <w:rFonts w:ascii="宋体" w:hAnsi="宋体" w:cs="宋体" w:eastAsia="宋体" w:hint="default"/>
                <w:sz w:val="21"/>
                <w:szCs w:val="21"/>
              </w:rPr>
            </w:pPr>
            <w:r>
              <w:rPr>
                <w:rFonts w:ascii="宋体"/>
                <w:sz w:val="21"/>
              </w:rPr>
              <w:t>2015-7-23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2020-7-23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3"/>
              <w:jc w:val="right"/>
              <w:rPr>
                <w:rFonts w:ascii="宋体" w:hAnsi="宋体" w:cs="宋体" w:eastAsia="宋体" w:hint="default"/>
                <w:sz w:val="21"/>
                <w:szCs w:val="21"/>
              </w:rPr>
            </w:pPr>
            <w:r>
              <w:rPr>
                <w:rFonts w:ascii="宋体"/>
                <w:spacing w:val="-1"/>
                <w:sz w:val="21"/>
              </w:rPr>
              <w:t>3,500,000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5.50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w w:val="100"/>
                <w:sz w:val="21"/>
                <w:szCs w:val="21"/>
              </w:rPr>
              <w:t>注</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r>
      <w:tr>
        <w:trPr>
          <w:trHeight w:val="829"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新湖中宝股份有</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pacing w:val="-75"/>
                <w:sz w:val="21"/>
                <w:szCs w:val="21"/>
              </w:rPr>
              <w:t> </w:t>
            </w:r>
            <w:r>
              <w:rPr>
                <w:rFonts w:ascii="宋体" w:hAnsi="宋体" w:cs="宋体" w:eastAsia="宋体" w:hint="default"/>
                <w:sz w:val="21"/>
                <w:szCs w:val="21"/>
              </w:rPr>
              <w:t>2016</w:t>
            </w:r>
            <w:r>
              <w:rPr>
                <w:rFonts w:ascii="宋体" w:hAnsi="宋体" w:cs="宋体" w:eastAsia="宋体" w:hint="default"/>
                <w:spacing w:val="-75"/>
                <w:sz w:val="21"/>
                <w:szCs w:val="21"/>
              </w:rPr>
              <w:t> </w:t>
            </w:r>
            <w:r>
              <w:rPr>
                <w:rFonts w:ascii="宋体" w:hAnsi="宋体" w:cs="宋体" w:eastAsia="宋体" w:hint="default"/>
                <w:spacing w:val="-3"/>
                <w:sz w:val="21"/>
                <w:szCs w:val="21"/>
              </w:rPr>
              <w:t>年公</w:t>
            </w:r>
            <w:r>
              <w:rPr>
                <w:rFonts w:ascii="宋体" w:hAnsi="宋体" w:cs="宋体" w:eastAsia="宋体" w:hint="default"/>
                <w:spacing w:val="-3"/>
                <w:w w:val="100"/>
                <w:sz w:val="21"/>
                <w:szCs w:val="21"/>
              </w:rPr>
              <w:t> </w:t>
            </w:r>
            <w:r>
              <w:rPr>
                <w:rFonts w:ascii="宋体" w:hAnsi="宋体" w:cs="宋体" w:eastAsia="宋体" w:hint="default"/>
                <w:sz w:val="21"/>
                <w:szCs w:val="21"/>
              </w:rPr>
              <w:t>司债券</w:t>
            </w:r>
            <w:r>
              <w:rPr>
                <w:rFonts w:ascii="宋体" w:hAnsi="宋体" w:cs="宋体" w:eastAsia="宋体" w:hint="default"/>
                <w:sz w:val="21"/>
                <w:szCs w:val="21"/>
              </w:rPr>
              <w:t>(</w:t>
            </w:r>
            <w:r>
              <w:rPr>
                <w:rFonts w:ascii="宋体" w:hAnsi="宋体" w:cs="宋体" w:eastAsia="宋体" w:hint="default"/>
                <w:sz w:val="21"/>
                <w:szCs w:val="21"/>
              </w:rPr>
              <w:t>品种一</w:t>
            </w:r>
            <w:r>
              <w:rPr>
                <w:rFonts w:ascii="宋体" w:hAnsi="宋体" w:cs="宋体" w:eastAsia="宋体" w:hint="default"/>
                <w:sz w:val="21"/>
                <w:szCs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3"/>
              <w:ind w:left="100"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z w:val="21"/>
                <w:szCs w:val="21"/>
              </w:rPr>
              <w:t>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湖</w:t>
            </w:r>
            <w:r>
              <w:rPr>
                <w:rFonts w:ascii="宋体" w:hAnsi="宋体" w:cs="宋体" w:eastAsia="宋体" w:hint="default"/>
                <w:spacing w:val="-51"/>
                <w:sz w:val="21"/>
                <w:szCs w:val="21"/>
              </w:rPr>
              <w:t> </w:t>
            </w:r>
            <w:r>
              <w:rPr>
                <w:rFonts w:ascii="宋体" w:hAnsi="宋体" w:cs="宋体" w:eastAsia="宋体" w:hint="default"/>
                <w:sz w:val="21"/>
                <w:szCs w:val="21"/>
              </w:rPr>
              <w:t>01</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1"/>
              <w:jc w:val="right"/>
              <w:rPr>
                <w:rFonts w:ascii="宋体" w:hAnsi="宋体" w:cs="宋体" w:eastAsia="宋体" w:hint="default"/>
                <w:sz w:val="21"/>
                <w:szCs w:val="21"/>
              </w:rPr>
            </w:pPr>
            <w:r>
              <w:rPr>
                <w:rFonts w:ascii="宋体"/>
                <w:sz w:val="21"/>
              </w:rPr>
              <w:t>136380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1"/>
              <w:jc w:val="center"/>
              <w:rPr>
                <w:rFonts w:ascii="宋体" w:hAnsi="宋体" w:cs="宋体" w:eastAsia="宋体" w:hint="default"/>
                <w:sz w:val="21"/>
                <w:szCs w:val="21"/>
              </w:rPr>
            </w:pPr>
            <w:r>
              <w:rPr>
                <w:rFonts w:ascii="宋体"/>
                <w:sz w:val="21"/>
              </w:rPr>
              <w:t>2016-5-19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2021-5-20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3"/>
              <w:jc w:val="right"/>
              <w:rPr>
                <w:rFonts w:ascii="宋体" w:hAnsi="宋体" w:cs="宋体" w:eastAsia="宋体" w:hint="default"/>
                <w:sz w:val="21"/>
                <w:szCs w:val="21"/>
              </w:rPr>
            </w:pPr>
            <w:r>
              <w:rPr>
                <w:rFonts w:ascii="宋体"/>
                <w:spacing w:val="-1"/>
                <w:sz w:val="21"/>
              </w:rPr>
              <w:t>3,500,000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5.20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w w:val="100"/>
                <w:sz w:val="21"/>
                <w:szCs w:val="21"/>
              </w:rPr>
              <w:t>注</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r>
      <w:tr>
        <w:trPr>
          <w:trHeight w:val="1099"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新湖中宝股份有</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限公司非公开发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行</w:t>
            </w:r>
            <w:r>
              <w:rPr>
                <w:rFonts w:ascii="宋体" w:hAnsi="宋体" w:cs="宋体" w:eastAsia="宋体" w:hint="default"/>
                <w:spacing w:val="-77"/>
                <w:sz w:val="21"/>
                <w:szCs w:val="21"/>
              </w:rPr>
              <w:t> </w:t>
            </w:r>
            <w:r>
              <w:rPr>
                <w:rFonts w:ascii="宋体" w:hAnsi="宋体" w:cs="宋体" w:eastAsia="宋体" w:hint="default"/>
                <w:sz w:val="21"/>
                <w:szCs w:val="21"/>
              </w:rPr>
              <w:t>2015</w:t>
            </w:r>
            <w:r>
              <w:rPr>
                <w:rFonts w:ascii="宋体" w:hAnsi="宋体" w:cs="宋体" w:eastAsia="宋体" w:hint="default"/>
                <w:spacing w:val="-77"/>
                <w:sz w:val="21"/>
                <w:szCs w:val="21"/>
              </w:rPr>
              <w:t> </w:t>
            </w:r>
            <w:r>
              <w:rPr>
                <w:rFonts w:ascii="宋体" w:hAnsi="宋体" w:cs="宋体" w:eastAsia="宋体" w:hint="default"/>
                <w:sz w:val="21"/>
                <w:szCs w:val="21"/>
              </w:rPr>
              <w:t>年公司债</w:t>
            </w:r>
            <w:r>
              <w:rPr>
                <w:rFonts w:ascii="宋体" w:hAnsi="宋体" w:cs="宋体" w:eastAsia="宋体" w:hint="default"/>
                <w:w w:val="100"/>
                <w:sz w:val="21"/>
                <w:szCs w:val="21"/>
              </w:rPr>
              <w:t> </w:t>
            </w:r>
            <w:r>
              <w:rPr>
                <w:rFonts w:ascii="宋体" w:hAnsi="宋体" w:cs="宋体" w:eastAsia="宋体" w:hint="default"/>
                <w:sz w:val="21"/>
                <w:szCs w:val="21"/>
              </w:rPr>
              <w:t>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0" w:right="269"/>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宝债</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1"/>
              <w:jc w:val="right"/>
              <w:rPr>
                <w:rFonts w:ascii="宋体" w:hAnsi="宋体" w:cs="宋体" w:eastAsia="宋体" w:hint="default"/>
                <w:sz w:val="21"/>
                <w:szCs w:val="21"/>
              </w:rPr>
            </w:pPr>
            <w:r>
              <w:rPr>
                <w:rFonts w:ascii="宋体"/>
                <w:sz w:val="21"/>
              </w:rPr>
              <w:t>125828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31"/>
              <w:jc w:val="center"/>
              <w:rPr>
                <w:rFonts w:ascii="宋体" w:hAnsi="宋体" w:cs="宋体" w:eastAsia="宋体" w:hint="default"/>
                <w:sz w:val="21"/>
                <w:szCs w:val="21"/>
              </w:rPr>
            </w:pPr>
            <w:r>
              <w:rPr>
                <w:rFonts w:ascii="宋体"/>
                <w:sz w:val="21"/>
              </w:rPr>
              <w:t>2015-9-14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sz w:val="21"/>
              </w:rPr>
              <w:t>2019-9-14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33"/>
              <w:jc w:val="right"/>
              <w:rPr>
                <w:rFonts w:ascii="宋体" w:hAnsi="宋体" w:cs="宋体" w:eastAsia="宋体" w:hint="default"/>
                <w:sz w:val="21"/>
                <w:szCs w:val="21"/>
              </w:rPr>
            </w:pPr>
            <w:r>
              <w:rPr>
                <w:rFonts w:ascii="宋体"/>
                <w:spacing w:val="-1"/>
                <w:sz w:val="21"/>
              </w:rPr>
              <w:t>5,000,000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sz w:val="21"/>
              </w:rPr>
              <w:t>6.99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w w:val="100"/>
                <w:sz w:val="21"/>
                <w:szCs w:val="21"/>
              </w:rPr>
              <w:t>注</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r>
    </w:tbl>
    <w:p>
      <w:pPr>
        <w:pStyle w:val="BodyText"/>
        <w:spacing w:line="273" w:lineRule="exact"/>
        <w:ind w:left="658" w:right="416"/>
        <w:jc w:val="left"/>
      </w:pPr>
      <w:r>
        <w:rPr/>
        <w:t>注：采用单利按年计息，不计复利，每年付息一次，到期一次还本，最后一期利息随</w:t>
      </w:r>
    </w:p>
    <w:p>
      <w:pPr>
        <w:pStyle w:val="BodyText"/>
        <w:spacing w:line="313" w:lineRule="exact"/>
        <w:ind w:left="658" w:right="416"/>
        <w:jc w:val="left"/>
      </w:pPr>
      <w:r>
        <w:rPr/>
        <w:t>本金的兑付一起支付。</w:t>
      </w:r>
    </w:p>
    <w:p>
      <w:pPr>
        <w:spacing w:line="240" w:lineRule="auto" w:before="7"/>
        <w:rPr>
          <w:rFonts w:ascii="宋体" w:hAnsi="宋体" w:cs="宋体" w:eastAsia="宋体" w:hint="default"/>
          <w:sz w:val="23"/>
          <w:szCs w:val="23"/>
        </w:rPr>
      </w:pPr>
    </w:p>
    <w:p>
      <w:pPr>
        <w:pStyle w:val="BodyText"/>
        <w:spacing w:line="313" w:lineRule="exact"/>
        <w:ind w:left="658" w:right="416"/>
        <w:jc w:val="left"/>
      </w:pPr>
      <w:r>
        <w:rPr/>
        <w:t>公司债券付息兑付情况</w:t>
      </w:r>
    </w:p>
    <w:p>
      <w:pPr>
        <w:pStyle w:val="BodyText"/>
        <w:tabs>
          <w:tab w:pos="1617" w:val="left" w:leader="none"/>
        </w:tabs>
        <w:spacing w:line="312" w:lineRule="exact"/>
        <w:ind w:left="658" w:right="416"/>
        <w:jc w:val="left"/>
      </w:pPr>
      <w:r>
        <w:rPr>
          <w:spacing w:val="-1"/>
        </w:rPr>
        <w:t>√适用</w:t>
        <w:tab/>
      </w:r>
      <w:r>
        <w:rPr/>
        <w:t>□不适用</w:t>
      </w:r>
    </w:p>
    <w:p>
      <w:pPr>
        <w:pStyle w:val="BodyText"/>
        <w:spacing w:line="313" w:lineRule="exact"/>
        <w:ind w:left="1138" w:right="416"/>
        <w:jc w:val="left"/>
      </w:pPr>
      <w:r>
        <w:rPr/>
        <w:t>公司已于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日完成“</w:t>
      </w:r>
      <w:r>
        <w:rPr>
          <w:rFonts w:ascii="宋体" w:hAnsi="宋体" w:cs="宋体" w:eastAsia="宋体" w:hint="default"/>
        </w:rPr>
        <w:t>16</w:t>
      </w:r>
      <w:r>
        <w:rPr>
          <w:rFonts w:ascii="宋体" w:hAnsi="宋体" w:cs="宋体" w:eastAsia="宋体" w:hint="default"/>
          <w:spacing w:val="-60"/>
        </w:rPr>
        <w:t> </w:t>
      </w:r>
      <w:r>
        <w:rPr/>
        <w:t>新湖</w:t>
      </w:r>
      <w:r>
        <w:rPr>
          <w:spacing w:val="-60"/>
        </w:rPr>
        <w:t> </w:t>
      </w:r>
      <w:r>
        <w:rPr>
          <w:rFonts w:ascii="宋体" w:hAnsi="宋体" w:cs="宋体" w:eastAsia="宋体" w:hint="default"/>
        </w:rPr>
        <w:t>01</w:t>
      </w:r>
      <w:r>
        <w:rPr/>
        <w:t>”</w:t>
      </w:r>
      <w:r>
        <w:rPr>
          <w:rFonts w:ascii="宋体" w:hAnsi="宋体" w:cs="宋体" w:eastAsia="宋体" w:hint="default"/>
        </w:rPr>
        <w:t>2017</w:t>
      </w:r>
      <w:r>
        <w:rPr>
          <w:rFonts w:ascii="宋体" w:hAnsi="宋体" w:cs="宋体" w:eastAsia="宋体" w:hint="default"/>
          <w:spacing w:val="-60"/>
        </w:rPr>
        <w:t> </w:t>
      </w:r>
      <w:r>
        <w:rPr/>
        <w:t>年的付息工作。</w:t>
      </w:r>
    </w:p>
    <w:p>
      <w:pPr>
        <w:pStyle w:val="BodyText"/>
        <w:spacing w:line="240" w:lineRule="auto" w:before="151"/>
        <w:ind w:left="1138" w:right="416"/>
        <w:jc w:val="left"/>
      </w:pPr>
      <w:r>
        <w:rPr/>
        <w:t>公司已于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日完成“</w:t>
      </w:r>
      <w:r>
        <w:rPr>
          <w:rFonts w:ascii="宋体" w:hAnsi="宋体" w:cs="宋体" w:eastAsia="宋体" w:hint="default"/>
        </w:rPr>
        <w:t>15</w:t>
      </w:r>
      <w:r>
        <w:rPr>
          <w:rFonts w:ascii="宋体" w:hAnsi="宋体" w:cs="宋体" w:eastAsia="宋体" w:hint="default"/>
          <w:spacing w:val="-60"/>
        </w:rPr>
        <w:t> </w:t>
      </w:r>
      <w:r>
        <w:rPr/>
        <w:t>新湖债”</w:t>
      </w:r>
      <w:r>
        <w:rPr>
          <w:rFonts w:ascii="宋体" w:hAnsi="宋体" w:cs="宋体" w:eastAsia="宋体" w:hint="default"/>
        </w:rPr>
        <w:t>2017</w:t>
      </w:r>
      <w:r>
        <w:rPr>
          <w:rFonts w:ascii="宋体" w:hAnsi="宋体" w:cs="宋体" w:eastAsia="宋体" w:hint="default"/>
          <w:spacing w:val="-60"/>
        </w:rPr>
        <w:t> </w:t>
      </w:r>
      <w:r>
        <w:rPr/>
        <w:t>年的付息工作。</w:t>
      </w:r>
    </w:p>
    <w:p>
      <w:pPr>
        <w:pStyle w:val="BodyText"/>
        <w:spacing w:line="240" w:lineRule="auto" w:before="154"/>
        <w:ind w:left="1138" w:right="416"/>
        <w:jc w:val="left"/>
      </w:pPr>
      <w:r>
        <w:rPr/>
        <w:t>公司已于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日完成“</w:t>
      </w:r>
      <w:r>
        <w:rPr>
          <w:rFonts w:ascii="宋体" w:hAnsi="宋体" w:cs="宋体" w:eastAsia="宋体" w:hint="default"/>
        </w:rPr>
        <w:t>15</w:t>
      </w:r>
      <w:r>
        <w:rPr>
          <w:rFonts w:ascii="宋体" w:hAnsi="宋体" w:cs="宋体" w:eastAsia="宋体" w:hint="default"/>
          <w:spacing w:val="-60"/>
        </w:rPr>
        <w:t> </w:t>
      </w:r>
      <w:r>
        <w:rPr/>
        <w:t>中宝债”</w:t>
      </w:r>
      <w:r>
        <w:rPr>
          <w:rFonts w:ascii="宋体" w:hAnsi="宋体" w:cs="宋体" w:eastAsia="宋体" w:hint="default"/>
        </w:rPr>
        <w:t>2017</w:t>
      </w:r>
      <w:r>
        <w:rPr>
          <w:rFonts w:ascii="宋体" w:hAnsi="宋体" w:cs="宋体" w:eastAsia="宋体" w:hint="default"/>
          <w:spacing w:val="-60"/>
        </w:rPr>
        <w:t> </w:t>
      </w:r>
      <w:r>
        <w:rPr/>
        <w:t>年的付息工作。</w:t>
      </w:r>
    </w:p>
    <w:p>
      <w:pPr>
        <w:spacing w:line="240" w:lineRule="auto" w:before="9"/>
        <w:rPr>
          <w:rFonts w:ascii="宋体" w:hAnsi="宋体" w:cs="宋体" w:eastAsia="宋体" w:hint="default"/>
          <w:sz w:val="32"/>
          <w:szCs w:val="32"/>
        </w:rPr>
      </w:pPr>
    </w:p>
    <w:p>
      <w:pPr>
        <w:pStyle w:val="BodyText"/>
        <w:spacing w:line="313" w:lineRule="exact"/>
        <w:ind w:left="658" w:right="416"/>
        <w:jc w:val="left"/>
      </w:pPr>
      <w:r>
        <w:rPr/>
        <w:t>公司债券其他情况的说明</w:t>
      </w:r>
    </w:p>
    <w:p>
      <w:pPr>
        <w:pStyle w:val="BodyText"/>
        <w:spacing w:line="313" w:lineRule="exact"/>
        <w:ind w:left="658" w:right="416"/>
        <w:jc w:val="left"/>
      </w:pPr>
      <w:r>
        <w:rPr/>
        <w:t>√适用</w:t>
      </w:r>
      <w:r>
        <w:rPr>
          <w:spacing w:val="-1"/>
        </w:rPr>
        <w:t> </w:t>
      </w:r>
      <w:r>
        <w:rPr/>
        <w:t>□不适用</w:t>
      </w:r>
    </w:p>
    <w:p>
      <w:pPr>
        <w:spacing w:line="240" w:lineRule="auto" w:before="8"/>
        <w:rPr>
          <w:rFonts w:ascii="宋体" w:hAnsi="宋体" w:cs="宋体" w:eastAsia="宋体" w:hint="default"/>
          <w:sz w:val="26"/>
          <w:szCs w:val="26"/>
        </w:rPr>
      </w:pPr>
    </w:p>
    <w:tbl>
      <w:tblPr>
        <w:tblW w:w="0" w:type="auto"/>
        <w:jc w:val="left"/>
        <w:tblInd w:w="545" w:type="dxa"/>
        <w:tblLayout w:type="fixed"/>
        <w:tblCellMar>
          <w:top w:w="0" w:type="dxa"/>
          <w:left w:w="0" w:type="dxa"/>
          <w:bottom w:w="0" w:type="dxa"/>
          <w:right w:w="0" w:type="dxa"/>
        </w:tblCellMar>
        <w:tblLook w:val="01E0"/>
      </w:tblPr>
      <w:tblGrid>
        <w:gridCol w:w="1387"/>
        <w:gridCol w:w="4110"/>
        <w:gridCol w:w="3553"/>
      </w:tblGrid>
      <w:tr>
        <w:trPr>
          <w:trHeight w:val="28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8"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选择权设置</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执行情况</w:t>
            </w:r>
          </w:p>
        </w:tc>
      </w:tr>
      <w:tr>
        <w:trPr>
          <w:trHeight w:val="55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新湖债</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附第</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年末发行人上调票面利率选择和债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券持有人回售选择权</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尚未涉及</w:t>
            </w:r>
          </w:p>
        </w:tc>
      </w:tr>
      <w:tr>
        <w:trPr>
          <w:trHeight w:val="55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新湖</w:t>
            </w:r>
            <w:r>
              <w:rPr>
                <w:rFonts w:ascii="宋体" w:hAnsi="宋体" w:cs="宋体" w:eastAsia="宋体" w:hint="default"/>
                <w:spacing w:val="-53"/>
                <w:sz w:val="21"/>
                <w:szCs w:val="21"/>
              </w:rPr>
              <w:t> </w:t>
            </w:r>
            <w:r>
              <w:rPr>
                <w:rFonts w:ascii="宋体" w:hAnsi="宋体" w:cs="宋体" w:eastAsia="宋体" w:hint="default"/>
                <w:sz w:val="21"/>
                <w:szCs w:val="21"/>
              </w:rPr>
              <w:t>01</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附第</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年末发行人上调票面利率选择和债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券持有人回售选择权</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尚未涉及</w:t>
            </w:r>
          </w:p>
        </w:tc>
      </w:tr>
      <w:tr>
        <w:trPr>
          <w:trHeight w:val="557"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中宝债</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附第</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年末发行人上调票面利率选择和债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券持有人回售选择权</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月实施回售，最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终回售金额为</w:t>
            </w:r>
            <w:r>
              <w:rPr>
                <w:rFonts w:ascii="宋体" w:hAnsi="宋体" w:cs="宋体" w:eastAsia="宋体" w:hint="default"/>
                <w:spacing w:val="-51"/>
                <w:sz w:val="21"/>
                <w:szCs w:val="21"/>
              </w:rPr>
              <w:t> </w:t>
            </w:r>
            <w:r>
              <w:rPr>
                <w:rFonts w:ascii="宋体" w:hAnsi="宋体" w:cs="宋体" w:eastAsia="宋体" w:hint="default"/>
                <w:sz w:val="21"/>
                <w:szCs w:val="21"/>
              </w:rPr>
              <w:t>0</w:t>
            </w:r>
            <w:r>
              <w:rPr>
                <w:rFonts w:ascii="宋体" w:hAnsi="宋体" w:cs="宋体" w:eastAsia="宋体" w:hint="default"/>
                <w:spacing w:val="-53"/>
                <w:sz w:val="21"/>
                <w:szCs w:val="21"/>
              </w:rPr>
              <w:t> </w:t>
            </w:r>
            <w:r>
              <w:rPr>
                <w:rFonts w:ascii="宋体" w:hAnsi="宋体" w:cs="宋体" w:eastAsia="宋体" w:hint="default"/>
                <w:sz w:val="21"/>
                <w:szCs w:val="21"/>
              </w:rPr>
              <w:t>元。</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2"/>
        <w:spacing w:line="240" w:lineRule="auto"/>
        <w:ind w:left="658" w:right="416"/>
        <w:jc w:val="left"/>
        <w:rPr>
          <w:b w:val="0"/>
          <w:bCs w:val="0"/>
        </w:rPr>
      </w:pPr>
      <w:r>
        <w:rPr/>
        <w:t>二、公司债券受托管理联系人、联系方式及资信评级机构联系方式</w:t>
      </w:r>
      <w:r>
        <w:rPr>
          <w:b w:val="0"/>
          <w:bCs w:val="0"/>
        </w:rPr>
      </w:r>
    </w:p>
    <w:p>
      <w:pPr>
        <w:spacing w:line="240" w:lineRule="auto" w:before="8"/>
        <w:rPr>
          <w:rFonts w:ascii="宋体" w:hAnsi="宋体" w:cs="宋体" w:eastAsia="宋体" w:hint="default"/>
          <w:b/>
          <w:bCs/>
          <w:sz w:val="28"/>
          <w:szCs w:val="28"/>
        </w:rPr>
      </w:pPr>
    </w:p>
    <w:tbl>
      <w:tblPr>
        <w:tblW w:w="0" w:type="auto"/>
        <w:jc w:val="left"/>
        <w:tblInd w:w="545" w:type="dxa"/>
        <w:tblLayout w:type="fixed"/>
        <w:tblCellMar>
          <w:top w:w="0" w:type="dxa"/>
          <w:left w:w="0" w:type="dxa"/>
          <w:bottom w:w="0" w:type="dxa"/>
          <w:right w:w="0" w:type="dxa"/>
        </w:tblCellMar>
        <w:tblLook w:val="01E0"/>
      </w:tblPr>
      <w:tblGrid>
        <w:gridCol w:w="1951"/>
        <w:gridCol w:w="1558"/>
        <w:gridCol w:w="5540"/>
      </w:tblGrid>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8" w:type="dxa"/>
            <w:tcBorders>
              <w:top w:val="single" w:sz="4" w:space="0" w:color="000000"/>
              <w:left w:val="single" w:sz="4" w:space="0" w:color="000000"/>
              <w:bottom w:val="single" w:sz="4" w:space="0" w:color="000000"/>
              <w:right w:val="single" w:sz="4" w:space="0" w:color="000000"/>
            </w:tcBorders>
          </w:tcPr>
          <w:p>
            <w:pPr/>
          </w:p>
        </w:tc>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新湖债、</w:t>
            </w:r>
            <w:r>
              <w:rPr>
                <w:rFonts w:ascii="宋体" w:hAnsi="宋体" w:cs="宋体" w:eastAsia="宋体" w:hint="default"/>
                <w:sz w:val="21"/>
                <w:szCs w:val="21"/>
              </w:rPr>
              <w:t>16</w:t>
            </w:r>
            <w:r>
              <w:rPr>
                <w:rFonts w:ascii="宋体" w:hAnsi="宋体" w:cs="宋体" w:eastAsia="宋体" w:hint="default"/>
                <w:spacing w:val="-55"/>
                <w:sz w:val="21"/>
                <w:szCs w:val="21"/>
              </w:rPr>
              <w:t> </w:t>
            </w:r>
            <w:r>
              <w:rPr>
                <w:rFonts w:ascii="宋体" w:hAnsi="宋体" w:cs="宋体" w:eastAsia="宋体" w:hint="default"/>
                <w:sz w:val="21"/>
                <w:szCs w:val="21"/>
              </w:rPr>
              <w:t>新湖</w:t>
            </w:r>
            <w:r>
              <w:rPr>
                <w:rFonts w:ascii="宋体" w:hAnsi="宋体" w:cs="宋体" w:eastAsia="宋体" w:hint="default"/>
                <w:spacing w:val="-55"/>
                <w:sz w:val="21"/>
                <w:szCs w:val="21"/>
              </w:rPr>
              <w:t> </w:t>
            </w:r>
            <w:r>
              <w:rPr>
                <w:rFonts w:ascii="宋体" w:hAnsi="宋体" w:cs="宋体" w:eastAsia="宋体" w:hint="default"/>
                <w:sz w:val="21"/>
                <w:szCs w:val="21"/>
              </w:rPr>
              <w:t>01</w:t>
            </w: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中宝债</w:t>
            </w:r>
          </w:p>
        </w:tc>
      </w:tr>
      <w:tr>
        <w:trPr>
          <w:trHeight w:val="281"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债券受托管理人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国泰君安证券股份有限公司</w:t>
            </w:r>
          </w:p>
        </w:tc>
      </w:tr>
      <w:tr>
        <w:trPr>
          <w:trHeight w:val="283" w:hRule="exact"/>
        </w:trPr>
        <w:tc>
          <w:tcPr>
            <w:tcW w:w="1951" w:type="dxa"/>
            <w:vMerge/>
            <w:tcBorders>
              <w:left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中国（上海）自由贸易实验区商城路</w:t>
            </w:r>
            <w:r>
              <w:rPr>
                <w:rFonts w:ascii="宋体" w:hAnsi="宋体" w:cs="宋体" w:eastAsia="宋体" w:hint="default"/>
                <w:spacing w:val="-53"/>
                <w:sz w:val="21"/>
                <w:szCs w:val="21"/>
              </w:rPr>
              <w:t> </w:t>
            </w:r>
            <w:r>
              <w:rPr>
                <w:rFonts w:ascii="宋体" w:hAnsi="宋体" w:cs="宋体" w:eastAsia="宋体" w:hint="default"/>
                <w:sz w:val="21"/>
                <w:szCs w:val="21"/>
              </w:rPr>
              <w:t>618</w:t>
            </w:r>
            <w:r>
              <w:rPr>
                <w:rFonts w:ascii="宋体" w:hAnsi="宋体" w:cs="宋体" w:eastAsia="宋体" w:hint="default"/>
                <w:spacing w:val="-54"/>
                <w:sz w:val="21"/>
                <w:szCs w:val="21"/>
              </w:rPr>
              <w:t> </w:t>
            </w:r>
            <w:r>
              <w:rPr>
                <w:rFonts w:ascii="宋体" w:hAnsi="宋体" w:cs="宋体" w:eastAsia="宋体" w:hint="default"/>
                <w:sz w:val="21"/>
                <w:szCs w:val="21"/>
              </w:rPr>
              <w:t>号</w:t>
            </w:r>
          </w:p>
        </w:tc>
      </w:tr>
      <w:tr>
        <w:trPr>
          <w:trHeight w:val="283" w:hRule="exact"/>
        </w:trPr>
        <w:tc>
          <w:tcPr>
            <w:tcW w:w="1951"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联系人</w:t>
            </w:r>
          </w:p>
        </w:tc>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魏瑨</w:t>
            </w:r>
          </w:p>
        </w:tc>
      </w:tr>
    </w:tbl>
    <w:p>
      <w:pPr>
        <w:spacing w:after="0" w:line="241" w:lineRule="exact"/>
        <w:jc w:val="left"/>
        <w:rPr>
          <w:rFonts w:ascii="宋体" w:hAnsi="宋体" w:cs="宋体" w:eastAsia="宋体" w:hint="default"/>
          <w:sz w:val="21"/>
          <w:szCs w:val="21"/>
        </w:rPr>
        <w:sectPr>
          <w:type w:val="continuous"/>
          <w:pgSz w:w="11910" w:h="16840"/>
          <w:pgMar w:top="1000" w:bottom="280" w:left="1140" w:right="60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1951"/>
        <w:gridCol w:w="1558"/>
        <w:gridCol w:w="5540"/>
      </w:tblGrid>
      <w:tr>
        <w:trPr>
          <w:trHeight w:val="284" w:hRule="exact"/>
        </w:trPr>
        <w:tc>
          <w:tcPr>
            <w:tcW w:w="195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联系电话</w:t>
            </w:r>
          </w:p>
        </w:tc>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010-59312983</w:t>
            </w:r>
          </w:p>
        </w:tc>
      </w:tr>
      <w:tr>
        <w:trPr>
          <w:trHeight w:val="283"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before="107"/>
              <w:ind w:left="340" w:right="0"/>
              <w:jc w:val="left"/>
              <w:rPr>
                <w:rFonts w:ascii="宋体" w:hAnsi="宋体" w:cs="宋体" w:eastAsia="宋体" w:hint="default"/>
                <w:sz w:val="21"/>
                <w:szCs w:val="21"/>
              </w:rPr>
            </w:pPr>
            <w:r>
              <w:rPr>
                <w:rFonts w:ascii="宋体" w:hAnsi="宋体" w:cs="宋体" w:eastAsia="宋体" w:hint="default"/>
                <w:sz w:val="21"/>
                <w:szCs w:val="21"/>
              </w:rPr>
              <w:t>资信评级机构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联合信用评级有限公司</w:t>
            </w:r>
          </w:p>
        </w:tc>
      </w:tr>
      <w:tr>
        <w:trPr>
          <w:trHeight w:val="283" w:hRule="exact"/>
        </w:trPr>
        <w:tc>
          <w:tcPr>
            <w:tcW w:w="1951"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北京市朝阳区建国门外大街</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PICC</w:t>
            </w:r>
            <w:r>
              <w:rPr>
                <w:rFonts w:ascii="宋体" w:hAnsi="宋体" w:cs="宋体" w:eastAsia="宋体" w:hint="default"/>
                <w:spacing w:val="-53"/>
                <w:sz w:val="21"/>
                <w:szCs w:val="21"/>
              </w:rPr>
              <w:t> </w:t>
            </w:r>
            <w:r>
              <w:rPr>
                <w:rFonts w:ascii="宋体" w:hAnsi="宋体" w:cs="宋体" w:eastAsia="宋体" w:hint="default"/>
                <w:sz w:val="21"/>
                <w:szCs w:val="21"/>
              </w:rPr>
              <w:t>大厦</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层</w:t>
            </w:r>
          </w:p>
        </w:tc>
      </w:tr>
    </w:tbl>
    <w:p>
      <w:pPr>
        <w:spacing w:line="240" w:lineRule="auto" w:before="8"/>
        <w:rPr>
          <w:rFonts w:ascii="宋体" w:hAnsi="宋体" w:cs="宋体" w:eastAsia="宋体" w:hint="default"/>
          <w:b/>
          <w:bCs/>
          <w:sz w:val="18"/>
          <w:szCs w:val="18"/>
        </w:rPr>
      </w:pPr>
    </w:p>
    <w:p>
      <w:pPr>
        <w:pStyle w:val="BodyText"/>
        <w:spacing w:line="313" w:lineRule="exact" w:before="26"/>
        <w:ind w:left="218" w:right="0"/>
        <w:jc w:val="both"/>
      </w:pPr>
      <w:r>
        <w:rPr/>
        <w:t>其他说明：</w:t>
      </w:r>
    </w:p>
    <w:p>
      <w:pPr>
        <w:pStyle w:val="BodyText"/>
        <w:spacing w:line="313" w:lineRule="exact"/>
        <w:ind w:left="218" w:right="0"/>
        <w:jc w:val="both"/>
      </w:pPr>
      <w:r>
        <w:rPr/>
        <w:t>□适用</w:t>
      </w:r>
      <w:r>
        <w:rPr>
          <w:spacing w:val="119"/>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right="0"/>
        <w:jc w:val="both"/>
        <w:rPr>
          <w:b w:val="0"/>
          <w:bCs w:val="0"/>
        </w:rPr>
      </w:pPr>
      <w:r>
        <w:rPr/>
        <w:t>三、公司债券募集资金使用情况</w:t>
      </w:r>
      <w:r>
        <w:rPr>
          <w:b w:val="0"/>
          <w:bCs w:val="0"/>
        </w:rPr>
      </w:r>
    </w:p>
    <w:p>
      <w:pPr>
        <w:tabs>
          <w:tab w:pos="1177" w:val="left" w:leader="none"/>
        </w:tabs>
        <w:spacing w:line="312" w:lineRule="exact" w:before="88"/>
        <w:ind w:left="698" w:right="7146" w:hanging="480"/>
        <w:jc w:val="left"/>
        <w:rPr>
          <w:rFonts w:ascii="宋体" w:hAnsi="宋体" w:cs="宋体" w:eastAsia="宋体" w:hint="default"/>
          <w:sz w:val="24"/>
          <w:szCs w:val="24"/>
        </w:rPr>
      </w:pPr>
      <w:r>
        <w:rPr>
          <w:rFonts w:ascii="宋体" w:hAnsi="宋体" w:cs="宋体" w:eastAsia="宋体" w:hint="default"/>
          <w:spacing w:val="-1"/>
          <w:sz w:val="24"/>
          <w:szCs w:val="24"/>
        </w:rPr>
        <w:t>√适用</w:t>
        <w:tab/>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w:t>
      </w:r>
      <w:r>
        <w:rPr>
          <w:rFonts w:ascii="宋体" w:hAnsi="宋体" w:cs="宋体" w:eastAsia="宋体" w:hint="default"/>
          <w:b/>
          <w:bCs/>
          <w:sz w:val="24"/>
          <w:szCs w:val="24"/>
        </w:rPr>
        <w:t>15</w:t>
      </w:r>
      <w:r>
        <w:rPr>
          <w:rFonts w:ascii="宋体" w:hAnsi="宋体" w:cs="宋体" w:eastAsia="宋体" w:hint="default"/>
          <w:b/>
          <w:bCs/>
          <w:spacing w:val="-62"/>
          <w:sz w:val="24"/>
          <w:szCs w:val="24"/>
        </w:rPr>
        <w:t> </w:t>
      </w:r>
      <w:r>
        <w:rPr>
          <w:rFonts w:ascii="宋体" w:hAnsi="宋体" w:cs="宋体" w:eastAsia="宋体" w:hint="default"/>
          <w:b/>
          <w:bCs/>
          <w:sz w:val="24"/>
          <w:szCs w:val="24"/>
        </w:rPr>
        <w:t>新湖债</w:t>
      </w:r>
      <w:r>
        <w:rPr>
          <w:rFonts w:ascii="宋体" w:hAnsi="宋体" w:cs="宋体" w:eastAsia="宋体" w:hint="default"/>
          <w:sz w:val="24"/>
          <w:szCs w:val="24"/>
        </w:rPr>
      </w:r>
    </w:p>
    <w:p>
      <w:pPr>
        <w:pStyle w:val="BodyText"/>
        <w:spacing w:line="357" w:lineRule="auto" w:before="123"/>
        <w:ind w:left="218" w:right="230" w:firstLine="479"/>
        <w:jc w:val="both"/>
      </w:pPr>
      <w:r>
        <w:rPr/>
        <w:t>经中国证券监督管理委员会证监许可</w:t>
      </w:r>
      <w:r>
        <w:rPr>
          <w:rFonts w:ascii="宋体" w:hAnsi="宋体" w:cs="宋体" w:eastAsia="宋体" w:hint="default"/>
        </w:rPr>
        <w:t>[2015]1654</w:t>
      </w:r>
      <w:r>
        <w:rPr>
          <w:rFonts w:ascii="宋体" w:hAnsi="宋体" w:cs="宋体" w:eastAsia="宋体" w:hint="default"/>
          <w:spacing w:val="-57"/>
        </w:rPr>
        <w:t> </w:t>
      </w:r>
      <w:r>
        <w:rPr>
          <w:spacing w:val="-8"/>
        </w:rPr>
        <w:t>号文核准，本公司向社会公开发</w:t>
      </w:r>
      <w:r>
        <w:rPr/>
        <w:t> 行面值不超过</w:t>
      </w:r>
      <w:r>
        <w:rPr>
          <w:spacing w:val="-61"/>
        </w:rPr>
        <w:t> </w:t>
      </w:r>
      <w:r>
        <w:rPr>
          <w:rFonts w:ascii="宋体" w:hAnsi="宋体" w:cs="宋体" w:eastAsia="宋体" w:hint="default"/>
        </w:rPr>
        <w:t>35</w:t>
      </w:r>
      <w:r>
        <w:rPr>
          <w:rFonts w:ascii="宋体" w:hAnsi="宋体" w:cs="宋体" w:eastAsia="宋体" w:hint="default"/>
          <w:spacing w:val="-59"/>
        </w:rPr>
        <w:t> </w:t>
      </w:r>
      <w:r>
        <w:rPr>
          <w:spacing w:val="-5"/>
        </w:rPr>
        <w:t>亿元（含</w:t>
      </w:r>
      <w:r>
        <w:rPr>
          <w:spacing w:val="-59"/>
        </w:rPr>
        <w:t> </w:t>
      </w:r>
      <w:r>
        <w:rPr>
          <w:rFonts w:ascii="宋体" w:hAnsi="宋体" w:cs="宋体" w:eastAsia="宋体" w:hint="default"/>
        </w:rPr>
        <w:t>35</w:t>
      </w:r>
      <w:r>
        <w:rPr>
          <w:rFonts w:ascii="宋体" w:hAnsi="宋体" w:cs="宋体" w:eastAsia="宋体" w:hint="default"/>
          <w:spacing w:val="-59"/>
        </w:rPr>
        <w:t> </w:t>
      </w:r>
      <w:r>
        <w:rPr>
          <w:spacing w:val="-3"/>
        </w:rPr>
        <w:t>亿元）的公司债券。根据公司</w:t>
      </w:r>
      <w:r>
        <w:rPr>
          <w:spacing w:val="-59"/>
        </w:rPr>
        <w:t> </w:t>
      </w:r>
      <w:r>
        <w:rPr>
          <w:rFonts w:ascii="宋体" w:hAnsi="宋体" w:cs="宋体" w:eastAsia="宋体" w:hint="default"/>
        </w:rPr>
        <w:t>2015</w:t>
      </w:r>
      <w:r>
        <w:rPr>
          <w:rFonts w:ascii="宋体" w:hAnsi="宋体" w:cs="宋体" w:eastAsia="宋体" w:hint="default"/>
          <w:spacing w:val="-57"/>
        </w:rPr>
        <w:t> </w:t>
      </w:r>
      <w:r>
        <w:rPr/>
        <w:t>年</w:t>
      </w:r>
      <w:r>
        <w:rPr>
          <w:spacing w:val="-59"/>
        </w:rPr>
        <w:t> </w:t>
      </w:r>
      <w:r>
        <w:rPr>
          <w:rFonts w:ascii="宋体" w:hAnsi="宋体" w:cs="宋体" w:eastAsia="宋体" w:hint="default"/>
        </w:rPr>
        <w:t>7</w:t>
      </w:r>
      <w:r>
        <w:rPr>
          <w:rFonts w:ascii="宋体" w:hAnsi="宋体" w:cs="宋体" w:eastAsia="宋体" w:hint="default"/>
          <w:spacing w:val="-59"/>
        </w:rPr>
        <w:t> </w:t>
      </w:r>
      <w:r>
        <w:rPr/>
        <w:t>月</w:t>
      </w:r>
      <w:r>
        <w:rPr>
          <w:spacing w:val="-59"/>
        </w:rPr>
        <w:t> </w:t>
      </w:r>
      <w:r>
        <w:rPr>
          <w:rFonts w:ascii="宋体" w:hAnsi="宋体" w:cs="宋体" w:eastAsia="宋体" w:hint="default"/>
        </w:rPr>
        <w:t>21</w:t>
      </w:r>
      <w:r>
        <w:rPr>
          <w:rFonts w:ascii="宋体" w:hAnsi="宋体" w:cs="宋体" w:eastAsia="宋体" w:hint="default"/>
          <w:spacing w:val="-59"/>
        </w:rPr>
        <w:t> </w:t>
      </w:r>
      <w:r>
        <w:rPr/>
        <w:t>日公告的 </w:t>
      </w:r>
      <w:r>
        <w:rPr>
          <w:spacing w:val="-2"/>
        </w:rPr>
        <w:t>本期公司债券募集说明书的相关内容，公司对本期公司债券募集资金的使用计划为偿</w:t>
      </w:r>
      <w:r>
        <w:rPr>
          <w:spacing w:val="-94"/>
        </w:rPr>
        <w:t> </w:t>
      </w:r>
      <w:r>
        <w:rPr>
          <w:spacing w:val="-94"/>
        </w:rPr>
      </w:r>
      <w:r>
        <w:rPr/>
        <w:t>还公司银行贷款、调整债务结构和补充流动资金。公司已于</w:t>
      </w:r>
      <w:r>
        <w:rPr>
          <w:spacing w:val="-68"/>
        </w:rPr>
        <w:t> </w:t>
      </w:r>
      <w:r>
        <w:rPr>
          <w:rFonts w:ascii="宋体" w:hAnsi="宋体" w:cs="宋体" w:eastAsia="宋体" w:hint="default"/>
        </w:rPr>
        <w:t>2015</w:t>
      </w:r>
      <w:r>
        <w:rPr>
          <w:rFonts w:ascii="宋体" w:hAnsi="宋体" w:cs="宋体" w:eastAsia="宋体" w:hint="default"/>
          <w:spacing w:val="-68"/>
        </w:rPr>
        <w:t> </w:t>
      </w:r>
      <w:r>
        <w:rPr/>
        <w:t>年</w:t>
      </w:r>
      <w:r>
        <w:rPr>
          <w:spacing w:val="-68"/>
        </w:rPr>
        <w:t> </w:t>
      </w:r>
      <w:r>
        <w:rPr>
          <w:rFonts w:ascii="宋体" w:hAnsi="宋体" w:cs="宋体" w:eastAsia="宋体" w:hint="default"/>
        </w:rPr>
        <w:t>7</w:t>
      </w:r>
      <w:r>
        <w:rPr>
          <w:rFonts w:ascii="宋体" w:hAnsi="宋体" w:cs="宋体" w:eastAsia="宋体" w:hint="default"/>
          <w:spacing w:val="-68"/>
        </w:rPr>
        <w:t> </w:t>
      </w:r>
      <w:r>
        <w:rPr/>
        <w:t>月</w:t>
      </w:r>
      <w:r>
        <w:rPr>
          <w:spacing w:val="-68"/>
        </w:rPr>
        <w:t> </w:t>
      </w:r>
      <w:r>
        <w:rPr>
          <w:rFonts w:ascii="宋体" w:hAnsi="宋体" w:cs="宋体" w:eastAsia="宋体" w:hint="default"/>
        </w:rPr>
        <w:t>27</w:t>
      </w:r>
      <w:r>
        <w:rPr>
          <w:rFonts w:ascii="宋体" w:hAnsi="宋体" w:cs="宋体" w:eastAsia="宋体" w:hint="default"/>
          <w:spacing w:val="-68"/>
        </w:rPr>
        <w:t> </w:t>
      </w:r>
      <w:r>
        <w:rPr/>
        <w:t>日收到募</w:t>
      </w:r>
    </w:p>
    <w:p>
      <w:pPr>
        <w:pStyle w:val="BodyText"/>
        <w:spacing w:line="357" w:lineRule="auto" w:before="34"/>
        <w:ind w:left="218" w:right="289"/>
        <w:jc w:val="left"/>
      </w:pPr>
      <w:r>
        <w:rPr/>
        <w:t>集资金。截止</w:t>
      </w:r>
      <w:r>
        <w:rPr>
          <w:spacing w:val="-61"/>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日，本期公司债券募集资金已按照募集说明书约定用 途全部使用完毕。</w:t>
      </w:r>
    </w:p>
    <w:p>
      <w:pPr>
        <w:pStyle w:val="Heading2"/>
        <w:spacing w:line="240" w:lineRule="auto" w:before="34"/>
        <w:ind w:left="700" w:right="233"/>
        <w:jc w:val="left"/>
        <w:rPr>
          <w:rFonts w:ascii="宋体" w:hAnsi="宋体" w:cs="宋体" w:eastAsia="宋体" w:hint="default"/>
          <w:b w:val="0"/>
          <w:bCs w:val="0"/>
        </w:rPr>
      </w:pPr>
      <w:r>
        <w:rPr>
          <w:rFonts w:ascii="宋体" w:hAnsi="宋体" w:cs="宋体" w:eastAsia="宋体" w:hint="default"/>
        </w:rPr>
        <w:t>2</w:t>
      </w:r>
      <w:r>
        <w:rPr/>
        <w:t>、</w:t>
      </w:r>
      <w:r>
        <w:rPr>
          <w:rFonts w:ascii="宋体" w:hAnsi="宋体" w:cs="宋体" w:eastAsia="宋体" w:hint="default"/>
        </w:rPr>
        <w:t>16</w:t>
      </w:r>
      <w:r>
        <w:rPr>
          <w:rFonts w:ascii="宋体" w:hAnsi="宋体" w:cs="宋体" w:eastAsia="宋体" w:hint="default"/>
          <w:spacing w:val="-62"/>
        </w:rPr>
        <w:t> </w:t>
      </w:r>
      <w:r>
        <w:rPr/>
        <w:t>新湖</w:t>
      </w:r>
      <w:r>
        <w:rPr>
          <w:spacing w:val="-62"/>
        </w:rPr>
        <w:t> </w:t>
      </w:r>
      <w:r>
        <w:rPr>
          <w:rFonts w:ascii="宋体" w:hAnsi="宋体" w:cs="宋体" w:eastAsia="宋体" w:hint="default"/>
        </w:rPr>
        <w:t>01</w:t>
      </w:r>
      <w:r>
        <w:rPr>
          <w:rFonts w:ascii="宋体" w:hAnsi="宋体" w:cs="宋体" w:eastAsia="宋体" w:hint="default"/>
          <w:b w:val="0"/>
          <w:bCs w:val="0"/>
        </w:rPr>
      </w:r>
    </w:p>
    <w:p>
      <w:pPr>
        <w:pStyle w:val="BodyText"/>
        <w:spacing w:line="357" w:lineRule="auto" w:before="154"/>
        <w:ind w:left="218" w:right="230" w:firstLine="479"/>
        <w:jc w:val="both"/>
      </w:pPr>
      <w:r>
        <w:rPr/>
        <w:t>经中国证券监督管理委员会证监许可</w:t>
      </w:r>
      <w:r>
        <w:rPr>
          <w:rFonts w:ascii="宋体" w:hAnsi="宋体" w:cs="宋体" w:eastAsia="宋体" w:hint="default"/>
        </w:rPr>
        <w:t>[2016]587</w:t>
      </w:r>
      <w:r>
        <w:rPr>
          <w:rFonts w:ascii="宋体" w:hAnsi="宋体" w:cs="宋体" w:eastAsia="宋体" w:hint="default"/>
          <w:spacing w:val="-60"/>
        </w:rPr>
        <w:t> </w:t>
      </w:r>
      <w:r>
        <w:rPr/>
        <w:t>号文核准，本公司向社会公开发 行面值不超过</w:t>
      </w:r>
      <w:r>
        <w:rPr>
          <w:spacing w:val="-60"/>
        </w:rPr>
        <w:t> </w:t>
      </w:r>
      <w:r>
        <w:rPr>
          <w:rFonts w:ascii="宋体" w:hAnsi="宋体" w:cs="宋体" w:eastAsia="宋体" w:hint="default"/>
        </w:rPr>
        <w:t>35</w:t>
      </w:r>
      <w:r>
        <w:rPr>
          <w:rFonts w:ascii="宋体" w:hAnsi="宋体" w:cs="宋体" w:eastAsia="宋体" w:hint="default"/>
          <w:spacing w:val="-60"/>
        </w:rPr>
        <w:t> </w:t>
      </w:r>
      <w:r>
        <w:rPr>
          <w:spacing w:val="-5"/>
        </w:rPr>
        <w:t>亿元（含</w:t>
      </w:r>
      <w:r>
        <w:rPr>
          <w:spacing w:val="-60"/>
        </w:rPr>
        <w:t> </w:t>
      </w:r>
      <w:r>
        <w:rPr>
          <w:rFonts w:ascii="宋体" w:hAnsi="宋体" w:cs="宋体" w:eastAsia="宋体" w:hint="default"/>
        </w:rPr>
        <w:t>35</w:t>
      </w:r>
      <w:r>
        <w:rPr>
          <w:rFonts w:ascii="宋体" w:hAnsi="宋体" w:cs="宋体" w:eastAsia="宋体" w:hint="default"/>
          <w:spacing w:val="-60"/>
        </w:rPr>
        <w:t> </w:t>
      </w:r>
      <w:r>
        <w:rPr>
          <w:spacing w:val="-3"/>
        </w:rPr>
        <w:t>亿元）的公司债券。根据公司</w:t>
      </w:r>
      <w:r>
        <w:rPr>
          <w:spacing w:val="-60"/>
        </w:rPr>
        <w:t> </w:t>
      </w:r>
      <w:r>
        <w:rPr>
          <w:rFonts w:ascii="宋体" w:hAnsi="宋体" w:cs="宋体" w:eastAsia="宋体" w:hint="default"/>
        </w:rPr>
        <w:t>2016</w:t>
      </w:r>
      <w:r>
        <w:rPr>
          <w:rFonts w:ascii="宋体" w:hAnsi="宋体" w:cs="宋体" w:eastAsia="宋体" w:hint="default"/>
          <w:spacing w:val="-58"/>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17</w:t>
      </w:r>
      <w:r>
        <w:rPr>
          <w:rFonts w:ascii="宋体" w:hAnsi="宋体" w:cs="宋体" w:eastAsia="宋体" w:hint="default"/>
          <w:spacing w:val="-60"/>
        </w:rPr>
        <w:t> </w:t>
      </w:r>
      <w:r>
        <w:rPr/>
        <w:t>日公告的 </w:t>
      </w:r>
      <w:r>
        <w:rPr>
          <w:spacing w:val="-2"/>
        </w:rPr>
        <w:t>本期公司债券募集说明书的相关内容，公司对本期公司债券募集资金的使用计划为偿</w:t>
      </w:r>
      <w:r>
        <w:rPr>
          <w:spacing w:val="-94"/>
        </w:rPr>
        <w:t> </w:t>
      </w:r>
      <w:r>
        <w:rPr>
          <w:spacing w:val="-94"/>
        </w:rPr>
      </w:r>
      <w:r>
        <w:rPr/>
        <w:t>还公司金融机构借款、调整债务结构和补充流动资金。公司已于</w:t>
      </w:r>
      <w:r>
        <w:rPr>
          <w:spacing w:val="-68"/>
        </w:rPr>
        <w:t> </w:t>
      </w:r>
      <w:r>
        <w:rPr>
          <w:rFonts w:ascii="宋体" w:hAnsi="宋体" w:cs="宋体" w:eastAsia="宋体" w:hint="default"/>
        </w:rPr>
        <w:t>2016</w:t>
      </w:r>
      <w:r>
        <w:rPr>
          <w:rFonts w:ascii="宋体" w:hAnsi="宋体" w:cs="宋体" w:eastAsia="宋体" w:hint="default"/>
          <w:spacing w:val="-68"/>
        </w:rPr>
        <w:t> </w:t>
      </w:r>
      <w:r>
        <w:rPr/>
        <w:t>年</w:t>
      </w:r>
      <w:r>
        <w:rPr>
          <w:spacing w:val="-68"/>
        </w:rPr>
        <w:t> </w:t>
      </w:r>
      <w:r>
        <w:rPr>
          <w:rFonts w:ascii="宋体" w:hAnsi="宋体" w:cs="宋体" w:eastAsia="宋体" w:hint="default"/>
        </w:rPr>
        <w:t>5</w:t>
      </w:r>
      <w:r>
        <w:rPr>
          <w:rFonts w:ascii="宋体" w:hAnsi="宋体" w:cs="宋体" w:eastAsia="宋体" w:hint="default"/>
          <w:spacing w:val="-68"/>
        </w:rPr>
        <w:t> </w:t>
      </w:r>
      <w:r>
        <w:rPr/>
        <w:t>月</w:t>
      </w:r>
      <w:r>
        <w:rPr>
          <w:spacing w:val="-68"/>
        </w:rPr>
        <w:t> </w:t>
      </w:r>
      <w:r>
        <w:rPr>
          <w:rFonts w:ascii="宋体" w:hAnsi="宋体" w:cs="宋体" w:eastAsia="宋体" w:hint="default"/>
        </w:rPr>
        <w:t>20</w:t>
      </w:r>
      <w:r>
        <w:rPr>
          <w:rFonts w:ascii="宋体" w:hAnsi="宋体" w:cs="宋体" w:eastAsia="宋体" w:hint="default"/>
          <w:spacing w:val="-68"/>
        </w:rPr>
        <w:t> </w:t>
      </w:r>
      <w:r>
        <w:rPr/>
        <w:t>日收</w:t>
      </w:r>
    </w:p>
    <w:p>
      <w:pPr>
        <w:pStyle w:val="BodyText"/>
        <w:spacing w:line="357" w:lineRule="auto" w:before="36"/>
        <w:ind w:left="218" w:right="289"/>
        <w:jc w:val="left"/>
      </w:pPr>
      <w:r>
        <w:rPr/>
        <w:t>到募集资金。截止</w:t>
      </w:r>
      <w:r>
        <w:rPr>
          <w:spacing w:val="-61"/>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日，本期公司债券募集资金已按照募集说明书约 定用途全部使用完毕。</w:t>
      </w:r>
    </w:p>
    <w:p>
      <w:pPr>
        <w:pStyle w:val="Heading2"/>
        <w:spacing w:line="240" w:lineRule="auto" w:before="34"/>
        <w:ind w:left="700" w:right="233"/>
        <w:jc w:val="left"/>
        <w:rPr>
          <w:b w:val="0"/>
          <w:bCs w:val="0"/>
        </w:rPr>
      </w:pPr>
      <w:r>
        <w:rPr>
          <w:rFonts w:ascii="宋体" w:hAnsi="宋体" w:cs="宋体" w:eastAsia="宋体" w:hint="default"/>
        </w:rPr>
        <w:t>3</w:t>
      </w:r>
      <w:r>
        <w:rPr/>
        <w:t>、</w:t>
      </w:r>
      <w:r>
        <w:rPr>
          <w:rFonts w:ascii="宋体" w:hAnsi="宋体" w:cs="宋体" w:eastAsia="宋体" w:hint="default"/>
        </w:rPr>
        <w:t>15</w:t>
      </w:r>
      <w:r>
        <w:rPr>
          <w:rFonts w:ascii="宋体" w:hAnsi="宋体" w:cs="宋体" w:eastAsia="宋体" w:hint="default"/>
          <w:spacing w:val="-62"/>
        </w:rPr>
        <w:t> </w:t>
      </w:r>
      <w:r>
        <w:rPr/>
        <w:t>中宝债</w:t>
      </w:r>
      <w:r>
        <w:rPr>
          <w:b w:val="0"/>
          <w:bCs w:val="0"/>
        </w:rPr>
      </w:r>
    </w:p>
    <w:p>
      <w:pPr>
        <w:pStyle w:val="BodyText"/>
        <w:spacing w:line="240" w:lineRule="auto" w:before="154"/>
        <w:ind w:left="698" w:right="233"/>
        <w:jc w:val="left"/>
      </w:pPr>
      <w:r>
        <w:rPr/>
        <w:t>经公司第八届董事会第六十五次会议和</w:t>
      </w:r>
      <w:r>
        <w:rPr>
          <w:spacing w:val="-60"/>
        </w:rPr>
        <w:t> </w:t>
      </w:r>
      <w:r>
        <w:rPr>
          <w:rFonts w:ascii="宋体" w:hAnsi="宋体" w:cs="宋体" w:eastAsia="宋体" w:hint="default"/>
        </w:rPr>
        <w:t>2015</w:t>
      </w:r>
      <w:r>
        <w:rPr>
          <w:rFonts w:ascii="宋体" w:hAnsi="宋体" w:cs="宋体" w:eastAsia="宋体" w:hint="default"/>
          <w:spacing w:val="-60"/>
        </w:rPr>
        <w:t> </w:t>
      </w:r>
      <w:r>
        <w:rPr/>
        <w:t>年第六次临时股东大会审议，公司</w:t>
      </w:r>
    </w:p>
    <w:p>
      <w:pPr>
        <w:pStyle w:val="BodyText"/>
        <w:spacing w:line="357" w:lineRule="auto" w:before="151"/>
        <w:ind w:left="218" w:right="234"/>
        <w:jc w:val="both"/>
      </w:pPr>
      <w:r>
        <w:rPr/>
        <w:t>拟非公开发行不超过</w:t>
      </w:r>
      <w:r>
        <w:rPr>
          <w:spacing w:val="-60"/>
        </w:rPr>
        <w:t> </w:t>
      </w:r>
      <w:r>
        <w:rPr>
          <w:rFonts w:ascii="宋体" w:hAnsi="宋体" w:cs="宋体" w:eastAsia="宋体" w:hint="default"/>
        </w:rPr>
        <w:t>50</w:t>
      </w:r>
      <w:r>
        <w:rPr>
          <w:rFonts w:ascii="宋体" w:hAnsi="宋体" w:cs="宋体" w:eastAsia="宋体" w:hint="default"/>
          <w:spacing w:val="-60"/>
        </w:rPr>
        <w:t> </w:t>
      </w:r>
      <w:r>
        <w:rPr/>
        <w:t>亿元公司债。根据本期公司债券募集说明书的相关内容，公 </w:t>
      </w:r>
      <w:r>
        <w:rPr>
          <w:spacing w:val="-2"/>
        </w:rPr>
        <w:t>司对本期公司债券募集资金的使用计划为偿还公司金融机构借款、调整债务结构和补</w:t>
      </w:r>
      <w:r>
        <w:rPr>
          <w:spacing w:val="-94"/>
        </w:rPr>
        <w:t> </w:t>
      </w:r>
      <w:r>
        <w:rPr>
          <w:spacing w:val="-94"/>
        </w:rPr>
      </w:r>
      <w:r>
        <w:rPr/>
        <w:t>充流动资金。公司已于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日收到募集资金。截止</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 本期公司债券募集资金已按照募集说明书约定用途全部使用完毕。</w:t>
      </w:r>
    </w:p>
    <w:p>
      <w:pPr>
        <w:spacing w:line="240" w:lineRule="auto" w:before="4"/>
        <w:rPr>
          <w:rFonts w:ascii="宋体" w:hAnsi="宋体" w:cs="宋体" w:eastAsia="宋体" w:hint="default"/>
          <w:sz w:val="28"/>
          <w:szCs w:val="28"/>
        </w:rPr>
      </w:pPr>
    </w:p>
    <w:p>
      <w:pPr>
        <w:pStyle w:val="Heading2"/>
        <w:spacing w:line="240" w:lineRule="auto" w:before="0"/>
        <w:ind w:right="0"/>
        <w:jc w:val="both"/>
        <w:rPr>
          <w:b w:val="0"/>
          <w:bCs w:val="0"/>
        </w:rPr>
      </w:pPr>
      <w:r>
        <w:rPr/>
        <w:t>四、公司债券评级情况</w:t>
      </w:r>
      <w:r>
        <w:rPr>
          <w:b w:val="0"/>
          <w:bCs w:val="0"/>
        </w:rPr>
      </w:r>
    </w:p>
    <w:p>
      <w:pPr>
        <w:pStyle w:val="BodyText"/>
        <w:spacing w:line="240" w:lineRule="auto" w:before="58"/>
        <w:ind w:left="218" w:right="0"/>
        <w:jc w:val="both"/>
      </w:pPr>
      <w:r>
        <w:rPr/>
        <w:t>√适用</w:t>
      </w:r>
      <w:r>
        <w:rPr>
          <w:spacing w:val="119"/>
        </w:rPr>
        <w:t> </w:t>
      </w:r>
      <w:r>
        <w:rPr/>
        <w:t>□不适用</w:t>
      </w:r>
    </w:p>
    <w:p>
      <w:pPr>
        <w:spacing w:after="0" w:line="240" w:lineRule="auto"/>
        <w:jc w:val="both"/>
        <w:sectPr>
          <w:pgSz w:w="11910" w:h="16840"/>
          <w:pgMar w:header="0" w:footer="1195" w:top="1100" w:bottom="1380" w:left="1580" w:right="1040"/>
        </w:sectPr>
      </w:pPr>
    </w:p>
    <w:p>
      <w:pPr>
        <w:spacing w:line="240" w:lineRule="auto" w:before="13"/>
        <w:rPr>
          <w:rFonts w:ascii="宋体" w:hAnsi="宋体" w:cs="宋体" w:eastAsia="宋体" w:hint="default"/>
          <w:sz w:val="25"/>
          <w:szCs w:val="25"/>
        </w:rPr>
      </w:pPr>
    </w:p>
    <w:p>
      <w:pPr>
        <w:pStyle w:val="BodyText"/>
        <w:spacing w:line="357" w:lineRule="auto" w:before="26"/>
        <w:ind w:right="110" w:firstLine="479"/>
        <w:jc w:val="both"/>
      </w:pPr>
      <w:r>
        <w:rPr>
          <w:spacing w:val="-4"/>
        </w:rPr>
        <w:t>报告期内，公司委托联合信用评级有限公司对公司主体长期信用状况和“</w:t>
      </w:r>
      <w:r>
        <w:rPr>
          <w:rFonts w:ascii="宋体" w:hAnsi="宋体" w:cs="宋体" w:eastAsia="宋体" w:hint="default"/>
          <w:spacing w:val="-4"/>
        </w:rPr>
        <w:t>15</w:t>
      </w:r>
      <w:r>
        <w:rPr>
          <w:rFonts w:ascii="宋体" w:hAnsi="宋体" w:cs="宋体" w:eastAsia="宋体" w:hint="default"/>
          <w:spacing w:val="-33"/>
        </w:rPr>
        <w:t> </w:t>
      </w:r>
      <w:r>
        <w:rPr/>
        <w:t>新湖 债”、“</w:t>
      </w:r>
      <w:r>
        <w:rPr>
          <w:rFonts w:ascii="宋体" w:hAnsi="宋体" w:cs="宋体" w:eastAsia="宋体" w:hint="default"/>
        </w:rPr>
        <w:t>16</w:t>
      </w:r>
      <w:r>
        <w:rPr>
          <w:rFonts w:ascii="宋体" w:hAnsi="宋体" w:cs="宋体" w:eastAsia="宋体" w:hint="default"/>
          <w:spacing w:val="-61"/>
        </w:rPr>
        <w:t> </w:t>
      </w:r>
      <w:r>
        <w:rPr/>
        <w:t>新湖</w:t>
      </w:r>
      <w:r>
        <w:rPr>
          <w:spacing w:val="-61"/>
        </w:rPr>
        <w:t> </w:t>
      </w:r>
      <w:r>
        <w:rPr>
          <w:rFonts w:ascii="宋体" w:hAnsi="宋体" w:cs="宋体" w:eastAsia="宋体" w:hint="default"/>
        </w:rPr>
        <w:t>01</w:t>
      </w:r>
      <w:r>
        <w:rPr/>
        <w:t>”进行跟踪评级。联合信用评级有限公司于</w:t>
      </w:r>
      <w:r>
        <w:rPr>
          <w:spacing w:val="-61"/>
        </w:rPr>
        <w:t> </w:t>
      </w:r>
      <w:r>
        <w:rPr>
          <w:rFonts w:ascii="宋体" w:hAnsi="宋体" w:cs="宋体" w:eastAsia="宋体" w:hint="default"/>
        </w:rPr>
        <w:t>2017</w:t>
      </w:r>
      <w:r>
        <w:rPr>
          <w:rFonts w:ascii="宋体" w:hAnsi="宋体" w:cs="宋体" w:eastAsia="宋体" w:hint="default"/>
          <w:spacing w:val="-61"/>
        </w:rPr>
        <w:t> </w:t>
      </w:r>
      <w:r>
        <w:rPr/>
        <w:t>年</w:t>
      </w:r>
      <w:r>
        <w:rPr>
          <w:spacing w:val="-61"/>
        </w:rPr>
        <w:t> </w:t>
      </w:r>
      <w:r>
        <w:rPr>
          <w:rFonts w:ascii="宋体" w:hAnsi="宋体" w:cs="宋体" w:eastAsia="宋体" w:hint="default"/>
        </w:rPr>
        <w:t>6</w:t>
      </w:r>
      <w:r>
        <w:rPr>
          <w:rFonts w:ascii="宋体" w:hAnsi="宋体" w:cs="宋体" w:eastAsia="宋体" w:hint="default"/>
          <w:spacing w:val="-61"/>
        </w:rPr>
        <w:t> </w:t>
      </w:r>
      <w:r>
        <w:rPr/>
        <w:t>月</w:t>
      </w:r>
      <w:r>
        <w:rPr>
          <w:spacing w:val="-61"/>
        </w:rPr>
        <w:t> </w:t>
      </w:r>
      <w:r>
        <w:rPr>
          <w:rFonts w:ascii="宋体" w:hAnsi="宋体" w:cs="宋体" w:eastAsia="宋体" w:hint="default"/>
        </w:rPr>
        <w:t>27</w:t>
      </w:r>
      <w:r>
        <w:rPr>
          <w:rFonts w:ascii="宋体" w:hAnsi="宋体" w:cs="宋体" w:eastAsia="宋体" w:hint="default"/>
          <w:spacing w:val="-61"/>
        </w:rPr>
        <w:t> </w:t>
      </w:r>
      <w:r>
        <w:rPr/>
        <w:t>日出 具的信用等级报告中确定主体长期信用等级为</w:t>
      </w:r>
      <w:r>
        <w:rPr>
          <w:spacing w:val="-59"/>
        </w:rPr>
        <w:t> </w:t>
      </w:r>
      <w:r>
        <w:rPr>
          <w:rFonts w:ascii="宋体" w:hAnsi="宋体" w:cs="宋体" w:eastAsia="宋体" w:hint="default"/>
          <w:spacing w:val="-3"/>
        </w:rPr>
        <w:t>AA+</w:t>
      </w:r>
      <w:r>
        <w:rPr>
          <w:spacing w:val="-3"/>
        </w:rPr>
        <w:t>级，评级展望为“稳定”，“</w:t>
      </w:r>
      <w:r>
        <w:rPr>
          <w:rFonts w:ascii="宋体" w:hAnsi="宋体" w:cs="宋体" w:eastAsia="宋体" w:hint="default"/>
          <w:spacing w:val="-3"/>
        </w:rPr>
        <w:t>15</w:t>
      </w:r>
      <w:r>
        <w:rPr>
          <w:rFonts w:ascii="宋体" w:hAnsi="宋体" w:cs="宋体" w:eastAsia="宋体" w:hint="default"/>
          <w:spacing w:val="-59"/>
        </w:rPr>
        <w:t> </w:t>
      </w:r>
      <w:r>
        <w:rPr/>
        <w:t>新 湖债”、“</w:t>
      </w:r>
      <w:r>
        <w:rPr>
          <w:rFonts w:ascii="宋体" w:hAnsi="宋体" w:cs="宋体" w:eastAsia="宋体" w:hint="default"/>
        </w:rPr>
        <w:t>16</w:t>
      </w:r>
      <w:r>
        <w:rPr>
          <w:rFonts w:ascii="宋体" w:hAnsi="宋体" w:cs="宋体" w:eastAsia="宋体" w:hint="default"/>
          <w:spacing w:val="-61"/>
        </w:rPr>
        <w:t> </w:t>
      </w:r>
      <w:r>
        <w:rPr/>
        <w:t>新湖</w:t>
      </w:r>
      <w:r>
        <w:rPr>
          <w:spacing w:val="-61"/>
        </w:rPr>
        <w:t> </w:t>
      </w:r>
      <w:r>
        <w:rPr>
          <w:rFonts w:ascii="宋体" w:hAnsi="宋体" w:cs="宋体" w:eastAsia="宋体" w:hint="default"/>
        </w:rPr>
        <w:t>01</w:t>
      </w:r>
      <w:r>
        <w:rPr/>
        <w:t>”信用等级为</w:t>
      </w:r>
      <w:r>
        <w:rPr>
          <w:spacing w:val="-61"/>
        </w:rPr>
        <w:t> </w:t>
      </w:r>
      <w:r>
        <w:rPr>
          <w:rFonts w:ascii="宋体" w:hAnsi="宋体" w:cs="宋体" w:eastAsia="宋体" w:hint="default"/>
        </w:rPr>
        <w:t>AA+</w:t>
      </w:r>
      <w:r>
        <w:rPr/>
        <w:t>级，详见上交所网站（</w:t>
      </w:r>
      <w:hyperlink r:id="rId49">
        <w:r>
          <w:rPr>
            <w:rFonts w:ascii="宋体" w:hAnsi="宋体" w:cs="宋体" w:eastAsia="宋体" w:hint="default"/>
          </w:rPr>
          <w:t>www.see.com.cn</w:t>
        </w:r>
      </w:hyperlink>
      <w:r>
        <w:rPr/>
        <w:t>）。</w:t>
      </w:r>
    </w:p>
    <w:p>
      <w:pPr>
        <w:pStyle w:val="BodyText"/>
        <w:spacing w:line="357" w:lineRule="auto" w:before="36"/>
        <w:ind w:right="110" w:firstLine="479"/>
        <w:jc w:val="both"/>
      </w:pPr>
      <w:r>
        <w:rPr>
          <w:spacing w:val="-4"/>
        </w:rPr>
        <w:t>报告期内，公司委托联合信用评级有限公司对公司主体长期信用状况和“</w:t>
      </w:r>
      <w:r>
        <w:rPr>
          <w:rFonts w:ascii="宋体" w:hAnsi="宋体" w:cs="宋体" w:eastAsia="宋体" w:hint="default"/>
          <w:spacing w:val="-4"/>
        </w:rPr>
        <w:t>15</w:t>
      </w:r>
      <w:r>
        <w:rPr>
          <w:rFonts w:ascii="宋体" w:hAnsi="宋体" w:cs="宋体" w:eastAsia="宋体" w:hint="default"/>
          <w:spacing w:val="-33"/>
        </w:rPr>
        <w:t> </w:t>
      </w:r>
      <w:r>
        <w:rPr/>
        <w:t>中宝 </w:t>
      </w:r>
      <w:r>
        <w:rPr>
          <w:spacing w:val="-3"/>
        </w:rPr>
        <w:t>债”进行跟踪评级。联合信用评级有限公司于</w:t>
      </w:r>
      <w:r>
        <w:rPr>
          <w:spacing w:val="-59"/>
        </w:rPr>
        <w:t> </w:t>
      </w:r>
      <w:r>
        <w:rPr>
          <w:rFonts w:ascii="宋体" w:hAnsi="宋体" w:cs="宋体" w:eastAsia="宋体" w:hint="default"/>
        </w:rPr>
        <w:t>2017</w:t>
      </w:r>
      <w:r>
        <w:rPr>
          <w:rFonts w:ascii="宋体" w:hAnsi="宋体" w:cs="宋体" w:eastAsia="宋体" w:hint="default"/>
          <w:spacing w:val="-59"/>
        </w:rPr>
        <w:t> </w:t>
      </w:r>
      <w:r>
        <w:rPr/>
        <w:t>年</w:t>
      </w:r>
      <w:r>
        <w:rPr>
          <w:spacing w:val="-59"/>
        </w:rPr>
        <w:t> </w:t>
      </w:r>
      <w:r>
        <w:rPr>
          <w:rFonts w:ascii="宋体" w:hAnsi="宋体" w:cs="宋体" w:eastAsia="宋体" w:hint="default"/>
        </w:rPr>
        <w:t>6</w:t>
      </w:r>
      <w:r>
        <w:rPr>
          <w:rFonts w:ascii="宋体" w:hAnsi="宋体" w:cs="宋体" w:eastAsia="宋体" w:hint="default"/>
          <w:spacing w:val="-59"/>
        </w:rPr>
        <w:t> </w:t>
      </w:r>
      <w:r>
        <w:rPr/>
        <w:t>月</w:t>
      </w:r>
      <w:r>
        <w:rPr>
          <w:spacing w:val="-59"/>
        </w:rPr>
        <w:t> </w:t>
      </w:r>
      <w:r>
        <w:rPr>
          <w:rFonts w:ascii="宋体" w:hAnsi="宋体" w:cs="宋体" w:eastAsia="宋体" w:hint="default"/>
        </w:rPr>
        <w:t>27</w:t>
      </w:r>
      <w:r>
        <w:rPr>
          <w:rFonts w:ascii="宋体" w:hAnsi="宋体" w:cs="宋体" w:eastAsia="宋体" w:hint="default"/>
          <w:spacing w:val="-59"/>
        </w:rPr>
        <w:t> </w:t>
      </w:r>
      <w:r>
        <w:rPr/>
        <w:t>日出具的信用等级报告 中确定主体长期信用等级为</w:t>
      </w:r>
      <w:r>
        <w:rPr>
          <w:spacing w:val="-58"/>
        </w:rPr>
        <w:t> </w:t>
      </w:r>
      <w:r>
        <w:rPr>
          <w:rFonts w:ascii="宋体" w:hAnsi="宋体" w:cs="宋体" w:eastAsia="宋体" w:hint="default"/>
          <w:spacing w:val="-3"/>
        </w:rPr>
        <w:t>AA+</w:t>
      </w:r>
      <w:r>
        <w:rPr>
          <w:spacing w:val="-3"/>
        </w:rPr>
        <w:t>级，评级展望为“稳定”，“</w:t>
      </w:r>
      <w:r>
        <w:rPr>
          <w:rFonts w:ascii="宋体" w:hAnsi="宋体" w:cs="宋体" w:eastAsia="宋体" w:hint="default"/>
          <w:spacing w:val="-3"/>
        </w:rPr>
        <w:t>15</w:t>
      </w:r>
      <w:r>
        <w:rPr>
          <w:rFonts w:ascii="宋体" w:hAnsi="宋体" w:cs="宋体" w:eastAsia="宋体" w:hint="default"/>
          <w:spacing w:val="-58"/>
        </w:rPr>
        <w:t> </w:t>
      </w:r>
      <w:r>
        <w:rPr/>
        <w:t>中宝债”信用等级为 </w:t>
      </w:r>
      <w:r>
        <w:rPr>
          <w:rFonts w:ascii="宋体" w:hAnsi="宋体" w:cs="宋体" w:eastAsia="宋体" w:hint="default"/>
        </w:rPr>
        <w:t>AA+</w:t>
      </w:r>
      <w:r>
        <w:rPr/>
        <w:t>级，详见上证债券信息网（</w:t>
      </w:r>
      <w:r>
        <w:rPr>
          <w:rFonts w:ascii="宋体" w:hAnsi="宋体" w:cs="宋体" w:eastAsia="宋体" w:hint="default"/>
        </w:rPr>
        <w:t>bond.sse.com.cn</w:t>
      </w:r>
      <w:r>
        <w:rPr/>
        <w:t>）。</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8"/>
          <w:szCs w:val="18"/>
        </w:rPr>
      </w:pPr>
    </w:p>
    <w:p>
      <w:pPr>
        <w:pStyle w:val="Heading2"/>
        <w:spacing w:line="240" w:lineRule="auto" w:before="0"/>
        <w:ind w:left="138" w:right="0"/>
        <w:jc w:val="left"/>
        <w:rPr>
          <w:b w:val="0"/>
          <w:bCs w:val="0"/>
        </w:rPr>
      </w:pPr>
      <w:r>
        <w:rPr/>
        <w:t>五、报告期内公司债券增信机制、偿债计划及其他相关情况</w:t>
      </w:r>
      <w:r>
        <w:rPr>
          <w:b w:val="0"/>
          <w:bCs w:val="0"/>
        </w:rPr>
      </w:r>
    </w:p>
    <w:p>
      <w:pPr>
        <w:pStyle w:val="BodyText"/>
        <w:tabs>
          <w:tab w:pos="1097" w:val="left" w:leader="none"/>
        </w:tabs>
        <w:spacing w:line="312" w:lineRule="exact" w:before="88"/>
        <w:ind w:left="618" w:right="114" w:hanging="480"/>
        <w:jc w:val="left"/>
      </w:pPr>
      <w:r>
        <w:rPr>
          <w:spacing w:val="-1"/>
        </w:rPr>
        <w:t>√适用</w:t>
        <w:tab/>
      </w:r>
      <w:r>
        <w:rPr/>
        <w:t>□不适用</w:t>
      </w:r>
      <w:r>
        <w:rPr/>
        <w:t> </w:t>
      </w:r>
      <w:r>
        <w:rPr>
          <w:spacing w:val="-2"/>
        </w:rPr>
        <w:t>债券存续期内，公司债券的偿债计划及其他偿债保障措施的执行情况与募集说明</w:t>
      </w:r>
    </w:p>
    <w:p>
      <w:pPr>
        <w:spacing w:line="357" w:lineRule="auto" w:before="123"/>
        <w:ind w:left="620" w:right="6769" w:hanging="483"/>
        <w:jc w:val="left"/>
        <w:rPr>
          <w:rFonts w:ascii="宋体" w:hAnsi="宋体" w:cs="宋体" w:eastAsia="宋体" w:hint="default"/>
          <w:sz w:val="24"/>
          <w:szCs w:val="24"/>
        </w:rPr>
      </w:pPr>
      <w:r>
        <w:rPr>
          <w:rFonts w:ascii="宋体" w:hAnsi="宋体" w:cs="宋体" w:eastAsia="宋体" w:hint="default"/>
          <w:sz w:val="24"/>
          <w:szCs w:val="24"/>
        </w:rPr>
        <w:t>书的相关承诺一致。 </w:t>
      </w:r>
      <w:r>
        <w:rPr>
          <w:rFonts w:ascii="宋体" w:hAnsi="宋体" w:cs="宋体" w:eastAsia="宋体" w:hint="default"/>
          <w:b/>
          <w:bCs/>
          <w:sz w:val="24"/>
          <w:szCs w:val="24"/>
        </w:rPr>
        <w:t>1</w:t>
      </w:r>
      <w:r>
        <w:rPr>
          <w:rFonts w:ascii="宋体" w:hAnsi="宋体" w:cs="宋体" w:eastAsia="宋体" w:hint="default"/>
          <w:b/>
          <w:bCs/>
          <w:sz w:val="24"/>
          <w:szCs w:val="24"/>
        </w:rPr>
        <w:t>、</w:t>
      </w:r>
      <w:r>
        <w:rPr>
          <w:rFonts w:ascii="宋体" w:hAnsi="宋体" w:cs="宋体" w:eastAsia="宋体" w:hint="default"/>
          <w:b/>
          <w:bCs/>
          <w:sz w:val="24"/>
          <w:szCs w:val="24"/>
        </w:rPr>
        <w:t>15</w:t>
      </w:r>
      <w:r>
        <w:rPr>
          <w:rFonts w:ascii="宋体" w:hAnsi="宋体" w:cs="宋体" w:eastAsia="宋体" w:hint="default"/>
          <w:b/>
          <w:bCs/>
          <w:spacing w:val="-62"/>
          <w:sz w:val="24"/>
          <w:szCs w:val="24"/>
        </w:rPr>
        <w:t> </w:t>
      </w:r>
      <w:r>
        <w:rPr>
          <w:rFonts w:ascii="宋体" w:hAnsi="宋体" w:cs="宋体" w:eastAsia="宋体" w:hint="default"/>
          <w:b/>
          <w:bCs/>
          <w:sz w:val="24"/>
          <w:szCs w:val="24"/>
        </w:rPr>
        <w:t>新湖债</w:t>
      </w:r>
      <w:r>
        <w:rPr>
          <w:rFonts w:ascii="宋体" w:hAnsi="宋体" w:cs="宋体" w:eastAsia="宋体" w:hint="default"/>
          <w:sz w:val="24"/>
          <w:szCs w:val="24"/>
        </w:rPr>
      </w:r>
    </w:p>
    <w:p>
      <w:pPr>
        <w:pStyle w:val="BodyText"/>
        <w:spacing w:line="357" w:lineRule="auto" w:before="34"/>
        <w:ind w:right="112" w:firstLine="479"/>
        <w:jc w:val="both"/>
      </w:pPr>
      <w:r>
        <w:rPr/>
        <w:t>本债券的付息日为</w:t>
      </w:r>
      <w:r>
        <w:rPr>
          <w:spacing w:val="-60"/>
        </w:rPr>
        <w:t> </w:t>
      </w:r>
      <w:r>
        <w:rPr>
          <w:rFonts w:ascii="宋体" w:hAnsi="宋体" w:cs="宋体" w:eastAsia="宋体" w:hint="default"/>
        </w:rPr>
        <w:t>2016</w:t>
      </w:r>
      <w:r>
        <w:rPr>
          <w:rFonts w:ascii="宋体" w:hAnsi="宋体" w:cs="宋体" w:eastAsia="宋体" w:hint="default"/>
          <w:spacing w:val="-60"/>
        </w:rPr>
        <w:t> </w:t>
      </w:r>
      <w:r>
        <w:rPr/>
        <w:t>年至</w:t>
      </w:r>
      <w:r>
        <w:rPr>
          <w:spacing w:val="-60"/>
        </w:rPr>
        <w:t> </w:t>
      </w:r>
      <w:r>
        <w:rPr>
          <w:rFonts w:ascii="宋体" w:hAnsi="宋体" w:cs="宋体" w:eastAsia="宋体" w:hint="default"/>
        </w:rPr>
        <w:t>2020</w:t>
      </w:r>
      <w:r>
        <w:rPr>
          <w:rFonts w:ascii="宋体" w:hAnsi="宋体" w:cs="宋体" w:eastAsia="宋体" w:hint="default"/>
          <w:spacing w:val="-60"/>
        </w:rPr>
        <w:t> </w:t>
      </w:r>
      <w:r>
        <w:rPr/>
        <w:t>年每年的</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t>日（如遇法定节假日或休息 </w:t>
      </w:r>
      <w:r>
        <w:rPr>
          <w:spacing w:val="-2"/>
        </w:rPr>
        <w:t>日，则顺延至期后的第一个工作日；顺延期间付息款项不另计利息）。若债券持有人</w:t>
      </w:r>
      <w:r>
        <w:rPr>
          <w:spacing w:val="-94"/>
        </w:rPr>
        <w:t> </w:t>
      </w:r>
      <w:r>
        <w:rPr>
          <w:spacing w:val="-94"/>
        </w:rPr>
      </w:r>
      <w:r>
        <w:rPr>
          <w:spacing w:val="-5"/>
        </w:rPr>
        <w:t>行使回售选择权，则本期债券回售部分的付息日为自</w:t>
      </w:r>
      <w:r>
        <w:rPr>
          <w:spacing w:val="-59"/>
        </w:rPr>
        <w:t> </w:t>
      </w:r>
      <w:r>
        <w:rPr>
          <w:rFonts w:ascii="宋体" w:hAnsi="宋体" w:cs="宋体" w:eastAsia="宋体" w:hint="default"/>
        </w:rPr>
        <w:t>2016</w:t>
      </w:r>
      <w:r>
        <w:rPr>
          <w:rFonts w:ascii="宋体" w:hAnsi="宋体" w:cs="宋体" w:eastAsia="宋体" w:hint="default"/>
          <w:spacing w:val="-59"/>
        </w:rPr>
        <w:t> </w:t>
      </w:r>
      <w:r>
        <w:rPr/>
        <w:t>年至</w:t>
      </w:r>
      <w:r>
        <w:rPr>
          <w:spacing w:val="-59"/>
        </w:rPr>
        <w:t> </w:t>
      </w:r>
      <w:r>
        <w:rPr>
          <w:rFonts w:ascii="宋体" w:hAnsi="宋体" w:cs="宋体" w:eastAsia="宋体" w:hint="default"/>
        </w:rPr>
        <w:t>2018</w:t>
      </w:r>
      <w:r>
        <w:rPr>
          <w:rFonts w:ascii="宋体" w:hAnsi="宋体" w:cs="宋体" w:eastAsia="宋体" w:hint="default"/>
          <w:spacing w:val="-59"/>
        </w:rPr>
        <w:t> </w:t>
      </w:r>
      <w:r>
        <w:rPr/>
        <w:t>年间每年</w:t>
      </w:r>
      <w:r>
        <w:rPr>
          <w:spacing w:val="-59"/>
        </w:rPr>
        <w:t> </w:t>
      </w:r>
      <w:r>
        <w:rPr>
          <w:rFonts w:ascii="宋体" w:hAnsi="宋体" w:cs="宋体" w:eastAsia="宋体" w:hint="default"/>
        </w:rPr>
        <w:t>7</w:t>
      </w:r>
      <w:r>
        <w:rPr>
          <w:rFonts w:ascii="宋体" w:hAnsi="宋体" w:cs="宋体" w:eastAsia="宋体" w:hint="default"/>
          <w:spacing w:val="-59"/>
        </w:rPr>
        <w:t> </w:t>
      </w:r>
      <w:r>
        <w:rPr/>
        <w:t>月</w:t>
      </w:r>
      <w:r>
        <w:rPr>
          <w:spacing w:val="-59"/>
        </w:rPr>
        <w:t> </w:t>
      </w:r>
      <w:r>
        <w:rPr>
          <w:rFonts w:ascii="宋体" w:hAnsi="宋体" w:cs="宋体" w:eastAsia="宋体" w:hint="default"/>
        </w:rPr>
        <w:t>23 </w:t>
      </w:r>
      <w:r>
        <w:rPr>
          <w:spacing w:val="-2"/>
        </w:rPr>
        <w:t>日（如遇法定节假日或休息日，则顺延至期后的第一个工作日；顺延期间付息款项不</w:t>
      </w:r>
      <w:r>
        <w:rPr>
          <w:spacing w:val="-94"/>
        </w:rPr>
        <w:t> </w:t>
      </w:r>
      <w:r>
        <w:rPr>
          <w:spacing w:val="-94"/>
        </w:rPr>
      </w:r>
      <w:r>
        <w:rPr>
          <w:spacing w:val="-2"/>
        </w:rPr>
        <w:t>另计利息）。债券发行人发出关于是否上调本期债券票面利率及上调幅度公告后，债</w:t>
      </w:r>
      <w:r>
        <w:rPr>
          <w:spacing w:val="-95"/>
        </w:rPr>
        <w:t> </w:t>
      </w:r>
      <w:r>
        <w:rPr>
          <w:spacing w:val="-95"/>
        </w:rPr>
      </w:r>
      <w:r>
        <w:rPr/>
        <w:t>券持有人有权选择在本债券第</w:t>
      </w:r>
      <w:r>
        <w:rPr>
          <w:spacing w:val="-84"/>
        </w:rPr>
        <w:t> </w:t>
      </w:r>
      <w:r>
        <w:rPr>
          <w:rFonts w:ascii="宋体" w:hAnsi="宋体" w:cs="宋体" w:eastAsia="宋体" w:hint="default"/>
        </w:rPr>
        <w:t>3</w:t>
      </w:r>
      <w:r>
        <w:rPr>
          <w:rFonts w:ascii="宋体" w:hAnsi="宋体" w:cs="宋体" w:eastAsia="宋体" w:hint="default"/>
          <w:spacing w:val="-84"/>
        </w:rPr>
        <w:t> </w:t>
      </w:r>
      <w:r>
        <w:rPr/>
        <w:t>个计息年度付息日将其持有的本期债券全部或部分按</w:t>
      </w:r>
    </w:p>
    <w:p>
      <w:pPr>
        <w:pStyle w:val="BodyText"/>
        <w:spacing w:line="357" w:lineRule="auto" w:before="34"/>
        <w:ind w:right="113"/>
        <w:jc w:val="both"/>
      </w:pPr>
      <w:r>
        <w:rPr/>
        <w:t>面值回售给发行人。本期债券第</w:t>
      </w:r>
      <w:r>
        <w:rPr>
          <w:spacing w:val="-83"/>
        </w:rPr>
        <w:t> </w:t>
      </w:r>
      <w:r>
        <w:rPr>
          <w:rFonts w:ascii="宋体" w:hAnsi="宋体" w:cs="宋体" w:eastAsia="宋体" w:hint="default"/>
        </w:rPr>
        <w:t>3</w:t>
      </w:r>
      <w:r>
        <w:rPr>
          <w:rFonts w:ascii="宋体" w:hAnsi="宋体" w:cs="宋体" w:eastAsia="宋体" w:hint="default"/>
          <w:spacing w:val="-83"/>
        </w:rPr>
        <w:t> </w:t>
      </w:r>
      <w:r>
        <w:rPr/>
        <w:t>个计息年度付息日即为回售支付日，发行人按照上 交所和证券登记机构相关业务规则完成回售支付工作。</w:t>
      </w:r>
    </w:p>
    <w:p>
      <w:pPr>
        <w:pStyle w:val="BodyText"/>
        <w:spacing w:line="357" w:lineRule="auto" w:before="34"/>
        <w:ind w:left="618" w:right="0"/>
        <w:jc w:val="left"/>
      </w:pPr>
      <w:r>
        <w:rPr/>
        <w:t>本期债券已按照偿债计划于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日完成偿付当期利息。 </w:t>
      </w:r>
      <w:r>
        <w:rPr>
          <w:spacing w:val="-2"/>
        </w:rPr>
        <w:t>为了保证本期债券募集资金的合规使用及本息的按期兑付，保障投资者利益，发</w:t>
      </w:r>
    </w:p>
    <w:p>
      <w:pPr>
        <w:pStyle w:val="BodyText"/>
        <w:spacing w:line="357" w:lineRule="auto" w:before="34"/>
        <w:ind w:right="114"/>
        <w:jc w:val="both"/>
      </w:pPr>
      <w:r>
        <w:rPr>
          <w:spacing w:val="-2"/>
        </w:rPr>
        <w:t>行人设立募集资金专项监管账户。发行人、受托管理人与监管银行浙商银行股份有限</w:t>
      </w:r>
      <w:r>
        <w:rPr>
          <w:spacing w:val="-94"/>
        </w:rPr>
        <w:t> </w:t>
      </w:r>
      <w:r>
        <w:rPr>
          <w:spacing w:val="-94"/>
        </w:rPr>
      </w:r>
      <w:r>
        <w:rPr>
          <w:spacing w:val="-2"/>
        </w:rPr>
        <w:t>公司杭州分行签订《资金账户监管协议》，并在监管银行处设立了专项监管账户，专</w:t>
      </w:r>
      <w:r>
        <w:rPr>
          <w:spacing w:val="-94"/>
        </w:rPr>
        <w:t> </w:t>
      </w:r>
      <w:r>
        <w:rPr>
          <w:spacing w:val="-94"/>
        </w:rPr>
      </w:r>
      <w:r>
        <w:rPr>
          <w:spacing w:val="-2"/>
        </w:rPr>
        <w:t>门用于募集资金的接收、转取及偿债资金的归集。截至本报告签署日，均按照募集说</w:t>
      </w:r>
      <w:r>
        <w:rPr>
          <w:spacing w:val="-96"/>
        </w:rPr>
        <w:t> </w:t>
      </w:r>
      <w:r>
        <w:rPr>
          <w:spacing w:val="-96"/>
        </w:rPr>
      </w:r>
      <w:r>
        <w:rPr/>
        <w:t>明书约定提取，未发生过本息逾期偿还的情况。</w:t>
      </w:r>
    </w:p>
    <w:p>
      <w:pPr>
        <w:pStyle w:val="Heading2"/>
        <w:spacing w:line="240" w:lineRule="auto" w:before="36"/>
        <w:ind w:left="620" w:right="0"/>
        <w:jc w:val="left"/>
        <w:rPr>
          <w:rFonts w:ascii="宋体" w:hAnsi="宋体" w:cs="宋体" w:eastAsia="宋体" w:hint="default"/>
          <w:b w:val="0"/>
          <w:bCs w:val="0"/>
        </w:rPr>
      </w:pPr>
      <w:r>
        <w:rPr>
          <w:rFonts w:ascii="宋体" w:hAnsi="宋体" w:cs="宋体" w:eastAsia="宋体" w:hint="default"/>
        </w:rPr>
        <w:t>2</w:t>
      </w:r>
      <w:r>
        <w:rPr/>
        <w:t>、</w:t>
      </w:r>
      <w:r>
        <w:rPr>
          <w:rFonts w:ascii="宋体" w:hAnsi="宋体" w:cs="宋体" w:eastAsia="宋体" w:hint="default"/>
        </w:rPr>
        <w:t>16</w:t>
      </w:r>
      <w:r>
        <w:rPr>
          <w:rFonts w:ascii="宋体" w:hAnsi="宋体" w:cs="宋体" w:eastAsia="宋体" w:hint="default"/>
          <w:spacing w:val="-62"/>
        </w:rPr>
        <w:t> </w:t>
      </w:r>
      <w:r>
        <w:rPr/>
        <w:t>新湖</w:t>
      </w:r>
      <w:r>
        <w:rPr>
          <w:spacing w:val="-62"/>
        </w:rPr>
        <w:t> </w:t>
      </w:r>
      <w:r>
        <w:rPr>
          <w:rFonts w:ascii="宋体" w:hAnsi="宋体" w:cs="宋体" w:eastAsia="宋体" w:hint="default"/>
        </w:rPr>
        <w:t>01</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0" w:footer="1195" w:top="1100" w:bottom="1380" w:left="1660" w:right="1160"/>
        </w:sectPr>
      </w:pPr>
    </w:p>
    <w:p>
      <w:pPr>
        <w:spacing w:line="240" w:lineRule="auto" w:before="13"/>
        <w:rPr>
          <w:rFonts w:ascii="宋体" w:hAnsi="宋体" w:cs="宋体" w:eastAsia="宋体" w:hint="default"/>
          <w:b/>
          <w:bCs/>
          <w:sz w:val="25"/>
          <w:szCs w:val="25"/>
        </w:rPr>
      </w:pPr>
    </w:p>
    <w:p>
      <w:pPr>
        <w:pStyle w:val="BodyText"/>
        <w:spacing w:line="357" w:lineRule="auto" w:before="26"/>
        <w:ind w:right="112" w:firstLine="479"/>
        <w:jc w:val="both"/>
      </w:pPr>
      <w:r>
        <w:rPr/>
        <w:t>本债券的付息日为</w:t>
      </w:r>
      <w:r>
        <w:rPr>
          <w:spacing w:val="-60"/>
        </w:rPr>
        <w:t> </w:t>
      </w:r>
      <w:r>
        <w:rPr>
          <w:rFonts w:ascii="宋体" w:hAnsi="宋体" w:cs="宋体" w:eastAsia="宋体" w:hint="default"/>
        </w:rPr>
        <w:t>2017</w:t>
      </w:r>
      <w:r>
        <w:rPr>
          <w:rFonts w:ascii="宋体" w:hAnsi="宋体" w:cs="宋体" w:eastAsia="宋体" w:hint="default"/>
          <w:spacing w:val="-60"/>
        </w:rPr>
        <w:t> </w:t>
      </w:r>
      <w:r>
        <w:rPr/>
        <w:t>年至</w:t>
      </w:r>
      <w:r>
        <w:rPr>
          <w:spacing w:val="-60"/>
        </w:rPr>
        <w:t> </w:t>
      </w:r>
      <w:r>
        <w:rPr>
          <w:rFonts w:ascii="宋体" w:hAnsi="宋体" w:cs="宋体" w:eastAsia="宋体" w:hint="default"/>
        </w:rPr>
        <w:t>2021</w:t>
      </w:r>
      <w:r>
        <w:rPr>
          <w:rFonts w:ascii="宋体" w:hAnsi="宋体" w:cs="宋体" w:eastAsia="宋体" w:hint="default"/>
          <w:spacing w:val="-60"/>
        </w:rPr>
        <w:t> </w:t>
      </w:r>
      <w:r>
        <w:rPr/>
        <w:t>年每年的</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日（如遇法定节假日或休息 </w:t>
      </w:r>
      <w:r>
        <w:rPr>
          <w:spacing w:val="-2"/>
        </w:rPr>
        <w:t>日，则顺延至期后的第一个工作日；顺延期间付息款项不另计利息）。若债券持有人</w:t>
      </w:r>
      <w:r>
        <w:rPr>
          <w:spacing w:val="-94"/>
        </w:rPr>
        <w:t> </w:t>
      </w:r>
      <w:r>
        <w:rPr>
          <w:spacing w:val="-94"/>
        </w:rPr>
      </w:r>
      <w:r>
        <w:rPr>
          <w:spacing w:val="-5"/>
        </w:rPr>
        <w:t>行使回售选择权，则本期债券回售部分的付息日为自</w:t>
      </w:r>
      <w:r>
        <w:rPr>
          <w:spacing w:val="-59"/>
        </w:rPr>
        <w:t> </w:t>
      </w:r>
      <w:r>
        <w:rPr>
          <w:rFonts w:ascii="宋体" w:hAnsi="宋体" w:cs="宋体" w:eastAsia="宋体" w:hint="default"/>
        </w:rPr>
        <w:t>2017</w:t>
      </w:r>
      <w:r>
        <w:rPr>
          <w:rFonts w:ascii="宋体" w:hAnsi="宋体" w:cs="宋体" w:eastAsia="宋体" w:hint="default"/>
          <w:spacing w:val="-59"/>
        </w:rPr>
        <w:t> </w:t>
      </w:r>
      <w:r>
        <w:rPr/>
        <w:t>年至</w:t>
      </w:r>
      <w:r>
        <w:rPr>
          <w:spacing w:val="-59"/>
        </w:rPr>
        <w:t> </w:t>
      </w:r>
      <w:r>
        <w:rPr>
          <w:rFonts w:ascii="宋体" w:hAnsi="宋体" w:cs="宋体" w:eastAsia="宋体" w:hint="default"/>
        </w:rPr>
        <w:t>2019</w:t>
      </w:r>
      <w:r>
        <w:rPr>
          <w:rFonts w:ascii="宋体" w:hAnsi="宋体" w:cs="宋体" w:eastAsia="宋体" w:hint="default"/>
          <w:spacing w:val="-59"/>
        </w:rPr>
        <w:t> </w:t>
      </w:r>
      <w:r>
        <w:rPr/>
        <w:t>年间每年</w:t>
      </w:r>
      <w:r>
        <w:rPr>
          <w:spacing w:val="-59"/>
        </w:rPr>
        <w:t> </w:t>
      </w:r>
      <w:r>
        <w:rPr>
          <w:rFonts w:ascii="宋体" w:hAnsi="宋体" w:cs="宋体" w:eastAsia="宋体" w:hint="default"/>
        </w:rPr>
        <w:t>5</w:t>
      </w:r>
      <w:r>
        <w:rPr>
          <w:rFonts w:ascii="宋体" w:hAnsi="宋体" w:cs="宋体" w:eastAsia="宋体" w:hint="default"/>
          <w:spacing w:val="-59"/>
        </w:rPr>
        <w:t> </w:t>
      </w:r>
      <w:r>
        <w:rPr/>
        <w:t>月</w:t>
      </w:r>
      <w:r>
        <w:rPr>
          <w:spacing w:val="-59"/>
        </w:rPr>
        <w:t> </w:t>
      </w:r>
      <w:r>
        <w:rPr>
          <w:rFonts w:ascii="宋体" w:hAnsi="宋体" w:cs="宋体" w:eastAsia="宋体" w:hint="default"/>
        </w:rPr>
        <w:t>20 </w:t>
      </w:r>
      <w:r>
        <w:rPr>
          <w:spacing w:val="-2"/>
        </w:rPr>
        <w:t>日（如遇法定节假日或休息日，则顺延至期后的第一个工作日；顺延期间付息款项不</w:t>
      </w:r>
      <w:r>
        <w:rPr>
          <w:spacing w:val="-94"/>
        </w:rPr>
        <w:t> </w:t>
      </w:r>
      <w:r>
        <w:rPr>
          <w:spacing w:val="-94"/>
        </w:rPr>
      </w:r>
      <w:r>
        <w:rPr>
          <w:spacing w:val="-2"/>
        </w:rPr>
        <w:t>另计利息）。债券发行人发出关于是否上调本期债券票面利率及上调幅度公告后，债</w:t>
      </w:r>
      <w:r>
        <w:rPr>
          <w:spacing w:val="-95"/>
        </w:rPr>
        <w:t> </w:t>
      </w:r>
      <w:r>
        <w:rPr>
          <w:spacing w:val="-95"/>
        </w:rPr>
      </w:r>
      <w:r>
        <w:rPr/>
        <w:t>券持有人有权选择在本债券第</w:t>
      </w:r>
      <w:r>
        <w:rPr>
          <w:spacing w:val="-84"/>
        </w:rPr>
        <w:t> </w:t>
      </w:r>
      <w:r>
        <w:rPr>
          <w:rFonts w:ascii="宋体" w:hAnsi="宋体" w:cs="宋体" w:eastAsia="宋体" w:hint="default"/>
        </w:rPr>
        <w:t>3</w:t>
      </w:r>
      <w:r>
        <w:rPr>
          <w:rFonts w:ascii="宋体" w:hAnsi="宋体" w:cs="宋体" w:eastAsia="宋体" w:hint="default"/>
          <w:spacing w:val="-84"/>
        </w:rPr>
        <w:t> </w:t>
      </w:r>
      <w:r>
        <w:rPr/>
        <w:t>个计息年度付息日将其持有的本期债券全部或部分按</w:t>
      </w:r>
    </w:p>
    <w:p>
      <w:pPr>
        <w:pStyle w:val="BodyText"/>
        <w:spacing w:line="355" w:lineRule="auto" w:before="36"/>
        <w:ind w:right="113"/>
        <w:jc w:val="both"/>
      </w:pPr>
      <w:r>
        <w:rPr/>
        <w:t>面值回售给发行人。本期债券第</w:t>
      </w:r>
      <w:r>
        <w:rPr>
          <w:spacing w:val="-83"/>
        </w:rPr>
        <w:t> </w:t>
      </w:r>
      <w:r>
        <w:rPr>
          <w:rFonts w:ascii="宋体" w:hAnsi="宋体" w:cs="宋体" w:eastAsia="宋体" w:hint="default"/>
        </w:rPr>
        <w:t>3</w:t>
      </w:r>
      <w:r>
        <w:rPr>
          <w:rFonts w:ascii="宋体" w:hAnsi="宋体" w:cs="宋体" w:eastAsia="宋体" w:hint="default"/>
          <w:spacing w:val="-83"/>
        </w:rPr>
        <w:t> </w:t>
      </w:r>
      <w:r>
        <w:rPr/>
        <w:t>个计息年度付息日即为回售支付日，发行人按照上 交所和证券登记机构相关业务规则完成回售支付工作。</w:t>
      </w:r>
    </w:p>
    <w:p>
      <w:pPr>
        <w:pStyle w:val="BodyText"/>
        <w:spacing w:line="355" w:lineRule="auto" w:before="38"/>
        <w:ind w:left="618" w:right="0"/>
        <w:jc w:val="left"/>
      </w:pPr>
      <w:r>
        <w:rPr/>
        <w:t>本期债券已按照偿债计划于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日完成偿付当期利息。 </w:t>
      </w:r>
      <w:r>
        <w:rPr>
          <w:spacing w:val="-2"/>
        </w:rPr>
        <w:t>为了保证本期债券募集资金的合规使用及本息的按期兑付，保障投资者利益，发</w:t>
      </w:r>
    </w:p>
    <w:p>
      <w:pPr>
        <w:pStyle w:val="BodyText"/>
        <w:spacing w:line="357" w:lineRule="auto" w:before="38"/>
        <w:ind w:right="112"/>
        <w:jc w:val="both"/>
      </w:pPr>
      <w:r>
        <w:rPr>
          <w:spacing w:val="-2"/>
        </w:rPr>
        <w:t>行人设立募集资金专项监管账户。发行人、受托管理人与监管银行中国民生银行股份</w:t>
      </w:r>
      <w:r>
        <w:rPr>
          <w:spacing w:val="-94"/>
        </w:rPr>
        <w:t> </w:t>
      </w:r>
      <w:r>
        <w:rPr>
          <w:spacing w:val="-94"/>
        </w:rPr>
      </w:r>
      <w:r>
        <w:rPr>
          <w:spacing w:val="-2"/>
        </w:rPr>
        <w:t>有限公司签订《资金账户监管协议》，并在监管银行处设立了专项监管账户，专门用</w:t>
      </w:r>
      <w:r>
        <w:rPr>
          <w:spacing w:val="-94"/>
        </w:rPr>
        <w:t> </w:t>
      </w:r>
      <w:r>
        <w:rPr>
          <w:spacing w:val="-94"/>
        </w:rPr>
      </w:r>
      <w:r>
        <w:rPr>
          <w:spacing w:val="-2"/>
        </w:rPr>
        <w:t>于募集资金的接收、转取及偿债资金的归集。截至本报告签署日，均按照募集说明书</w:t>
      </w:r>
      <w:r>
        <w:rPr>
          <w:spacing w:val="-94"/>
        </w:rPr>
        <w:t> </w:t>
      </w:r>
      <w:r>
        <w:rPr>
          <w:spacing w:val="-94"/>
        </w:rPr>
      </w:r>
      <w:r>
        <w:rPr/>
        <w:t>约定提取，未发生过本息逾期偿还的情况。</w:t>
      </w:r>
    </w:p>
    <w:p>
      <w:pPr>
        <w:pStyle w:val="Heading2"/>
        <w:spacing w:line="240" w:lineRule="auto" w:before="36"/>
        <w:ind w:left="620" w:right="0"/>
        <w:jc w:val="left"/>
        <w:rPr>
          <w:b w:val="0"/>
          <w:bCs w:val="0"/>
        </w:rPr>
      </w:pPr>
      <w:r>
        <w:rPr>
          <w:rFonts w:ascii="宋体" w:hAnsi="宋体" w:cs="宋体" w:eastAsia="宋体" w:hint="default"/>
        </w:rPr>
        <w:t>3</w:t>
      </w:r>
      <w:r>
        <w:rPr/>
        <w:t>、</w:t>
      </w:r>
      <w:r>
        <w:rPr>
          <w:rFonts w:ascii="宋体" w:hAnsi="宋体" w:cs="宋体" w:eastAsia="宋体" w:hint="default"/>
        </w:rPr>
        <w:t>15</w:t>
      </w:r>
      <w:r>
        <w:rPr>
          <w:rFonts w:ascii="宋体" w:hAnsi="宋体" w:cs="宋体" w:eastAsia="宋体" w:hint="default"/>
          <w:spacing w:val="-62"/>
        </w:rPr>
        <w:t> </w:t>
      </w:r>
      <w:r>
        <w:rPr/>
        <w:t>中宝债</w:t>
      </w:r>
      <w:r>
        <w:rPr>
          <w:b w:val="0"/>
          <w:bCs w:val="0"/>
        </w:rPr>
      </w:r>
    </w:p>
    <w:p>
      <w:pPr>
        <w:pStyle w:val="BodyText"/>
        <w:spacing w:line="357" w:lineRule="auto" w:before="151"/>
        <w:ind w:right="112" w:firstLine="479"/>
        <w:jc w:val="both"/>
      </w:pPr>
      <w:r>
        <w:rPr/>
        <w:t>本债券的付息日为</w:t>
      </w:r>
      <w:r>
        <w:rPr>
          <w:spacing w:val="-60"/>
        </w:rPr>
        <w:t> </w:t>
      </w:r>
      <w:r>
        <w:rPr>
          <w:rFonts w:ascii="宋体" w:hAnsi="宋体" w:cs="宋体" w:eastAsia="宋体" w:hint="default"/>
        </w:rPr>
        <w:t>2016</w:t>
      </w:r>
      <w:r>
        <w:rPr>
          <w:rFonts w:ascii="宋体" w:hAnsi="宋体" w:cs="宋体" w:eastAsia="宋体" w:hint="default"/>
          <w:spacing w:val="-60"/>
        </w:rPr>
        <w:t> </w:t>
      </w:r>
      <w:r>
        <w:rPr/>
        <w:t>年至</w:t>
      </w:r>
      <w:r>
        <w:rPr>
          <w:spacing w:val="-60"/>
        </w:rPr>
        <w:t> </w:t>
      </w:r>
      <w:r>
        <w:rPr>
          <w:rFonts w:ascii="宋体" w:hAnsi="宋体" w:cs="宋体" w:eastAsia="宋体" w:hint="default"/>
        </w:rPr>
        <w:t>2019</w:t>
      </w:r>
      <w:r>
        <w:rPr>
          <w:rFonts w:ascii="宋体" w:hAnsi="宋体" w:cs="宋体" w:eastAsia="宋体" w:hint="default"/>
          <w:spacing w:val="-60"/>
        </w:rPr>
        <w:t> </w:t>
      </w:r>
      <w:r>
        <w:rPr/>
        <w:t>年每年的</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日（如遇法定节假日或休息 </w:t>
      </w:r>
      <w:r>
        <w:rPr>
          <w:spacing w:val="-2"/>
        </w:rPr>
        <w:t>日，则顺延至期后的第一个工作日；顺延期间付息款项不另计利息）。若债券持有人</w:t>
      </w:r>
      <w:r>
        <w:rPr>
          <w:spacing w:val="-94"/>
        </w:rPr>
        <w:t> </w:t>
      </w:r>
      <w:r>
        <w:rPr>
          <w:spacing w:val="-94"/>
        </w:rPr>
      </w:r>
      <w:r>
        <w:rPr>
          <w:spacing w:val="-5"/>
        </w:rPr>
        <w:t>行使回售选择权，则本期债券回售部分的付息日为自</w:t>
      </w:r>
      <w:r>
        <w:rPr>
          <w:spacing w:val="-59"/>
        </w:rPr>
        <w:t> </w:t>
      </w:r>
      <w:r>
        <w:rPr>
          <w:rFonts w:ascii="宋体" w:hAnsi="宋体" w:cs="宋体" w:eastAsia="宋体" w:hint="default"/>
        </w:rPr>
        <w:t>2016</w:t>
      </w:r>
      <w:r>
        <w:rPr>
          <w:rFonts w:ascii="宋体" w:hAnsi="宋体" w:cs="宋体" w:eastAsia="宋体" w:hint="default"/>
          <w:spacing w:val="-59"/>
        </w:rPr>
        <w:t> </w:t>
      </w:r>
      <w:r>
        <w:rPr/>
        <w:t>年至</w:t>
      </w:r>
      <w:r>
        <w:rPr>
          <w:spacing w:val="-59"/>
        </w:rPr>
        <w:t> </w:t>
      </w:r>
      <w:r>
        <w:rPr>
          <w:rFonts w:ascii="宋体" w:hAnsi="宋体" w:cs="宋体" w:eastAsia="宋体" w:hint="default"/>
        </w:rPr>
        <w:t>2017</w:t>
      </w:r>
      <w:r>
        <w:rPr>
          <w:rFonts w:ascii="宋体" w:hAnsi="宋体" w:cs="宋体" w:eastAsia="宋体" w:hint="default"/>
          <w:spacing w:val="-59"/>
        </w:rPr>
        <w:t> </w:t>
      </w:r>
      <w:r>
        <w:rPr/>
        <w:t>年间每年</w:t>
      </w:r>
      <w:r>
        <w:rPr>
          <w:spacing w:val="-59"/>
        </w:rPr>
        <w:t> </w:t>
      </w:r>
      <w:r>
        <w:rPr>
          <w:rFonts w:ascii="宋体" w:hAnsi="宋体" w:cs="宋体" w:eastAsia="宋体" w:hint="default"/>
        </w:rPr>
        <w:t>9</w:t>
      </w:r>
      <w:r>
        <w:rPr>
          <w:rFonts w:ascii="宋体" w:hAnsi="宋体" w:cs="宋体" w:eastAsia="宋体" w:hint="default"/>
          <w:spacing w:val="-59"/>
        </w:rPr>
        <w:t> </w:t>
      </w:r>
      <w:r>
        <w:rPr/>
        <w:t>月</w:t>
      </w:r>
      <w:r>
        <w:rPr>
          <w:spacing w:val="-59"/>
        </w:rPr>
        <w:t> </w:t>
      </w:r>
      <w:r>
        <w:rPr>
          <w:rFonts w:ascii="宋体" w:hAnsi="宋体" w:cs="宋体" w:eastAsia="宋体" w:hint="default"/>
        </w:rPr>
        <w:t>14 </w:t>
      </w:r>
      <w:r>
        <w:rPr>
          <w:spacing w:val="-2"/>
        </w:rPr>
        <w:t>日（如遇法定节假日或休息日，则顺延至期后的第一个工作日；顺延期间付息款项不</w:t>
      </w:r>
      <w:r>
        <w:rPr>
          <w:spacing w:val="-94"/>
        </w:rPr>
        <w:t> </w:t>
      </w:r>
      <w:r>
        <w:rPr>
          <w:spacing w:val="-94"/>
        </w:rPr>
      </w:r>
      <w:r>
        <w:rPr>
          <w:spacing w:val="-2"/>
        </w:rPr>
        <w:t>另计利息）。债券发行人发出关于是否上调本期债券票面利率及上调幅度公告后，债</w:t>
      </w:r>
      <w:r>
        <w:rPr>
          <w:spacing w:val="-95"/>
        </w:rPr>
        <w:t> </w:t>
      </w:r>
      <w:r>
        <w:rPr>
          <w:spacing w:val="-95"/>
        </w:rPr>
      </w:r>
      <w:r>
        <w:rPr/>
        <w:t>券持有人有权选择在本债券第</w:t>
      </w:r>
      <w:r>
        <w:rPr>
          <w:spacing w:val="-84"/>
        </w:rPr>
        <w:t> </w:t>
      </w:r>
      <w:r>
        <w:rPr>
          <w:rFonts w:ascii="宋体" w:hAnsi="宋体" w:cs="宋体" w:eastAsia="宋体" w:hint="default"/>
        </w:rPr>
        <w:t>2</w:t>
      </w:r>
      <w:r>
        <w:rPr>
          <w:rFonts w:ascii="宋体" w:hAnsi="宋体" w:cs="宋体" w:eastAsia="宋体" w:hint="default"/>
          <w:spacing w:val="-84"/>
        </w:rPr>
        <w:t> </w:t>
      </w:r>
      <w:r>
        <w:rPr/>
        <w:t>个计息年度付息日将其持有的本期债券全部或部分按</w:t>
      </w:r>
    </w:p>
    <w:p>
      <w:pPr>
        <w:pStyle w:val="BodyText"/>
        <w:spacing w:line="355" w:lineRule="auto" w:before="37"/>
        <w:ind w:right="113"/>
        <w:jc w:val="both"/>
      </w:pPr>
      <w:r>
        <w:rPr/>
        <w:t>面值回售给发行人。本期债券第</w:t>
      </w:r>
      <w:r>
        <w:rPr>
          <w:spacing w:val="-83"/>
        </w:rPr>
        <w:t> </w:t>
      </w:r>
      <w:r>
        <w:rPr>
          <w:rFonts w:ascii="宋体" w:hAnsi="宋体" w:cs="宋体" w:eastAsia="宋体" w:hint="default"/>
        </w:rPr>
        <w:t>2</w:t>
      </w:r>
      <w:r>
        <w:rPr>
          <w:rFonts w:ascii="宋体" w:hAnsi="宋体" w:cs="宋体" w:eastAsia="宋体" w:hint="default"/>
          <w:spacing w:val="-83"/>
        </w:rPr>
        <w:t> </w:t>
      </w:r>
      <w:r>
        <w:rPr/>
        <w:t>个计息年度付息日即为回售支付日，发行人按照上 交所和证券登记机构相关业务规则完成回售支付工作。</w:t>
      </w:r>
    </w:p>
    <w:p>
      <w:pPr>
        <w:pStyle w:val="BodyText"/>
        <w:spacing w:line="240" w:lineRule="auto" w:before="38"/>
        <w:ind w:left="618" w:right="0"/>
        <w:jc w:val="left"/>
        <w:rPr>
          <w:rFonts w:ascii="宋体" w:hAnsi="宋体" w:cs="宋体" w:eastAsia="宋体" w:hint="default"/>
        </w:rPr>
      </w:pPr>
      <w:r>
        <w:rPr/>
        <w:t>本期债券已按照偿债计划于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日完成偿付当期利息</w:t>
      </w:r>
      <w:r>
        <w:rPr>
          <w:spacing w:val="-108"/>
        </w:rPr>
        <w:t>；</w:t>
      </w:r>
      <w:r>
        <w:rPr/>
        <w:t>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8-9</w:t>
      </w:r>
    </w:p>
    <w:p>
      <w:pPr>
        <w:pStyle w:val="BodyText"/>
        <w:spacing w:line="240" w:lineRule="auto" w:before="151"/>
        <w:ind w:right="0"/>
        <w:jc w:val="both"/>
        <w:rPr>
          <w:rFonts w:ascii="宋体" w:hAnsi="宋体" w:cs="宋体" w:eastAsia="宋体" w:hint="default"/>
        </w:rPr>
      </w:pPr>
      <w:r>
        <w:rPr/>
        <w:t>月实施回售，最终回售金额为</w:t>
      </w:r>
      <w:r>
        <w:rPr>
          <w:spacing w:val="-61"/>
        </w:rPr>
        <w:t> </w:t>
      </w:r>
      <w:r>
        <w:rPr>
          <w:rFonts w:ascii="宋体" w:hAnsi="宋体" w:cs="宋体" w:eastAsia="宋体" w:hint="default"/>
        </w:rPr>
        <w:t>0</w:t>
      </w:r>
      <w:r>
        <w:rPr>
          <w:rFonts w:ascii="宋体" w:hAnsi="宋体" w:cs="宋体" w:eastAsia="宋体" w:hint="default"/>
          <w:spacing w:val="-61"/>
        </w:rPr>
        <w:t> </w:t>
      </w:r>
      <w:r>
        <w:rPr/>
        <w:t>元；同时公司上调票面利率</w:t>
      </w:r>
      <w:r>
        <w:rPr>
          <w:spacing w:val="-61"/>
        </w:rPr>
        <w:t> </w:t>
      </w:r>
      <w:r>
        <w:rPr>
          <w:rFonts w:ascii="宋体" w:hAnsi="宋体" w:cs="宋体" w:eastAsia="宋体" w:hint="default"/>
        </w:rPr>
        <w:t>31</w:t>
      </w:r>
      <w:r>
        <w:rPr>
          <w:rFonts w:ascii="宋体" w:hAnsi="宋体" w:cs="宋体" w:eastAsia="宋体" w:hint="default"/>
          <w:spacing w:val="-61"/>
        </w:rPr>
        <w:t> </w:t>
      </w:r>
      <w:r>
        <w:rPr/>
        <w:t>个基点，即</w:t>
      </w:r>
      <w:r>
        <w:rPr>
          <w:spacing w:val="-61"/>
        </w:rPr>
        <w:t> </w:t>
      </w:r>
      <w:r>
        <w:rPr>
          <w:rFonts w:ascii="宋体" w:hAnsi="宋体" w:cs="宋体" w:eastAsia="宋体" w:hint="default"/>
        </w:rPr>
        <w:t>2017</w:t>
      </w:r>
      <w:r>
        <w:rPr>
          <w:rFonts w:ascii="宋体" w:hAnsi="宋体" w:cs="宋体" w:eastAsia="宋体" w:hint="default"/>
          <w:spacing w:val="-61"/>
        </w:rPr>
        <w:t> </w:t>
      </w:r>
      <w:r>
        <w:rPr/>
        <w:t>年</w:t>
      </w:r>
      <w:r>
        <w:rPr>
          <w:spacing w:val="-61"/>
        </w:rPr>
        <w:t> </w:t>
      </w:r>
      <w:r>
        <w:rPr>
          <w:rFonts w:ascii="宋体" w:hAnsi="宋体" w:cs="宋体" w:eastAsia="宋体" w:hint="default"/>
        </w:rPr>
        <w:t>9</w:t>
      </w:r>
    </w:p>
    <w:p>
      <w:pPr>
        <w:pStyle w:val="BodyText"/>
        <w:spacing w:line="355" w:lineRule="auto" w:before="154"/>
        <w:ind w:left="618" w:right="0" w:hanging="480"/>
        <w:jc w:val="left"/>
      </w:pPr>
      <w:r>
        <w:rPr/>
        <w:t>月</w:t>
      </w:r>
      <w:r>
        <w:rPr>
          <w:spacing w:val="-61"/>
        </w:rPr>
        <w:t> </w:t>
      </w:r>
      <w:r>
        <w:rPr>
          <w:rFonts w:ascii="宋体" w:hAnsi="宋体" w:cs="宋体" w:eastAsia="宋体" w:hint="default"/>
        </w:rPr>
        <w:t>14</w:t>
      </w:r>
      <w:r>
        <w:rPr>
          <w:rFonts w:ascii="宋体" w:hAnsi="宋体" w:cs="宋体" w:eastAsia="宋体" w:hint="default"/>
          <w:spacing w:val="-60"/>
        </w:rPr>
        <w:t> </w:t>
      </w:r>
      <w:r>
        <w:rPr/>
        <w:t>日至</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日起本期债券票面利率为</w:t>
      </w:r>
      <w:r>
        <w:rPr>
          <w:spacing w:val="-60"/>
        </w:rPr>
        <w:t> </w:t>
      </w:r>
      <w:r>
        <w:rPr>
          <w:rFonts w:ascii="宋体" w:hAnsi="宋体" w:cs="宋体" w:eastAsia="宋体" w:hint="default"/>
        </w:rPr>
        <w:t>7.30%</w:t>
      </w:r>
      <w:r>
        <w:rPr/>
        <w:t>。 </w:t>
      </w:r>
      <w:r>
        <w:rPr>
          <w:spacing w:val="-2"/>
        </w:rPr>
        <w:t>为了保证本期债券募集资金的合规使用及本息的按期兑付，保障投资者利益，发</w:t>
      </w:r>
    </w:p>
    <w:p>
      <w:pPr>
        <w:pStyle w:val="BodyText"/>
        <w:spacing w:line="355" w:lineRule="auto" w:before="38"/>
        <w:ind w:right="112"/>
        <w:jc w:val="both"/>
      </w:pPr>
      <w:r>
        <w:rPr>
          <w:spacing w:val="-2"/>
        </w:rPr>
        <w:t>行人设立募集资金专项监管账户。发行人、受托管理人与监管银行中国光大银行股份</w:t>
      </w:r>
      <w:r>
        <w:rPr>
          <w:spacing w:val="-94"/>
        </w:rPr>
        <w:t> </w:t>
      </w:r>
      <w:r>
        <w:rPr>
          <w:spacing w:val="-94"/>
        </w:rPr>
      </w:r>
      <w:r>
        <w:rPr>
          <w:spacing w:val="-2"/>
        </w:rPr>
        <w:t>有限公司杭州浙大支行签订《资金账户监管协议》，并在监管银行处设立了专项监管</w:t>
      </w:r>
    </w:p>
    <w:p>
      <w:pPr>
        <w:spacing w:after="0" w:line="355" w:lineRule="auto"/>
        <w:jc w:val="both"/>
        <w:sectPr>
          <w:footerReference w:type="default" r:id="rId50"/>
          <w:pgSz w:w="11910" w:h="16840"/>
          <w:pgMar w:footer="1195" w:header="0" w:top="1100" w:bottom="1380" w:left="1660" w:right="1160"/>
        </w:sectPr>
      </w:pPr>
    </w:p>
    <w:p>
      <w:pPr>
        <w:spacing w:line="240" w:lineRule="auto" w:before="13"/>
        <w:rPr>
          <w:rFonts w:ascii="宋体" w:hAnsi="宋体" w:cs="宋体" w:eastAsia="宋体" w:hint="default"/>
          <w:sz w:val="25"/>
          <w:szCs w:val="25"/>
        </w:rPr>
      </w:pPr>
    </w:p>
    <w:p>
      <w:pPr>
        <w:pStyle w:val="BodyText"/>
        <w:spacing w:line="357" w:lineRule="auto" w:before="26"/>
        <w:ind w:left="218" w:right="233"/>
        <w:jc w:val="left"/>
      </w:pPr>
      <w:r>
        <w:rPr>
          <w:spacing w:val="-2"/>
        </w:rPr>
        <w:t>账户，专门用于募集资金的接收、转取及偿债资金的归集。截至本报告签署日，均按</w:t>
      </w:r>
      <w:r>
        <w:rPr>
          <w:spacing w:val="-95"/>
        </w:rPr>
        <w:t> </w:t>
      </w:r>
      <w:r>
        <w:rPr>
          <w:spacing w:val="-95"/>
        </w:rPr>
      </w:r>
      <w:r>
        <w:rPr/>
        <w:t>照募集说明书约定提取，未发生过本息逾期偿还的情况。</w:t>
      </w:r>
    </w:p>
    <w:p>
      <w:pPr>
        <w:spacing w:line="240" w:lineRule="auto" w:before="0"/>
        <w:rPr>
          <w:rFonts w:ascii="宋体" w:hAnsi="宋体" w:cs="宋体" w:eastAsia="宋体" w:hint="default"/>
          <w:sz w:val="31"/>
          <w:szCs w:val="31"/>
        </w:rPr>
      </w:pPr>
    </w:p>
    <w:p>
      <w:pPr>
        <w:pStyle w:val="Heading2"/>
        <w:spacing w:line="240" w:lineRule="auto" w:before="0"/>
        <w:ind w:right="233"/>
        <w:jc w:val="left"/>
        <w:rPr>
          <w:b w:val="0"/>
          <w:bCs w:val="0"/>
        </w:rPr>
      </w:pPr>
      <w:r>
        <w:rPr/>
        <w:t>六、公司债券持有人会议召开情况</w:t>
      </w:r>
      <w:r>
        <w:rPr>
          <w:b w:val="0"/>
          <w:bCs w:val="0"/>
        </w:rPr>
      </w:r>
    </w:p>
    <w:p>
      <w:pPr>
        <w:pStyle w:val="BodyText"/>
        <w:tabs>
          <w:tab w:pos="1177" w:val="left" w:leader="none"/>
        </w:tabs>
        <w:spacing w:line="240" w:lineRule="auto" w:before="58"/>
        <w:ind w:left="218" w:right="233"/>
        <w:jc w:val="left"/>
      </w:pPr>
      <w:r>
        <w:rPr>
          <w:spacing w:val="-1"/>
        </w:rPr>
        <w:t>□适用</w:t>
        <w:tab/>
      </w:r>
      <w:r>
        <w:rPr/>
        <w:t>√不适用</w:t>
      </w:r>
    </w:p>
    <w:p>
      <w:pPr>
        <w:spacing w:line="240" w:lineRule="auto" w:before="1"/>
        <w:rPr>
          <w:rFonts w:ascii="宋体" w:hAnsi="宋体" w:cs="宋体" w:eastAsia="宋体" w:hint="default"/>
          <w:sz w:val="28"/>
          <w:szCs w:val="28"/>
        </w:rPr>
      </w:pPr>
    </w:p>
    <w:p>
      <w:pPr>
        <w:pStyle w:val="Heading2"/>
        <w:spacing w:line="240" w:lineRule="auto" w:before="0"/>
        <w:ind w:right="233"/>
        <w:jc w:val="left"/>
        <w:rPr>
          <w:b w:val="0"/>
          <w:bCs w:val="0"/>
        </w:rPr>
      </w:pPr>
      <w:r>
        <w:rPr/>
        <w:t>七、公司债券受托管理人履职情况</w:t>
      </w:r>
      <w:r>
        <w:rPr>
          <w:b w:val="0"/>
          <w:bCs w:val="0"/>
        </w:rPr>
      </w:r>
    </w:p>
    <w:p>
      <w:pPr>
        <w:tabs>
          <w:tab w:pos="1177" w:val="left" w:leader="none"/>
        </w:tabs>
        <w:spacing w:line="312" w:lineRule="exact" w:before="88"/>
        <w:ind w:left="698" w:right="7146" w:hanging="480"/>
        <w:jc w:val="left"/>
        <w:rPr>
          <w:rFonts w:ascii="宋体" w:hAnsi="宋体" w:cs="宋体" w:eastAsia="宋体" w:hint="default"/>
          <w:sz w:val="24"/>
          <w:szCs w:val="24"/>
        </w:rPr>
      </w:pPr>
      <w:r>
        <w:rPr>
          <w:rFonts w:ascii="宋体" w:hAnsi="宋体" w:cs="宋体" w:eastAsia="宋体" w:hint="default"/>
          <w:spacing w:val="-1"/>
          <w:sz w:val="24"/>
          <w:szCs w:val="24"/>
        </w:rPr>
        <w:t>√适用</w:t>
        <w:tab/>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w:t>
      </w:r>
      <w:r>
        <w:rPr>
          <w:rFonts w:ascii="宋体" w:hAnsi="宋体" w:cs="宋体" w:eastAsia="宋体" w:hint="default"/>
          <w:b/>
          <w:bCs/>
          <w:sz w:val="24"/>
          <w:szCs w:val="24"/>
        </w:rPr>
        <w:t>15</w:t>
      </w:r>
      <w:r>
        <w:rPr>
          <w:rFonts w:ascii="宋体" w:hAnsi="宋体" w:cs="宋体" w:eastAsia="宋体" w:hint="default"/>
          <w:b/>
          <w:bCs/>
          <w:spacing w:val="-62"/>
          <w:sz w:val="24"/>
          <w:szCs w:val="24"/>
        </w:rPr>
        <w:t> </w:t>
      </w:r>
      <w:r>
        <w:rPr>
          <w:rFonts w:ascii="宋体" w:hAnsi="宋体" w:cs="宋体" w:eastAsia="宋体" w:hint="default"/>
          <w:b/>
          <w:bCs/>
          <w:sz w:val="24"/>
          <w:szCs w:val="24"/>
        </w:rPr>
        <w:t>新湖债</w:t>
      </w:r>
      <w:r>
        <w:rPr>
          <w:rFonts w:ascii="宋体" w:hAnsi="宋体" w:cs="宋体" w:eastAsia="宋体" w:hint="default"/>
          <w:sz w:val="24"/>
          <w:szCs w:val="24"/>
        </w:rPr>
      </w:r>
    </w:p>
    <w:p>
      <w:pPr>
        <w:pStyle w:val="BodyText"/>
        <w:spacing w:line="240" w:lineRule="auto" w:before="123"/>
        <w:ind w:left="698" w:right="0"/>
        <w:jc w:val="left"/>
      </w:pPr>
      <w:r>
        <w:rPr/>
        <w:t>期内，国泰君安证券股份有限公司严格履行《债券受托管理协议》约定的责任：</w:t>
      </w:r>
    </w:p>
    <w:p>
      <w:pPr>
        <w:pStyle w:val="BodyText"/>
        <w:spacing w:line="240" w:lineRule="auto" w:before="154"/>
        <w:ind w:left="698" w:right="233"/>
        <w:jc w:val="left"/>
      </w:pPr>
      <w:r>
        <w:rPr/>
        <w:t>（</w:t>
      </w:r>
      <w:r>
        <w:rPr>
          <w:rFonts w:ascii="宋体" w:hAnsi="宋体" w:cs="宋体" w:eastAsia="宋体" w:hint="default"/>
        </w:rPr>
        <w:t>1</w:t>
      </w:r>
      <w:r>
        <w:rPr/>
        <w:t>）对本期债券募集资金的使用情况进行了监督；</w:t>
      </w:r>
    </w:p>
    <w:p>
      <w:pPr>
        <w:pStyle w:val="BodyText"/>
        <w:spacing w:line="240" w:lineRule="auto" w:before="151"/>
        <w:ind w:left="698" w:right="233"/>
        <w:jc w:val="left"/>
      </w:pPr>
      <w:r>
        <w:rPr/>
        <w:t>（</w:t>
      </w:r>
      <w:r>
        <w:rPr>
          <w:rFonts w:ascii="宋体" w:hAnsi="宋体" w:cs="宋体" w:eastAsia="宋体" w:hint="default"/>
        </w:rPr>
        <w:t>2</w:t>
      </w:r>
      <w:r>
        <w:rPr/>
        <w:t>）督促发行人依照《募集说明书》中对信息披露责任的履行；</w:t>
      </w:r>
    </w:p>
    <w:p>
      <w:pPr>
        <w:pStyle w:val="BodyText"/>
        <w:spacing w:line="355" w:lineRule="auto" w:before="154"/>
        <w:ind w:left="218" w:right="110" w:firstLine="479"/>
        <w:jc w:val="left"/>
      </w:pPr>
      <w:r>
        <w:rPr/>
        <w:t>（</w:t>
      </w:r>
      <w:r>
        <w:rPr>
          <w:rFonts w:ascii="宋体" w:hAnsi="宋体" w:cs="宋体" w:eastAsia="宋体" w:hint="default"/>
        </w:rPr>
        <w:t>3</w:t>
      </w:r>
      <w:r>
        <w:rPr/>
        <w:t>）对发行人的偿债能力和增信措施的有效性进行持续关注和调查，</w:t>
      </w:r>
      <w:r>
        <w:rPr>
          <w:rFonts w:ascii="宋体" w:hAnsi="宋体" w:cs="宋体" w:eastAsia="宋体" w:hint="default"/>
        </w:rPr>
        <w:t>2016</w:t>
      </w:r>
      <w:r>
        <w:rPr>
          <w:rFonts w:ascii="宋体" w:hAnsi="宋体" w:cs="宋体" w:eastAsia="宋体" w:hint="default"/>
          <w:spacing w:val="-60"/>
        </w:rPr>
        <w:t> </w:t>
      </w:r>
      <w:r>
        <w:rPr/>
        <w:t>年债 券受托管理事务报告已于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58"/>
        </w:rPr>
        <w:t> </w:t>
      </w:r>
      <w:r>
        <w:rPr/>
        <w:t>月</w:t>
      </w:r>
      <w:r>
        <w:rPr>
          <w:spacing w:val="-58"/>
        </w:rPr>
        <w:t> </w:t>
      </w:r>
      <w:r>
        <w:rPr>
          <w:rFonts w:ascii="宋体" w:hAnsi="宋体" w:cs="宋体" w:eastAsia="宋体" w:hint="default"/>
        </w:rPr>
        <w:t>29</w:t>
      </w:r>
      <w:r>
        <w:rPr>
          <w:rFonts w:ascii="宋体" w:hAnsi="宋体" w:cs="宋体" w:eastAsia="宋体" w:hint="default"/>
          <w:spacing w:val="-58"/>
        </w:rPr>
        <w:t> </w:t>
      </w:r>
      <w:r>
        <w:rPr>
          <w:spacing w:val="2"/>
        </w:rPr>
        <w:t>日在上交所网站（</w:t>
      </w:r>
      <w:hyperlink r:id="rId11">
        <w:r>
          <w:rPr>
            <w:rFonts w:ascii="宋体" w:hAnsi="宋体" w:cs="宋体" w:eastAsia="宋体" w:hint="default"/>
            <w:spacing w:val="2"/>
          </w:rPr>
          <w:t>www.sse.com.cn</w:t>
        </w:r>
      </w:hyperlink>
      <w:r>
        <w:rPr>
          <w:spacing w:val="2"/>
        </w:rPr>
        <w:t>）披露。</w:t>
      </w:r>
      <w:r>
        <w:rPr/>
      </w:r>
    </w:p>
    <w:p>
      <w:pPr>
        <w:spacing w:line="355" w:lineRule="auto" w:before="38"/>
        <w:ind w:left="698" w:right="0"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w:t>
      </w:r>
      <w:r>
        <w:rPr>
          <w:rFonts w:ascii="宋体" w:hAnsi="宋体" w:cs="宋体" w:eastAsia="宋体" w:hint="default"/>
          <w:b/>
          <w:bCs/>
          <w:sz w:val="24"/>
          <w:szCs w:val="24"/>
        </w:rPr>
        <w:t>16</w:t>
      </w:r>
      <w:r>
        <w:rPr>
          <w:rFonts w:ascii="宋体" w:hAnsi="宋体" w:cs="宋体" w:eastAsia="宋体" w:hint="default"/>
          <w:b/>
          <w:bCs/>
          <w:spacing w:val="-61"/>
          <w:sz w:val="24"/>
          <w:szCs w:val="24"/>
        </w:rPr>
        <w:t> </w:t>
      </w:r>
      <w:r>
        <w:rPr>
          <w:rFonts w:ascii="宋体" w:hAnsi="宋体" w:cs="宋体" w:eastAsia="宋体" w:hint="default"/>
          <w:b/>
          <w:bCs/>
          <w:sz w:val="24"/>
          <w:szCs w:val="24"/>
        </w:rPr>
        <w:t>新湖</w:t>
      </w:r>
      <w:r>
        <w:rPr>
          <w:rFonts w:ascii="宋体" w:hAnsi="宋体" w:cs="宋体" w:eastAsia="宋体" w:hint="default"/>
          <w:b/>
          <w:bCs/>
          <w:spacing w:val="-61"/>
          <w:sz w:val="24"/>
          <w:szCs w:val="24"/>
        </w:rPr>
        <w:t> </w:t>
      </w:r>
      <w:r>
        <w:rPr>
          <w:rFonts w:ascii="宋体" w:hAnsi="宋体" w:cs="宋体" w:eastAsia="宋体" w:hint="default"/>
          <w:b/>
          <w:bCs/>
          <w:sz w:val="24"/>
          <w:szCs w:val="24"/>
        </w:rPr>
        <w:t>01</w:t>
      </w:r>
      <w:r>
        <w:rPr>
          <w:rFonts w:ascii="宋体" w:hAnsi="宋体" w:cs="宋体" w:eastAsia="宋体" w:hint="default"/>
          <w:b/>
          <w:bCs/>
          <w:w w:val="99"/>
          <w:sz w:val="24"/>
          <w:szCs w:val="24"/>
        </w:rPr>
        <w:t> </w:t>
      </w:r>
      <w:r>
        <w:rPr>
          <w:rFonts w:ascii="宋体" w:hAnsi="宋体" w:cs="宋体" w:eastAsia="宋体" w:hint="default"/>
          <w:sz w:val="24"/>
          <w:szCs w:val="24"/>
        </w:rPr>
        <w:t>期内，国泰君安证券股份有限公司严格履行《债券受托管理协议》约定的责任：</w:t>
      </w:r>
    </w:p>
    <w:p>
      <w:pPr>
        <w:pStyle w:val="BodyText"/>
        <w:spacing w:line="240" w:lineRule="auto" w:before="39"/>
        <w:ind w:left="698" w:right="233"/>
        <w:jc w:val="left"/>
      </w:pPr>
      <w:r>
        <w:rPr/>
        <w:t>（</w:t>
      </w:r>
      <w:r>
        <w:rPr>
          <w:rFonts w:ascii="宋体" w:hAnsi="宋体" w:cs="宋体" w:eastAsia="宋体" w:hint="default"/>
        </w:rPr>
        <w:t>1</w:t>
      </w:r>
      <w:r>
        <w:rPr/>
        <w:t>）对本期债券募集资金的使用情况进行了监督；</w:t>
      </w:r>
    </w:p>
    <w:p>
      <w:pPr>
        <w:pStyle w:val="BodyText"/>
        <w:spacing w:line="240" w:lineRule="auto" w:before="151"/>
        <w:ind w:left="698" w:right="233"/>
        <w:jc w:val="left"/>
      </w:pPr>
      <w:r>
        <w:rPr/>
        <w:t>（</w:t>
      </w:r>
      <w:r>
        <w:rPr>
          <w:rFonts w:ascii="宋体" w:hAnsi="宋体" w:cs="宋体" w:eastAsia="宋体" w:hint="default"/>
        </w:rPr>
        <w:t>2</w:t>
      </w:r>
      <w:r>
        <w:rPr/>
        <w:t>）督促发行人依照《募集说明书》中对信息披露责任的履行；</w:t>
      </w:r>
    </w:p>
    <w:p>
      <w:pPr>
        <w:pStyle w:val="BodyText"/>
        <w:spacing w:line="355" w:lineRule="auto" w:before="154"/>
        <w:ind w:left="218" w:right="110" w:firstLine="479"/>
        <w:jc w:val="left"/>
      </w:pPr>
      <w:r>
        <w:rPr/>
        <w:t>（</w:t>
      </w:r>
      <w:r>
        <w:rPr>
          <w:rFonts w:ascii="宋体" w:hAnsi="宋体" w:cs="宋体" w:eastAsia="宋体" w:hint="default"/>
        </w:rPr>
        <w:t>3</w:t>
      </w:r>
      <w:r>
        <w:rPr/>
        <w:t>）对发行人的偿债能力和增信措施的有效性进行持续关注和调查，</w:t>
      </w:r>
      <w:r>
        <w:rPr>
          <w:rFonts w:ascii="宋体" w:hAnsi="宋体" w:cs="宋体" w:eastAsia="宋体" w:hint="default"/>
        </w:rPr>
        <w:t>2016</w:t>
      </w:r>
      <w:r>
        <w:rPr>
          <w:rFonts w:ascii="宋体" w:hAnsi="宋体" w:cs="宋体" w:eastAsia="宋体" w:hint="default"/>
          <w:spacing w:val="-60"/>
        </w:rPr>
        <w:t> </w:t>
      </w:r>
      <w:r>
        <w:rPr/>
        <w:t>年债 券受托管理事务报告已于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58"/>
        </w:rPr>
        <w:t> </w:t>
      </w:r>
      <w:r>
        <w:rPr/>
        <w:t>月</w:t>
      </w:r>
      <w:r>
        <w:rPr>
          <w:spacing w:val="-58"/>
        </w:rPr>
        <w:t> </w:t>
      </w:r>
      <w:r>
        <w:rPr>
          <w:rFonts w:ascii="宋体" w:hAnsi="宋体" w:cs="宋体" w:eastAsia="宋体" w:hint="default"/>
        </w:rPr>
        <w:t>29</w:t>
      </w:r>
      <w:r>
        <w:rPr>
          <w:rFonts w:ascii="宋体" w:hAnsi="宋体" w:cs="宋体" w:eastAsia="宋体" w:hint="default"/>
          <w:spacing w:val="-58"/>
        </w:rPr>
        <w:t> </w:t>
      </w:r>
      <w:r>
        <w:rPr>
          <w:spacing w:val="2"/>
        </w:rPr>
        <w:t>日在上交所网站（</w:t>
      </w:r>
      <w:hyperlink r:id="rId11">
        <w:r>
          <w:rPr>
            <w:rFonts w:ascii="宋体" w:hAnsi="宋体" w:cs="宋体" w:eastAsia="宋体" w:hint="default"/>
            <w:spacing w:val="2"/>
          </w:rPr>
          <w:t>www.sse.com.cn</w:t>
        </w:r>
      </w:hyperlink>
      <w:r>
        <w:rPr>
          <w:spacing w:val="2"/>
        </w:rPr>
        <w:t>）披露。</w:t>
      </w:r>
      <w:r>
        <w:rPr/>
      </w:r>
    </w:p>
    <w:p>
      <w:pPr>
        <w:spacing w:line="357" w:lineRule="auto" w:before="38"/>
        <w:ind w:left="698" w:right="0"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w:t>
      </w:r>
      <w:r>
        <w:rPr>
          <w:rFonts w:ascii="宋体" w:hAnsi="宋体" w:cs="宋体" w:eastAsia="宋体" w:hint="default"/>
          <w:b/>
          <w:bCs/>
          <w:sz w:val="24"/>
          <w:szCs w:val="24"/>
        </w:rPr>
        <w:t>15</w:t>
      </w:r>
      <w:r>
        <w:rPr>
          <w:rFonts w:ascii="宋体" w:hAnsi="宋体" w:cs="宋体" w:eastAsia="宋体" w:hint="default"/>
          <w:b/>
          <w:bCs/>
          <w:spacing w:val="-61"/>
          <w:sz w:val="24"/>
          <w:szCs w:val="24"/>
        </w:rPr>
        <w:t> </w:t>
      </w:r>
      <w:r>
        <w:rPr>
          <w:rFonts w:ascii="宋体" w:hAnsi="宋体" w:cs="宋体" w:eastAsia="宋体" w:hint="default"/>
          <w:b/>
          <w:bCs/>
          <w:sz w:val="24"/>
          <w:szCs w:val="24"/>
        </w:rPr>
        <w:t>中宝债</w:t>
      </w:r>
      <w:r>
        <w:rPr>
          <w:rFonts w:ascii="宋体" w:hAnsi="宋体" w:cs="宋体" w:eastAsia="宋体" w:hint="default"/>
          <w:b/>
          <w:bCs/>
          <w:w w:val="99"/>
          <w:sz w:val="24"/>
          <w:szCs w:val="24"/>
        </w:rPr>
        <w:t> </w:t>
      </w:r>
      <w:r>
        <w:rPr>
          <w:rFonts w:ascii="宋体" w:hAnsi="宋体" w:cs="宋体" w:eastAsia="宋体" w:hint="default"/>
          <w:sz w:val="24"/>
          <w:szCs w:val="24"/>
        </w:rPr>
        <w:t>期内，国泰君安证券股份有限公司严格履行《债券受托管理协议》约定的责任：</w:t>
      </w:r>
    </w:p>
    <w:p>
      <w:pPr>
        <w:pStyle w:val="BodyText"/>
        <w:spacing w:line="240" w:lineRule="auto" w:before="34"/>
        <w:ind w:left="698" w:right="233"/>
        <w:jc w:val="left"/>
      </w:pPr>
      <w:r>
        <w:rPr/>
        <w:t>（</w:t>
      </w:r>
      <w:r>
        <w:rPr>
          <w:rFonts w:ascii="宋体" w:hAnsi="宋体" w:cs="宋体" w:eastAsia="宋体" w:hint="default"/>
        </w:rPr>
        <w:t>1</w:t>
      </w:r>
      <w:r>
        <w:rPr/>
        <w:t>）对本期债券募集资金的使用情况进行了监督；</w:t>
      </w:r>
    </w:p>
    <w:p>
      <w:pPr>
        <w:pStyle w:val="BodyText"/>
        <w:spacing w:line="240" w:lineRule="auto" w:before="154"/>
        <w:ind w:left="698" w:right="233"/>
        <w:jc w:val="left"/>
      </w:pPr>
      <w:r>
        <w:rPr/>
        <w:t>（</w:t>
      </w:r>
      <w:r>
        <w:rPr>
          <w:rFonts w:ascii="宋体" w:hAnsi="宋体" w:cs="宋体" w:eastAsia="宋体" w:hint="default"/>
        </w:rPr>
        <w:t>2</w:t>
      </w:r>
      <w:r>
        <w:rPr/>
        <w:t>）督促发行人依照《募集说明书》中对信息披露责任的履行；</w:t>
      </w:r>
    </w:p>
    <w:p>
      <w:pPr>
        <w:pStyle w:val="BodyText"/>
        <w:spacing w:line="357" w:lineRule="auto" w:before="151"/>
        <w:ind w:left="218" w:right="244" w:firstLine="479"/>
        <w:jc w:val="both"/>
      </w:pPr>
      <w:r>
        <w:rPr/>
        <w:t>（</w:t>
      </w:r>
      <w:r>
        <w:rPr>
          <w:rFonts w:ascii="宋体" w:hAnsi="宋体" w:cs="宋体" w:eastAsia="宋体" w:hint="default"/>
        </w:rPr>
        <w:t>3</w:t>
      </w:r>
      <w:r>
        <w:rPr/>
        <w:t>）对发行人的偿债能力和增信措施的有效性进行持续关注和调查，</w:t>
      </w:r>
      <w:r>
        <w:rPr>
          <w:rFonts w:ascii="宋体" w:hAnsi="宋体" w:cs="宋体" w:eastAsia="宋体" w:hint="default"/>
        </w:rPr>
        <w:t>2016</w:t>
      </w:r>
      <w:r>
        <w:rPr>
          <w:rFonts w:ascii="宋体" w:hAnsi="宋体" w:cs="宋体" w:eastAsia="宋体" w:hint="default"/>
          <w:spacing w:val="-60"/>
        </w:rPr>
        <w:t> </w:t>
      </w:r>
      <w:r>
        <w:rPr/>
        <w:t>年债 券受托管理事务报告已于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日在上证债券信息网（</w:t>
      </w:r>
      <w:r>
        <w:rPr>
          <w:rFonts w:ascii="宋体" w:hAnsi="宋体" w:cs="宋体" w:eastAsia="宋体" w:hint="default"/>
        </w:rPr>
        <w:t>bond.sse.com.cn</w:t>
      </w:r>
      <w:r>
        <w:rPr/>
        <w:t>） 披露。</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51"/>
          <w:pgSz w:w="11910" w:h="16840"/>
          <w:pgMar w:footer="1195" w:header="0" w:top="1100" w:bottom="1380" w:left="1580" w:right="1040"/>
          <w:pgNumType w:start="71"/>
        </w:sectPr>
      </w:pPr>
    </w:p>
    <w:p>
      <w:pPr>
        <w:pStyle w:val="Heading2"/>
        <w:spacing w:line="240" w:lineRule="auto"/>
        <w:ind w:right="-16"/>
        <w:jc w:val="left"/>
        <w:rPr>
          <w:b w:val="0"/>
          <w:bCs w:val="0"/>
        </w:rPr>
      </w:pPr>
      <w:r>
        <w:rPr/>
        <w:t>八、截至报告期末公司近</w:t>
      </w:r>
      <w:r>
        <w:rPr>
          <w:spacing w:val="-63"/>
        </w:rPr>
        <w:t> </w:t>
      </w:r>
      <w:r>
        <w:rPr>
          <w:rFonts w:ascii="宋体" w:hAnsi="宋体" w:cs="宋体" w:eastAsia="宋体" w:hint="default"/>
        </w:rPr>
        <w:t>2</w:t>
      </w:r>
      <w:r>
        <w:rPr>
          <w:rFonts w:ascii="宋体" w:hAnsi="宋体" w:cs="宋体" w:eastAsia="宋体" w:hint="default"/>
          <w:spacing w:val="-63"/>
        </w:rPr>
        <w:t> </w:t>
      </w:r>
      <w:r>
        <w:rPr/>
        <w:t>年的会计数据和财务指标</w:t>
      </w:r>
      <w:r>
        <w:rPr>
          <w:b w:val="0"/>
          <w:bCs w:val="0"/>
        </w:rPr>
      </w:r>
    </w:p>
    <w:p>
      <w:pPr>
        <w:pStyle w:val="BodyText"/>
        <w:spacing w:line="240" w:lineRule="auto" w:before="58"/>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tabs>
          <w:tab w:pos="1375" w:val="left" w:leader="none"/>
        </w:tabs>
        <w:spacing w:before="0"/>
        <w:ind w:left="21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w:t>
      </w:r>
      <w:r>
        <w:rPr>
          <w:rFonts w:ascii="宋体" w:hAnsi="宋体" w:cs="宋体" w:eastAsia="宋体" w:hint="default"/>
          <w:spacing w:val="-1"/>
          <w:sz w:val="21"/>
          <w:szCs w:val="21"/>
        </w:rPr>
        <w:t>:</w:t>
      </w:r>
      <w:r>
        <w:rPr>
          <w:rFonts w:ascii="宋体" w:hAnsi="宋体" w:cs="宋体" w:eastAsia="宋体" w:hint="default"/>
          <w:spacing w:val="-1"/>
          <w:sz w:val="21"/>
          <w:szCs w:val="21"/>
        </w:rPr>
        <w:t>千元</w:t>
        <w:tab/>
        <w:t>币种</w:t>
      </w:r>
      <w:r>
        <w:rPr>
          <w:rFonts w:ascii="宋体" w:hAnsi="宋体" w:cs="宋体" w:eastAsia="宋体" w:hint="default"/>
          <w:spacing w:val="-1"/>
          <w:sz w:val="21"/>
          <w:szCs w:val="21"/>
        </w:rPr>
        <w:t>:</w:t>
      </w:r>
      <w:r>
        <w:rPr>
          <w:rFonts w:ascii="宋体" w:hAnsi="宋体" w:cs="宋体" w:eastAsia="宋体" w:hint="default"/>
          <w:spacing w:val="-1"/>
          <w:sz w:val="21"/>
          <w:szCs w:val="21"/>
        </w:rPr>
        <w:t>人民币</w:t>
      </w:r>
    </w:p>
    <w:p>
      <w:pPr>
        <w:spacing w:after="0"/>
        <w:jc w:val="left"/>
        <w:rPr>
          <w:rFonts w:ascii="宋体" w:hAnsi="宋体" w:cs="宋体" w:eastAsia="宋体" w:hint="default"/>
          <w:sz w:val="21"/>
          <w:szCs w:val="21"/>
        </w:rPr>
        <w:sectPr>
          <w:type w:val="continuous"/>
          <w:pgSz w:w="11910" w:h="16840"/>
          <w:pgMar w:top="1000" w:bottom="280" w:left="1580" w:right="1040"/>
          <w:cols w:num="2" w:equalWidth="0">
            <w:col w:w="5761" w:space="76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02"/>
        <w:gridCol w:w="1476"/>
        <w:gridCol w:w="1476"/>
        <w:gridCol w:w="953"/>
        <w:gridCol w:w="2542"/>
      </w:tblGrid>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主要指标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本期比</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变动原因</w:t>
            </w:r>
          </w:p>
        </w:tc>
      </w:tr>
    </w:tbl>
    <w:p>
      <w:pPr>
        <w:spacing w:after="0" w:line="241" w:lineRule="exact"/>
        <w:jc w:val="left"/>
        <w:rPr>
          <w:rFonts w:ascii="宋体" w:hAnsi="宋体" w:cs="宋体" w:eastAsia="宋体" w:hint="default"/>
          <w:sz w:val="21"/>
          <w:szCs w:val="21"/>
        </w:rPr>
        <w:sectPr>
          <w:type w:val="continuous"/>
          <w:pgSz w:w="11910" w:h="16840"/>
          <w:pgMar w:top="1000" w:bottom="2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02"/>
        <w:gridCol w:w="1476"/>
        <w:gridCol w:w="1476"/>
        <w:gridCol w:w="953"/>
        <w:gridCol w:w="2542"/>
      </w:tblGrid>
      <w:tr>
        <w:trPr>
          <w:trHeight w:val="828" w:hRule="exact"/>
        </w:trPr>
        <w:tc>
          <w:tcPr>
            <w:tcW w:w="260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5" w:right="0"/>
              <w:jc w:val="left"/>
              <w:rPr>
                <w:rFonts w:ascii="宋体" w:hAnsi="宋体" w:cs="宋体" w:eastAsia="宋体" w:hint="default"/>
                <w:sz w:val="21"/>
                <w:szCs w:val="21"/>
              </w:rPr>
            </w:pPr>
            <w:r>
              <w:rPr>
                <w:rFonts w:ascii="宋体" w:hAnsi="宋体" w:cs="宋体" w:eastAsia="宋体" w:hint="default"/>
                <w:sz w:val="21"/>
                <w:szCs w:val="21"/>
              </w:rPr>
              <w:t>上年同</w:t>
            </w:r>
          </w:p>
          <w:p>
            <w:pPr>
              <w:pStyle w:val="TableParagraph"/>
              <w:spacing w:line="272" w:lineRule="exact"/>
              <w:ind w:left="155" w:right="0"/>
              <w:jc w:val="left"/>
              <w:rPr>
                <w:rFonts w:ascii="宋体" w:hAnsi="宋体" w:cs="宋体" w:eastAsia="宋体" w:hint="default"/>
                <w:sz w:val="21"/>
                <w:szCs w:val="21"/>
              </w:rPr>
            </w:pPr>
            <w:r>
              <w:rPr>
                <w:rFonts w:ascii="宋体" w:hAnsi="宋体" w:cs="宋体" w:eastAsia="宋体" w:hint="default"/>
                <w:sz w:val="21"/>
                <w:szCs w:val="21"/>
              </w:rPr>
              <w:t>期增减</w:t>
            </w:r>
          </w:p>
          <w:p>
            <w:pPr>
              <w:pStyle w:val="TableParagraph"/>
              <w:spacing w:line="274" w:lineRule="exact"/>
              <w:ind w:left="2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5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5,972,328.52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7,453,165.30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-19.87</w:t>
            </w:r>
          </w:p>
        </w:tc>
        <w:tc>
          <w:tcPr>
            <w:tcW w:w="25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220.08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229.65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-4.17</w:t>
            </w:r>
          </w:p>
        </w:tc>
        <w:tc>
          <w:tcPr>
            <w:tcW w:w="25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61.02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77.95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-21.72</w:t>
            </w:r>
          </w:p>
        </w:tc>
        <w:tc>
          <w:tcPr>
            <w:tcW w:w="25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73.59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0.53</w:t>
            </w:r>
          </w:p>
        </w:tc>
        <w:tc>
          <w:tcPr>
            <w:tcW w:w="25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3"/>
                <w:sz w:val="21"/>
                <w:szCs w:val="21"/>
              </w:rPr>
              <w:t> </w:t>
            </w:r>
            <w:r>
              <w:rPr>
                <w:rFonts w:ascii="宋体" w:hAnsi="宋体" w:cs="宋体" w:eastAsia="宋体" w:hint="default"/>
                <w:sz w:val="21"/>
                <w:szCs w:val="21"/>
              </w:rPr>
              <w:t>全部债务比</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-30.77</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本期利润总额减少</w:t>
            </w:r>
          </w:p>
        </w:tc>
      </w:tr>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-26.42</w:t>
            </w:r>
          </w:p>
        </w:tc>
        <w:tc>
          <w:tcPr>
            <w:tcW w:w="254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现金利息保障倍数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1.55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2.35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-34.04</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本期房地产投资增加，导</w:t>
            </w:r>
          </w:p>
          <w:p>
            <w:pPr>
              <w:pStyle w:val="TableParagraph"/>
              <w:spacing w:line="272" w:lineRule="exact" w:before="27"/>
              <w:ind w:left="103" w:right="113"/>
              <w:jc w:val="left"/>
              <w:rPr>
                <w:rFonts w:ascii="宋体" w:hAnsi="宋体" w:cs="宋体" w:eastAsia="宋体" w:hint="default"/>
                <w:sz w:val="21"/>
                <w:szCs w:val="21"/>
              </w:rPr>
            </w:pPr>
            <w:r>
              <w:rPr>
                <w:rFonts w:ascii="宋体" w:hAnsi="宋体" w:cs="宋体" w:eastAsia="宋体" w:hint="default"/>
                <w:spacing w:val="-2"/>
                <w:sz w:val="21"/>
                <w:szCs w:val="21"/>
              </w:rPr>
              <w:t>致经营活动产生的现金流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量净额减少</w:t>
            </w:r>
          </w:p>
        </w:tc>
      </w:tr>
      <w:tr>
        <w:trPr>
          <w:trHeight w:val="286"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5"/>
                <w:sz w:val="21"/>
                <w:szCs w:val="21"/>
              </w:rPr>
              <w:t> </w:t>
            </w:r>
            <w:r>
              <w:rPr>
                <w:rFonts w:ascii="宋体" w:hAnsi="宋体" w:cs="宋体" w:eastAsia="宋体" w:hint="default"/>
                <w:sz w:val="21"/>
                <w:szCs w:val="21"/>
              </w:rPr>
              <w:t>利息保障倍数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1.44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1.94</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-25.77</w:t>
            </w:r>
          </w:p>
        </w:tc>
        <w:tc>
          <w:tcPr>
            <w:tcW w:w="25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贷款偿还率（</w:t>
            </w:r>
            <w:r>
              <w:rPr>
                <w:rFonts w:ascii="宋体" w:hAnsi="宋体" w:cs="宋体" w:eastAsia="宋体" w:hint="default"/>
                <w:sz w:val="21"/>
                <w:szCs w:val="21"/>
              </w:rPr>
              <w:t>%</w:t>
            </w:r>
            <w:r>
              <w:rPr>
                <w:rFonts w:ascii="宋体" w:hAnsi="宋体" w:cs="宋体" w:eastAsia="宋体" w:hint="default"/>
                <w:sz w:val="21"/>
                <w:szCs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25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利息偿付率（</w:t>
            </w:r>
            <w:r>
              <w:rPr>
                <w:rFonts w:ascii="宋体" w:hAnsi="宋体" w:cs="宋体" w:eastAsia="宋体" w:hint="default"/>
                <w:sz w:val="21"/>
                <w:szCs w:val="21"/>
              </w:rPr>
              <w:t>%</w:t>
            </w:r>
            <w:r>
              <w:rPr>
                <w:rFonts w:ascii="宋体" w:hAnsi="宋体" w:cs="宋体" w:eastAsia="宋体" w:hint="default"/>
                <w:sz w:val="21"/>
                <w:szCs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98.91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98.18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0.74</w:t>
            </w:r>
          </w:p>
        </w:tc>
        <w:tc>
          <w:tcPr>
            <w:tcW w:w="254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3"/>
          <w:szCs w:val="23"/>
        </w:rPr>
      </w:pPr>
    </w:p>
    <w:p>
      <w:pPr>
        <w:pStyle w:val="Heading2"/>
        <w:spacing w:line="240" w:lineRule="auto"/>
        <w:ind w:right="233"/>
        <w:jc w:val="left"/>
        <w:rPr>
          <w:b w:val="0"/>
          <w:bCs w:val="0"/>
        </w:rPr>
      </w:pPr>
      <w:r>
        <w:rPr/>
        <w:t>九、公司其他债券和债务融资工具的付息兑付情况</w:t>
      </w:r>
      <w:r>
        <w:rPr>
          <w:b w:val="0"/>
          <w:bCs w:val="0"/>
        </w:rPr>
      </w:r>
    </w:p>
    <w:p>
      <w:pPr>
        <w:pStyle w:val="BodyText"/>
        <w:tabs>
          <w:tab w:pos="1177" w:val="left" w:leader="none"/>
        </w:tabs>
        <w:spacing w:line="312" w:lineRule="exact" w:before="88"/>
        <w:ind w:left="698" w:right="234" w:hanging="480"/>
        <w:jc w:val="left"/>
      </w:pPr>
      <w:r>
        <w:rPr>
          <w:spacing w:val="-1"/>
        </w:rPr>
        <w:t>√适用</w:t>
        <w:tab/>
      </w:r>
      <w:r>
        <w:rPr/>
        <w:t>□不适用</w:t>
      </w:r>
      <w:r>
        <w:rPr/>
        <w:t> </w:t>
      </w:r>
      <w:r>
        <w:rPr>
          <w:spacing w:val="-2"/>
        </w:rPr>
        <w:t>报告期内，公司其他债券和债务融资工具均按照合同约定期限支付，不存在到期</w:t>
      </w:r>
    </w:p>
    <w:p>
      <w:pPr>
        <w:pStyle w:val="BodyText"/>
        <w:spacing w:line="240" w:lineRule="auto" w:before="123"/>
        <w:ind w:left="218" w:right="233"/>
        <w:jc w:val="left"/>
      </w:pPr>
      <w:r>
        <w:rPr/>
        <w:t>未支付的情况。</w:t>
      </w:r>
    </w:p>
    <w:p>
      <w:pPr>
        <w:spacing w:line="240" w:lineRule="auto" w:before="0"/>
        <w:rPr>
          <w:rFonts w:ascii="宋体" w:hAnsi="宋体" w:cs="宋体" w:eastAsia="宋体" w:hint="default"/>
          <w:sz w:val="24"/>
          <w:szCs w:val="24"/>
        </w:rPr>
      </w:pPr>
    </w:p>
    <w:p>
      <w:pPr>
        <w:pStyle w:val="Heading2"/>
        <w:spacing w:line="240" w:lineRule="auto" w:before="210"/>
        <w:ind w:right="233"/>
        <w:jc w:val="left"/>
        <w:rPr>
          <w:b w:val="0"/>
          <w:bCs w:val="0"/>
        </w:rPr>
      </w:pPr>
      <w:r>
        <w:rPr/>
        <w:t>十、公司报告期内的银行授信情况</w:t>
      </w:r>
      <w:r>
        <w:rPr>
          <w:b w:val="0"/>
          <w:bCs w:val="0"/>
        </w:rPr>
      </w:r>
    </w:p>
    <w:p>
      <w:pPr>
        <w:pStyle w:val="BodyText"/>
        <w:tabs>
          <w:tab w:pos="1177" w:val="left" w:leader="none"/>
        </w:tabs>
        <w:spacing w:line="313" w:lineRule="exact" w:before="58"/>
        <w:ind w:left="218" w:right="233"/>
        <w:jc w:val="left"/>
      </w:pPr>
      <w:r>
        <w:rPr>
          <w:spacing w:val="-1"/>
        </w:rPr>
        <w:t>√适用</w:t>
        <w:tab/>
      </w:r>
      <w:r>
        <w:rPr/>
        <w:t>□不适用</w:t>
      </w:r>
    </w:p>
    <w:p>
      <w:pPr>
        <w:pStyle w:val="BodyText"/>
        <w:spacing w:line="355" w:lineRule="auto"/>
        <w:ind w:left="218" w:right="216" w:firstLine="479"/>
        <w:jc w:val="left"/>
      </w:pPr>
      <w:r>
        <w:rPr>
          <w:spacing w:val="-8"/>
        </w:rPr>
        <w:t>截至报告期末，公司银行授信额度为</w:t>
      </w:r>
      <w:r>
        <w:rPr>
          <w:spacing w:val="-54"/>
        </w:rPr>
        <w:t> </w:t>
      </w:r>
      <w:r>
        <w:rPr>
          <w:rFonts w:ascii="宋体" w:hAnsi="宋体" w:cs="宋体" w:eastAsia="宋体" w:hint="default"/>
        </w:rPr>
        <w:t>845.26</w:t>
      </w:r>
      <w:r>
        <w:rPr>
          <w:rFonts w:ascii="宋体" w:hAnsi="宋体" w:cs="宋体" w:eastAsia="宋体" w:hint="default"/>
          <w:spacing w:val="-54"/>
        </w:rPr>
        <w:t> </w:t>
      </w:r>
      <w:r>
        <w:rPr>
          <w:spacing w:val="-9"/>
        </w:rPr>
        <w:t>亿元，未使用银行授信额度为</w:t>
      </w:r>
      <w:r>
        <w:rPr>
          <w:spacing w:val="-54"/>
        </w:rPr>
        <w:t> </w:t>
      </w:r>
      <w:r>
        <w:rPr>
          <w:rFonts w:ascii="宋体" w:hAnsi="宋体" w:cs="宋体" w:eastAsia="宋体" w:hint="default"/>
        </w:rPr>
        <w:t>471.62 </w:t>
      </w:r>
      <w:r>
        <w:rPr/>
        <w:t>亿元，公司按时足额偿还银行贷款本息。</w:t>
      </w:r>
    </w:p>
    <w:p>
      <w:pPr>
        <w:spacing w:line="240" w:lineRule="auto" w:before="5"/>
        <w:rPr>
          <w:rFonts w:ascii="宋体" w:hAnsi="宋体" w:cs="宋体" w:eastAsia="宋体" w:hint="default"/>
          <w:sz w:val="31"/>
          <w:szCs w:val="31"/>
        </w:rPr>
      </w:pPr>
    </w:p>
    <w:p>
      <w:pPr>
        <w:pStyle w:val="Heading2"/>
        <w:spacing w:line="240" w:lineRule="auto" w:before="0"/>
        <w:ind w:right="233"/>
        <w:jc w:val="left"/>
        <w:rPr>
          <w:b w:val="0"/>
          <w:bCs w:val="0"/>
        </w:rPr>
      </w:pPr>
      <w:r>
        <w:rPr/>
        <w:t>十一、公司报告期内执行公司债券募集说明书相关约定或承诺的情况</w:t>
      </w:r>
      <w:r>
        <w:rPr>
          <w:b w:val="0"/>
          <w:bCs w:val="0"/>
        </w:rPr>
      </w:r>
    </w:p>
    <w:p>
      <w:pPr>
        <w:pStyle w:val="BodyText"/>
        <w:tabs>
          <w:tab w:pos="1177" w:val="left" w:leader="none"/>
        </w:tabs>
        <w:spacing w:line="312" w:lineRule="exact" w:before="86"/>
        <w:ind w:left="698" w:right="1626" w:hanging="480"/>
        <w:jc w:val="left"/>
      </w:pPr>
      <w:r>
        <w:rPr>
          <w:spacing w:val="-1"/>
        </w:rPr>
        <w:t>√适用</w:t>
        <w:tab/>
      </w:r>
      <w:r>
        <w:rPr/>
        <w:t>□不适用</w:t>
      </w:r>
      <w:r>
        <w:rPr/>
        <w:t> 报告期内，公司均按照公司债券募集说明书相关约定或承诺执行。</w:t>
      </w:r>
    </w:p>
    <w:p>
      <w:pPr>
        <w:spacing w:line="240" w:lineRule="auto" w:before="12"/>
        <w:rPr>
          <w:rFonts w:ascii="宋体" w:hAnsi="宋体" w:cs="宋体" w:eastAsia="宋体" w:hint="default"/>
          <w:sz w:val="25"/>
          <w:szCs w:val="25"/>
        </w:rPr>
      </w:pPr>
    </w:p>
    <w:p>
      <w:pPr>
        <w:pStyle w:val="Heading2"/>
        <w:spacing w:line="240" w:lineRule="auto" w:before="0"/>
        <w:ind w:right="233"/>
        <w:jc w:val="left"/>
        <w:rPr>
          <w:b w:val="0"/>
          <w:bCs w:val="0"/>
        </w:rPr>
      </w:pPr>
      <w:r>
        <w:rPr/>
        <w:t>十二、公司发生的重大事项及对公司经营情况和偿债能力的影响</w:t>
      </w:r>
      <w:r>
        <w:rPr>
          <w:b w:val="0"/>
          <w:bCs w:val="0"/>
        </w:rPr>
      </w:r>
    </w:p>
    <w:p>
      <w:pPr>
        <w:pStyle w:val="BodyText"/>
        <w:tabs>
          <w:tab w:pos="1177" w:val="left" w:leader="none"/>
        </w:tabs>
        <w:spacing w:line="313" w:lineRule="exact" w:before="58"/>
        <w:ind w:left="218" w:right="233"/>
        <w:jc w:val="left"/>
      </w:pPr>
      <w:r>
        <w:rPr>
          <w:spacing w:val="-1"/>
        </w:rPr>
        <w:t>√适用</w:t>
        <w:tab/>
      </w:r>
      <w:r>
        <w:rPr/>
        <w:t>□不适用</w:t>
      </w:r>
    </w:p>
    <w:p>
      <w:pPr>
        <w:pStyle w:val="BodyText"/>
        <w:spacing w:line="313" w:lineRule="exact"/>
        <w:ind w:left="698" w:right="0"/>
        <w:jc w:val="left"/>
      </w:pPr>
      <w:r>
        <w:rPr/>
        <w:t>期内，公司累计新增借款</w:t>
      </w:r>
      <w:r>
        <w:rPr>
          <w:spacing w:val="-59"/>
        </w:rPr>
        <w:t> </w:t>
      </w:r>
      <w:r>
        <w:rPr>
          <w:rFonts w:ascii="宋体" w:hAnsi="宋体" w:cs="宋体" w:eastAsia="宋体" w:hint="default"/>
        </w:rPr>
        <w:t>98</w:t>
      </w:r>
      <w:r>
        <w:rPr>
          <w:rFonts w:ascii="宋体" w:hAnsi="宋体" w:cs="宋体" w:eastAsia="宋体" w:hint="default"/>
          <w:spacing w:val="-59"/>
        </w:rPr>
        <w:t> </w:t>
      </w:r>
      <w:r>
        <w:rPr/>
        <w:t>亿元，为</w:t>
      </w:r>
      <w:r>
        <w:rPr>
          <w:spacing w:val="-59"/>
        </w:rPr>
        <w:t> </w:t>
      </w:r>
      <w:r>
        <w:rPr>
          <w:rFonts w:ascii="宋体" w:hAnsi="宋体" w:cs="宋体" w:eastAsia="宋体" w:hint="default"/>
        </w:rPr>
        <w:t>2016</w:t>
      </w:r>
      <w:r>
        <w:rPr>
          <w:rFonts w:ascii="宋体" w:hAnsi="宋体" w:cs="宋体" w:eastAsia="宋体" w:hint="default"/>
          <w:spacing w:val="-59"/>
        </w:rPr>
        <w:t> </w:t>
      </w:r>
      <w:r>
        <w:rPr/>
        <w:t>年经审计净资产</w:t>
      </w:r>
      <w:r>
        <w:rPr>
          <w:spacing w:val="-59"/>
        </w:rPr>
        <w:t> </w:t>
      </w:r>
      <w:r>
        <w:rPr>
          <w:rFonts w:ascii="宋体" w:hAnsi="宋体" w:cs="宋体" w:eastAsia="宋体" w:hint="default"/>
        </w:rPr>
        <w:t>299</w:t>
      </w:r>
      <w:r>
        <w:rPr>
          <w:rFonts w:ascii="宋体" w:hAnsi="宋体" w:cs="宋体" w:eastAsia="宋体" w:hint="default"/>
          <w:spacing w:val="-59"/>
        </w:rPr>
        <w:t> </w:t>
      </w:r>
      <w:r>
        <w:rPr/>
        <w:t>亿元的</w:t>
      </w:r>
      <w:r>
        <w:rPr>
          <w:spacing w:val="-59"/>
        </w:rPr>
        <w:t> </w:t>
      </w:r>
      <w:r>
        <w:rPr>
          <w:rFonts w:ascii="宋体" w:hAnsi="宋体" w:cs="宋体" w:eastAsia="宋体" w:hint="default"/>
        </w:rPr>
        <w:t>32.78%</w:t>
      </w:r>
      <w:r>
        <w:rPr/>
        <w:t>；</w:t>
      </w:r>
    </w:p>
    <w:p>
      <w:pPr>
        <w:pStyle w:val="BodyText"/>
        <w:spacing w:line="357" w:lineRule="auto" w:before="151"/>
        <w:ind w:left="218" w:right="219"/>
        <w:jc w:val="left"/>
      </w:pPr>
      <w:r>
        <w:rPr/>
        <w:t>其中通过金融机构新增借款</w:t>
      </w:r>
      <w:r>
        <w:rPr>
          <w:spacing w:val="-66"/>
        </w:rPr>
        <w:t> </w:t>
      </w:r>
      <w:r>
        <w:rPr>
          <w:rFonts w:ascii="宋体" w:hAnsi="宋体" w:cs="宋体" w:eastAsia="宋体" w:hint="default"/>
        </w:rPr>
        <w:t>31</w:t>
      </w:r>
      <w:r>
        <w:rPr>
          <w:rFonts w:ascii="宋体" w:hAnsi="宋体" w:cs="宋体" w:eastAsia="宋体" w:hint="default"/>
          <w:spacing w:val="-66"/>
        </w:rPr>
        <w:t> </w:t>
      </w:r>
      <w:r>
        <w:rPr/>
        <w:t>亿元，通过发行债券新增借款</w:t>
      </w:r>
      <w:r>
        <w:rPr>
          <w:spacing w:val="-66"/>
        </w:rPr>
        <w:t> </w:t>
      </w:r>
      <w:r>
        <w:rPr>
          <w:rFonts w:ascii="宋体" w:hAnsi="宋体" w:cs="宋体" w:eastAsia="宋体" w:hint="default"/>
        </w:rPr>
        <w:t>67</w:t>
      </w:r>
      <w:r>
        <w:rPr>
          <w:rFonts w:ascii="宋体" w:hAnsi="宋体" w:cs="宋体" w:eastAsia="宋体" w:hint="default"/>
          <w:spacing w:val="-66"/>
        </w:rPr>
        <w:t> </w:t>
      </w:r>
      <w:r>
        <w:rPr>
          <w:spacing w:val="-3"/>
        </w:rPr>
        <w:t>亿元，公司资产负债</w:t>
      </w:r>
      <w:r>
        <w:rPr/>
        <w:t> 率为</w:t>
      </w:r>
      <w:r>
        <w:rPr>
          <w:spacing w:val="-61"/>
        </w:rPr>
        <w:t> </w:t>
      </w:r>
      <w:r>
        <w:rPr>
          <w:rFonts w:ascii="宋体" w:hAnsi="宋体" w:cs="宋体" w:eastAsia="宋体" w:hint="default"/>
        </w:rPr>
        <w:t>73.59%</w:t>
      </w:r>
      <w:r>
        <w:rPr/>
        <w:t>。本年度新增借款主要系日常经营所需，对公司偿债能力无重大影响。</w:t>
      </w:r>
    </w:p>
    <w:p>
      <w:pPr>
        <w:spacing w:after="0" w:line="357" w:lineRule="auto"/>
        <w:jc w:val="left"/>
        <w:sectPr>
          <w:pgSz w:w="11910" w:h="16840"/>
          <w:pgMar w:header="0"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240" w:lineRule="auto" w:before="14"/>
        <w:ind w:right="75"/>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11"/>
        <w:rPr>
          <w:rFonts w:ascii="宋体" w:hAnsi="宋体" w:cs="宋体" w:eastAsia="宋体" w:hint="default"/>
          <w:b/>
          <w:bCs/>
          <w:sz w:val="16"/>
          <w:szCs w:val="16"/>
        </w:rPr>
      </w:pPr>
    </w:p>
    <w:p>
      <w:pPr>
        <w:pStyle w:val="Heading2"/>
        <w:tabs>
          <w:tab w:pos="977" w:val="left" w:leader="none"/>
        </w:tabs>
        <w:spacing w:line="240" w:lineRule="auto"/>
        <w:ind w:left="138" w:right="0"/>
        <w:jc w:val="left"/>
        <w:rPr>
          <w:b w:val="0"/>
          <w:bCs w:val="0"/>
        </w:rPr>
      </w:pPr>
      <w:r>
        <w:rPr/>
        <w:t>一、</w:t>
        <w:tab/>
        <w:t>审计报告</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tabs>
          <w:tab w:pos="724" w:val="left" w:leader="none"/>
          <w:tab w:pos="1447" w:val="left" w:leader="none"/>
          <w:tab w:pos="2169" w:val="left" w:leader="none"/>
        </w:tabs>
        <w:spacing w:line="460" w:lineRule="exact" w:before="0"/>
        <w:ind w:left="0" w:right="79"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57"/>
        <w:ind w:left="0" w:right="74"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2018</w:t>
      </w:r>
      <w:r>
        <w:rPr>
          <w:rFonts w:ascii="黑体" w:hAnsi="黑体" w:cs="黑体" w:eastAsia="黑体" w:hint="default"/>
          <w:sz w:val="18"/>
          <w:szCs w:val="18"/>
        </w:rPr>
        <w:t>〕</w:t>
      </w:r>
      <w:r>
        <w:rPr>
          <w:rFonts w:ascii="黑体" w:hAnsi="黑体" w:cs="黑体" w:eastAsia="黑体" w:hint="default"/>
          <w:sz w:val="18"/>
          <w:szCs w:val="18"/>
        </w:rPr>
        <w:t>4298</w:t>
      </w:r>
      <w:r>
        <w:rPr>
          <w:rFonts w:ascii="黑体" w:hAnsi="黑体" w:cs="黑体" w:eastAsia="黑体" w:hint="default"/>
          <w:spacing w:val="-45"/>
          <w:sz w:val="18"/>
          <w:szCs w:val="18"/>
        </w:rPr>
        <w:t> </w:t>
      </w:r>
      <w:r>
        <w:rPr>
          <w:rFonts w:ascii="黑体" w:hAnsi="黑体" w:cs="黑体" w:eastAsia="黑体" w:hint="default"/>
          <w:sz w:val="18"/>
          <w:szCs w:val="18"/>
        </w:rPr>
        <w:t>号</w:t>
      </w:r>
    </w:p>
    <w:p>
      <w:pPr>
        <w:spacing w:line="240" w:lineRule="auto" w:before="0"/>
        <w:rPr>
          <w:rFonts w:ascii="黑体" w:hAnsi="黑体" w:cs="黑体" w:eastAsia="黑体" w:hint="default"/>
          <w:sz w:val="18"/>
          <w:szCs w:val="18"/>
        </w:rPr>
      </w:pPr>
    </w:p>
    <w:p>
      <w:pPr>
        <w:spacing w:line="240" w:lineRule="auto" w:before="0"/>
        <w:rPr>
          <w:rFonts w:ascii="黑体" w:hAnsi="黑体" w:cs="黑体" w:eastAsia="黑体" w:hint="default"/>
          <w:sz w:val="18"/>
          <w:szCs w:val="18"/>
        </w:rPr>
      </w:pPr>
    </w:p>
    <w:p>
      <w:pPr>
        <w:pStyle w:val="BodyText"/>
        <w:spacing w:line="240" w:lineRule="auto" w:before="131"/>
        <w:ind w:right="0"/>
        <w:jc w:val="left"/>
      </w:pPr>
      <w:r>
        <w:rPr/>
        <w:t>新湖中宝股份有限公司全体股东：</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Heading2"/>
        <w:spacing w:line="240" w:lineRule="auto" w:before="0"/>
        <w:ind w:left="620" w:right="0"/>
        <w:jc w:val="left"/>
        <w:rPr>
          <w:rFonts w:ascii="黑体" w:hAnsi="黑体" w:cs="黑体" w:eastAsia="黑体" w:hint="default"/>
          <w:b w:val="0"/>
          <w:bCs w:val="0"/>
        </w:rPr>
      </w:pPr>
      <w:r>
        <w:rPr>
          <w:rFonts w:ascii="黑体" w:hAnsi="黑体" w:cs="黑体" w:eastAsia="黑体" w:hint="default"/>
        </w:rPr>
        <w:t>一、审计意见</w:t>
      </w:r>
      <w:r>
        <w:rPr>
          <w:rFonts w:ascii="黑体" w:hAnsi="黑体" w:cs="黑体" w:eastAsia="黑体" w:hint="default"/>
          <w:b w:val="0"/>
          <w:bCs w:val="0"/>
        </w:rPr>
      </w:r>
    </w:p>
    <w:p>
      <w:pPr>
        <w:pStyle w:val="BodyText"/>
        <w:spacing w:line="240" w:lineRule="auto" w:before="166"/>
        <w:ind w:left="618" w:right="0"/>
        <w:jc w:val="left"/>
        <w:rPr>
          <w:rFonts w:ascii="宋体" w:hAnsi="宋体" w:cs="宋体" w:eastAsia="宋体" w:hint="default"/>
        </w:rPr>
      </w:pPr>
      <w:r>
        <w:rPr/>
        <w:t>我们审计了新湖中宝股份有限公</w:t>
      </w:r>
      <w:r>
        <w:rPr>
          <w:spacing w:val="-116"/>
        </w:rPr>
        <w:t>司</w:t>
      </w:r>
      <w:r>
        <w:rPr/>
        <w:t>（以下简称新湖中宝公司</w:t>
      </w:r>
      <w:r>
        <w:rPr>
          <w:spacing w:val="-115"/>
        </w:rPr>
        <w:t>）</w:t>
      </w:r>
      <w:r>
        <w:rPr/>
        <w:t>财务报表</w:t>
      </w:r>
      <w:r>
        <w:rPr>
          <w:spacing w:val="-116"/>
        </w:rPr>
        <w:t>，</w:t>
      </w:r>
      <w:r>
        <w:rPr/>
        <w:t>包括</w:t>
      </w:r>
      <w:r>
        <w:rPr>
          <w:spacing w:val="-60"/>
        </w:rPr>
        <w:t> </w:t>
      </w:r>
      <w:r>
        <w:rPr>
          <w:rFonts w:ascii="宋体" w:hAnsi="宋体" w:cs="宋体" w:eastAsia="宋体" w:hint="default"/>
        </w:rPr>
        <w:t>2017</w:t>
      </w:r>
    </w:p>
    <w:p>
      <w:pPr>
        <w:pStyle w:val="BodyText"/>
        <w:spacing w:line="367" w:lineRule="auto" w:before="166"/>
        <w:ind w:right="197"/>
        <w:jc w:val="left"/>
      </w:pPr>
      <w:r>
        <w:rPr/>
        <w:t>年</w:t>
      </w:r>
      <w:r>
        <w:rPr>
          <w:spacing w:val="-59"/>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spacing w:val="-3"/>
        </w:rPr>
        <w:t>日的合并及母公司资产负债表，</w:t>
      </w:r>
      <w:r>
        <w:rPr>
          <w:rFonts w:ascii="宋体" w:hAnsi="宋体" w:cs="宋体" w:eastAsia="宋体" w:hint="default"/>
          <w:spacing w:val="-3"/>
        </w:rPr>
        <w:t>2017</w:t>
      </w:r>
      <w:r>
        <w:rPr>
          <w:rFonts w:ascii="宋体" w:hAnsi="宋体" w:cs="宋体" w:eastAsia="宋体" w:hint="default"/>
          <w:spacing w:val="-58"/>
        </w:rPr>
        <w:t> </w:t>
      </w:r>
      <w:r>
        <w:rPr>
          <w:spacing w:val="-4"/>
        </w:rPr>
        <w:t>年度的合并及母公司利润表、合并及</w:t>
      </w:r>
      <w:r>
        <w:rPr/>
        <w:t> 母公司现金流量表、合并及母公司所有者权益变动表，以及相关财务报表附注。</w:t>
      </w:r>
    </w:p>
    <w:p>
      <w:pPr>
        <w:pStyle w:val="BodyText"/>
        <w:spacing w:line="367" w:lineRule="auto" w:before="39"/>
        <w:ind w:right="210" w:firstLine="479"/>
        <w:jc w:val="both"/>
      </w:pPr>
      <w:r>
        <w:rPr>
          <w:spacing w:val="-2"/>
        </w:rPr>
        <w:t>我们认为，后附的财务报表在所有重大方面按照企业会计准则的规定编制，公允</w:t>
      </w:r>
      <w:r>
        <w:rPr/>
        <w:t> 反映了新湖中宝公司</w:t>
      </w:r>
      <w:r>
        <w:rPr>
          <w:spacing w:val="-66"/>
        </w:rPr>
        <w:t> </w:t>
      </w:r>
      <w:r>
        <w:rPr>
          <w:rFonts w:ascii="宋体" w:hAnsi="宋体" w:cs="宋体" w:eastAsia="宋体" w:hint="default"/>
        </w:rPr>
        <w:t>2017</w:t>
      </w:r>
      <w:r>
        <w:rPr>
          <w:rFonts w:ascii="宋体" w:hAnsi="宋体" w:cs="宋体" w:eastAsia="宋体" w:hint="default"/>
          <w:spacing w:val="-66"/>
        </w:rPr>
        <w:t> </w:t>
      </w:r>
      <w:r>
        <w:rPr/>
        <w:t>年</w:t>
      </w:r>
      <w:r>
        <w:rPr>
          <w:spacing w:val="-66"/>
        </w:rPr>
        <w:t> </w:t>
      </w:r>
      <w:r>
        <w:rPr>
          <w:rFonts w:ascii="宋体" w:hAnsi="宋体" w:cs="宋体" w:eastAsia="宋体" w:hint="default"/>
        </w:rPr>
        <w:t>12</w:t>
      </w:r>
      <w:r>
        <w:rPr>
          <w:rFonts w:ascii="宋体" w:hAnsi="宋体" w:cs="宋体" w:eastAsia="宋体" w:hint="default"/>
          <w:spacing w:val="-69"/>
        </w:rPr>
        <w:t> </w:t>
      </w:r>
      <w:r>
        <w:rPr/>
        <w:t>月</w:t>
      </w:r>
      <w:r>
        <w:rPr>
          <w:spacing w:val="-66"/>
        </w:rPr>
        <w:t> </w:t>
      </w:r>
      <w:r>
        <w:rPr>
          <w:rFonts w:ascii="宋体" w:hAnsi="宋体" w:cs="宋体" w:eastAsia="宋体" w:hint="default"/>
        </w:rPr>
        <w:t>31</w:t>
      </w:r>
      <w:r>
        <w:rPr>
          <w:rFonts w:ascii="宋体" w:hAnsi="宋体" w:cs="宋体" w:eastAsia="宋体" w:hint="default"/>
          <w:spacing w:val="-66"/>
        </w:rPr>
        <w:t> </w:t>
      </w:r>
      <w:r>
        <w:rPr/>
        <w:t>日的合并及母公司财务状况以及</w:t>
      </w:r>
      <w:r>
        <w:rPr>
          <w:spacing w:val="-66"/>
        </w:rPr>
        <w:t> </w:t>
      </w:r>
      <w:r>
        <w:rPr>
          <w:rFonts w:ascii="宋体" w:hAnsi="宋体" w:cs="宋体" w:eastAsia="宋体" w:hint="default"/>
        </w:rPr>
        <w:t>2017</w:t>
      </w:r>
      <w:r>
        <w:rPr>
          <w:rFonts w:ascii="宋体" w:hAnsi="宋体" w:cs="宋体" w:eastAsia="宋体" w:hint="default"/>
          <w:spacing w:val="-66"/>
        </w:rPr>
        <w:t> </w:t>
      </w:r>
      <w:r>
        <w:rPr/>
        <w:t>年度的合 并及母公司经营成果和现金流量。</w:t>
      </w:r>
    </w:p>
    <w:p>
      <w:pPr>
        <w:spacing w:line="240" w:lineRule="auto" w:before="0"/>
        <w:rPr>
          <w:rFonts w:ascii="宋体" w:hAnsi="宋体" w:cs="宋体" w:eastAsia="宋体" w:hint="default"/>
          <w:sz w:val="24"/>
          <w:szCs w:val="24"/>
        </w:rPr>
      </w:pPr>
    </w:p>
    <w:p>
      <w:pPr>
        <w:pStyle w:val="Heading2"/>
        <w:spacing w:line="240" w:lineRule="auto" w:before="204"/>
        <w:ind w:left="620" w:right="0"/>
        <w:jc w:val="left"/>
        <w:rPr>
          <w:rFonts w:ascii="黑体" w:hAnsi="黑体" w:cs="黑体" w:eastAsia="黑体" w:hint="default"/>
          <w:b w:val="0"/>
          <w:bCs w:val="0"/>
        </w:rPr>
      </w:pPr>
      <w:r>
        <w:rPr>
          <w:rFonts w:ascii="黑体" w:hAnsi="黑体" w:cs="黑体" w:eastAsia="黑体" w:hint="default"/>
        </w:rPr>
        <w:t>二、形成审计意见的基础</w:t>
      </w:r>
      <w:r>
        <w:rPr>
          <w:rFonts w:ascii="黑体" w:hAnsi="黑体" w:cs="黑体" w:eastAsia="黑体" w:hint="default"/>
          <w:b w:val="0"/>
          <w:bCs w:val="0"/>
        </w:rPr>
      </w:r>
    </w:p>
    <w:p>
      <w:pPr>
        <w:pStyle w:val="BodyText"/>
        <w:spacing w:line="367" w:lineRule="auto" w:before="166"/>
        <w:ind w:right="213" w:firstLine="479"/>
        <w:jc w:val="both"/>
      </w:pPr>
      <w:r>
        <w:rPr>
          <w:spacing w:val="-2"/>
        </w:rPr>
        <w:t>我们按照中国注册会计师审计准则的规定执行了审计工作。审计报告的“注册会</w:t>
      </w:r>
      <w:r>
        <w:rPr/>
        <w:t> </w:t>
      </w:r>
      <w:r>
        <w:rPr>
          <w:spacing w:val="-2"/>
        </w:rPr>
        <w:t>计师对财务报表审计的责任”部分进一步阐述了我们在这些准则下的责任。按照中国</w:t>
      </w:r>
      <w:r>
        <w:rPr>
          <w:spacing w:val="-94"/>
        </w:rPr>
        <w:t> </w:t>
      </w:r>
      <w:r>
        <w:rPr>
          <w:spacing w:val="-94"/>
        </w:rPr>
      </w:r>
      <w:r>
        <w:rPr>
          <w:spacing w:val="-2"/>
        </w:rPr>
        <w:t>注册会计师职业道德守则，我们独立于新湖中宝公司，并履行了职业道德方面的其他</w:t>
      </w:r>
      <w:r>
        <w:rPr>
          <w:spacing w:val="-94"/>
        </w:rPr>
        <w:t> </w:t>
      </w:r>
      <w:r>
        <w:rPr>
          <w:spacing w:val="-94"/>
        </w:rPr>
      </w:r>
      <w:r>
        <w:rPr>
          <w:spacing w:val="-8"/>
        </w:rPr>
        <w:t>责任。我们相信，我们获取的审计证据是充分、适当的，为发表审计意见提供了基础。</w:t>
      </w:r>
    </w:p>
    <w:p>
      <w:pPr>
        <w:spacing w:line="240" w:lineRule="auto" w:before="0"/>
        <w:rPr>
          <w:rFonts w:ascii="宋体" w:hAnsi="宋体" w:cs="宋体" w:eastAsia="宋体" w:hint="default"/>
          <w:sz w:val="24"/>
          <w:szCs w:val="24"/>
        </w:rPr>
      </w:pPr>
    </w:p>
    <w:p>
      <w:pPr>
        <w:pStyle w:val="Heading2"/>
        <w:spacing w:line="240" w:lineRule="auto" w:before="204"/>
        <w:ind w:left="620" w:right="0"/>
        <w:jc w:val="left"/>
        <w:rPr>
          <w:rFonts w:ascii="黑体" w:hAnsi="黑体" w:cs="黑体" w:eastAsia="黑体" w:hint="default"/>
          <w:b w:val="0"/>
          <w:bCs w:val="0"/>
        </w:rPr>
      </w:pPr>
      <w:r>
        <w:rPr>
          <w:rFonts w:ascii="黑体" w:hAnsi="黑体" w:cs="黑体" w:eastAsia="黑体" w:hint="default"/>
        </w:rPr>
        <w:t>三、关键审计事项</w:t>
      </w:r>
      <w:r>
        <w:rPr>
          <w:rFonts w:ascii="黑体" w:hAnsi="黑体" w:cs="黑体" w:eastAsia="黑体" w:hint="default"/>
          <w:b w:val="0"/>
          <w:bCs w:val="0"/>
        </w:rPr>
      </w:r>
    </w:p>
    <w:p>
      <w:pPr>
        <w:pStyle w:val="BodyText"/>
        <w:spacing w:line="367" w:lineRule="auto" w:before="166"/>
        <w:ind w:right="0" w:firstLine="479"/>
        <w:jc w:val="left"/>
      </w:pPr>
      <w:r>
        <w:rPr/>
        <w:t>关键审计事项是我们根据职业判断，认为对本期财务报表审计最为重要的事项。 这些事项的应对以对财务报表整体进行审计并形成审计意见为背景，我们不对这些事 项单独发表意见。</w:t>
      </w:r>
    </w:p>
    <w:p>
      <w:pPr>
        <w:pStyle w:val="BodyText"/>
        <w:spacing w:line="240" w:lineRule="auto" w:before="39"/>
        <w:ind w:left="618" w:right="0"/>
        <w:jc w:val="left"/>
      </w:pPr>
      <w:r>
        <w:rPr>
          <w:rFonts w:ascii="宋体" w:hAnsi="宋体" w:cs="宋体" w:eastAsia="宋体" w:hint="default"/>
        </w:rPr>
        <w:t>(</w:t>
      </w:r>
      <w:r>
        <w:rPr/>
        <w:t>一</w:t>
      </w:r>
      <w:r>
        <w:rPr>
          <w:rFonts w:ascii="宋体" w:hAnsi="宋体" w:cs="宋体" w:eastAsia="宋体" w:hint="default"/>
        </w:rPr>
        <w:t>) </w:t>
      </w:r>
      <w:r>
        <w:rPr/>
        <w:t>房地产销售收入确认</w:t>
      </w:r>
    </w:p>
    <w:p>
      <w:pPr>
        <w:spacing w:after="0" w:line="240" w:lineRule="auto"/>
        <w:jc w:val="left"/>
        <w:sectPr>
          <w:pgSz w:w="11910" w:h="16840"/>
          <w:pgMar w:header="0" w:footer="1195" w:top="1100" w:bottom="1380" w:left="1660" w:right="10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before="26"/>
        <w:ind w:left="618" w:right="102"/>
        <w:jc w:val="left"/>
      </w:pPr>
      <w:r>
        <w:rPr>
          <w:rFonts w:ascii="宋体" w:hAnsi="宋体" w:cs="宋体" w:eastAsia="宋体" w:hint="default"/>
        </w:rPr>
        <w:t>1. </w:t>
      </w:r>
      <w:r>
        <w:rPr/>
        <w:t>关键审计事项</w:t>
      </w:r>
    </w:p>
    <w:p>
      <w:pPr>
        <w:pStyle w:val="BodyText"/>
        <w:spacing w:line="367" w:lineRule="auto" w:before="166"/>
        <w:ind w:right="98" w:firstLine="479"/>
        <w:jc w:val="left"/>
      </w:pPr>
      <w:r>
        <w:rPr>
          <w:rFonts w:ascii="宋体" w:hAnsi="宋体" w:cs="宋体" w:eastAsia="宋体" w:hint="default"/>
        </w:rPr>
        <w:t>2017 </w:t>
      </w:r>
      <w:r>
        <w:rPr/>
        <w:t>年度新湖中宝公司房地产销售收入</w:t>
      </w:r>
      <w:r>
        <w:rPr>
          <w:spacing w:val="-59"/>
        </w:rPr>
        <w:t> </w:t>
      </w:r>
      <w:r>
        <w:rPr>
          <w:rFonts w:ascii="宋体" w:hAnsi="宋体" w:cs="宋体" w:eastAsia="宋体" w:hint="default"/>
        </w:rPr>
        <w:t>127.55</w:t>
      </w:r>
      <w:r>
        <w:rPr>
          <w:rFonts w:ascii="宋体" w:hAnsi="宋体" w:cs="宋体" w:eastAsia="宋体" w:hint="default"/>
          <w:spacing w:val="-60"/>
        </w:rPr>
        <w:t> </w:t>
      </w:r>
      <w:r>
        <w:rPr>
          <w:spacing w:val="-10"/>
        </w:rPr>
        <w:t>亿元，占营业收入总额的</w:t>
      </w:r>
      <w:r>
        <w:rPr>
          <w:spacing w:val="-60"/>
        </w:rPr>
        <w:t> </w:t>
      </w:r>
      <w:r>
        <w:rPr>
          <w:rFonts w:ascii="宋体" w:hAnsi="宋体" w:cs="宋体" w:eastAsia="宋体" w:hint="default"/>
        </w:rPr>
        <w:t>72.89%</w:t>
      </w:r>
      <w:r>
        <w:rPr/>
        <w:t>。 房地产销售收入确认政策详见财务报表附注三</w:t>
      </w:r>
      <w:r>
        <w:rPr>
          <w:rFonts w:ascii="宋体" w:hAnsi="宋体" w:cs="宋体" w:eastAsia="宋体" w:hint="default"/>
        </w:rPr>
        <w:t>(</w:t>
      </w:r>
      <w:r>
        <w:rPr/>
        <w:t>二十六</w:t>
      </w:r>
      <w:r>
        <w:rPr>
          <w:rFonts w:ascii="宋体" w:hAnsi="宋体" w:cs="宋体" w:eastAsia="宋体" w:hint="default"/>
        </w:rPr>
        <w:t>)</w:t>
      </w:r>
      <w:r>
        <w:rPr/>
        <w:t>，由于房地产的销售收入系公 司关键业绩指标之一，且对当期财务报表影响重大，故我们将房地产销售收入确认确 定为关键审计事项。</w:t>
      </w:r>
    </w:p>
    <w:p>
      <w:pPr>
        <w:pStyle w:val="BodyText"/>
        <w:spacing w:line="240" w:lineRule="auto" w:before="38"/>
        <w:ind w:left="618" w:right="102"/>
        <w:jc w:val="left"/>
      </w:pPr>
      <w:r>
        <w:rPr>
          <w:rFonts w:ascii="宋体" w:hAnsi="宋体" w:cs="宋体" w:eastAsia="宋体" w:hint="default"/>
        </w:rPr>
        <w:t>2. </w:t>
      </w:r>
      <w:r>
        <w:rPr/>
        <w:t>审计中的应对</w:t>
      </w:r>
    </w:p>
    <w:p>
      <w:pPr>
        <w:pStyle w:val="BodyText"/>
        <w:spacing w:line="367" w:lineRule="auto" w:before="166"/>
        <w:ind w:right="334" w:firstLine="479"/>
        <w:jc w:val="left"/>
      </w:pPr>
      <w:r>
        <w:rPr>
          <w:rFonts w:ascii="宋体" w:hAnsi="宋体" w:cs="宋体" w:eastAsia="宋体" w:hint="default"/>
        </w:rPr>
        <w:t>(1)</w:t>
      </w:r>
      <w:r>
        <w:rPr>
          <w:rFonts w:ascii="宋体" w:hAnsi="宋体" w:cs="宋体" w:eastAsia="宋体" w:hint="default"/>
          <w:spacing w:val="-45"/>
        </w:rPr>
        <w:t> </w:t>
      </w:r>
      <w:r>
        <w:rPr/>
        <w:t>了解与房地产项目收入确认相关的内部控制的设计和运行情况，测试相关内 部控制执行的有效性；</w:t>
      </w:r>
    </w:p>
    <w:p>
      <w:pPr>
        <w:pStyle w:val="BodyText"/>
        <w:spacing w:line="367" w:lineRule="auto" w:before="38"/>
        <w:ind w:right="334" w:firstLine="479"/>
        <w:jc w:val="left"/>
      </w:pPr>
      <w:r>
        <w:rPr>
          <w:rFonts w:ascii="宋体" w:hAnsi="宋体" w:cs="宋体" w:eastAsia="宋体" w:hint="default"/>
        </w:rPr>
        <w:t>(2)</w:t>
      </w:r>
      <w:r>
        <w:rPr>
          <w:rFonts w:ascii="宋体" w:hAnsi="宋体" w:cs="宋体" w:eastAsia="宋体" w:hint="default"/>
          <w:spacing w:val="-45"/>
        </w:rPr>
        <w:t> </w:t>
      </w:r>
      <w:r>
        <w:rPr/>
        <w:t>从账面主营业务收入记录中选取样本，检查收入确认的支持性文件，包括购 房合同、发票、银行回单、交房通知书和入住会签单等资料；</w:t>
      </w:r>
    </w:p>
    <w:p>
      <w:pPr>
        <w:pStyle w:val="BodyText"/>
        <w:spacing w:line="240" w:lineRule="auto" w:before="38"/>
        <w:ind w:left="618" w:right="102"/>
        <w:jc w:val="left"/>
      </w:pPr>
      <w:r>
        <w:rPr>
          <w:rFonts w:ascii="宋体" w:hAnsi="宋体" w:cs="宋体" w:eastAsia="宋体" w:hint="default"/>
        </w:rPr>
        <w:t>(3) </w:t>
      </w:r>
      <w:r>
        <w:rPr/>
        <w:t>对已达到交付条件尚未交付的房地产进行抽查盘点；</w:t>
      </w:r>
    </w:p>
    <w:p>
      <w:pPr>
        <w:pStyle w:val="BodyText"/>
        <w:spacing w:line="367" w:lineRule="auto" w:before="166"/>
        <w:ind w:right="334" w:firstLine="479"/>
        <w:jc w:val="left"/>
      </w:pPr>
      <w:r>
        <w:rPr>
          <w:rFonts w:ascii="宋体" w:hAnsi="宋体" w:cs="宋体" w:eastAsia="宋体" w:hint="default"/>
        </w:rPr>
        <w:t>(4)</w:t>
      </w:r>
      <w:r>
        <w:rPr>
          <w:rFonts w:ascii="宋体" w:hAnsi="宋体" w:cs="宋体" w:eastAsia="宋体" w:hint="default"/>
          <w:spacing w:val="-45"/>
        </w:rPr>
        <w:t> </w:t>
      </w:r>
      <w:r>
        <w:rPr/>
        <w:t>针对资产负债表日前后确认房地产销售收入的项目，从账面主营业务收入记 录中选取样本，检查相关房地产销售收入是否在恰当的期间确认；</w:t>
      </w:r>
    </w:p>
    <w:p>
      <w:pPr>
        <w:pStyle w:val="BodyText"/>
        <w:spacing w:line="367" w:lineRule="auto" w:before="39"/>
        <w:ind w:right="218" w:firstLine="479"/>
        <w:jc w:val="left"/>
      </w:pPr>
      <w:r>
        <w:rPr>
          <w:rFonts w:ascii="宋体" w:hAnsi="宋体" w:cs="宋体" w:eastAsia="宋体" w:hint="default"/>
        </w:rPr>
        <w:t>(5)</w:t>
      </w:r>
      <w:r>
        <w:rPr>
          <w:rFonts w:ascii="宋体" w:hAnsi="宋体" w:cs="宋体" w:eastAsia="宋体" w:hint="default"/>
          <w:spacing w:val="1"/>
        </w:rPr>
        <w:t> </w:t>
      </w:r>
      <w:r>
        <w:rPr>
          <w:spacing w:val="-5"/>
        </w:rPr>
        <w:t>获取各房地产项目本年开盘预售进度，检查房屋预售证取得情况、销售合同、</w:t>
      </w:r>
      <w:r>
        <w:rPr/>
        <w:t> 收款凭证等；并了解同时期项目所在地区周边类似楼盘的销售价格，并与公司的销售 价格进行比较。</w:t>
      </w:r>
    </w:p>
    <w:p>
      <w:pPr>
        <w:pStyle w:val="BodyText"/>
        <w:spacing w:line="367" w:lineRule="auto" w:before="38"/>
        <w:ind w:left="618" w:right="6168"/>
        <w:jc w:val="left"/>
      </w:pPr>
      <w:r>
        <w:rPr>
          <w:rFonts w:ascii="宋体" w:hAnsi="宋体" w:cs="宋体" w:eastAsia="宋体" w:hint="default"/>
        </w:rPr>
        <w:t>(</w:t>
      </w:r>
      <w:r>
        <w:rPr/>
        <w:t>二</w:t>
      </w:r>
      <w:r>
        <w:rPr>
          <w:rFonts w:ascii="宋体" w:hAnsi="宋体" w:cs="宋体" w:eastAsia="宋体" w:hint="default"/>
        </w:rPr>
        <w:t>) </w:t>
      </w:r>
      <w:r>
        <w:rPr/>
        <w:t>存货的计价与分摊 </w:t>
      </w:r>
      <w:r>
        <w:rPr>
          <w:rFonts w:ascii="宋体" w:hAnsi="宋体" w:cs="宋体" w:eastAsia="宋体" w:hint="default"/>
        </w:rPr>
        <w:t>1. </w:t>
      </w:r>
      <w:r>
        <w:rPr/>
        <w:t>关键审计事项</w:t>
      </w:r>
    </w:p>
    <w:p>
      <w:pPr>
        <w:pStyle w:val="BodyText"/>
        <w:spacing w:line="367" w:lineRule="auto" w:before="38"/>
        <w:ind w:right="350" w:firstLine="479"/>
        <w:jc w:val="both"/>
      </w:pPr>
      <w:r>
        <w:rPr/>
        <w:t>截至</w:t>
      </w:r>
      <w:r>
        <w:rPr>
          <w:spacing w:val="2"/>
        </w:rPr>
        <w:t> </w:t>
      </w:r>
      <w:r>
        <w:rPr>
          <w:rFonts w:ascii="宋体" w:hAnsi="宋体" w:cs="宋体" w:eastAsia="宋体" w:hint="default"/>
        </w:rPr>
        <w:t>2017</w:t>
      </w:r>
      <w:r>
        <w:rPr>
          <w:rFonts w:ascii="宋体" w:hAnsi="宋体" w:cs="宋体" w:eastAsia="宋体" w:hint="default"/>
          <w:spacing w:val="2"/>
        </w:rPr>
        <w:t> </w:t>
      </w:r>
      <w:r>
        <w:rPr/>
        <w:t>年</w:t>
      </w:r>
      <w:r>
        <w:rPr>
          <w:spacing w:val="-67"/>
        </w:rPr>
        <w:t> </w:t>
      </w:r>
      <w:r>
        <w:rPr>
          <w:rFonts w:ascii="宋体" w:hAnsi="宋体" w:cs="宋体" w:eastAsia="宋体" w:hint="default"/>
        </w:rPr>
        <w:t>12</w:t>
      </w:r>
      <w:r>
        <w:rPr>
          <w:rFonts w:ascii="宋体" w:hAnsi="宋体" w:cs="宋体" w:eastAsia="宋体" w:hint="default"/>
          <w:spacing w:val="-66"/>
        </w:rPr>
        <w:t> </w:t>
      </w:r>
      <w:r>
        <w:rPr/>
        <w:t>月</w:t>
      </w:r>
      <w:r>
        <w:rPr>
          <w:spacing w:val="-67"/>
        </w:rPr>
        <w:t> </w:t>
      </w:r>
      <w:r>
        <w:rPr>
          <w:rFonts w:ascii="宋体" w:hAnsi="宋体" w:cs="宋体" w:eastAsia="宋体" w:hint="default"/>
        </w:rPr>
        <w:t>31</w:t>
      </w:r>
      <w:r>
        <w:rPr>
          <w:rFonts w:ascii="宋体" w:hAnsi="宋体" w:cs="宋体" w:eastAsia="宋体" w:hint="default"/>
          <w:spacing w:val="-69"/>
        </w:rPr>
        <w:t> </w:t>
      </w:r>
      <w:r>
        <w:rPr>
          <w:spacing w:val="-7"/>
        </w:rPr>
        <w:t>日，新湖中宝公司房地产业务的存货余额为</w:t>
      </w:r>
      <w:r>
        <w:rPr>
          <w:spacing w:val="-66"/>
        </w:rPr>
        <w:t> </w:t>
      </w:r>
      <w:r>
        <w:rPr>
          <w:rFonts w:ascii="宋体" w:hAnsi="宋体" w:cs="宋体" w:eastAsia="宋体" w:hint="default"/>
        </w:rPr>
        <w:t>593.70</w:t>
      </w:r>
      <w:r>
        <w:rPr>
          <w:rFonts w:ascii="宋体" w:hAnsi="宋体" w:cs="宋体" w:eastAsia="宋体" w:hint="default"/>
          <w:spacing w:val="-67"/>
        </w:rPr>
        <w:t> </w:t>
      </w:r>
      <w:r>
        <w:rPr/>
        <w:t>亿元， 占期末资产总额的</w:t>
      </w:r>
      <w:r>
        <w:rPr>
          <w:spacing w:val="-39"/>
        </w:rPr>
        <w:t> </w:t>
      </w:r>
      <w:r>
        <w:rPr>
          <w:rFonts w:ascii="宋体" w:hAnsi="宋体" w:cs="宋体" w:eastAsia="宋体" w:hint="default"/>
          <w:spacing w:val="-4"/>
        </w:rPr>
        <w:t>47.66%</w:t>
      </w:r>
      <w:r>
        <w:rPr>
          <w:spacing w:val="-4"/>
        </w:rPr>
        <w:t>。存货的计价与分摊政策详见财务报表附注三</w:t>
      </w:r>
      <w:r>
        <w:rPr>
          <w:rFonts w:ascii="宋体" w:hAnsi="宋体" w:cs="宋体" w:eastAsia="宋体" w:hint="default"/>
          <w:spacing w:val="-4"/>
        </w:rPr>
        <w:t>(</w:t>
      </w:r>
      <w:r>
        <w:rPr>
          <w:spacing w:val="-4"/>
        </w:rPr>
        <w:t>十一</w:t>
      </w:r>
      <w:r>
        <w:rPr>
          <w:rFonts w:ascii="宋体" w:hAnsi="宋体" w:cs="宋体" w:eastAsia="宋体" w:hint="default"/>
          <w:spacing w:val="-4"/>
        </w:rPr>
        <w:t>)</w:t>
      </w:r>
      <w:r>
        <w:rPr>
          <w:spacing w:val="-4"/>
        </w:rPr>
        <w:t>，由于</w:t>
      </w:r>
      <w:r>
        <w:rPr>
          <w:spacing w:val="-117"/>
        </w:rPr>
        <w:t> </w:t>
      </w:r>
      <w:r>
        <w:rPr>
          <w:spacing w:val="-117"/>
        </w:rPr>
      </w:r>
      <w:r>
        <w:rPr>
          <w:spacing w:val="-2"/>
        </w:rPr>
        <w:t>房地产业务的存货核算涉及大量归集、分摊和预估等事项，涉及新湖中宝公司管理层</w:t>
      </w:r>
    </w:p>
    <w:p>
      <w:pPr>
        <w:pStyle w:val="BodyText"/>
        <w:spacing w:line="367" w:lineRule="auto" w:before="38"/>
        <w:ind w:right="102"/>
        <w:jc w:val="left"/>
      </w:pPr>
      <w:r>
        <w:rPr>
          <w:spacing w:val="-2"/>
        </w:rPr>
        <w:t>（以下简称管理层）的重大估计和判断，且房地产业务的存货在期末资产中所占比重</w:t>
      </w:r>
      <w:r>
        <w:rPr>
          <w:spacing w:val="-94"/>
        </w:rPr>
        <w:t> </w:t>
      </w:r>
      <w:r>
        <w:rPr>
          <w:spacing w:val="-94"/>
        </w:rPr>
      </w:r>
      <w:r>
        <w:rPr/>
        <w:t>较高，故我们将存货的计价与分摊确定为关键审计事项。</w:t>
      </w:r>
    </w:p>
    <w:p>
      <w:pPr>
        <w:pStyle w:val="BodyText"/>
        <w:spacing w:line="240" w:lineRule="auto" w:before="38"/>
        <w:ind w:left="618" w:right="102"/>
        <w:jc w:val="left"/>
      </w:pPr>
      <w:r>
        <w:rPr>
          <w:rFonts w:ascii="宋体" w:hAnsi="宋体" w:cs="宋体" w:eastAsia="宋体" w:hint="default"/>
        </w:rPr>
        <w:t>2. </w:t>
      </w:r>
      <w:r>
        <w:rPr/>
        <w:t>审计中的应对</w:t>
      </w:r>
    </w:p>
    <w:p>
      <w:pPr>
        <w:pStyle w:val="BodyText"/>
        <w:spacing w:line="367" w:lineRule="auto" w:before="166"/>
        <w:ind w:right="334" w:firstLine="479"/>
        <w:jc w:val="left"/>
      </w:pPr>
      <w:r>
        <w:rPr>
          <w:rFonts w:ascii="宋体" w:hAnsi="宋体" w:cs="宋体" w:eastAsia="宋体" w:hint="default"/>
        </w:rPr>
        <w:t>(1)</w:t>
      </w:r>
      <w:r>
        <w:rPr>
          <w:rFonts w:ascii="宋体" w:hAnsi="宋体" w:cs="宋体" w:eastAsia="宋体" w:hint="default"/>
          <w:spacing w:val="-45"/>
        </w:rPr>
        <w:t> </w:t>
      </w:r>
      <w:r>
        <w:rPr/>
        <w:t>了解与存货核算相关的内部控制的设计和运行情况，测试相关内部控制执行 的有效性；</w:t>
      </w:r>
    </w:p>
    <w:p>
      <w:pPr>
        <w:spacing w:after="0" w:line="367" w:lineRule="auto"/>
        <w:jc w:val="left"/>
        <w:sectPr>
          <w:pgSz w:w="11910" w:h="16840"/>
          <w:pgMar w:header="0" w:footer="1195" w:top="1100" w:bottom="1380" w:left="1660" w:right="9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367" w:lineRule="auto" w:before="26"/>
        <w:ind w:right="233" w:firstLine="479"/>
        <w:jc w:val="both"/>
      </w:pPr>
      <w:r>
        <w:rPr>
          <w:rFonts w:ascii="宋体" w:hAnsi="宋体" w:cs="宋体" w:eastAsia="宋体" w:hint="default"/>
        </w:rPr>
        <w:t>(2)</w:t>
      </w:r>
      <w:r>
        <w:rPr>
          <w:rFonts w:ascii="宋体" w:hAnsi="宋体" w:cs="宋体" w:eastAsia="宋体" w:hint="default"/>
          <w:spacing w:val="-45"/>
        </w:rPr>
        <w:t> </w:t>
      </w:r>
      <w:r>
        <w:rPr/>
        <w:t>检查土地出让合同、项目建设的相关证件资料、房产开发相关合同台账及重 </w:t>
      </w:r>
      <w:r>
        <w:rPr>
          <w:spacing w:val="-2"/>
        </w:rPr>
        <w:t>要的采购合同或结算单等文件，了解项目的具体情况，复核项目实际发生的开发成本</w:t>
      </w:r>
      <w:r>
        <w:rPr>
          <w:spacing w:val="-94"/>
        </w:rPr>
        <w:t> </w:t>
      </w:r>
      <w:r>
        <w:rPr>
          <w:spacing w:val="-94"/>
        </w:rPr>
      </w:r>
      <w:r>
        <w:rPr/>
        <w:t>的归集与分配；</w:t>
      </w:r>
    </w:p>
    <w:p>
      <w:pPr>
        <w:pStyle w:val="BodyText"/>
        <w:spacing w:line="367" w:lineRule="auto" w:before="38"/>
        <w:ind w:right="215" w:firstLine="479"/>
        <w:jc w:val="left"/>
      </w:pPr>
      <w:r>
        <w:rPr>
          <w:rFonts w:ascii="宋体" w:hAnsi="宋体" w:cs="宋体" w:eastAsia="宋体" w:hint="default"/>
        </w:rPr>
        <w:t>(3)</w:t>
      </w:r>
      <w:r>
        <w:rPr>
          <w:rFonts w:ascii="宋体" w:hAnsi="宋体" w:cs="宋体" w:eastAsia="宋体" w:hint="default"/>
          <w:spacing w:val="-46"/>
        </w:rPr>
        <w:t> </w:t>
      </w:r>
      <w:r>
        <w:rPr/>
        <w:t>检查项目竣工验收资料、房产面积测绘报告等文件，复核项目开发产品总成 本和单位成本的计算表；</w:t>
      </w:r>
    </w:p>
    <w:p>
      <w:pPr>
        <w:pStyle w:val="BodyText"/>
        <w:spacing w:line="367" w:lineRule="auto" w:before="38"/>
        <w:ind w:right="215" w:firstLine="479"/>
        <w:jc w:val="left"/>
      </w:pPr>
      <w:r>
        <w:rPr>
          <w:rFonts w:ascii="宋体" w:hAnsi="宋体" w:cs="宋体" w:eastAsia="宋体" w:hint="default"/>
        </w:rPr>
        <w:t>(4)</w:t>
      </w:r>
      <w:r>
        <w:rPr>
          <w:rFonts w:ascii="宋体" w:hAnsi="宋体" w:cs="宋体" w:eastAsia="宋体" w:hint="default"/>
          <w:spacing w:val="-46"/>
        </w:rPr>
        <w:t> </w:t>
      </w:r>
      <w:r>
        <w:rPr/>
        <w:t>根据销售面积和各项目的开发产品单价成本，复核计算主营业务成本计算的 准确性。</w:t>
      </w:r>
    </w:p>
    <w:p>
      <w:pPr>
        <w:pStyle w:val="BodyText"/>
        <w:spacing w:line="240" w:lineRule="auto" w:before="39"/>
        <w:ind w:left="618" w:right="119"/>
        <w:jc w:val="left"/>
      </w:pPr>
      <w:r>
        <w:rPr>
          <w:rFonts w:ascii="宋体" w:hAnsi="宋体" w:cs="宋体" w:eastAsia="宋体" w:hint="default"/>
        </w:rPr>
        <w:t>(</w:t>
      </w:r>
      <w:r>
        <w:rPr/>
        <w:t>三</w:t>
      </w:r>
      <w:r>
        <w:rPr>
          <w:rFonts w:ascii="宋体" w:hAnsi="宋体" w:cs="宋体" w:eastAsia="宋体" w:hint="default"/>
        </w:rPr>
        <w:t>) </w:t>
      </w:r>
      <w:r>
        <w:rPr/>
        <w:t>股权投资</w:t>
      </w:r>
    </w:p>
    <w:p>
      <w:pPr>
        <w:pStyle w:val="BodyText"/>
        <w:spacing w:line="240" w:lineRule="auto" w:before="166"/>
        <w:ind w:left="618" w:right="119"/>
        <w:jc w:val="left"/>
      </w:pPr>
      <w:r>
        <w:rPr>
          <w:rFonts w:ascii="宋体" w:hAnsi="宋体" w:cs="宋体" w:eastAsia="宋体" w:hint="default"/>
        </w:rPr>
        <w:t>1. </w:t>
      </w:r>
      <w:r>
        <w:rPr/>
        <w:t>关键审计事项</w:t>
      </w:r>
    </w:p>
    <w:p>
      <w:pPr>
        <w:pStyle w:val="BodyText"/>
        <w:spacing w:line="367" w:lineRule="auto" w:before="166"/>
        <w:ind w:right="232" w:firstLine="479"/>
        <w:jc w:val="both"/>
      </w:pPr>
      <w:r>
        <w:rPr/>
        <w:t>截至</w:t>
      </w:r>
      <w:r>
        <w:rPr>
          <w:spacing w:val="-12"/>
        </w:rPr>
        <w:t> </w:t>
      </w:r>
      <w:r>
        <w:rPr>
          <w:rFonts w:ascii="宋体" w:hAnsi="宋体" w:cs="宋体" w:eastAsia="宋体" w:hint="default"/>
        </w:rPr>
        <w:t>2017</w:t>
      </w:r>
      <w:r>
        <w:rPr>
          <w:rFonts w:ascii="宋体" w:hAnsi="宋体" w:cs="宋体" w:eastAsia="宋体" w:hint="default"/>
          <w:spacing w:val="-12"/>
        </w:rPr>
        <w:t> </w:t>
      </w:r>
      <w:r>
        <w:rPr/>
        <w:t>年</w:t>
      </w:r>
      <w:r>
        <w:rPr>
          <w:spacing w:val="-66"/>
        </w:rPr>
        <w:t> </w:t>
      </w:r>
      <w:r>
        <w:rPr>
          <w:rFonts w:ascii="宋体" w:hAnsi="宋体" w:cs="宋体" w:eastAsia="宋体" w:hint="default"/>
        </w:rPr>
        <w:t>12</w:t>
      </w:r>
      <w:r>
        <w:rPr>
          <w:rFonts w:ascii="宋体" w:hAnsi="宋体" w:cs="宋体" w:eastAsia="宋体" w:hint="default"/>
          <w:spacing w:val="-66"/>
        </w:rPr>
        <w:t> </w:t>
      </w:r>
      <w:r>
        <w:rPr/>
        <w:t>月</w:t>
      </w:r>
      <w:r>
        <w:rPr>
          <w:spacing w:val="-66"/>
        </w:rPr>
        <w:t> </w:t>
      </w:r>
      <w:r>
        <w:rPr>
          <w:rFonts w:ascii="宋体" w:hAnsi="宋体" w:cs="宋体" w:eastAsia="宋体" w:hint="default"/>
        </w:rPr>
        <w:t>31</w:t>
      </w:r>
      <w:r>
        <w:rPr>
          <w:rFonts w:ascii="宋体" w:hAnsi="宋体" w:cs="宋体" w:eastAsia="宋体" w:hint="default"/>
          <w:spacing w:val="-66"/>
        </w:rPr>
        <w:t> </w:t>
      </w:r>
      <w:r>
        <w:rPr/>
        <w:t>日，新湖中宝公司可供出售金融资产和长期股权投资账面 价值合计为</w:t>
      </w:r>
      <w:r>
        <w:rPr>
          <w:spacing w:val="-61"/>
        </w:rPr>
        <w:t> </w:t>
      </w:r>
      <w:r>
        <w:rPr>
          <w:rFonts w:ascii="宋体" w:hAnsi="宋体" w:cs="宋体" w:eastAsia="宋体" w:hint="default"/>
        </w:rPr>
        <w:t>382.40</w:t>
      </w:r>
      <w:r>
        <w:rPr>
          <w:rFonts w:ascii="宋体" w:hAnsi="宋体" w:cs="宋体" w:eastAsia="宋体" w:hint="default"/>
          <w:spacing w:val="-61"/>
        </w:rPr>
        <w:t> </w:t>
      </w:r>
      <w:r>
        <w:rPr/>
        <w:t>亿元，占期末资产总额的</w:t>
      </w:r>
      <w:r>
        <w:rPr>
          <w:spacing w:val="-61"/>
        </w:rPr>
        <w:t> </w:t>
      </w:r>
      <w:r>
        <w:rPr>
          <w:rFonts w:ascii="宋体" w:hAnsi="宋体" w:cs="宋体" w:eastAsia="宋体" w:hint="default"/>
        </w:rPr>
        <w:t>30.70%</w:t>
      </w:r>
      <w:r>
        <w:rPr/>
        <w:t>。由于股权投资的分类和核算涉 </w:t>
      </w:r>
      <w:r>
        <w:rPr>
          <w:spacing w:val="-2"/>
        </w:rPr>
        <w:t>及管理层的重大判断，对公司财务报表影响重大，故我们将股权投资确定为关键审计</w:t>
      </w:r>
      <w:r>
        <w:rPr>
          <w:spacing w:val="-95"/>
        </w:rPr>
        <w:t> </w:t>
      </w:r>
      <w:r>
        <w:rPr>
          <w:spacing w:val="-95"/>
        </w:rPr>
      </w:r>
      <w:r>
        <w:rPr/>
        <w:t>事项。</w:t>
      </w:r>
    </w:p>
    <w:p>
      <w:pPr>
        <w:pStyle w:val="BodyText"/>
        <w:spacing w:line="240" w:lineRule="auto" w:before="39"/>
        <w:ind w:left="618" w:right="119"/>
        <w:jc w:val="left"/>
      </w:pPr>
      <w:r>
        <w:rPr>
          <w:rFonts w:ascii="宋体" w:hAnsi="宋体" w:cs="宋体" w:eastAsia="宋体" w:hint="default"/>
        </w:rPr>
        <w:t>2. </w:t>
      </w:r>
      <w:r>
        <w:rPr/>
        <w:t>审计中的应对</w:t>
      </w:r>
    </w:p>
    <w:p>
      <w:pPr>
        <w:pStyle w:val="BodyText"/>
        <w:spacing w:line="367" w:lineRule="auto" w:before="166"/>
        <w:ind w:right="214" w:firstLine="479"/>
        <w:jc w:val="left"/>
      </w:pPr>
      <w:r>
        <w:rPr>
          <w:rFonts w:ascii="宋体" w:hAnsi="宋体" w:cs="宋体" w:eastAsia="宋体" w:hint="default"/>
        </w:rPr>
        <w:t>(1)</w:t>
      </w:r>
      <w:r>
        <w:rPr>
          <w:rFonts w:ascii="宋体" w:hAnsi="宋体" w:cs="宋体" w:eastAsia="宋体" w:hint="default"/>
          <w:spacing w:val="-45"/>
        </w:rPr>
        <w:t> </w:t>
      </w:r>
      <w:r>
        <w:rPr/>
        <w:t>了解与股权投资相关的内部控制的设计和运行情况，测试相关内部控制执行 的有效性；</w:t>
      </w:r>
    </w:p>
    <w:p>
      <w:pPr>
        <w:pStyle w:val="BodyText"/>
        <w:spacing w:line="367" w:lineRule="auto" w:before="38"/>
        <w:ind w:right="214" w:firstLine="479"/>
        <w:jc w:val="left"/>
      </w:pPr>
      <w:r>
        <w:rPr>
          <w:rFonts w:ascii="宋体" w:hAnsi="宋体" w:cs="宋体" w:eastAsia="宋体" w:hint="default"/>
        </w:rPr>
        <w:t>(2)</w:t>
      </w:r>
      <w:r>
        <w:rPr>
          <w:rFonts w:ascii="宋体" w:hAnsi="宋体" w:cs="宋体" w:eastAsia="宋体" w:hint="default"/>
          <w:spacing w:val="-45"/>
        </w:rPr>
        <w:t> </w:t>
      </w:r>
      <w:r>
        <w:rPr/>
        <w:t>检查投资合同、被投资方公司章程、合伙协议、组织架构及关键管理人员的 委派情况等文件，了解投资目的，核对账面记录，检查股权投资分类和核算方法；</w:t>
      </w:r>
    </w:p>
    <w:p>
      <w:pPr>
        <w:pStyle w:val="BodyText"/>
        <w:spacing w:line="367" w:lineRule="auto" w:before="38"/>
        <w:ind w:right="119" w:firstLine="479"/>
        <w:jc w:val="left"/>
      </w:pPr>
      <w:r>
        <w:rPr>
          <w:rFonts w:ascii="宋体" w:hAnsi="宋体" w:cs="宋体" w:eastAsia="宋体" w:hint="default"/>
        </w:rPr>
        <w:t>(3)</w:t>
      </w:r>
      <w:r>
        <w:rPr>
          <w:rFonts w:ascii="宋体" w:hAnsi="宋体" w:cs="宋体" w:eastAsia="宋体" w:hint="default"/>
          <w:spacing w:val="-24"/>
        </w:rPr>
        <w:t> </w:t>
      </w:r>
      <w:r>
        <w:rPr/>
        <w:t>取得被投资单位资产负债表日的财务报表或审计报告，涉及权益法核算调整 的，根据取得被投资单位的财务报表及其他信息，复核账面的权益法核算调整金额；</w:t>
      </w:r>
    </w:p>
    <w:p>
      <w:pPr>
        <w:pStyle w:val="BodyText"/>
        <w:spacing w:line="240" w:lineRule="auto" w:before="39"/>
        <w:ind w:left="618" w:right="119"/>
        <w:jc w:val="left"/>
      </w:pPr>
      <w:r>
        <w:rPr>
          <w:rFonts w:ascii="宋体" w:hAnsi="宋体" w:cs="宋体" w:eastAsia="宋体" w:hint="default"/>
        </w:rPr>
        <w:t>(4)</w:t>
      </w:r>
      <w:r>
        <w:rPr>
          <w:rFonts w:ascii="宋体" w:hAnsi="宋体" w:cs="宋体" w:eastAsia="宋体" w:hint="default"/>
          <w:spacing w:val="1"/>
        </w:rPr>
        <w:t> </w:t>
      </w:r>
      <w:r>
        <w:rPr/>
        <w:t>复核股权投资减值准备的计算过程。</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Heading2"/>
        <w:spacing w:line="240" w:lineRule="auto" w:before="0"/>
        <w:ind w:left="620" w:right="119"/>
        <w:jc w:val="left"/>
        <w:rPr>
          <w:rFonts w:ascii="黑体" w:hAnsi="黑体" w:cs="黑体" w:eastAsia="黑体" w:hint="default"/>
          <w:b w:val="0"/>
          <w:bCs w:val="0"/>
        </w:rPr>
      </w:pPr>
      <w:r>
        <w:rPr>
          <w:rFonts w:ascii="黑体" w:hAnsi="黑体" w:cs="黑体" w:eastAsia="黑体" w:hint="default"/>
        </w:rPr>
        <w:t>四、其他信息</w:t>
      </w:r>
      <w:r>
        <w:rPr>
          <w:rFonts w:ascii="黑体" w:hAnsi="黑体" w:cs="黑体" w:eastAsia="黑体" w:hint="default"/>
          <w:b w:val="0"/>
          <w:bCs w:val="0"/>
        </w:rPr>
      </w:r>
    </w:p>
    <w:p>
      <w:pPr>
        <w:pStyle w:val="BodyText"/>
        <w:spacing w:line="367" w:lineRule="auto" w:before="166"/>
        <w:ind w:right="119" w:firstLine="479"/>
        <w:jc w:val="left"/>
      </w:pPr>
      <w:r>
        <w:rPr>
          <w:spacing w:val="-2"/>
        </w:rPr>
        <w:t>管理层对其他信息负责。其他信息包括年度报告中涵盖的信息，但不包括财务报</w:t>
      </w:r>
      <w:r>
        <w:rPr/>
        <w:t> 表和我们的审计报告。</w:t>
      </w:r>
    </w:p>
    <w:p>
      <w:pPr>
        <w:pStyle w:val="BodyText"/>
        <w:spacing w:line="367" w:lineRule="auto" w:before="38"/>
        <w:ind w:right="119" w:firstLine="479"/>
        <w:jc w:val="left"/>
      </w:pPr>
      <w:r>
        <w:rPr>
          <w:spacing w:val="-2"/>
        </w:rPr>
        <w:t>我们对财务报表发表的审计意见不涵盖其他信息，我们也不对其他信息发表任何</w:t>
      </w:r>
      <w:r>
        <w:rPr/>
        <w:t> 形式的鉴证结论。</w:t>
      </w:r>
    </w:p>
    <w:p>
      <w:pPr>
        <w:spacing w:after="0" w:line="367" w:lineRule="auto"/>
        <w:jc w:val="left"/>
        <w:sectPr>
          <w:pgSz w:w="11910" w:h="16840"/>
          <w:pgMar w:header="0" w:footer="1195" w:top="1100" w:bottom="1380" w:left="166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367" w:lineRule="auto" w:before="26"/>
        <w:ind w:right="119" w:firstLine="479"/>
        <w:jc w:val="left"/>
      </w:pPr>
      <w:r>
        <w:rPr>
          <w:spacing w:val="-2"/>
        </w:rPr>
        <w:t>结合我们对财务报表的审计，我们的责任是阅读其他信息，在此过程中，考虑其</w:t>
      </w:r>
      <w:r>
        <w:rPr/>
        <w:t> 他信息是否与财务报表或我们在审计过程中了解到的情况存在重大不一致或者似乎 存在重大错报。</w:t>
      </w:r>
    </w:p>
    <w:p>
      <w:pPr>
        <w:pStyle w:val="BodyText"/>
        <w:spacing w:line="367" w:lineRule="auto" w:before="38"/>
        <w:ind w:right="119" w:firstLine="479"/>
        <w:jc w:val="left"/>
      </w:pPr>
      <w:r>
        <w:rPr>
          <w:spacing w:val="-2"/>
        </w:rPr>
        <w:t>基于我们已执行的工作，如果我们确定其他信息存在重大错报，我们应当报告该</w:t>
      </w:r>
      <w:r>
        <w:rPr/>
        <w:t> 事实。在这方面，我们无任何事项需要报告。</w:t>
      </w:r>
    </w:p>
    <w:p>
      <w:pPr>
        <w:spacing w:line="240" w:lineRule="auto" w:before="0"/>
        <w:rPr>
          <w:rFonts w:ascii="宋体" w:hAnsi="宋体" w:cs="宋体" w:eastAsia="宋体" w:hint="default"/>
          <w:sz w:val="24"/>
          <w:szCs w:val="24"/>
        </w:rPr>
      </w:pPr>
    </w:p>
    <w:p>
      <w:pPr>
        <w:pStyle w:val="Heading2"/>
        <w:spacing w:line="240" w:lineRule="auto" w:before="204"/>
        <w:ind w:left="620" w:right="119"/>
        <w:jc w:val="left"/>
        <w:rPr>
          <w:rFonts w:ascii="黑体" w:hAnsi="黑体" w:cs="黑体" w:eastAsia="黑体" w:hint="default"/>
          <w:b w:val="0"/>
          <w:bCs w:val="0"/>
        </w:rPr>
      </w:pPr>
      <w:r>
        <w:rPr>
          <w:rFonts w:ascii="黑体" w:hAnsi="黑体" w:cs="黑体" w:eastAsia="黑体" w:hint="default"/>
        </w:rPr>
        <w:t>五、管理层和治理层对财务报表的责任</w:t>
      </w:r>
      <w:r>
        <w:rPr>
          <w:rFonts w:ascii="黑体" w:hAnsi="黑体" w:cs="黑体" w:eastAsia="黑体" w:hint="default"/>
          <w:b w:val="0"/>
          <w:bCs w:val="0"/>
        </w:rPr>
      </w:r>
    </w:p>
    <w:p>
      <w:pPr>
        <w:pStyle w:val="BodyText"/>
        <w:spacing w:line="367" w:lineRule="auto" w:before="166"/>
        <w:ind w:right="109" w:firstLine="479"/>
        <w:jc w:val="left"/>
      </w:pPr>
      <w:r>
        <w:rPr>
          <w:spacing w:val="-5"/>
        </w:rPr>
        <w:t>管理层负责按照企业会计准则的规定编制财务报表，使其实现公允反映，并设计、</w:t>
      </w:r>
      <w:r>
        <w:rPr/>
        <w:t> 执行和维护必要的内部控制，以使财务报表不存在由于舞弊或错误导致的重大错报。</w:t>
      </w:r>
    </w:p>
    <w:p>
      <w:pPr>
        <w:pStyle w:val="BodyText"/>
        <w:spacing w:line="367" w:lineRule="auto" w:before="38"/>
        <w:ind w:right="233" w:firstLine="479"/>
        <w:jc w:val="both"/>
      </w:pPr>
      <w:r>
        <w:rPr>
          <w:spacing w:val="-2"/>
        </w:rPr>
        <w:t>在编制财务报表时，管理层负责评估新湖中宝公司的持续经营能力，披露与持续</w:t>
      </w:r>
      <w:r>
        <w:rPr/>
        <w:t> </w:t>
      </w:r>
      <w:r>
        <w:rPr>
          <w:spacing w:val="-2"/>
        </w:rPr>
        <w:t>经营相关的事项（如适用），并运用持续经营假设，除非计划进行清算、终止运营或</w:t>
      </w:r>
      <w:r>
        <w:rPr>
          <w:spacing w:val="-95"/>
        </w:rPr>
        <w:t> </w:t>
      </w:r>
      <w:r>
        <w:rPr>
          <w:spacing w:val="-95"/>
        </w:rPr>
      </w:r>
      <w:r>
        <w:rPr/>
        <w:t>别无其他现实的选择。</w:t>
      </w:r>
    </w:p>
    <w:p>
      <w:pPr>
        <w:pStyle w:val="BodyText"/>
        <w:spacing w:line="240" w:lineRule="auto" w:before="38"/>
        <w:ind w:left="618" w:right="0"/>
        <w:jc w:val="left"/>
      </w:pPr>
      <w:r>
        <w:rPr>
          <w:spacing w:val="-5"/>
        </w:rPr>
        <w:t>新湖中宝公司治理层（以下简称治理层）负责监督新湖中宝公司的财务报告过程。</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Heading2"/>
        <w:spacing w:line="240" w:lineRule="auto" w:before="0"/>
        <w:ind w:left="620" w:right="119"/>
        <w:jc w:val="left"/>
        <w:rPr>
          <w:rFonts w:ascii="黑体" w:hAnsi="黑体" w:cs="黑体" w:eastAsia="黑体" w:hint="default"/>
          <w:b w:val="0"/>
          <w:bCs w:val="0"/>
        </w:rPr>
      </w:pPr>
      <w:r>
        <w:rPr>
          <w:rFonts w:ascii="黑体" w:hAnsi="黑体" w:cs="黑体" w:eastAsia="黑体" w:hint="default"/>
        </w:rPr>
        <w:t>六、注册会计师对财务报表审计的责任</w:t>
      </w:r>
      <w:r>
        <w:rPr>
          <w:rFonts w:ascii="黑体" w:hAnsi="黑体" w:cs="黑体" w:eastAsia="黑体" w:hint="default"/>
          <w:b w:val="0"/>
          <w:bCs w:val="0"/>
        </w:rPr>
      </w:r>
    </w:p>
    <w:p>
      <w:pPr>
        <w:pStyle w:val="BodyText"/>
        <w:spacing w:line="367" w:lineRule="auto" w:before="166"/>
        <w:ind w:right="119" w:firstLine="479"/>
        <w:jc w:val="left"/>
      </w:pPr>
      <w:r>
        <w:rPr/>
        <w:t>我们的目标是对财务报表整体是否不存在由于舞弊或错误导致的重大错报获取 </w:t>
      </w:r>
      <w:r>
        <w:rPr>
          <w:spacing w:val="-2"/>
        </w:rPr>
        <w:t>合理保证，并出具包含审计意见的审计报告。合理保证是高水平的保证，但并不能保</w:t>
      </w:r>
      <w:r>
        <w:rPr>
          <w:spacing w:val="-96"/>
        </w:rPr>
        <w:t> </w:t>
      </w:r>
      <w:r>
        <w:rPr>
          <w:spacing w:val="-96"/>
        </w:rPr>
      </w:r>
      <w:r>
        <w:rPr>
          <w:spacing w:val="-2"/>
        </w:rPr>
        <w:t>证按照审计准则执行的审计在某一重大错报存在时总能发现。错报可能由于舞弊或错</w:t>
      </w:r>
      <w:r>
        <w:rPr>
          <w:spacing w:val="-94"/>
        </w:rPr>
        <w:t> </w:t>
      </w:r>
      <w:r>
        <w:rPr>
          <w:spacing w:val="-94"/>
        </w:rPr>
      </w:r>
      <w:r>
        <w:rPr>
          <w:spacing w:val="-2"/>
        </w:rPr>
        <w:t>误导致，如果合理预期错报单独或汇总起来可能影响财务报表使用者依据财务报表作</w:t>
      </w:r>
      <w:r>
        <w:rPr>
          <w:spacing w:val="-94"/>
        </w:rPr>
        <w:t> </w:t>
      </w:r>
      <w:r>
        <w:rPr>
          <w:spacing w:val="-94"/>
        </w:rPr>
      </w:r>
      <w:r>
        <w:rPr/>
        <w:t>出的经济决策，则通常认为错报是重大的。</w:t>
      </w:r>
    </w:p>
    <w:p>
      <w:pPr>
        <w:pStyle w:val="BodyText"/>
        <w:spacing w:line="367" w:lineRule="auto" w:before="39"/>
        <w:ind w:right="119" w:firstLine="479"/>
        <w:jc w:val="left"/>
      </w:pPr>
      <w:r>
        <w:rPr/>
        <w:t>在按照审计准则执行审计工作的过程中，我们运用职业判断，并保持职业怀疑。 同时，我们也执行以下工作：</w:t>
      </w:r>
    </w:p>
    <w:p>
      <w:pPr>
        <w:pStyle w:val="BodyText"/>
        <w:spacing w:line="367" w:lineRule="auto" w:before="38"/>
        <w:ind w:right="119" w:firstLine="479"/>
        <w:jc w:val="left"/>
      </w:pPr>
      <w:r>
        <w:rPr>
          <w:rFonts w:ascii="宋体" w:hAnsi="宋体" w:cs="宋体" w:eastAsia="宋体" w:hint="default"/>
        </w:rPr>
        <w:t>(</w:t>
      </w:r>
      <w:r>
        <w:rPr/>
        <w:t>一</w:t>
      </w:r>
      <w:r>
        <w:rPr>
          <w:rFonts w:ascii="宋体" w:hAnsi="宋体" w:cs="宋体" w:eastAsia="宋体" w:hint="default"/>
        </w:rPr>
        <w:t>) </w:t>
      </w:r>
      <w:r>
        <w:rPr/>
        <w:t>识别和评估由于舞弊或错误导致的财务报表重大错报风险，设计和实施审 计程序以应对这些风险，并获取充分、适当的审计证据，作为发表审计意见的基础。</w:t>
      </w:r>
      <w:r>
        <w:rPr>
          <w:spacing w:val="-64"/>
        </w:rPr>
        <w:t> </w:t>
      </w:r>
      <w:r>
        <w:rPr>
          <w:spacing w:val="-64"/>
        </w:rPr>
      </w:r>
      <w:r>
        <w:rPr/>
        <w:t>由于舞弊可能涉及串通、伪造、故意遗漏、虚假陈述或凌驾于内部控制之上，未能发</w:t>
      </w:r>
      <w:r>
        <w:rPr/>
        <w:t> 现由于舞弊导致的重大错报的风险高于未能发现由于错误导致的重大错报的风险。</w:t>
      </w:r>
    </w:p>
    <w:p>
      <w:pPr>
        <w:pStyle w:val="BodyText"/>
        <w:spacing w:line="240" w:lineRule="auto" w:before="38"/>
        <w:ind w:left="618" w:right="119"/>
        <w:jc w:val="left"/>
      </w:pPr>
      <w:r>
        <w:rPr>
          <w:rFonts w:ascii="宋体" w:hAnsi="宋体" w:cs="宋体" w:eastAsia="宋体" w:hint="default"/>
        </w:rPr>
        <w:t>(</w:t>
      </w:r>
      <w:r>
        <w:rPr/>
        <w:t>二</w:t>
      </w:r>
      <w:r>
        <w:rPr>
          <w:rFonts w:ascii="宋体" w:hAnsi="宋体" w:cs="宋体" w:eastAsia="宋体" w:hint="default"/>
        </w:rPr>
        <w:t>) </w:t>
      </w:r>
      <w:r>
        <w:rPr/>
        <w:t>了解与审计相关的内部控制，以设计恰当的审计程序。</w:t>
      </w:r>
    </w:p>
    <w:p>
      <w:pPr>
        <w:pStyle w:val="BodyText"/>
        <w:spacing w:line="240" w:lineRule="auto" w:before="166"/>
        <w:ind w:left="618" w:right="119"/>
        <w:jc w:val="left"/>
      </w:pPr>
      <w:r>
        <w:rPr>
          <w:rFonts w:ascii="宋体" w:hAnsi="宋体" w:cs="宋体" w:eastAsia="宋体" w:hint="default"/>
        </w:rPr>
        <w:t>(</w:t>
      </w:r>
      <w:r>
        <w:rPr/>
        <w:t>三</w:t>
      </w:r>
      <w:r>
        <w:rPr>
          <w:rFonts w:ascii="宋体" w:hAnsi="宋体" w:cs="宋体" w:eastAsia="宋体" w:hint="default"/>
        </w:rPr>
        <w:t>) </w:t>
      </w:r>
      <w:r>
        <w:rPr/>
        <w:t>评价管理层选用会计政策的恰当性和作出会计估计及相关披露的合理性。</w:t>
      </w:r>
    </w:p>
    <w:p>
      <w:pPr>
        <w:spacing w:after="0" w:line="240" w:lineRule="auto"/>
        <w:jc w:val="left"/>
        <w:sectPr>
          <w:pgSz w:w="11910" w:h="16840"/>
          <w:pgMar w:header="0" w:footer="1195" w:top="1100" w:bottom="1380" w:left="166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367" w:lineRule="auto" w:before="26"/>
        <w:ind w:right="233" w:firstLine="479"/>
        <w:jc w:val="both"/>
      </w:pPr>
      <w:r>
        <w:rPr>
          <w:rFonts w:ascii="宋体" w:hAnsi="宋体" w:cs="宋体" w:eastAsia="宋体" w:hint="default"/>
        </w:rPr>
        <w:t>(</w:t>
      </w:r>
      <w:r>
        <w:rPr/>
        <w:t>四</w:t>
      </w:r>
      <w:r>
        <w:rPr>
          <w:rFonts w:ascii="宋体" w:hAnsi="宋体" w:cs="宋体" w:eastAsia="宋体" w:hint="default"/>
        </w:rPr>
        <w:t>) </w:t>
      </w:r>
      <w:r>
        <w:rPr/>
        <w:t>对管理层使用持续经营假设的恰当性得出结论。同时，根据获取的审计证 </w:t>
      </w:r>
      <w:r>
        <w:rPr>
          <w:spacing w:val="-2"/>
        </w:rPr>
        <w:t>据，就可能导致对新湖中宝公司持续经营能力产生重大疑虑的事项或情况是否存在重</w:t>
      </w:r>
      <w:r>
        <w:rPr>
          <w:spacing w:val="-94"/>
        </w:rPr>
        <w:t> </w:t>
      </w:r>
      <w:r>
        <w:rPr>
          <w:spacing w:val="-94"/>
        </w:rPr>
      </w:r>
      <w:r>
        <w:rPr>
          <w:spacing w:val="-2"/>
        </w:rPr>
        <w:t>大不确定性得出结论。如果我们得出结论认为存在重大不确定性，审计准则要求我们</w:t>
      </w:r>
      <w:r>
        <w:rPr>
          <w:spacing w:val="-94"/>
        </w:rPr>
        <w:t> </w:t>
      </w:r>
      <w:r>
        <w:rPr>
          <w:spacing w:val="-94"/>
        </w:rPr>
      </w:r>
      <w:r>
        <w:rPr>
          <w:spacing w:val="-2"/>
        </w:rPr>
        <w:t>在审计报告中提请报表使用者注意财务报表中的相关披露；如果披露不充分，我们应</w:t>
      </w:r>
      <w:r>
        <w:rPr>
          <w:spacing w:val="-94"/>
        </w:rPr>
        <w:t> </w:t>
      </w:r>
      <w:r>
        <w:rPr>
          <w:spacing w:val="-94"/>
        </w:rPr>
      </w:r>
      <w:r>
        <w:rPr>
          <w:spacing w:val="-2"/>
        </w:rPr>
        <w:t>当发表非无保留意见。我们的结论基于截至审计报告日可获得的信息。然而，未来的</w:t>
      </w:r>
      <w:r>
        <w:rPr>
          <w:spacing w:val="-95"/>
        </w:rPr>
        <w:t> </w:t>
      </w:r>
      <w:r>
        <w:rPr>
          <w:spacing w:val="-95"/>
        </w:rPr>
      </w:r>
      <w:r>
        <w:rPr/>
        <w:t>事项或情况可能导致新湖中宝公司不能持续经营。</w:t>
      </w:r>
    </w:p>
    <w:p>
      <w:pPr>
        <w:pStyle w:val="BodyText"/>
        <w:spacing w:line="367" w:lineRule="auto" w:before="38"/>
        <w:ind w:right="289" w:firstLine="479"/>
        <w:jc w:val="left"/>
      </w:pPr>
      <w:r>
        <w:rPr>
          <w:rFonts w:ascii="宋体" w:hAnsi="宋体" w:cs="宋体" w:eastAsia="宋体" w:hint="default"/>
        </w:rPr>
        <w:t>(</w:t>
      </w:r>
      <w:r>
        <w:rPr/>
        <w:t>五</w:t>
      </w:r>
      <w:r>
        <w:rPr>
          <w:rFonts w:ascii="宋体" w:hAnsi="宋体" w:cs="宋体" w:eastAsia="宋体" w:hint="default"/>
        </w:rPr>
        <w:t>) </w:t>
      </w:r>
      <w:r>
        <w:rPr/>
        <w:t>评价财务报表的总体列报、结构和内容（包括披露），并评价财务报表是 否公允反映相关交易和事项。</w:t>
      </w:r>
    </w:p>
    <w:p>
      <w:pPr>
        <w:pStyle w:val="BodyText"/>
        <w:spacing w:line="367" w:lineRule="auto" w:before="38"/>
        <w:ind w:right="94" w:firstLine="479"/>
        <w:jc w:val="left"/>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45"/>
        </w:rPr>
        <w:t> </w:t>
      </w:r>
      <w:r>
        <w:rPr/>
        <w:t>就新湖中宝公司中实体或业务活动的财务信息获取充分、适当的审计证据， 以对财务报表发表审计意见。我们负责指导、监督和执行集团审计，并对审计意见承 担全部责任。</w:t>
      </w:r>
    </w:p>
    <w:p>
      <w:pPr>
        <w:pStyle w:val="BodyText"/>
        <w:spacing w:line="367" w:lineRule="auto" w:before="38"/>
        <w:ind w:right="119" w:firstLine="479"/>
        <w:jc w:val="left"/>
      </w:pPr>
      <w:r>
        <w:rPr>
          <w:spacing w:val="-2"/>
        </w:rPr>
        <w:t>我们与治理层就计划的审计范围、时间安排和重大审计发现等事项进行沟通，包</w:t>
      </w:r>
      <w:r>
        <w:rPr/>
        <w:t> 括沟通我们在审计中识别出的值得关注的内部控制缺陷。</w:t>
      </w:r>
    </w:p>
    <w:p>
      <w:pPr>
        <w:pStyle w:val="BodyText"/>
        <w:spacing w:line="367" w:lineRule="auto" w:before="39"/>
        <w:ind w:right="232" w:firstLine="479"/>
        <w:jc w:val="both"/>
      </w:pPr>
      <w:r>
        <w:rPr>
          <w:spacing w:val="-2"/>
        </w:rPr>
        <w:t>我们还就已遵守与独立性相关的职业道德要求向治理层提供声明，并与治理层沟</w:t>
      </w:r>
      <w:r>
        <w:rPr/>
        <w:t> </w:t>
      </w:r>
      <w:r>
        <w:rPr>
          <w:spacing w:val="-2"/>
        </w:rPr>
        <w:t>通可能被合理认为影响我们独立性的所有关系和其他事项，以及相关的防范措施（如</w:t>
      </w:r>
      <w:r>
        <w:rPr>
          <w:spacing w:val="-93"/>
        </w:rPr>
        <w:t> </w:t>
      </w:r>
      <w:r>
        <w:rPr>
          <w:spacing w:val="-93"/>
        </w:rPr>
      </w:r>
      <w:r>
        <w:rPr/>
        <w:t>适用）。</w:t>
      </w:r>
    </w:p>
    <w:p>
      <w:pPr>
        <w:pStyle w:val="BodyText"/>
        <w:spacing w:line="367" w:lineRule="auto" w:before="38"/>
        <w:ind w:right="119" w:firstLine="479"/>
        <w:jc w:val="left"/>
      </w:pPr>
      <w:r>
        <w:rPr/>
        <w:t>从与治理层沟通过的事项中，我们确定哪些事项对本期财务报表审计最为重要， 因而构成关键审计事项。我们在审计报告中描述这些事项，除非法律法规禁止公开披 露这些事项，或在极少数情形下，如果合理预期在审计报告中沟通某事项造成的负面 后果超过在公众利益方面产生的益处，我们确定不应在审计报告中沟通该事项。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pStyle w:val="BodyText"/>
        <w:tabs>
          <w:tab w:pos="4338" w:val="left" w:leader="none"/>
        </w:tabs>
        <w:spacing w:line="240" w:lineRule="auto"/>
        <w:ind w:right="119"/>
        <w:jc w:val="left"/>
      </w:pPr>
      <w:r>
        <w:rPr/>
        <w:t>天健会计师事务所（特殊普通合伙）</w:t>
        <w:tab/>
        <w:t>中国注册会计师：叶喜撑</w:t>
      </w:r>
    </w:p>
    <w:p>
      <w:pPr>
        <w:pStyle w:val="BodyText"/>
        <w:spacing w:line="240" w:lineRule="auto" w:before="166"/>
        <w:ind w:left="3972" w:right="2822"/>
        <w:jc w:val="center"/>
      </w:pPr>
      <w:r>
        <w:rPr/>
        <w:t>（项目合伙人）</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tabs>
          <w:tab w:pos="4338" w:val="left" w:leader="none"/>
        </w:tabs>
        <w:spacing w:line="240" w:lineRule="auto"/>
        <w:ind w:left="4338" w:right="119" w:hanging="2941"/>
        <w:jc w:val="left"/>
      </w:pPr>
      <w:r>
        <w:rPr/>
        <w:t>中国·杭州</w:t>
        <w:tab/>
        <w:t>中国注册会计师：许松飞</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240" w:lineRule="auto"/>
        <w:ind w:left="4338" w:right="119"/>
        <w:jc w:val="left"/>
      </w:pPr>
      <w:r>
        <w:rPr/>
        <w:t>二〇一八年四月二十六日</w:t>
      </w:r>
    </w:p>
    <w:p>
      <w:pPr>
        <w:spacing w:after="0" w:line="240" w:lineRule="auto"/>
        <w:jc w:val="left"/>
        <w:sectPr>
          <w:pgSz w:w="11910" w:h="16840"/>
          <w:pgMar w:header="0" w:footer="1195" w:top="1100" w:bottom="1380" w:left="1660" w:right="104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00" w:bottom="1380" w:left="1480" w:right="960"/>
        </w:sectPr>
      </w:pPr>
    </w:p>
    <w:p>
      <w:pPr>
        <w:pStyle w:val="Heading2"/>
        <w:tabs>
          <w:tab w:pos="1157" w:val="left" w:leader="none"/>
        </w:tabs>
        <w:spacing w:line="240" w:lineRule="auto"/>
        <w:ind w:left="318" w:right="-19"/>
        <w:jc w:val="left"/>
        <w:rPr>
          <w:b w:val="0"/>
          <w:bCs w:val="0"/>
        </w:rPr>
      </w:pPr>
      <w:r>
        <w:rPr/>
        <w:t>二、</w:t>
        <w:tab/>
        <w:t>财务报表</w:t>
      </w:r>
      <w:r>
        <w:rPr>
          <w:b w:val="0"/>
          <w:bCs w:val="0"/>
        </w:rPr>
      </w:r>
    </w:p>
    <w:p>
      <w:pPr>
        <w:spacing w:line="240" w:lineRule="auto" w:before="10"/>
        <w:rPr>
          <w:rFonts w:ascii="宋体" w:hAnsi="宋体" w:cs="宋体" w:eastAsia="宋体" w:hint="default"/>
          <w:b/>
          <w:bCs/>
          <w:sz w:val="32"/>
          <w:szCs w:val="32"/>
        </w:rPr>
      </w:pPr>
      <w:r>
        <w:rPr/>
        <w:br w:type="column"/>
      </w:r>
      <w:r>
        <w:rPr>
          <w:rFonts w:ascii="宋体"/>
          <w:b/>
          <w:sz w:val="32"/>
        </w:rPr>
      </w:r>
    </w:p>
    <w:p>
      <w:pPr>
        <w:spacing w:line="312" w:lineRule="exact" w:before="0"/>
        <w:ind w:left="318" w:right="3723" w:firstLine="146"/>
        <w:jc w:val="left"/>
        <w:rPr>
          <w:rFonts w:ascii="宋体" w:hAnsi="宋体" w:cs="宋体" w:eastAsia="宋体" w:hint="default"/>
          <w:sz w:val="24"/>
          <w:szCs w:val="24"/>
        </w:rPr>
      </w:pPr>
      <w:r>
        <w:rPr>
          <w:rFonts w:ascii="宋体" w:hAnsi="宋体" w:cs="宋体" w:eastAsia="宋体" w:hint="default"/>
          <w:b/>
          <w:bCs/>
          <w:sz w:val="24"/>
          <w:szCs w:val="24"/>
        </w:rPr>
        <w:t>合并资产负债表</w:t>
      </w:r>
      <w:r>
        <w:rPr>
          <w:rFonts w:ascii="宋体" w:hAnsi="宋体" w:cs="宋体" w:eastAsia="宋体" w:hint="default"/>
          <w:b/>
          <w:bCs/>
          <w:w w:val="99"/>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p>
      <w:pPr>
        <w:spacing w:after="0" w:line="312" w:lineRule="exact"/>
        <w:jc w:val="left"/>
        <w:rPr>
          <w:rFonts w:ascii="宋体" w:hAnsi="宋体" w:cs="宋体" w:eastAsia="宋体" w:hint="default"/>
          <w:sz w:val="24"/>
          <w:szCs w:val="24"/>
        </w:rPr>
        <w:sectPr>
          <w:type w:val="continuous"/>
          <w:pgSz w:w="11910" w:h="16840"/>
          <w:pgMar w:top="1000" w:bottom="280" w:left="1480" w:right="960"/>
          <w:cols w:num="2" w:equalWidth="0">
            <w:col w:w="2123" w:space="1302"/>
            <w:col w:w="6045"/>
          </w:cols>
        </w:sectPr>
      </w:pPr>
    </w:p>
    <w:p>
      <w:pPr>
        <w:pStyle w:val="BodyText"/>
        <w:spacing w:line="280" w:lineRule="exact"/>
        <w:ind w:left="318" w:right="0"/>
        <w:jc w:val="left"/>
      </w:pPr>
      <w:r>
        <w:rPr/>
        <w:t>编制单位</w:t>
      </w:r>
      <w:r>
        <w:rPr>
          <w:rFonts w:ascii="宋体" w:hAnsi="宋体" w:cs="宋体" w:eastAsia="宋体" w:hint="default"/>
        </w:rPr>
        <w:t>:</w:t>
      </w:r>
      <w:r>
        <w:rPr>
          <w:rFonts w:ascii="宋体" w:hAnsi="宋体" w:cs="宋体" w:eastAsia="宋体" w:hint="default"/>
          <w:spacing w:val="-1"/>
        </w:rPr>
        <w:t> </w:t>
      </w:r>
      <w:r>
        <w:rPr/>
        <w:t>新湖中宝股份有限公司</w:t>
      </w:r>
    </w:p>
    <w:p>
      <w:pPr>
        <w:pStyle w:val="BodyText"/>
        <w:tabs>
          <w:tab w:pos="1080" w:val="left" w:leader="none"/>
        </w:tabs>
        <w:spacing w:line="313" w:lineRule="exact"/>
        <w:ind w:left="0" w:right="312"/>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545"/>
        <w:gridCol w:w="929"/>
        <w:gridCol w:w="2376"/>
        <w:gridCol w:w="2377"/>
      </w:tblGrid>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5"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98" w:right="0"/>
              <w:jc w:val="left"/>
              <w:rPr>
                <w:rFonts w:ascii="宋体" w:hAnsi="宋体" w:cs="宋体" w:eastAsia="宋体" w:hint="default"/>
                <w:sz w:val="24"/>
                <w:szCs w:val="24"/>
              </w:rPr>
            </w:pPr>
            <w:r>
              <w:rPr>
                <w:rFonts w:ascii="宋体" w:hAnsi="宋体" w:cs="宋体" w:eastAsia="宋体" w:hint="default"/>
                <w:b/>
                <w:bCs/>
                <w:sz w:val="24"/>
                <w:szCs w:val="24"/>
              </w:rPr>
              <w:t>期末余额</w:t>
            </w:r>
            <w:r>
              <w:rPr>
                <w:rFonts w:ascii="宋体" w:hAnsi="宋体" w:cs="宋体" w:eastAsia="宋体" w:hint="default"/>
                <w:sz w:val="24"/>
                <w:szCs w:val="24"/>
              </w:rPr>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98" w:right="0"/>
              <w:jc w:val="left"/>
              <w:rPr>
                <w:rFonts w:ascii="宋体" w:hAnsi="宋体" w:cs="宋体" w:eastAsia="宋体" w:hint="default"/>
                <w:sz w:val="24"/>
                <w:szCs w:val="24"/>
              </w:rPr>
            </w:pPr>
            <w:r>
              <w:rPr>
                <w:rFonts w:ascii="宋体" w:hAnsi="宋体" w:cs="宋体" w:eastAsia="宋体" w:hint="default"/>
                <w:b/>
                <w:bCs/>
                <w:sz w:val="24"/>
                <w:szCs w:val="24"/>
              </w:rPr>
              <w:t>期初余额</w:t>
            </w:r>
            <w:r>
              <w:rPr>
                <w:rFonts w:ascii="宋体" w:hAnsi="宋体" w:cs="宋体" w:eastAsia="宋体" w:hint="default"/>
                <w:sz w:val="24"/>
                <w:szCs w:val="24"/>
              </w:rPr>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流动资产：</w:t>
            </w:r>
            <w:r>
              <w:rPr>
                <w:rFonts w:ascii="宋体" w:hAnsi="宋体" w:cs="宋体" w:eastAsia="宋体" w:hint="default"/>
                <w:sz w:val="24"/>
                <w:szCs w:val="24"/>
              </w:rPr>
            </w:r>
          </w:p>
        </w:tc>
        <w:tc>
          <w:tcPr>
            <w:tcW w:w="5682"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1</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17,808,436,943.64</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19,169,431,411.40</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结算备付金</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拆出资金</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63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40"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入当期损益的金融资产</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100"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2</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宋体" w:hAnsi="宋体" w:cs="宋体" w:eastAsia="宋体" w:hint="default"/>
                <w:sz w:val="24"/>
                <w:szCs w:val="24"/>
              </w:rPr>
            </w:pPr>
            <w:r>
              <w:rPr>
                <w:rFonts w:ascii="宋体"/>
                <w:sz w:val="24"/>
              </w:rPr>
              <w:t>600,235,715.17</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宋体" w:hAnsi="宋体" w:cs="宋体" w:eastAsia="宋体" w:hint="default"/>
                <w:sz w:val="24"/>
                <w:szCs w:val="24"/>
              </w:rPr>
            </w:pPr>
            <w:r>
              <w:rPr>
                <w:rFonts w:ascii="宋体"/>
                <w:sz w:val="24"/>
              </w:rPr>
              <w:t>76,800,595.53</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衍生金融资产</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应收票据</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3</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77,366,333.65</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89,369,675.91</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预付款项</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4</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1,451,988,626.16</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2,060,946,223.88</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应收保费</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应收分保账款</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应收分保合同准备金</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应收利息</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5</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9,759,388.89</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28,718,103.94</w:t>
            </w:r>
          </w:p>
        </w:tc>
      </w:tr>
      <w:tr>
        <w:trPr>
          <w:trHeight w:val="32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应收股利</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6</w:t>
            </w: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31,500,000.00</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7</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690,790,585.38</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1,063,185,456.11</w:t>
            </w:r>
          </w:p>
        </w:tc>
      </w:tr>
      <w:tr>
        <w:trPr>
          <w:trHeight w:val="324"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买入返售金融资产</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8</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59,369,558,918.32</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51,701,252,239.04</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持有待售资产</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一年内到期的非流动资产</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9</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29,676,500.00</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9,500,000.00</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10</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2,106,465,746.63</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4,035,424,214.75</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流动资产合计</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82,144,278,757.84</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78,266,127,920.56</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非流动资产：</w:t>
            </w:r>
            <w:r>
              <w:rPr>
                <w:rFonts w:ascii="宋体" w:hAnsi="宋体" w:cs="宋体" w:eastAsia="宋体" w:hint="default"/>
                <w:sz w:val="24"/>
                <w:szCs w:val="24"/>
              </w:rPr>
            </w:r>
          </w:p>
        </w:tc>
        <w:tc>
          <w:tcPr>
            <w:tcW w:w="5682"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发放贷款和垫款</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11</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10,544,806,920.51</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5,294,886,060.92</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持有至到期投资</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长期股权投资</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12</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27,695,128,306.22</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24,257,864,596.94</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投资性房地产</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13</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1,043,631,594.18</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353,373,957.74</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14</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470,652,733.74</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213,531,641.53</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15</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1,400,580.78</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636,242,822.30</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工程物资</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固定资产清理</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生产性生物资产</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0" w:right="0"/>
              <w:jc w:val="left"/>
              <w:rPr>
                <w:rFonts w:ascii="宋体" w:hAnsi="宋体" w:cs="宋体" w:eastAsia="宋体" w:hint="default"/>
                <w:sz w:val="24"/>
                <w:szCs w:val="24"/>
              </w:rPr>
            </w:pPr>
            <w:r>
              <w:rPr>
                <w:rFonts w:ascii="宋体" w:hAnsi="宋体" w:cs="宋体" w:eastAsia="宋体" w:hint="default"/>
                <w:sz w:val="24"/>
                <w:szCs w:val="24"/>
              </w:rPr>
              <w:t>油气资产</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16</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264,355,878.54</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273,613,582.84</w:t>
            </w:r>
          </w:p>
        </w:tc>
      </w:tr>
    </w:tbl>
    <w:p>
      <w:pPr>
        <w:spacing w:after="0" w:line="276" w:lineRule="exact"/>
        <w:jc w:val="right"/>
        <w:rPr>
          <w:rFonts w:ascii="宋体" w:hAnsi="宋体" w:cs="宋体" w:eastAsia="宋体" w:hint="default"/>
          <w:sz w:val="24"/>
          <w:szCs w:val="24"/>
        </w:rPr>
        <w:sectPr>
          <w:type w:val="continuous"/>
          <w:pgSz w:w="11910" w:h="16840"/>
          <w:pgMar w:top="1000" w:bottom="280" w:left="1480" w:right="9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14" w:type="dxa"/>
        <w:tblLayout w:type="fixed"/>
        <w:tblCellMar>
          <w:top w:w="0" w:type="dxa"/>
          <w:left w:w="0" w:type="dxa"/>
          <w:bottom w:w="0" w:type="dxa"/>
          <w:right w:w="0" w:type="dxa"/>
        </w:tblCellMar>
        <w:tblLook w:val="01E0"/>
      </w:tblPr>
      <w:tblGrid>
        <w:gridCol w:w="3545"/>
        <w:gridCol w:w="929"/>
        <w:gridCol w:w="2376"/>
        <w:gridCol w:w="2377"/>
      </w:tblGrid>
      <w:tr>
        <w:trPr>
          <w:trHeight w:val="32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0" w:right="0"/>
              <w:jc w:val="left"/>
              <w:rPr>
                <w:rFonts w:ascii="宋体" w:hAnsi="宋体" w:cs="宋体" w:eastAsia="宋体" w:hint="default"/>
                <w:sz w:val="24"/>
                <w:szCs w:val="24"/>
              </w:rPr>
            </w:pPr>
            <w:r>
              <w:rPr>
                <w:rFonts w:ascii="宋体" w:hAnsi="宋体" w:cs="宋体" w:eastAsia="宋体" w:hint="default"/>
                <w:sz w:val="24"/>
                <w:szCs w:val="24"/>
              </w:rPr>
              <w:t>开发支出</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hAnsi="宋体" w:cs="宋体" w:eastAsia="宋体" w:hint="default"/>
                <w:spacing w:val="-2"/>
                <w:w w:val="95"/>
                <w:sz w:val="24"/>
                <w:szCs w:val="24"/>
              </w:rPr>
              <w:t>七、</w:t>
            </w:r>
            <w:r>
              <w:rPr>
                <w:rFonts w:ascii="宋体" w:hAnsi="宋体" w:cs="宋体" w:eastAsia="宋体" w:hint="default"/>
                <w:spacing w:val="-2"/>
                <w:w w:val="95"/>
                <w:sz w:val="24"/>
                <w:szCs w:val="24"/>
              </w:rPr>
              <w:t>17</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872,875,475.27</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872,858,875.27</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商誉</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长期待摊费用</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hAnsi="宋体" w:cs="宋体" w:eastAsia="宋体" w:hint="default"/>
                <w:spacing w:val="-2"/>
                <w:w w:val="95"/>
                <w:sz w:val="24"/>
                <w:szCs w:val="24"/>
              </w:rPr>
              <w:t>七、</w:t>
            </w:r>
            <w:r>
              <w:rPr>
                <w:rFonts w:ascii="宋体" w:hAnsi="宋体" w:cs="宋体" w:eastAsia="宋体" w:hint="default"/>
                <w:spacing w:val="-2"/>
                <w:w w:val="95"/>
                <w:sz w:val="24"/>
                <w:szCs w:val="24"/>
              </w:rPr>
              <w:t>18</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16,664,778.38</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4,265,984.33</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递延所得税资产</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pacing w:val="-2"/>
                <w:w w:val="95"/>
                <w:sz w:val="24"/>
                <w:szCs w:val="24"/>
              </w:rPr>
              <w:t>七、</w:t>
            </w:r>
            <w:r>
              <w:rPr>
                <w:rFonts w:ascii="宋体" w:hAnsi="宋体" w:cs="宋体" w:eastAsia="宋体" w:hint="default"/>
                <w:spacing w:val="-2"/>
                <w:w w:val="95"/>
                <w:sz w:val="24"/>
                <w:szCs w:val="24"/>
              </w:rPr>
              <w:t>19</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603,587,855.36</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430,935,511.76</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其他非流动资产</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pacing w:val="-2"/>
                <w:w w:val="95"/>
                <w:sz w:val="24"/>
                <w:szCs w:val="24"/>
              </w:rPr>
              <w:t>七、</w:t>
            </w:r>
            <w:r>
              <w:rPr>
                <w:rFonts w:ascii="宋体" w:hAnsi="宋体" w:cs="宋体" w:eastAsia="宋体" w:hint="default"/>
                <w:spacing w:val="-2"/>
                <w:w w:val="95"/>
                <w:sz w:val="24"/>
                <w:szCs w:val="24"/>
              </w:rPr>
              <w:t>20</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911,700,120.00</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967,918,825.67</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非流动资产合计</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42,424,804,242.98</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33,305,491,859.30</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资产总计</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124,569,083,000.82</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111,571,619,779.86</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流动负债：</w:t>
            </w:r>
            <w:r>
              <w:rPr>
                <w:rFonts w:ascii="宋体" w:hAnsi="宋体" w:cs="宋体" w:eastAsia="宋体" w:hint="default"/>
                <w:sz w:val="24"/>
                <w:szCs w:val="24"/>
              </w:rPr>
            </w:r>
          </w:p>
        </w:tc>
        <w:tc>
          <w:tcPr>
            <w:tcW w:w="5682"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pacing w:val="-2"/>
                <w:w w:val="95"/>
                <w:sz w:val="24"/>
                <w:szCs w:val="24"/>
              </w:rPr>
              <w:t>七、</w:t>
            </w:r>
            <w:r>
              <w:rPr>
                <w:rFonts w:ascii="宋体" w:hAnsi="宋体" w:cs="宋体" w:eastAsia="宋体" w:hint="default"/>
                <w:spacing w:val="-2"/>
                <w:w w:val="95"/>
                <w:sz w:val="24"/>
                <w:szCs w:val="24"/>
              </w:rPr>
              <w:t>21</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2,734,058,176.24</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4,162,600,000.00</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向中央银行借款</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吸收存款及同业存放</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拆入资金</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63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入当期损益的金融负债</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pacing w:val="-2"/>
                <w:w w:val="95"/>
                <w:sz w:val="24"/>
                <w:szCs w:val="24"/>
              </w:rPr>
              <w:t>七、</w:t>
            </w:r>
            <w:r>
              <w:rPr>
                <w:rFonts w:ascii="宋体" w:hAnsi="宋体" w:cs="宋体" w:eastAsia="宋体" w:hint="default"/>
                <w:spacing w:val="-2"/>
                <w:w w:val="95"/>
                <w:sz w:val="24"/>
                <w:szCs w:val="24"/>
              </w:rPr>
              <w:t>22</w:t>
            </w: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sz w:val="24"/>
              </w:rPr>
              <w:t>39,726.59</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衍生金融负债</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应付票据</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pacing w:val="-2"/>
                <w:w w:val="95"/>
                <w:sz w:val="24"/>
                <w:szCs w:val="24"/>
              </w:rPr>
              <w:t>七、</w:t>
            </w:r>
            <w:r>
              <w:rPr>
                <w:rFonts w:ascii="宋体" w:hAnsi="宋体" w:cs="宋体" w:eastAsia="宋体" w:hint="default"/>
                <w:spacing w:val="-2"/>
                <w:w w:val="95"/>
                <w:sz w:val="24"/>
                <w:szCs w:val="24"/>
              </w:rPr>
              <w:t>23</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7,280,000.00</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163,870,000.00</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pacing w:val="-2"/>
                <w:w w:val="95"/>
                <w:sz w:val="24"/>
                <w:szCs w:val="24"/>
              </w:rPr>
              <w:t>七、</w:t>
            </w:r>
            <w:r>
              <w:rPr>
                <w:rFonts w:ascii="宋体" w:hAnsi="宋体" w:cs="宋体" w:eastAsia="宋体" w:hint="default"/>
                <w:spacing w:val="-2"/>
                <w:w w:val="95"/>
                <w:sz w:val="24"/>
                <w:szCs w:val="24"/>
              </w:rPr>
              <w:t>24</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1,974,178,135.34</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1,577,815,566.41</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pacing w:val="-2"/>
                <w:w w:val="95"/>
                <w:sz w:val="24"/>
                <w:szCs w:val="24"/>
              </w:rPr>
              <w:t>七、</w:t>
            </w:r>
            <w:r>
              <w:rPr>
                <w:rFonts w:ascii="宋体" w:hAnsi="宋体" w:cs="宋体" w:eastAsia="宋体" w:hint="default"/>
                <w:spacing w:val="-2"/>
                <w:w w:val="95"/>
                <w:sz w:val="24"/>
                <w:szCs w:val="24"/>
              </w:rPr>
              <w:t>25</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15,576,663,898.73</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13,329,502,799.56</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卖出回购金融资产款</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应付手续费及佣金</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应付职工薪酬</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pacing w:val="-2"/>
                <w:w w:val="95"/>
                <w:sz w:val="24"/>
                <w:szCs w:val="24"/>
              </w:rPr>
              <w:t>七、</w:t>
            </w:r>
            <w:r>
              <w:rPr>
                <w:rFonts w:ascii="宋体" w:hAnsi="宋体" w:cs="宋体" w:eastAsia="宋体" w:hint="default"/>
                <w:spacing w:val="-2"/>
                <w:w w:val="95"/>
                <w:sz w:val="24"/>
                <w:szCs w:val="24"/>
              </w:rPr>
              <w:t>26</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16,093,275.84</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11,427,366.31</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应交税费</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pacing w:val="-2"/>
                <w:w w:val="95"/>
                <w:sz w:val="24"/>
                <w:szCs w:val="24"/>
              </w:rPr>
              <w:t>七、</w:t>
            </w:r>
            <w:r>
              <w:rPr>
                <w:rFonts w:ascii="宋体" w:hAnsi="宋体" w:cs="宋体" w:eastAsia="宋体" w:hint="default"/>
                <w:spacing w:val="-2"/>
                <w:w w:val="95"/>
                <w:sz w:val="24"/>
                <w:szCs w:val="24"/>
              </w:rPr>
              <w:t>27</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1,730,062,990.05</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1,306,563,436.75</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应付利息</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pacing w:val="-2"/>
                <w:w w:val="95"/>
                <w:sz w:val="24"/>
                <w:szCs w:val="24"/>
              </w:rPr>
              <w:t>七、</w:t>
            </w:r>
            <w:r>
              <w:rPr>
                <w:rFonts w:ascii="宋体" w:hAnsi="宋体" w:cs="宋体" w:eastAsia="宋体" w:hint="default"/>
                <w:spacing w:val="-2"/>
                <w:w w:val="95"/>
                <w:sz w:val="24"/>
                <w:szCs w:val="24"/>
              </w:rPr>
              <w:t>28</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555,789,985.80</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531,040,064.65</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应付股利</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pacing w:val="-2"/>
                <w:w w:val="95"/>
                <w:sz w:val="24"/>
                <w:szCs w:val="24"/>
              </w:rPr>
              <w:t>七、</w:t>
            </w:r>
            <w:r>
              <w:rPr>
                <w:rFonts w:ascii="宋体" w:hAnsi="宋体" w:cs="宋体" w:eastAsia="宋体" w:hint="default"/>
                <w:spacing w:val="-2"/>
                <w:w w:val="95"/>
                <w:sz w:val="24"/>
                <w:szCs w:val="24"/>
              </w:rPr>
              <w:t>29</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65,487,227.10</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10,387,227.10</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pacing w:val="-2"/>
                <w:w w:val="95"/>
                <w:sz w:val="24"/>
                <w:szCs w:val="24"/>
              </w:rPr>
              <w:t>七、</w:t>
            </w:r>
            <w:r>
              <w:rPr>
                <w:rFonts w:ascii="宋体" w:hAnsi="宋体" w:cs="宋体" w:eastAsia="宋体" w:hint="default"/>
                <w:spacing w:val="-2"/>
                <w:w w:val="95"/>
                <w:sz w:val="24"/>
                <w:szCs w:val="24"/>
              </w:rPr>
              <w:t>30</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2,037,340,398.61</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1,551,138,792.17</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应付分保账款</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保险合同准备金</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代理买卖证券款</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代理承销证券款</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持有待售负债</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0" w:right="0"/>
              <w:jc w:val="left"/>
              <w:rPr>
                <w:rFonts w:ascii="宋体" w:hAnsi="宋体" w:cs="宋体" w:eastAsia="宋体" w:hint="default"/>
                <w:sz w:val="24"/>
                <w:szCs w:val="24"/>
              </w:rPr>
            </w:pPr>
            <w:r>
              <w:rPr>
                <w:rFonts w:ascii="宋体" w:hAnsi="宋体" w:cs="宋体" w:eastAsia="宋体" w:hint="default"/>
                <w:sz w:val="24"/>
                <w:szCs w:val="24"/>
              </w:rPr>
              <w:t>一年内到期的非流动负债</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hAnsi="宋体" w:cs="宋体" w:eastAsia="宋体" w:hint="default"/>
                <w:spacing w:val="-2"/>
                <w:w w:val="95"/>
                <w:sz w:val="24"/>
                <w:szCs w:val="24"/>
              </w:rPr>
              <w:t>七、</w:t>
            </w:r>
            <w:r>
              <w:rPr>
                <w:rFonts w:ascii="宋体" w:hAnsi="宋体" w:cs="宋体" w:eastAsia="宋体" w:hint="default"/>
                <w:spacing w:val="-2"/>
                <w:w w:val="95"/>
                <w:sz w:val="24"/>
                <w:szCs w:val="24"/>
              </w:rPr>
              <w:t>31</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9"/>
              <w:jc w:val="right"/>
              <w:rPr>
                <w:rFonts w:ascii="宋体" w:hAnsi="宋体" w:cs="宋体" w:eastAsia="宋体" w:hint="default"/>
                <w:sz w:val="24"/>
                <w:szCs w:val="24"/>
              </w:rPr>
            </w:pPr>
            <w:r>
              <w:rPr>
                <w:rFonts w:ascii="宋体"/>
                <w:sz w:val="24"/>
              </w:rPr>
              <w:t>11,258,207,658.26</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9"/>
              <w:jc w:val="right"/>
              <w:rPr>
                <w:rFonts w:ascii="宋体" w:hAnsi="宋体" w:cs="宋体" w:eastAsia="宋体" w:hint="default"/>
                <w:sz w:val="24"/>
                <w:szCs w:val="24"/>
              </w:rPr>
            </w:pPr>
            <w:r>
              <w:rPr>
                <w:rFonts w:ascii="宋体"/>
                <w:sz w:val="24"/>
              </w:rPr>
              <w:t>4,561,484,135.41</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其他流动负债</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pacing w:val="-2"/>
                <w:w w:val="95"/>
                <w:sz w:val="24"/>
                <w:szCs w:val="24"/>
              </w:rPr>
              <w:t>七、</w:t>
            </w:r>
            <w:r>
              <w:rPr>
                <w:rFonts w:ascii="宋体" w:hAnsi="宋体" w:cs="宋体" w:eastAsia="宋体" w:hint="default"/>
                <w:spacing w:val="-2"/>
                <w:w w:val="95"/>
                <w:sz w:val="24"/>
                <w:szCs w:val="24"/>
              </w:rPr>
              <w:t>32</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1,369,095,414.21</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6,874,329,572.82</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流动负债合计</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37,324,257,160.18</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34,080,198,687.77</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非流动负债：</w:t>
            </w:r>
            <w:r>
              <w:rPr>
                <w:rFonts w:ascii="宋体" w:hAnsi="宋体" w:cs="宋体" w:eastAsia="宋体" w:hint="default"/>
                <w:sz w:val="24"/>
                <w:szCs w:val="24"/>
              </w:rPr>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pacing w:val="-2"/>
                <w:w w:val="95"/>
                <w:sz w:val="24"/>
                <w:szCs w:val="24"/>
              </w:rPr>
              <w:t>七、</w:t>
            </w:r>
            <w:r>
              <w:rPr>
                <w:rFonts w:ascii="宋体" w:hAnsi="宋体" w:cs="宋体" w:eastAsia="宋体" w:hint="default"/>
                <w:spacing w:val="-2"/>
                <w:w w:val="95"/>
                <w:sz w:val="24"/>
                <w:szCs w:val="24"/>
              </w:rPr>
              <w:t>33</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30,466,660,301.10</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29,045,334,590.34</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应付债券</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pacing w:val="-2"/>
                <w:w w:val="95"/>
                <w:sz w:val="24"/>
                <w:szCs w:val="24"/>
              </w:rPr>
              <w:t>七、</w:t>
            </w:r>
            <w:r>
              <w:rPr>
                <w:rFonts w:ascii="宋体" w:hAnsi="宋体" w:cs="宋体" w:eastAsia="宋体" w:hint="default"/>
                <w:spacing w:val="-2"/>
                <w:w w:val="95"/>
                <w:sz w:val="24"/>
                <w:szCs w:val="24"/>
              </w:rPr>
              <w:t>34</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20,993,775,252.71</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14,909,494,339.93</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其中：优先股</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60" w:right="0"/>
              <w:jc w:val="left"/>
              <w:rPr>
                <w:rFonts w:ascii="宋体" w:hAnsi="宋体" w:cs="宋体" w:eastAsia="宋体" w:hint="default"/>
                <w:sz w:val="24"/>
                <w:szCs w:val="24"/>
              </w:rPr>
            </w:pPr>
            <w:r>
              <w:rPr>
                <w:rFonts w:ascii="宋体" w:hAnsi="宋体" w:cs="宋体" w:eastAsia="宋体" w:hint="default"/>
                <w:sz w:val="24"/>
                <w:szCs w:val="24"/>
              </w:rPr>
              <w:t>永续债</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长期应付款</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长期应付职工薪酬</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专项应付款</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预计负债</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pacing w:val="-2"/>
                <w:w w:val="95"/>
                <w:sz w:val="24"/>
                <w:szCs w:val="24"/>
              </w:rPr>
              <w:t>七、</w:t>
            </w:r>
            <w:r>
              <w:rPr>
                <w:rFonts w:ascii="宋体" w:hAnsi="宋体" w:cs="宋体" w:eastAsia="宋体" w:hint="default"/>
                <w:spacing w:val="-2"/>
                <w:w w:val="95"/>
                <w:sz w:val="24"/>
                <w:szCs w:val="24"/>
              </w:rPr>
              <w:t>35</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60,000,000.00</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60,000,000.00</w:t>
            </w:r>
          </w:p>
        </w:tc>
      </w:tr>
    </w:tbl>
    <w:p>
      <w:pPr>
        <w:spacing w:after="0" w:line="274" w:lineRule="exact"/>
        <w:jc w:val="right"/>
        <w:rPr>
          <w:rFonts w:ascii="宋体" w:hAnsi="宋体" w:cs="宋体" w:eastAsia="宋体" w:hint="default"/>
          <w:sz w:val="24"/>
          <w:szCs w:val="24"/>
        </w:rPr>
        <w:sectPr>
          <w:pgSz w:w="11910" w:h="16840"/>
          <w:pgMar w:header="0" w:footer="1195" w:top="1100" w:bottom="1380" w:left="1480" w:right="9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14" w:type="dxa"/>
        <w:tblLayout w:type="fixed"/>
        <w:tblCellMar>
          <w:top w:w="0" w:type="dxa"/>
          <w:left w:w="0" w:type="dxa"/>
          <w:bottom w:w="0" w:type="dxa"/>
          <w:right w:w="0" w:type="dxa"/>
        </w:tblCellMar>
        <w:tblLook w:val="01E0"/>
      </w:tblPr>
      <w:tblGrid>
        <w:gridCol w:w="3545"/>
        <w:gridCol w:w="929"/>
        <w:gridCol w:w="2376"/>
        <w:gridCol w:w="2377"/>
      </w:tblGrid>
      <w:tr>
        <w:trPr>
          <w:trHeight w:val="32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0" w:right="0"/>
              <w:jc w:val="left"/>
              <w:rPr>
                <w:rFonts w:ascii="宋体" w:hAnsi="宋体" w:cs="宋体" w:eastAsia="宋体" w:hint="default"/>
                <w:sz w:val="24"/>
                <w:szCs w:val="24"/>
              </w:rPr>
            </w:pPr>
            <w:r>
              <w:rPr>
                <w:rFonts w:ascii="宋体" w:hAnsi="宋体" w:cs="宋体" w:eastAsia="宋体" w:hint="default"/>
                <w:sz w:val="24"/>
                <w:szCs w:val="24"/>
              </w:rPr>
              <w:t>递延收益</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hAnsi="宋体" w:cs="宋体" w:eastAsia="宋体" w:hint="default"/>
                <w:spacing w:val="-2"/>
                <w:w w:val="95"/>
                <w:sz w:val="24"/>
                <w:szCs w:val="24"/>
              </w:rPr>
              <w:t>七、</w:t>
            </w:r>
            <w:r>
              <w:rPr>
                <w:rFonts w:ascii="宋体" w:hAnsi="宋体" w:cs="宋体" w:eastAsia="宋体" w:hint="default"/>
                <w:spacing w:val="-2"/>
                <w:w w:val="95"/>
                <w:sz w:val="24"/>
                <w:szCs w:val="24"/>
              </w:rPr>
              <w:t>36</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265,254,235.94</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227,166,052.54</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递延所得税负债</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hAnsi="宋体" w:cs="宋体" w:eastAsia="宋体" w:hint="default"/>
                <w:spacing w:val="-2"/>
                <w:w w:val="95"/>
                <w:sz w:val="24"/>
                <w:szCs w:val="24"/>
              </w:rPr>
              <w:t>七、</w:t>
            </w:r>
            <w:r>
              <w:rPr>
                <w:rFonts w:ascii="宋体" w:hAnsi="宋体" w:cs="宋体" w:eastAsia="宋体" w:hint="default"/>
                <w:spacing w:val="-2"/>
                <w:w w:val="95"/>
                <w:sz w:val="24"/>
                <w:szCs w:val="24"/>
              </w:rPr>
              <w:t>19</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28,929,878.73</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1,075,992.63</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其他非流动负债</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hAnsi="宋体" w:cs="宋体" w:eastAsia="宋体" w:hint="default"/>
                <w:spacing w:val="-2"/>
                <w:w w:val="95"/>
                <w:sz w:val="24"/>
                <w:szCs w:val="24"/>
              </w:rPr>
              <w:t>七、</w:t>
            </w:r>
            <w:r>
              <w:rPr>
                <w:rFonts w:ascii="宋体" w:hAnsi="宋体" w:cs="宋体" w:eastAsia="宋体" w:hint="default"/>
                <w:spacing w:val="-2"/>
                <w:w w:val="95"/>
                <w:sz w:val="24"/>
                <w:szCs w:val="24"/>
              </w:rPr>
              <w:t>37</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2,530,620,858.11</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3,350,000,000.00</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非流动负债合计</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54,345,240,526.59</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47,593,070,975.44</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负债合计</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91,669,497,686.77</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81,673,269,663.21</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所有者权益</w:t>
            </w:r>
            <w:r>
              <w:rPr>
                <w:rFonts w:ascii="宋体" w:hAnsi="宋体" w:cs="宋体" w:eastAsia="宋体" w:hint="default"/>
                <w:sz w:val="24"/>
                <w:szCs w:val="24"/>
              </w:rPr>
            </w:r>
          </w:p>
        </w:tc>
        <w:tc>
          <w:tcPr>
            <w:tcW w:w="5682"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股本</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pacing w:val="-2"/>
                <w:w w:val="95"/>
                <w:sz w:val="24"/>
                <w:szCs w:val="24"/>
              </w:rPr>
              <w:t>七、</w:t>
            </w:r>
            <w:r>
              <w:rPr>
                <w:rFonts w:ascii="宋体" w:hAnsi="宋体" w:cs="宋体" w:eastAsia="宋体" w:hint="default"/>
                <w:spacing w:val="-2"/>
                <w:w w:val="95"/>
                <w:sz w:val="24"/>
                <w:szCs w:val="24"/>
              </w:rPr>
              <w:t>38</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8,599,343,536.00</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8,599,343,536.00</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其他权益工具</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其中：优先股</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60" w:right="0"/>
              <w:jc w:val="left"/>
              <w:rPr>
                <w:rFonts w:ascii="宋体" w:hAnsi="宋体" w:cs="宋体" w:eastAsia="宋体" w:hint="default"/>
                <w:sz w:val="24"/>
                <w:szCs w:val="24"/>
              </w:rPr>
            </w:pPr>
            <w:r>
              <w:rPr>
                <w:rFonts w:ascii="宋体" w:hAnsi="宋体" w:cs="宋体" w:eastAsia="宋体" w:hint="default"/>
                <w:sz w:val="24"/>
                <w:szCs w:val="24"/>
              </w:rPr>
              <w:t>永续债</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资本公积</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pacing w:val="-2"/>
                <w:w w:val="95"/>
                <w:sz w:val="24"/>
                <w:szCs w:val="24"/>
              </w:rPr>
              <w:t>七、</w:t>
            </w:r>
            <w:r>
              <w:rPr>
                <w:rFonts w:ascii="宋体" w:hAnsi="宋体" w:cs="宋体" w:eastAsia="宋体" w:hint="default"/>
                <w:spacing w:val="-2"/>
                <w:w w:val="95"/>
                <w:sz w:val="24"/>
                <w:szCs w:val="24"/>
              </w:rPr>
              <w:t>39</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7,968,114,485.47</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7,977,663,131.66</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减：库存股</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pacing w:val="-2"/>
                <w:w w:val="95"/>
                <w:sz w:val="24"/>
                <w:szCs w:val="24"/>
              </w:rPr>
              <w:t>七、</w:t>
            </w:r>
            <w:r>
              <w:rPr>
                <w:rFonts w:ascii="宋体" w:hAnsi="宋体" w:cs="宋体" w:eastAsia="宋体" w:hint="default"/>
                <w:spacing w:val="-2"/>
                <w:w w:val="95"/>
                <w:sz w:val="24"/>
                <w:szCs w:val="24"/>
              </w:rPr>
              <w:t>40</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-209,702,976.84</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-50,324,424.41</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专项储备</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盈余公积</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pacing w:val="-2"/>
                <w:w w:val="95"/>
                <w:sz w:val="24"/>
                <w:szCs w:val="24"/>
              </w:rPr>
              <w:t>七、</w:t>
            </w:r>
            <w:r>
              <w:rPr>
                <w:rFonts w:ascii="宋体" w:hAnsi="宋体" w:cs="宋体" w:eastAsia="宋体" w:hint="default"/>
                <w:spacing w:val="-2"/>
                <w:w w:val="95"/>
                <w:sz w:val="24"/>
                <w:szCs w:val="24"/>
              </w:rPr>
              <w:t>41</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1,059,103,749.70</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910,232,816.39</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一般风险准备</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未分配利润</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hAnsi="宋体" w:cs="宋体" w:eastAsia="宋体" w:hint="default"/>
                <w:spacing w:val="-2"/>
                <w:w w:val="95"/>
                <w:sz w:val="24"/>
                <w:szCs w:val="24"/>
              </w:rPr>
              <w:t>七、</w:t>
            </w:r>
            <w:r>
              <w:rPr>
                <w:rFonts w:ascii="宋体" w:hAnsi="宋体" w:cs="宋体" w:eastAsia="宋体" w:hint="default"/>
                <w:spacing w:val="-2"/>
                <w:w w:val="95"/>
                <w:sz w:val="24"/>
                <w:szCs w:val="24"/>
              </w:rPr>
              <w:t>42</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14,789,780,669.53</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11,616,786,385.09</w:t>
            </w:r>
          </w:p>
        </w:tc>
      </w:tr>
      <w:tr>
        <w:trPr>
          <w:trHeight w:val="638"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归属于母公司所有者权益合</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计</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9"/>
              <w:jc w:val="right"/>
              <w:rPr>
                <w:rFonts w:ascii="宋体" w:hAnsi="宋体" w:cs="宋体" w:eastAsia="宋体" w:hint="default"/>
                <w:sz w:val="24"/>
                <w:szCs w:val="24"/>
              </w:rPr>
            </w:pPr>
            <w:r>
              <w:rPr>
                <w:rFonts w:ascii="宋体"/>
                <w:sz w:val="24"/>
              </w:rPr>
              <w:t>32,206,639,463.86</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9"/>
              <w:jc w:val="right"/>
              <w:rPr>
                <w:rFonts w:ascii="宋体" w:hAnsi="宋体" w:cs="宋体" w:eastAsia="宋体" w:hint="default"/>
                <w:sz w:val="24"/>
                <w:szCs w:val="24"/>
              </w:rPr>
            </w:pPr>
            <w:r>
              <w:rPr>
                <w:rFonts w:ascii="宋体"/>
                <w:sz w:val="24"/>
              </w:rPr>
              <w:t>29,053,701,444.73</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少数股东权益</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692,945,850.19</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844,648,671.92</w:t>
            </w:r>
          </w:p>
        </w:tc>
      </w:tr>
      <w:tr>
        <w:trPr>
          <w:trHeight w:val="32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所有者权益合计</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32,899,585,314.05</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29,898,350,116.65</w:t>
            </w:r>
          </w:p>
        </w:tc>
      </w:tr>
      <w:tr>
        <w:trPr>
          <w:trHeight w:val="3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负债和所有者权益总计</w:t>
            </w:r>
          </w:p>
        </w:tc>
        <w:tc>
          <w:tcPr>
            <w:tcW w:w="929"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124,569,083,000.82</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111,571,619,779.86</w:t>
            </w:r>
          </w:p>
        </w:tc>
      </w:tr>
    </w:tbl>
    <w:p>
      <w:pPr>
        <w:spacing w:line="240" w:lineRule="auto" w:before="4"/>
        <w:rPr>
          <w:rFonts w:ascii="Times New Roman" w:hAnsi="Times New Roman" w:cs="Times New Roman" w:eastAsia="Times New Roman" w:hint="default"/>
          <w:sz w:val="21"/>
          <w:szCs w:val="21"/>
        </w:rPr>
      </w:pPr>
    </w:p>
    <w:p>
      <w:pPr>
        <w:pStyle w:val="BodyText"/>
        <w:spacing w:line="240" w:lineRule="auto" w:before="26"/>
        <w:ind w:left="318" w:right="0"/>
        <w:jc w:val="left"/>
      </w:pPr>
      <w:r>
        <w:rPr/>
        <w:t>法定代表人：林俊波 主管会计工作负责人：潘孝娜</w:t>
      </w:r>
      <w:r>
        <w:rPr>
          <w:spacing w:val="-1"/>
        </w:rPr>
        <w:t> </w:t>
      </w:r>
      <w:r>
        <w:rPr/>
        <w:t>会计机构负责人：胡倩倩</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2"/>
          <w:pgSz w:w="11910" w:h="16840"/>
          <w:pgMar w:footer="1195" w:header="0" w:top="1100" w:bottom="1380" w:left="1480" w:right="960"/>
        </w:sectPr>
      </w:pPr>
    </w:p>
    <w:p>
      <w:pPr>
        <w:spacing w:line="310" w:lineRule="exact" w:before="58"/>
        <w:ind w:left="3743" w:right="-20" w:firstLine="26"/>
        <w:jc w:val="left"/>
        <w:rPr>
          <w:rFonts w:ascii="宋体" w:hAnsi="宋体" w:cs="宋体" w:eastAsia="宋体" w:hint="default"/>
          <w:sz w:val="24"/>
          <w:szCs w:val="24"/>
        </w:rPr>
      </w:pPr>
      <w:r>
        <w:rPr>
          <w:rFonts w:ascii="宋体" w:hAnsi="宋体" w:cs="宋体" w:eastAsia="宋体" w:hint="default"/>
          <w:b/>
          <w:bCs/>
          <w:sz w:val="24"/>
          <w:szCs w:val="24"/>
        </w:rPr>
        <w:t>母公司资产负债表</w:t>
      </w:r>
      <w:r>
        <w:rPr>
          <w:rFonts w:ascii="宋体" w:hAnsi="宋体" w:cs="宋体" w:eastAsia="宋体" w:hint="default"/>
          <w:b/>
          <w:bCs/>
          <w:w w:val="99"/>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p>
      <w:pPr>
        <w:pStyle w:val="BodyText"/>
        <w:spacing w:line="284" w:lineRule="exact"/>
        <w:ind w:left="318" w:right="-20"/>
        <w:jc w:val="left"/>
      </w:pPr>
      <w:r>
        <w:rPr/>
        <w:t>编制单位</w:t>
      </w:r>
      <w:r>
        <w:rPr>
          <w:rFonts w:ascii="宋体" w:hAnsi="宋体" w:cs="宋体" w:eastAsia="宋体" w:hint="default"/>
        </w:rPr>
        <w:t>:</w:t>
      </w:r>
      <w:r>
        <w:rPr/>
        <w:t>新湖中宝股份有限公司</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pStyle w:val="BodyText"/>
        <w:tabs>
          <w:tab w:pos="1398" w:val="left" w:leader="none"/>
        </w:tabs>
        <w:spacing w:line="240" w:lineRule="auto"/>
        <w:ind w:left="3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00" w:bottom="280" w:left="1480" w:right="960"/>
          <w:cols w:num="2" w:equalWidth="0">
            <w:col w:w="5724" w:space="709"/>
            <w:col w:w="3037"/>
          </w:cols>
        </w:sectPr>
      </w:pPr>
    </w:p>
    <w:p>
      <w:pPr>
        <w:spacing w:line="240" w:lineRule="auto" w:before="12"/>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3509"/>
        <w:gridCol w:w="1027"/>
        <w:gridCol w:w="2256"/>
        <w:gridCol w:w="2257"/>
      </w:tblGrid>
      <w:tr>
        <w:trPr>
          <w:trHeight w:val="325"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36" w:right="0"/>
              <w:jc w:val="left"/>
              <w:rPr>
                <w:rFonts w:ascii="宋体" w:hAnsi="宋体" w:cs="宋体" w:eastAsia="宋体" w:hint="default"/>
                <w:sz w:val="24"/>
                <w:szCs w:val="24"/>
              </w:rPr>
            </w:pPr>
            <w:r>
              <w:rPr>
                <w:rFonts w:ascii="宋体" w:hAnsi="宋体" w:cs="宋体" w:eastAsia="宋体" w:hint="default"/>
                <w:b/>
                <w:bCs/>
                <w:sz w:val="24"/>
                <w:szCs w:val="24"/>
              </w:rPr>
              <w:t>期末余额</w:t>
            </w:r>
            <w:r>
              <w:rPr>
                <w:rFonts w:ascii="宋体" w:hAnsi="宋体" w:cs="宋体" w:eastAsia="宋体" w:hint="default"/>
                <w:sz w:val="24"/>
                <w:szCs w:val="24"/>
              </w:rPr>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38" w:right="0"/>
              <w:jc w:val="left"/>
              <w:rPr>
                <w:rFonts w:ascii="宋体" w:hAnsi="宋体" w:cs="宋体" w:eastAsia="宋体" w:hint="default"/>
                <w:sz w:val="24"/>
                <w:szCs w:val="24"/>
              </w:rPr>
            </w:pPr>
            <w:r>
              <w:rPr>
                <w:rFonts w:ascii="宋体" w:hAnsi="宋体" w:cs="宋体" w:eastAsia="宋体" w:hint="default"/>
                <w:b/>
                <w:bCs/>
                <w:sz w:val="24"/>
                <w:szCs w:val="24"/>
              </w:rPr>
              <w:t>期初余额</w:t>
            </w:r>
            <w:r>
              <w:rPr>
                <w:rFonts w:ascii="宋体" w:hAnsi="宋体" w:cs="宋体" w:eastAsia="宋体" w:hint="default"/>
                <w:sz w:val="24"/>
                <w:szCs w:val="24"/>
              </w:rPr>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流动资产：</w:t>
            </w:r>
            <w:r>
              <w:rPr>
                <w:rFonts w:ascii="宋体" w:hAnsi="宋体" w:cs="宋体" w:eastAsia="宋体" w:hint="default"/>
                <w:sz w:val="24"/>
                <w:szCs w:val="24"/>
              </w:rPr>
            </w:r>
          </w:p>
        </w:tc>
        <w:tc>
          <w:tcPr>
            <w:tcW w:w="5540"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9,075,665,932.89</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7,341,769,931.95</w:t>
            </w:r>
          </w:p>
        </w:tc>
      </w:tr>
      <w:tr>
        <w:trPr>
          <w:trHeight w:val="63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入当期损益的金融资产</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3,404,041.10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sz w:val="24"/>
              </w:rPr>
              <w:t>3,352,446.38</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衍生金融资产</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应收票据</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pacing w:val="-8"/>
                <w:sz w:val="24"/>
                <w:szCs w:val="24"/>
              </w:rPr>
              <w:t>十七、</w:t>
            </w:r>
            <w:r>
              <w:rPr>
                <w:rFonts w:ascii="宋体" w:hAnsi="宋体" w:cs="宋体" w:eastAsia="宋体" w:hint="default"/>
                <w:spacing w:val="-8"/>
                <w:sz w:val="24"/>
                <w:szCs w:val="24"/>
              </w:rPr>
              <w:t>1</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2,236,723.00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32,844,190.80</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预付款项</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40,212,929.00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21,844,359.60</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应收利息</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16,545,623.02</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31,945,808.15</w:t>
            </w:r>
          </w:p>
        </w:tc>
      </w:tr>
      <w:tr>
        <w:trPr>
          <w:trHeight w:val="32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应收股利</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467,377,054.00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485,657,800.00</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pacing w:val="-8"/>
                <w:sz w:val="24"/>
                <w:szCs w:val="24"/>
              </w:rPr>
              <w:t>十七、</w:t>
            </w:r>
            <w:r>
              <w:rPr>
                <w:rFonts w:ascii="宋体" w:hAnsi="宋体" w:cs="宋体" w:eastAsia="宋体" w:hint="default"/>
                <w:spacing w:val="-8"/>
                <w:sz w:val="24"/>
                <w:szCs w:val="24"/>
              </w:rPr>
              <w:t>2</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11,683,834,424.78</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14,182,512,905.33</w:t>
            </w:r>
          </w:p>
        </w:tc>
      </w:tr>
    </w:tbl>
    <w:p>
      <w:pPr>
        <w:spacing w:after="0" w:line="274" w:lineRule="exact"/>
        <w:jc w:val="right"/>
        <w:rPr>
          <w:rFonts w:ascii="宋体" w:hAnsi="宋体" w:cs="宋体" w:eastAsia="宋体" w:hint="default"/>
          <w:sz w:val="24"/>
          <w:szCs w:val="24"/>
        </w:rPr>
        <w:sectPr>
          <w:type w:val="continuous"/>
          <w:pgSz w:w="11910" w:h="16840"/>
          <w:pgMar w:top="1000" w:bottom="280" w:left="1480" w:right="9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509"/>
        <w:gridCol w:w="1027"/>
        <w:gridCol w:w="2256"/>
        <w:gridCol w:w="2257"/>
      </w:tblGrid>
      <w:tr>
        <w:trPr>
          <w:trHeight w:val="32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0"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324,096.06</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327,134.25</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持有待售资产</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512"/>
              <w:jc w:val="right"/>
              <w:rPr>
                <w:rFonts w:ascii="宋体" w:hAnsi="宋体" w:cs="宋体" w:eastAsia="宋体" w:hint="default"/>
                <w:sz w:val="24"/>
                <w:szCs w:val="24"/>
              </w:rPr>
            </w:pPr>
            <w:r>
              <w:rPr>
                <w:rFonts w:ascii="宋体" w:hAnsi="宋体" w:cs="宋体" w:eastAsia="宋体" w:hint="default"/>
                <w:sz w:val="24"/>
                <w:szCs w:val="24"/>
              </w:rPr>
              <w:t>一年内到期的非流动资产</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10,458,000.00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5,000,000.00</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8,169,683.13</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1,043,490,149.40</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流动资产合计</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21,308,228,506.98</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23,148,744,725.86</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非流动资产：</w:t>
            </w:r>
            <w:r>
              <w:rPr>
                <w:rFonts w:ascii="宋体" w:hAnsi="宋体" w:cs="宋体" w:eastAsia="宋体" w:hint="default"/>
                <w:sz w:val="24"/>
                <w:szCs w:val="24"/>
              </w:rPr>
            </w:r>
          </w:p>
        </w:tc>
        <w:tc>
          <w:tcPr>
            <w:tcW w:w="5540"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10,686,992,291.40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9,280,761,127.84</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持有至到期投资</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3,003,984,000.00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2,833,984,000.00</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长期股权投资</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pacing w:val="-8"/>
                <w:sz w:val="24"/>
                <w:szCs w:val="24"/>
              </w:rPr>
              <w:t>十七、</w:t>
            </w:r>
            <w:r>
              <w:rPr>
                <w:rFonts w:ascii="宋体" w:hAnsi="宋体" w:cs="宋体" w:eastAsia="宋体" w:hint="default"/>
                <w:spacing w:val="-8"/>
                <w:sz w:val="24"/>
                <w:szCs w:val="24"/>
              </w:rPr>
              <w:t>3</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13,229,836,890.23</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11,186,441,395.65</w:t>
            </w:r>
          </w:p>
        </w:tc>
      </w:tr>
      <w:tr>
        <w:trPr>
          <w:trHeight w:val="32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投资性房地产</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52,197,479.00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54,140,745.20</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19,444,721.79</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20,031,898.89</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工程物资</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固定资产清理</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生产性生物资产</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油气资产</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814,002.34</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862,825.61</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开发支出</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商誉</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长期待摊费用</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递延所得税资产</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112,774,225.09</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其他非流动资产</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6,940,000.00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704,078,000.00</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非流动资产合计</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27,000,209,384.76</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24,193,074,218.28</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资产总计</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48,308,437,891.74</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47,341,818,944.14</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流动负债：</w:t>
            </w:r>
            <w:r>
              <w:rPr>
                <w:rFonts w:ascii="宋体" w:hAnsi="宋体" w:cs="宋体" w:eastAsia="宋体" w:hint="default"/>
                <w:sz w:val="24"/>
                <w:szCs w:val="24"/>
              </w:rPr>
            </w:r>
          </w:p>
        </w:tc>
        <w:tc>
          <w:tcPr>
            <w:tcW w:w="5540"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2,054,260,000.00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1,669,000,000.00</w:t>
            </w:r>
          </w:p>
        </w:tc>
      </w:tr>
      <w:tr>
        <w:trPr>
          <w:trHeight w:val="63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入当期损益的金融负债</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衍生金融负债</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应付票据</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150,000,000.00</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379,841.67</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113,285.00</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808,362.00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2,135,357.80</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应付职工薪酬</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2,045,800.53</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1,807,098.59</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应交税费</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10,378,477.23</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15,043,219.00</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应付利息</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345,340,878.79</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320,225,861.12</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应付股利</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1,787,227.10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1,787,227.10</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4,424,380,528.93</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4,314,750,979.37</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持有待售负债</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12"/>
              <w:jc w:val="right"/>
              <w:rPr>
                <w:rFonts w:ascii="宋体" w:hAnsi="宋体" w:cs="宋体" w:eastAsia="宋体" w:hint="default"/>
                <w:sz w:val="24"/>
                <w:szCs w:val="24"/>
              </w:rPr>
            </w:pPr>
            <w:r>
              <w:rPr>
                <w:rFonts w:ascii="宋体" w:hAnsi="宋体" w:cs="宋体" w:eastAsia="宋体" w:hint="default"/>
                <w:sz w:val="24"/>
                <w:szCs w:val="24"/>
              </w:rPr>
              <w:t>一年内到期的非流动负债</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2,128,700,000.00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1,485,400,000.00</w:t>
            </w:r>
          </w:p>
        </w:tc>
      </w:tr>
      <w:tr>
        <w:trPr>
          <w:trHeight w:val="32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其他流动负债</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250,000,000.00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2,359,788,480.00</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流动负债合计</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9,218,081,116.25</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10,320,051,507.98</w:t>
            </w:r>
          </w:p>
        </w:tc>
      </w:tr>
    </w:tbl>
    <w:p>
      <w:pPr>
        <w:spacing w:after="0" w:line="274" w:lineRule="exact"/>
        <w:jc w:val="right"/>
        <w:rPr>
          <w:rFonts w:ascii="宋体" w:hAnsi="宋体" w:cs="宋体" w:eastAsia="宋体" w:hint="default"/>
          <w:sz w:val="24"/>
          <w:szCs w:val="24"/>
        </w:rPr>
        <w:sectPr>
          <w:footerReference w:type="default" r:id="rId53"/>
          <w:pgSz w:w="11910" w:h="16840"/>
          <w:pgMar w:footer="1195" w:header="0" w:top="1100" w:bottom="1380" w:left="1580" w:right="1040"/>
          <w:pgNumType w:start="8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662" w:type="dxa"/>
        <w:tblLayout w:type="fixed"/>
        <w:tblCellMar>
          <w:top w:w="0" w:type="dxa"/>
          <w:left w:w="0" w:type="dxa"/>
          <w:bottom w:w="0" w:type="dxa"/>
          <w:right w:w="0" w:type="dxa"/>
        </w:tblCellMar>
        <w:tblLook w:val="01E0"/>
      </w:tblPr>
      <w:tblGrid>
        <w:gridCol w:w="3509"/>
        <w:gridCol w:w="1027"/>
        <w:gridCol w:w="2256"/>
        <w:gridCol w:w="2257"/>
      </w:tblGrid>
      <w:tr>
        <w:trPr>
          <w:trHeight w:val="32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非流动负债：</w:t>
            </w:r>
            <w:r>
              <w:rPr>
                <w:rFonts w:ascii="宋体" w:hAnsi="宋体" w:cs="宋体" w:eastAsia="宋体" w:hint="default"/>
                <w:sz w:val="24"/>
                <w:szCs w:val="24"/>
              </w:rPr>
            </w:r>
          </w:p>
        </w:tc>
        <w:tc>
          <w:tcPr>
            <w:tcW w:w="5540"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2,823,000,000.00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4,683,610,000.00</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应付债券</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14,454,361,914.09</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11,947,367,549.91</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其中：优先股</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60" w:right="0"/>
              <w:jc w:val="left"/>
              <w:rPr>
                <w:rFonts w:ascii="宋体" w:hAnsi="宋体" w:cs="宋体" w:eastAsia="宋体" w:hint="default"/>
                <w:sz w:val="24"/>
                <w:szCs w:val="24"/>
              </w:rPr>
            </w:pPr>
            <w:r>
              <w:rPr>
                <w:rFonts w:ascii="宋体" w:hAnsi="宋体" w:cs="宋体" w:eastAsia="宋体" w:hint="default"/>
                <w:sz w:val="24"/>
                <w:szCs w:val="24"/>
              </w:rPr>
              <w:t>永续债</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长期应付款</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长期应付职工薪酬</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专项应付款</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预计负债</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递延收益</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递延所得税负债</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其他非流动负债</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1,450,000,000.00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1,330,000,000.00</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非流动负债合计</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18,727,361,914.09</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17,960,977,549.91</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负债合计</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27,945,443,030.34</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28,281,029,057.89</w:t>
            </w:r>
          </w:p>
        </w:tc>
      </w:tr>
      <w:tr>
        <w:trPr>
          <w:trHeight w:val="324"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所有者权益：</w:t>
            </w:r>
            <w:r>
              <w:rPr>
                <w:rFonts w:ascii="宋体" w:hAnsi="宋体" w:cs="宋体" w:eastAsia="宋体" w:hint="default"/>
                <w:sz w:val="24"/>
                <w:szCs w:val="24"/>
              </w:rPr>
            </w:r>
          </w:p>
        </w:tc>
        <w:tc>
          <w:tcPr>
            <w:tcW w:w="5540"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股本</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8,599,343,536.00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8,599,343,536.00</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其他权益工具</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其中：优先股</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60" w:right="0"/>
              <w:jc w:val="left"/>
              <w:rPr>
                <w:rFonts w:ascii="宋体" w:hAnsi="宋体" w:cs="宋体" w:eastAsia="宋体" w:hint="default"/>
                <w:sz w:val="24"/>
                <w:szCs w:val="24"/>
              </w:rPr>
            </w:pPr>
            <w:r>
              <w:rPr>
                <w:rFonts w:ascii="宋体" w:hAnsi="宋体" w:cs="宋体" w:eastAsia="宋体" w:hint="default"/>
                <w:sz w:val="24"/>
                <w:szCs w:val="24"/>
              </w:rPr>
              <w:t>永续债</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资本公积</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8,294,815,077.32</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8,223,779,898.56</w:t>
            </w:r>
          </w:p>
        </w:tc>
      </w:tr>
      <w:tr>
        <w:trPr>
          <w:trHeight w:val="32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减：库存股</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-1,395,362,066.40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-1,080,792,529.81</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专项储备</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盈余公积</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981,165,884.05</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832,294,950.74</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未分配利润</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3,883,032,430.43</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2,486,164,030.76</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所有者权益合计</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20,362,994,861.40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19,060,789,886.25</w:t>
            </w:r>
          </w:p>
        </w:tc>
      </w:tr>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负债和所有者权益总计</w:t>
            </w:r>
          </w:p>
        </w:tc>
        <w:tc>
          <w:tcPr>
            <w:tcW w:w="102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48,308,437,891.74</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47,341,818,944.14</w:t>
            </w:r>
          </w:p>
        </w:tc>
      </w:tr>
    </w:tbl>
    <w:p>
      <w:pPr>
        <w:spacing w:line="240" w:lineRule="auto" w:before="4"/>
        <w:rPr>
          <w:rFonts w:ascii="Times New Roman" w:hAnsi="Times New Roman" w:cs="Times New Roman" w:eastAsia="Times New Roman" w:hint="default"/>
          <w:sz w:val="21"/>
          <w:szCs w:val="21"/>
        </w:rPr>
      </w:pPr>
    </w:p>
    <w:p>
      <w:pPr>
        <w:pStyle w:val="BodyText"/>
        <w:spacing w:line="240" w:lineRule="auto" w:before="26"/>
        <w:ind w:left="778" w:right="794"/>
        <w:jc w:val="left"/>
      </w:pPr>
      <w:r>
        <w:rPr/>
        <w:t>法定代表人：林俊波 主管会计工作负责人：潘孝娜</w:t>
      </w:r>
      <w:r>
        <w:rPr>
          <w:spacing w:val="-1"/>
        </w:rPr>
        <w:t> </w:t>
      </w:r>
      <w:r>
        <w:rPr/>
        <w:t>会计机构负责人：胡倩倩</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00" w:bottom="1380" w:left="1020" w:right="480"/>
        </w:sectPr>
      </w:pPr>
    </w:p>
    <w:p>
      <w:pPr>
        <w:spacing w:line="310" w:lineRule="exact" w:before="58"/>
        <w:ind w:left="4323" w:right="-20" w:firstLine="268"/>
        <w:jc w:val="left"/>
        <w:rPr>
          <w:rFonts w:ascii="宋体" w:hAnsi="宋体" w:cs="宋体" w:eastAsia="宋体" w:hint="default"/>
          <w:sz w:val="24"/>
          <w:szCs w:val="24"/>
        </w:rPr>
      </w:pPr>
      <w:r>
        <w:rPr>
          <w:rFonts w:ascii="宋体" w:hAnsi="宋体" w:cs="宋体" w:eastAsia="宋体" w:hint="default"/>
          <w:b/>
          <w:bCs/>
          <w:sz w:val="24"/>
          <w:szCs w:val="24"/>
        </w:rPr>
        <w:t>合并利润表</w:t>
      </w:r>
      <w:r>
        <w:rPr>
          <w:rFonts w:ascii="宋体" w:hAnsi="宋体" w:cs="宋体" w:eastAsia="宋体" w:hint="default"/>
          <w:b/>
          <w:bCs/>
          <w:w w:val="99"/>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BodyText"/>
        <w:tabs>
          <w:tab w:pos="2187" w:val="left" w:leader="none"/>
        </w:tabs>
        <w:spacing w:line="240" w:lineRule="auto"/>
        <w:ind w:left="110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00" w:bottom="280" w:left="1020" w:right="480"/>
          <w:cols w:num="2" w:equalWidth="0">
            <w:col w:w="6064" w:space="40"/>
            <w:col w:w="430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770"/>
        <w:gridCol w:w="886"/>
        <w:gridCol w:w="2257"/>
        <w:gridCol w:w="2256"/>
      </w:tblGrid>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43"/>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一、营业总收入</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center"/>
              <w:rPr>
                <w:rFonts w:ascii="宋体" w:hAnsi="宋体" w:cs="宋体" w:eastAsia="宋体" w:hint="default"/>
                <w:sz w:val="24"/>
                <w:szCs w:val="24"/>
              </w:rPr>
            </w:pPr>
            <w:r>
              <w:rPr>
                <w:rFonts w:ascii="宋体"/>
                <w:sz w:val="24"/>
              </w:rPr>
              <w:t>17,499,924,005.52</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13,626,242,154.83</w:t>
            </w: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其中：营业收入</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pacing w:val="-14"/>
                <w:sz w:val="24"/>
                <w:szCs w:val="24"/>
              </w:rPr>
              <w:t>七、</w:t>
            </w:r>
            <w:r>
              <w:rPr>
                <w:rFonts w:ascii="宋体" w:hAnsi="宋体" w:cs="宋体" w:eastAsia="宋体" w:hint="default"/>
                <w:spacing w:val="-14"/>
                <w:sz w:val="24"/>
                <w:szCs w:val="24"/>
              </w:rPr>
              <w:t>43</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center"/>
              <w:rPr>
                <w:rFonts w:ascii="宋体" w:hAnsi="宋体" w:cs="宋体" w:eastAsia="宋体" w:hint="default"/>
                <w:sz w:val="24"/>
                <w:szCs w:val="24"/>
              </w:rPr>
            </w:pPr>
            <w:r>
              <w:rPr>
                <w:rFonts w:ascii="宋体"/>
                <w:sz w:val="24"/>
              </w:rPr>
              <w:t>17,499,924,005.52</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13,626,242,154.83</w:t>
            </w: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1"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1" w:right="0"/>
              <w:jc w:val="left"/>
              <w:rPr>
                <w:rFonts w:ascii="宋体" w:hAnsi="宋体" w:cs="宋体" w:eastAsia="宋体" w:hint="default"/>
                <w:sz w:val="24"/>
                <w:szCs w:val="24"/>
              </w:rPr>
            </w:pPr>
            <w:r>
              <w:rPr>
                <w:rFonts w:ascii="宋体" w:hAnsi="宋体" w:cs="宋体" w:eastAsia="宋体" w:hint="default"/>
                <w:sz w:val="24"/>
                <w:szCs w:val="24"/>
              </w:rPr>
              <w:t>已赚保费</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821" w:right="0"/>
              <w:jc w:val="left"/>
              <w:rPr>
                <w:rFonts w:ascii="宋体" w:hAnsi="宋体" w:cs="宋体" w:eastAsia="宋体" w:hint="default"/>
                <w:sz w:val="24"/>
                <w:szCs w:val="24"/>
              </w:rPr>
            </w:pPr>
            <w:r>
              <w:rPr>
                <w:rFonts w:ascii="宋体" w:hAnsi="宋体" w:cs="宋体" w:eastAsia="宋体" w:hint="default"/>
                <w:sz w:val="24"/>
                <w:szCs w:val="24"/>
              </w:rPr>
              <w:t>手续费及佣金收入</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二、营业总成本</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3"/>
              <w:jc w:val="center"/>
              <w:rPr>
                <w:rFonts w:ascii="宋体" w:hAnsi="宋体" w:cs="宋体" w:eastAsia="宋体" w:hint="default"/>
                <w:sz w:val="24"/>
                <w:szCs w:val="24"/>
              </w:rPr>
            </w:pPr>
            <w:r>
              <w:rPr>
                <w:rFonts w:ascii="宋体"/>
                <w:sz w:val="24"/>
              </w:rPr>
              <w:t>16,899,934,288.80</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
              <w:jc w:val="center"/>
              <w:rPr>
                <w:rFonts w:ascii="宋体" w:hAnsi="宋体" w:cs="宋体" w:eastAsia="宋体" w:hint="default"/>
                <w:sz w:val="24"/>
                <w:szCs w:val="24"/>
              </w:rPr>
            </w:pPr>
            <w:r>
              <w:rPr>
                <w:rFonts w:ascii="宋体"/>
                <w:sz w:val="24"/>
              </w:rPr>
              <w:t>13,652,820,273.54</w:t>
            </w:r>
          </w:p>
        </w:tc>
      </w:tr>
      <w:tr>
        <w:trPr>
          <w:trHeight w:val="329"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其中：营业成本</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pacing w:val="-14"/>
                <w:sz w:val="24"/>
                <w:szCs w:val="24"/>
              </w:rPr>
              <w:t>七、</w:t>
            </w:r>
            <w:r>
              <w:rPr>
                <w:rFonts w:ascii="宋体" w:hAnsi="宋体" w:cs="宋体" w:eastAsia="宋体" w:hint="default"/>
                <w:spacing w:val="-14"/>
                <w:sz w:val="24"/>
                <w:szCs w:val="24"/>
              </w:rPr>
              <w:t>43</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3"/>
              <w:jc w:val="center"/>
              <w:rPr>
                <w:rFonts w:ascii="宋体" w:hAnsi="宋体" w:cs="宋体" w:eastAsia="宋体" w:hint="default"/>
                <w:sz w:val="24"/>
                <w:szCs w:val="24"/>
              </w:rPr>
            </w:pPr>
            <w:r>
              <w:rPr>
                <w:rFonts w:ascii="宋体"/>
                <w:sz w:val="24"/>
              </w:rPr>
              <w:t>12,570,080,546.16</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
              <w:jc w:val="center"/>
              <w:rPr>
                <w:rFonts w:ascii="宋体" w:hAnsi="宋体" w:cs="宋体" w:eastAsia="宋体" w:hint="default"/>
                <w:sz w:val="24"/>
                <w:szCs w:val="24"/>
              </w:rPr>
            </w:pPr>
            <w:r>
              <w:rPr>
                <w:rFonts w:ascii="宋体"/>
                <w:sz w:val="24"/>
              </w:rPr>
              <w:t>10,861,162,471.56</w:t>
            </w:r>
          </w:p>
        </w:tc>
      </w:tr>
    </w:tbl>
    <w:p>
      <w:pPr>
        <w:spacing w:after="0" w:line="276" w:lineRule="exact"/>
        <w:jc w:val="center"/>
        <w:rPr>
          <w:rFonts w:ascii="宋体" w:hAnsi="宋体" w:cs="宋体" w:eastAsia="宋体" w:hint="default"/>
          <w:sz w:val="24"/>
          <w:szCs w:val="24"/>
        </w:rPr>
        <w:sectPr>
          <w:type w:val="continuous"/>
          <w:pgSz w:w="11910" w:h="16840"/>
          <w:pgMar w:top="1000" w:bottom="280" w:left="1020" w:right="4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4770"/>
        <w:gridCol w:w="886"/>
        <w:gridCol w:w="2257"/>
        <w:gridCol w:w="2256"/>
      </w:tblGrid>
      <w:tr>
        <w:trPr>
          <w:trHeight w:val="327"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821"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821" w:right="0"/>
              <w:jc w:val="left"/>
              <w:rPr>
                <w:rFonts w:ascii="宋体" w:hAnsi="宋体" w:cs="宋体" w:eastAsia="宋体" w:hint="default"/>
                <w:sz w:val="24"/>
                <w:szCs w:val="24"/>
              </w:rPr>
            </w:pPr>
            <w:r>
              <w:rPr>
                <w:rFonts w:ascii="宋体" w:hAnsi="宋体" w:cs="宋体" w:eastAsia="宋体" w:hint="default"/>
                <w:sz w:val="24"/>
                <w:szCs w:val="24"/>
              </w:rPr>
              <w:t>手续费及佣金支出</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821" w:right="0"/>
              <w:jc w:val="left"/>
              <w:rPr>
                <w:rFonts w:ascii="宋体" w:hAnsi="宋体" w:cs="宋体" w:eastAsia="宋体" w:hint="default"/>
                <w:sz w:val="24"/>
                <w:szCs w:val="24"/>
              </w:rPr>
            </w:pPr>
            <w:r>
              <w:rPr>
                <w:rFonts w:ascii="宋体" w:hAnsi="宋体" w:cs="宋体" w:eastAsia="宋体" w:hint="default"/>
                <w:sz w:val="24"/>
                <w:szCs w:val="24"/>
              </w:rPr>
              <w:t>退保金</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1" w:right="0"/>
              <w:jc w:val="left"/>
              <w:rPr>
                <w:rFonts w:ascii="宋体" w:hAnsi="宋体" w:cs="宋体" w:eastAsia="宋体" w:hint="default"/>
                <w:sz w:val="24"/>
                <w:szCs w:val="24"/>
              </w:rPr>
            </w:pPr>
            <w:r>
              <w:rPr>
                <w:rFonts w:ascii="宋体" w:hAnsi="宋体" w:cs="宋体" w:eastAsia="宋体" w:hint="default"/>
                <w:sz w:val="24"/>
                <w:szCs w:val="24"/>
              </w:rPr>
              <w:t>赔付支出净额</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1" w:right="0"/>
              <w:jc w:val="left"/>
              <w:rPr>
                <w:rFonts w:ascii="宋体" w:hAnsi="宋体" w:cs="宋体" w:eastAsia="宋体" w:hint="default"/>
                <w:sz w:val="24"/>
                <w:szCs w:val="24"/>
              </w:rPr>
            </w:pPr>
            <w:r>
              <w:rPr>
                <w:rFonts w:ascii="宋体" w:hAnsi="宋体" w:cs="宋体" w:eastAsia="宋体" w:hint="default"/>
                <w:sz w:val="24"/>
                <w:szCs w:val="24"/>
              </w:rPr>
              <w:t>提取保险合同准备金净额</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1" w:right="0"/>
              <w:jc w:val="left"/>
              <w:rPr>
                <w:rFonts w:ascii="宋体" w:hAnsi="宋体" w:cs="宋体" w:eastAsia="宋体" w:hint="default"/>
                <w:sz w:val="24"/>
                <w:szCs w:val="24"/>
              </w:rPr>
            </w:pPr>
            <w:r>
              <w:rPr>
                <w:rFonts w:ascii="宋体" w:hAnsi="宋体" w:cs="宋体" w:eastAsia="宋体" w:hint="default"/>
                <w:sz w:val="24"/>
                <w:szCs w:val="24"/>
              </w:rPr>
              <w:t>保单红利支出</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1" w:right="0"/>
              <w:jc w:val="left"/>
              <w:rPr>
                <w:rFonts w:ascii="宋体" w:hAnsi="宋体" w:cs="宋体" w:eastAsia="宋体" w:hint="default"/>
                <w:sz w:val="24"/>
                <w:szCs w:val="24"/>
              </w:rPr>
            </w:pPr>
            <w:r>
              <w:rPr>
                <w:rFonts w:ascii="宋体" w:hAnsi="宋体" w:cs="宋体" w:eastAsia="宋体" w:hint="default"/>
                <w:sz w:val="24"/>
                <w:szCs w:val="24"/>
              </w:rPr>
              <w:t>分保费用</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1" w:right="0"/>
              <w:jc w:val="left"/>
              <w:rPr>
                <w:rFonts w:ascii="宋体" w:hAnsi="宋体" w:cs="宋体" w:eastAsia="宋体" w:hint="default"/>
                <w:sz w:val="24"/>
                <w:szCs w:val="24"/>
              </w:rPr>
            </w:pPr>
            <w:r>
              <w:rPr>
                <w:rFonts w:ascii="宋体" w:hAnsi="宋体" w:cs="宋体" w:eastAsia="宋体" w:hint="default"/>
                <w:sz w:val="24"/>
                <w:szCs w:val="24"/>
              </w:rPr>
              <w:t>税金及附加</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pacing w:val="-14"/>
                <w:sz w:val="24"/>
                <w:szCs w:val="24"/>
              </w:rPr>
              <w:t>七、</w:t>
            </w:r>
            <w:r>
              <w:rPr>
                <w:rFonts w:ascii="宋体" w:hAnsi="宋体" w:cs="宋体" w:eastAsia="宋体" w:hint="default"/>
                <w:spacing w:val="-14"/>
                <w:sz w:val="24"/>
                <w:szCs w:val="24"/>
              </w:rPr>
              <w:t>44</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1,523,142,367.59</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769,440,548.15</w:t>
            </w: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1"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pacing w:val="-14"/>
                <w:sz w:val="24"/>
                <w:szCs w:val="24"/>
              </w:rPr>
              <w:t>七、</w:t>
            </w:r>
            <w:r>
              <w:rPr>
                <w:rFonts w:ascii="宋体" w:hAnsi="宋体" w:cs="宋体" w:eastAsia="宋体" w:hint="default"/>
                <w:spacing w:val="-14"/>
                <w:sz w:val="24"/>
                <w:szCs w:val="24"/>
              </w:rPr>
              <w:t>45</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516,619,119.51</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419,130,643.57</w:t>
            </w: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1"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pacing w:val="-14"/>
                <w:sz w:val="24"/>
                <w:szCs w:val="24"/>
              </w:rPr>
              <w:t>七、</w:t>
            </w:r>
            <w:r>
              <w:rPr>
                <w:rFonts w:ascii="宋体" w:hAnsi="宋体" w:cs="宋体" w:eastAsia="宋体" w:hint="default"/>
                <w:spacing w:val="-14"/>
                <w:sz w:val="24"/>
                <w:szCs w:val="24"/>
              </w:rPr>
              <w:t>46</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444,280,244.79</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390,172,502.46</w:t>
            </w:r>
          </w:p>
        </w:tc>
      </w:tr>
      <w:tr>
        <w:trPr>
          <w:trHeight w:val="327"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1"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pacing w:val="-14"/>
                <w:sz w:val="24"/>
                <w:szCs w:val="24"/>
              </w:rPr>
              <w:t>七、</w:t>
            </w:r>
            <w:r>
              <w:rPr>
                <w:rFonts w:ascii="宋体" w:hAnsi="宋体" w:cs="宋体" w:eastAsia="宋体" w:hint="default"/>
                <w:spacing w:val="-14"/>
                <w:sz w:val="24"/>
                <w:szCs w:val="24"/>
              </w:rPr>
              <w:t>47</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1,493,290,250.49</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1,196,099,713.23</w:t>
            </w: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1" w:right="0"/>
              <w:jc w:val="left"/>
              <w:rPr>
                <w:rFonts w:ascii="宋体" w:hAnsi="宋体" w:cs="宋体" w:eastAsia="宋体" w:hint="default"/>
                <w:sz w:val="24"/>
                <w:szCs w:val="24"/>
              </w:rPr>
            </w:pPr>
            <w:r>
              <w:rPr>
                <w:rFonts w:ascii="宋体" w:hAnsi="宋体" w:cs="宋体" w:eastAsia="宋体" w:hint="default"/>
                <w:sz w:val="24"/>
                <w:szCs w:val="24"/>
              </w:rPr>
              <w:t>资产减值损失</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pacing w:val="-14"/>
                <w:sz w:val="24"/>
                <w:szCs w:val="24"/>
              </w:rPr>
              <w:t>七、</w:t>
            </w:r>
            <w:r>
              <w:rPr>
                <w:rFonts w:ascii="宋体" w:hAnsi="宋体" w:cs="宋体" w:eastAsia="宋体" w:hint="default"/>
                <w:spacing w:val="-14"/>
                <w:sz w:val="24"/>
                <w:szCs w:val="24"/>
              </w:rPr>
              <w:t>48</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352,521,760.26</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16,814,394.57</w:t>
            </w:r>
          </w:p>
        </w:tc>
      </w:tr>
      <w:tr>
        <w:trPr>
          <w:trHeight w:val="63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1" w:right="0"/>
              <w:jc w:val="left"/>
              <w:rPr>
                <w:rFonts w:ascii="宋体" w:hAnsi="宋体" w:cs="宋体" w:eastAsia="宋体" w:hint="default"/>
                <w:sz w:val="24"/>
                <w:szCs w:val="24"/>
              </w:rPr>
            </w:pPr>
            <w:r>
              <w:rPr>
                <w:rFonts w:ascii="宋体" w:hAnsi="宋体" w:cs="宋体" w:eastAsia="宋体" w:hint="default"/>
                <w:sz w:val="24"/>
                <w:szCs w:val="24"/>
              </w:rPr>
              <w:t>加：公允价值变动收益（损失以“－”号</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填列）</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pacing w:val="-14"/>
                <w:sz w:val="24"/>
                <w:szCs w:val="24"/>
              </w:rPr>
              <w:t>七、</w:t>
            </w:r>
            <w:r>
              <w:rPr>
                <w:rFonts w:ascii="宋体" w:hAnsi="宋体" w:cs="宋体" w:eastAsia="宋体" w:hint="default"/>
                <w:spacing w:val="-14"/>
                <w:sz w:val="24"/>
                <w:szCs w:val="24"/>
              </w:rPr>
              <w:t>49</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25,176,970.60</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-3,009,549.23</w:t>
            </w: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821" w:right="0"/>
              <w:jc w:val="left"/>
              <w:rPr>
                <w:rFonts w:ascii="宋体" w:hAnsi="宋体" w:cs="宋体" w:eastAsia="宋体" w:hint="default"/>
                <w:sz w:val="24"/>
                <w:szCs w:val="24"/>
              </w:rPr>
            </w:pPr>
            <w:r>
              <w:rPr>
                <w:rFonts w:ascii="宋体" w:hAnsi="宋体" w:cs="宋体" w:eastAsia="宋体" w:hint="default"/>
                <w:sz w:val="24"/>
                <w:szCs w:val="24"/>
              </w:rPr>
              <w:t>投资收益（损失以“－”号填列）</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pacing w:val="-14"/>
                <w:sz w:val="24"/>
                <w:szCs w:val="24"/>
              </w:rPr>
              <w:t>七、</w:t>
            </w:r>
            <w:r>
              <w:rPr>
                <w:rFonts w:ascii="宋体" w:hAnsi="宋体" w:cs="宋体" w:eastAsia="宋体" w:hint="default"/>
                <w:spacing w:val="-14"/>
                <w:sz w:val="24"/>
                <w:szCs w:val="24"/>
              </w:rPr>
              <w:t>50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3,182,236,717.02</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353,463,579.79</w:t>
            </w:r>
          </w:p>
        </w:tc>
      </w:tr>
      <w:tr>
        <w:trPr>
          <w:trHeight w:val="638"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821" w:right="0"/>
              <w:jc w:val="left"/>
              <w:rPr>
                <w:rFonts w:ascii="宋体" w:hAnsi="宋体" w:cs="宋体" w:eastAsia="宋体" w:hint="default"/>
                <w:sz w:val="24"/>
                <w:szCs w:val="24"/>
              </w:rPr>
            </w:pPr>
            <w:r>
              <w:rPr>
                <w:rFonts w:ascii="宋体" w:hAnsi="宋体" w:cs="宋体" w:eastAsia="宋体" w:hint="default"/>
                <w:sz w:val="24"/>
                <w:szCs w:val="24"/>
              </w:rPr>
              <w:t>其中：对联营企业和合营企业的投资</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收益</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2,482,386,682.79</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576,362,535.07</w:t>
            </w: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1" w:right="-17"/>
              <w:jc w:val="left"/>
              <w:rPr>
                <w:rFonts w:ascii="宋体" w:hAnsi="宋体" w:cs="宋体" w:eastAsia="宋体" w:hint="default"/>
                <w:sz w:val="24"/>
                <w:szCs w:val="24"/>
              </w:rPr>
            </w:pPr>
            <w:r>
              <w:rPr>
                <w:rFonts w:ascii="宋体" w:hAnsi="宋体" w:cs="宋体" w:eastAsia="宋体" w:hint="default"/>
                <w:spacing w:val="-8"/>
                <w:sz w:val="24"/>
                <w:szCs w:val="24"/>
              </w:rPr>
              <w:t>资产处置收益（损失以“－”号填列）</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pacing w:val="-14"/>
                <w:sz w:val="24"/>
                <w:szCs w:val="24"/>
              </w:rPr>
              <w:t>七、</w:t>
            </w:r>
            <w:r>
              <w:rPr>
                <w:rFonts w:ascii="宋体" w:hAnsi="宋体" w:cs="宋体" w:eastAsia="宋体" w:hint="default"/>
                <w:spacing w:val="-14"/>
                <w:sz w:val="24"/>
                <w:szCs w:val="24"/>
              </w:rPr>
              <w:t>51</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515,100.31</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-3,083,575.74</w:t>
            </w: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1" w:right="0"/>
              <w:jc w:val="left"/>
              <w:rPr>
                <w:rFonts w:ascii="宋体" w:hAnsi="宋体" w:cs="宋体" w:eastAsia="宋体" w:hint="default"/>
                <w:sz w:val="24"/>
                <w:szCs w:val="24"/>
              </w:rPr>
            </w:pPr>
            <w:r>
              <w:rPr>
                <w:rFonts w:ascii="宋体" w:hAnsi="宋体" w:cs="宋体" w:eastAsia="宋体" w:hint="default"/>
                <w:sz w:val="24"/>
                <w:szCs w:val="24"/>
              </w:rPr>
              <w:t>汇兑收益（损失以“－”号填列）</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1" w:right="0"/>
              <w:jc w:val="left"/>
              <w:rPr>
                <w:rFonts w:ascii="宋体" w:hAnsi="宋体" w:cs="宋体" w:eastAsia="宋体" w:hint="default"/>
                <w:sz w:val="24"/>
                <w:szCs w:val="24"/>
              </w:rPr>
            </w:pPr>
            <w:r>
              <w:rPr>
                <w:rFonts w:ascii="宋体" w:hAnsi="宋体" w:cs="宋体" w:eastAsia="宋体" w:hint="default"/>
                <w:sz w:val="24"/>
                <w:szCs w:val="24"/>
              </w:rPr>
              <w:t>其他收益</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pacing w:val="-14"/>
                <w:sz w:val="24"/>
                <w:szCs w:val="24"/>
              </w:rPr>
              <w:t>七、</w:t>
            </w:r>
            <w:r>
              <w:rPr>
                <w:rFonts w:ascii="宋体" w:hAnsi="宋体" w:cs="宋体" w:eastAsia="宋体" w:hint="default"/>
                <w:spacing w:val="-14"/>
                <w:sz w:val="24"/>
                <w:szCs w:val="24"/>
              </w:rPr>
              <w:t>52</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7,383,879.83</w:t>
            </w: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三、营业利润（亏损以“－”号填列）</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3,815,302,384.48</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320,792,336.11</w:t>
            </w: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加：营业外收入</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pacing w:val="-14"/>
                <w:sz w:val="24"/>
                <w:szCs w:val="24"/>
              </w:rPr>
              <w:t>七、</w:t>
            </w:r>
            <w:r>
              <w:rPr>
                <w:rFonts w:ascii="宋体" w:hAnsi="宋体" w:cs="宋体" w:eastAsia="宋体" w:hint="default"/>
                <w:spacing w:val="-14"/>
                <w:sz w:val="24"/>
                <w:szCs w:val="24"/>
              </w:rPr>
              <w:t>53</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390,852,392.44</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5,766,227,660.87</w:t>
            </w:r>
          </w:p>
        </w:tc>
      </w:tr>
      <w:tr>
        <w:trPr>
          <w:trHeight w:val="324"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减：营业外支出</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pacing w:val="-14"/>
                <w:sz w:val="24"/>
                <w:szCs w:val="24"/>
              </w:rPr>
              <w:t>七、</w:t>
            </w:r>
            <w:r>
              <w:rPr>
                <w:rFonts w:ascii="宋体" w:hAnsi="宋体" w:cs="宋体" w:eastAsia="宋体" w:hint="default"/>
                <w:spacing w:val="-14"/>
                <w:sz w:val="24"/>
                <w:szCs w:val="24"/>
              </w:rPr>
              <w:t>54</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27,207,734.22</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21,506,790.67</w:t>
            </w: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四、利润总额（亏损总额以“－”号填列）</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4,178,947,042.70</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6,065,513,206.31</w:t>
            </w: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1" w:right="0"/>
              <w:jc w:val="left"/>
              <w:rPr>
                <w:rFonts w:ascii="宋体" w:hAnsi="宋体" w:cs="宋体" w:eastAsia="宋体" w:hint="default"/>
                <w:sz w:val="24"/>
                <w:szCs w:val="24"/>
              </w:rPr>
            </w:pPr>
            <w:r>
              <w:rPr>
                <w:rFonts w:ascii="宋体" w:hAnsi="宋体" w:cs="宋体" w:eastAsia="宋体" w:hint="default"/>
                <w:sz w:val="24"/>
                <w:szCs w:val="24"/>
              </w:rPr>
              <w:t>减：所得税费用</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pacing w:val="-14"/>
                <w:sz w:val="24"/>
                <w:szCs w:val="24"/>
              </w:rPr>
              <w:t>七、</w:t>
            </w:r>
            <w:r>
              <w:rPr>
                <w:rFonts w:ascii="宋体" w:hAnsi="宋体" w:cs="宋体" w:eastAsia="宋体" w:hint="default"/>
                <w:spacing w:val="-14"/>
                <w:sz w:val="24"/>
                <w:szCs w:val="24"/>
              </w:rPr>
              <w:t>55</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828,726,084.59</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218,333,676.89</w:t>
            </w: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五、净利润（净亏损以“－”号填列）</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3,350,220,958.11</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5,847,179,529.42</w:t>
            </w: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1"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一</w:t>
            </w:r>
            <w:r>
              <w:rPr>
                <w:rFonts w:ascii="宋体" w:hAnsi="宋体" w:cs="宋体" w:eastAsia="宋体" w:hint="default"/>
                <w:sz w:val="24"/>
                <w:szCs w:val="24"/>
              </w:rPr>
              <w:t>)</w:t>
            </w:r>
            <w:r>
              <w:rPr>
                <w:rFonts w:ascii="宋体" w:hAnsi="宋体" w:cs="宋体" w:eastAsia="宋体" w:hint="default"/>
                <w:sz w:val="24"/>
                <w:szCs w:val="24"/>
              </w:rPr>
              <w:t>按经营持续性分类</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581"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持续经营净利润（净亏损以“－”号</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填列）</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3,021,367,428.81</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5,789,095,107.15</w:t>
            </w:r>
          </w:p>
        </w:tc>
      </w:tr>
      <w:tr>
        <w:trPr>
          <w:trHeight w:val="637"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581"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终止经营净利润（净亏损以“－”号</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填列）</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328,853,529.30</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58,084,422.27</w:t>
            </w: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1"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二</w:t>
            </w:r>
            <w:r>
              <w:rPr>
                <w:rFonts w:ascii="宋体" w:hAnsi="宋体" w:cs="宋体" w:eastAsia="宋体" w:hint="default"/>
                <w:sz w:val="24"/>
                <w:szCs w:val="24"/>
              </w:rPr>
              <w:t>)</w:t>
            </w:r>
            <w:r>
              <w:rPr>
                <w:rFonts w:ascii="宋体" w:hAnsi="宋体" w:cs="宋体" w:eastAsia="宋体" w:hint="default"/>
                <w:sz w:val="24"/>
                <w:szCs w:val="24"/>
              </w:rPr>
              <w:t>按所有权归属分类</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581"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少数股东损益</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28,355,740.36</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8,718,752.41</w:t>
            </w: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581"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归属于母公司股东的净利润</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3,321,865,217.75</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5,838,460,777.01</w:t>
            </w: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六、其他综合收益的税后净额</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pacing w:val="-14"/>
                <w:sz w:val="24"/>
                <w:szCs w:val="24"/>
              </w:rPr>
              <w:t>七、</w:t>
            </w:r>
            <w:r>
              <w:rPr>
                <w:rFonts w:ascii="宋体" w:hAnsi="宋体" w:cs="宋体" w:eastAsia="宋体" w:hint="default"/>
                <w:spacing w:val="-14"/>
                <w:sz w:val="24"/>
                <w:szCs w:val="24"/>
              </w:rPr>
              <w:t>56</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-159,378,552.43</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895,216,287.39</w:t>
            </w:r>
          </w:p>
        </w:tc>
      </w:tr>
      <w:tr>
        <w:trPr>
          <w:trHeight w:val="638"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1" w:right="0"/>
              <w:jc w:val="left"/>
              <w:rPr>
                <w:rFonts w:ascii="宋体" w:hAnsi="宋体" w:cs="宋体" w:eastAsia="宋体" w:hint="default"/>
                <w:sz w:val="24"/>
                <w:szCs w:val="24"/>
              </w:rPr>
            </w:pPr>
            <w:r>
              <w:rPr>
                <w:rFonts w:ascii="宋体" w:hAnsi="宋体" w:cs="宋体" w:eastAsia="宋体" w:hint="default"/>
                <w:sz w:val="24"/>
                <w:szCs w:val="24"/>
              </w:rPr>
              <w:t>归属母公司所有者的其他综合收益的税</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后净额</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-159,378,552.43</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895,216,287.39</w:t>
            </w:r>
          </w:p>
        </w:tc>
      </w:tr>
      <w:tr>
        <w:trPr>
          <w:trHeight w:val="63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581" w:right="0"/>
              <w:jc w:val="left"/>
              <w:rPr>
                <w:rFonts w:ascii="宋体" w:hAnsi="宋体" w:cs="宋体" w:eastAsia="宋体" w:hint="default"/>
                <w:sz w:val="24"/>
                <w:szCs w:val="24"/>
              </w:rPr>
            </w:pPr>
            <w:r>
              <w:rPr>
                <w:rFonts w:ascii="宋体" w:hAnsi="宋体" w:cs="宋体" w:eastAsia="宋体" w:hint="default"/>
                <w:sz w:val="24"/>
                <w:szCs w:val="24"/>
              </w:rPr>
              <w:t>（一）以后不能重分类进损益的其他综</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合收益</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639"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1"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重新计量设定受益计划净负债或</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净资产的变动</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1"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权益法下在被投资单位不能重分</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1195" w:top="1100" w:bottom="1380" w:left="1020" w:right="4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4770"/>
        <w:gridCol w:w="886"/>
        <w:gridCol w:w="2257"/>
        <w:gridCol w:w="2256"/>
      </w:tblGrid>
      <w:tr>
        <w:trPr>
          <w:trHeight w:val="327"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类进损益的其他综合收益中享有的份额</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1" w:right="0"/>
              <w:jc w:val="left"/>
              <w:rPr>
                <w:rFonts w:ascii="宋体" w:hAnsi="宋体" w:cs="宋体" w:eastAsia="宋体" w:hint="default"/>
                <w:sz w:val="24"/>
                <w:szCs w:val="24"/>
              </w:rPr>
            </w:pPr>
            <w:r>
              <w:rPr>
                <w:rFonts w:ascii="宋体" w:hAnsi="宋体" w:cs="宋体" w:eastAsia="宋体" w:hint="default"/>
                <w:sz w:val="24"/>
                <w:szCs w:val="24"/>
              </w:rPr>
              <w:t>（二）以后将重分类进损益的其他综合</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收益</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-159,378,552.43</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895,216,287.39</w:t>
            </w:r>
          </w:p>
        </w:tc>
      </w:tr>
      <w:tr>
        <w:trPr>
          <w:trHeight w:val="638"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firstLine="72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权益法下在被投资单位以后将重</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分类进损益的其他综合收益中享有的份额</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-461,998,314.50</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-195,196,000.98</w:t>
            </w:r>
          </w:p>
        </w:tc>
      </w:tr>
      <w:tr>
        <w:trPr>
          <w:trHeight w:val="63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821"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可供出售金融资产公允价值变动</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损益</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-42,593,814.32</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1,262,157,747.31</w:t>
            </w:r>
          </w:p>
        </w:tc>
      </w:tr>
      <w:tr>
        <w:trPr>
          <w:trHeight w:val="638"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821"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持有至到期投资重分类为可供出</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售金融资产损益</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72"/>
              <w:jc w:val="right"/>
              <w:rPr>
                <w:rFonts w:ascii="宋体" w:hAnsi="宋体" w:cs="宋体" w:eastAsia="宋体" w:hint="default"/>
                <w:sz w:val="24"/>
                <w:szCs w:val="24"/>
              </w:rPr>
            </w:pPr>
            <w:r>
              <w:rPr>
                <w:rFonts w:ascii="宋体" w:hAnsi="宋体" w:cs="宋体" w:eastAsia="宋体" w:hint="default"/>
                <w:spacing w:val="-1"/>
                <w:sz w:val="24"/>
                <w:szCs w:val="24"/>
              </w:rPr>
              <w:t>4.</w:t>
            </w:r>
            <w:r>
              <w:rPr>
                <w:rFonts w:ascii="宋体" w:hAnsi="宋体" w:cs="宋体" w:eastAsia="宋体" w:hint="default"/>
                <w:spacing w:val="-1"/>
                <w:sz w:val="24"/>
                <w:szCs w:val="24"/>
              </w:rPr>
              <w:t>现金流量套期损益的有效部分</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1"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外币财务报表折算差额</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345,213,576.39</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-51,639,744.20</w:t>
            </w: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1"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其他</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-120,105,714.74</w:t>
            </w:r>
          </w:p>
        </w:tc>
      </w:tr>
      <w:tr>
        <w:trPr>
          <w:trHeight w:val="63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1" w:right="0"/>
              <w:jc w:val="left"/>
              <w:rPr>
                <w:rFonts w:ascii="宋体" w:hAnsi="宋体" w:cs="宋体" w:eastAsia="宋体" w:hint="default"/>
                <w:sz w:val="24"/>
                <w:szCs w:val="24"/>
              </w:rPr>
            </w:pPr>
            <w:r>
              <w:rPr>
                <w:rFonts w:ascii="宋体" w:hAnsi="宋体" w:cs="宋体" w:eastAsia="宋体" w:hint="default"/>
                <w:sz w:val="24"/>
                <w:szCs w:val="24"/>
              </w:rPr>
              <w:t>归属于少数股东的其他综合收益的税后</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净额</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七、综合收益总额</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3,190,842,405.68</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6,742,395,816.81</w:t>
            </w: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72"/>
              <w:jc w:val="right"/>
              <w:rPr>
                <w:rFonts w:ascii="宋体" w:hAnsi="宋体" w:cs="宋体" w:eastAsia="宋体" w:hint="default"/>
                <w:sz w:val="24"/>
                <w:szCs w:val="24"/>
              </w:rPr>
            </w:pPr>
            <w:r>
              <w:rPr>
                <w:rFonts w:ascii="宋体" w:hAnsi="宋体" w:cs="宋体" w:eastAsia="宋体" w:hint="default"/>
                <w:sz w:val="24"/>
                <w:szCs w:val="24"/>
              </w:rPr>
              <w:t>归属于母公司所有者的综合收益总额</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3,162,486,665.32</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6,733,677,064.40</w:t>
            </w: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归属于少数股东的综合收益总额</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28,355,740.36</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8,718,752.41</w:t>
            </w: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八、每股收益：</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（一）基本每股收益</w:t>
            </w:r>
            <w:r>
              <w:rPr>
                <w:rFonts w:ascii="宋体" w:hAnsi="宋体" w:cs="宋体" w:eastAsia="宋体" w:hint="default"/>
                <w:sz w:val="24"/>
                <w:szCs w:val="24"/>
              </w:rPr>
              <w:t>(</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股</w:t>
            </w:r>
            <w:r>
              <w:rPr>
                <w:rFonts w:ascii="宋体" w:hAnsi="宋体" w:cs="宋体" w:eastAsia="宋体" w:hint="default"/>
                <w:sz w:val="24"/>
                <w:szCs w:val="24"/>
              </w:rPr>
              <w:t>)</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0.39</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0.66</w:t>
            </w:r>
          </w:p>
        </w:tc>
      </w:tr>
      <w:tr>
        <w:trPr>
          <w:trHeight w:val="326" w:hRule="exact"/>
        </w:trPr>
        <w:tc>
          <w:tcPr>
            <w:tcW w:w="47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（二）稀释每股收益</w:t>
            </w:r>
            <w:r>
              <w:rPr>
                <w:rFonts w:ascii="宋体" w:hAnsi="宋体" w:cs="宋体" w:eastAsia="宋体" w:hint="default"/>
                <w:sz w:val="24"/>
                <w:szCs w:val="24"/>
              </w:rPr>
              <w:t>(</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股</w:t>
            </w:r>
            <w:r>
              <w:rPr>
                <w:rFonts w:ascii="宋体" w:hAnsi="宋体" w:cs="宋体" w:eastAsia="宋体" w:hint="default"/>
                <w:sz w:val="24"/>
                <w:szCs w:val="24"/>
              </w:rPr>
              <w:t>)</w:t>
            </w:r>
          </w:p>
        </w:tc>
        <w:tc>
          <w:tcPr>
            <w:tcW w:w="88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0.39</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0.66</w:t>
            </w:r>
          </w:p>
        </w:tc>
      </w:tr>
    </w:tbl>
    <w:p>
      <w:pPr>
        <w:spacing w:line="240" w:lineRule="auto" w:before="5"/>
        <w:rPr>
          <w:rFonts w:ascii="Times New Roman" w:hAnsi="Times New Roman" w:cs="Times New Roman" w:eastAsia="Times New Roman" w:hint="default"/>
          <w:sz w:val="21"/>
          <w:szCs w:val="21"/>
        </w:rPr>
      </w:pPr>
    </w:p>
    <w:p>
      <w:pPr>
        <w:pStyle w:val="BodyText"/>
        <w:spacing w:line="240" w:lineRule="auto" w:before="26"/>
        <w:ind w:left="778" w:right="794"/>
        <w:jc w:val="left"/>
      </w:pPr>
      <w:r>
        <w:rPr/>
        <w:t>法定代表人：林俊波 主管会计工作负责人：潘孝娜</w:t>
      </w:r>
      <w:r>
        <w:rPr>
          <w:spacing w:val="-1"/>
        </w:rPr>
        <w:t> </w:t>
      </w:r>
      <w:r>
        <w:rPr/>
        <w:t>会计机构负责人：胡倩倩</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00" w:bottom="1380" w:left="1020" w:right="480"/>
        </w:sectPr>
      </w:pPr>
    </w:p>
    <w:p>
      <w:pPr>
        <w:spacing w:line="312" w:lineRule="exact" w:before="56"/>
        <w:ind w:left="4323" w:right="-20" w:firstLine="148"/>
        <w:jc w:val="left"/>
        <w:rPr>
          <w:rFonts w:ascii="宋体" w:hAnsi="宋体" w:cs="宋体" w:eastAsia="宋体" w:hint="default"/>
          <w:sz w:val="24"/>
          <w:szCs w:val="24"/>
        </w:rPr>
      </w:pPr>
      <w:r>
        <w:rPr>
          <w:rFonts w:ascii="宋体" w:hAnsi="宋体" w:cs="宋体" w:eastAsia="宋体" w:hint="default"/>
          <w:b/>
          <w:bCs/>
          <w:sz w:val="24"/>
          <w:szCs w:val="24"/>
        </w:rPr>
        <w:t>母公司利润表</w:t>
      </w:r>
      <w:r>
        <w:rPr>
          <w:rFonts w:ascii="宋体" w:hAnsi="宋体" w:cs="宋体" w:eastAsia="宋体" w:hint="default"/>
          <w:b/>
          <w:bCs/>
          <w:w w:val="99"/>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BodyText"/>
        <w:tabs>
          <w:tab w:pos="2187" w:val="left" w:leader="none"/>
        </w:tabs>
        <w:spacing w:line="240" w:lineRule="auto"/>
        <w:ind w:left="110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00" w:bottom="280" w:left="1020" w:right="480"/>
          <w:cols w:num="2" w:equalWidth="0">
            <w:col w:w="6064" w:space="40"/>
            <w:col w:w="4306"/>
          </w:cols>
        </w:sectPr>
      </w:pPr>
    </w:p>
    <w:p>
      <w:pPr>
        <w:spacing w:line="240" w:lineRule="auto" w:before="12"/>
        <w:rPr>
          <w:rFonts w:ascii="宋体" w:hAnsi="宋体" w:cs="宋体" w:eastAsia="宋体" w:hint="default"/>
          <w:sz w:val="2"/>
          <w:szCs w:val="2"/>
        </w:rPr>
      </w:pPr>
    </w:p>
    <w:tbl>
      <w:tblPr>
        <w:tblW w:w="0" w:type="auto"/>
        <w:jc w:val="left"/>
        <w:tblInd w:w="247" w:type="dxa"/>
        <w:tblLayout w:type="fixed"/>
        <w:tblCellMar>
          <w:top w:w="0" w:type="dxa"/>
          <w:left w:w="0" w:type="dxa"/>
          <w:bottom w:w="0" w:type="dxa"/>
          <w:right w:w="0" w:type="dxa"/>
        </w:tblCellMar>
        <w:tblLook w:val="01E0"/>
      </w:tblPr>
      <w:tblGrid>
        <w:gridCol w:w="4482"/>
        <w:gridCol w:w="1126"/>
        <w:gridCol w:w="2137"/>
        <w:gridCol w:w="2136"/>
      </w:tblGrid>
      <w:tr>
        <w:trPr>
          <w:trHeight w:val="326"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44"/>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58" w:right="0"/>
              <w:jc w:val="lef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58" w:right="0"/>
              <w:jc w:val="lef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326"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9" w:right="0"/>
              <w:jc w:val="left"/>
              <w:rPr>
                <w:rFonts w:ascii="宋体" w:hAnsi="宋体" w:cs="宋体" w:eastAsia="宋体" w:hint="default"/>
                <w:sz w:val="24"/>
                <w:szCs w:val="24"/>
              </w:rPr>
            </w:pPr>
            <w:r>
              <w:rPr>
                <w:rFonts w:ascii="宋体" w:hAnsi="宋体" w:cs="宋体" w:eastAsia="宋体" w:hint="default"/>
                <w:sz w:val="24"/>
                <w:szCs w:val="24"/>
              </w:rPr>
              <w:t>一、营业收入</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67"/>
              <w:jc w:val="center"/>
              <w:rPr>
                <w:rFonts w:ascii="宋体" w:hAnsi="宋体" w:cs="宋体" w:eastAsia="宋体" w:hint="default"/>
                <w:sz w:val="24"/>
                <w:szCs w:val="24"/>
              </w:rPr>
            </w:pPr>
            <w:r>
              <w:rPr>
                <w:rFonts w:ascii="宋体" w:hAnsi="宋体" w:cs="宋体" w:eastAsia="宋体" w:hint="default"/>
                <w:sz w:val="24"/>
                <w:szCs w:val="24"/>
              </w:rPr>
              <w:t>十七、</w:t>
            </w:r>
            <w:r>
              <w:rPr>
                <w:rFonts w:ascii="宋体" w:hAnsi="宋体" w:cs="宋体" w:eastAsia="宋体" w:hint="default"/>
                <w:sz w:val="24"/>
                <w:szCs w:val="24"/>
              </w:rPr>
              <w:t>4</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2,301,944,652.82</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1,833,143,062.48</w:t>
            </w:r>
          </w:p>
        </w:tc>
      </w:tr>
      <w:tr>
        <w:trPr>
          <w:trHeight w:val="326"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38" w:right="0"/>
              <w:jc w:val="left"/>
              <w:rPr>
                <w:rFonts w:ascii="宋体" w:hAnsi="宋体" w:cs="宋体" w:eastAsia="宋体" w:hint="default"/>
                <w:sz w:val="24"/>
                <w:szCs w:val="24"/>
              </w:rPr>
            </w:pPr>
            <w:r>
              <w:rPr>
                <w:rFonts w:ascii="宋体" w:hAnsi="宋体" w:cs="宋体" w:eastAsia="宋体" w:hint="default"/>
                <w:sz w:val="24"/>
                <w:szCs w:val="24"/>
              </w:rPr>
              <w:t>减：营业成本</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67"/>
              <w:jc w:val="center"/>
              <w:rPr>
                <w:rFonts w:ascii="宋体" w:hAnsi="宋体" w:cs="宋体" w:eastAsia="宋体" w:hint="default"/>
                <w:sz w:val="24"/>
                <w:szCs w:val="24"/>
              </w:rPr>
            </w:pPr>
            <w:r>
              <w:rPr>
                <w:rFonts w:ascii="宋体" w:hAnsi="宋体" w:cs="宋体" w:eastAsia="宋体" w:hint="default"/>
                <w:sz w:val="24"/>
                <w:szCs w:val="24"/>
              </w:rPr>
              <w:t>十七、</w:t>
            </w:r>
            <w:r>
              <w:rPr>
                <w:rFonts w:ascii="宋体" w:hAnsi="宋体" w:cs="宋体" w:eastAsia="宋体" w:hint="default"/>
                <w:sz w:val="24"/>
                <w:szCs w:val="24"/>
              </w:rPr>
              <w:t>4</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2,179,425,722.98</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1,665,387,232.46</w:t>
            </w:r>
          </w:p>
        </w:tc>
      </w:tr>
      <w:tr>
        <w:trPr>
          <w:trHeight w:val="327"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18" w:right="0"/>
              <w:jc w:val="left"/>
              <w:rPr>
                <w:rFonts w:ascii="宋体" w:hAnsi="宋体" w:cs="宋体" w:eastAsia="宋体" w:hint="default"/>
                <w:sz w:val="24"/>
                <w:szCs w:val="24"/>
              </w:rPr>
            </w:pPr>
            <w:r>
              <w:rPr>
                <w:rFonts w:ascii="宋体" w:hAnsi="宋体" w:cs="宋体" w:eastAsia="宋体" w:hint="default"/>
                <w:sz w:val="24"/>
                <w:szCs w:val="24"/>
              </w:rPr>
              <w:t>税金及附加</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4,380,385.59</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8,267,146.73</w:t>
            </w:r>
          </w:p>
        </w:tc>
      </w:tr>
      <w:tr>
        <w:trPr>
          <w:trHeight w:val="326"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18"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18"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135,467,494.84</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133,246,983.69</w:t>
            </w:r>
          </w:p>
        </w:tc>
      </w:tr>
      <w:tr>
        <w:trPr>
          <w:trHeight w:val="326"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18"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722,801,883.86</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766,488,645.26</w:t>
            </w:r>
          </w:p>
        </w:tc>
      </w:tr>
      <w:tr>
        <w:trPr>
          <w:trHeight w:val="324"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18" w:right="0"/>
              <w:jc w:val="left"/>
              <w:rPr>
                <w:rFonts w:ascii="宋体" w:hAnsi="宋体" w:cs="宋体" w:eastAsia="宋体" w:hint="default"/>
                <w:sz w:val="24"/>
                <w:szCs w:val="24"/>
              </w:rPr>
            </w:pPr>
            <w:r>
              <w:rPr>
                <w:rFonts w:ascii="宋体" w:hAnsi="宋体" w:cs="宋体" w:eastAsia="宋体" w:hint="default"/>
                <w:sz w:val="24"/>
                <w:szCs w:val="24"/>
              </w:rPr>
              <w:t>资产减值损失</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411,151,875.61</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18,843,593.63</w:t>
            </w:r>
          </w:p>
        </w:tc>
      </w:tr>
      <w:tr>
        <w:trPr>
          <w:trHeight w:val="638"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38" w:right="0"/>
              <w:jc w:val="left"/>
              <w:rPr>
                <w:rFonts w:ascii="宋体" w:hAnsi="宋体" w:cs="宋体" w:eastAsia="宋体" w:hint="default"/>
                <w:sz w:val="24"/>
                <w:szCs w:val="24"/>
              </w:rPr>
            </w:pPr>
            <w:r>
              <w:rPr>
                <w:rFonts w:ascii="宋体" w:hAnsi="宋体" w:cs="宋体" w:eastAsia="宋体" w:hint="default"/>
                <w:sz w:val="24"/>
                <w:szCs w:val="24"/>
              </w:rPr>
              <w:t>加：公允价值变动收益（损失以“－”</w:t>
            </w:r>
          </w:p>
          <w:p>
            <w:pPr>
              <w:pStyle w:val="TableParagraph"/>
              <w:spacing w:line="312" w:lineRule="exact"/>
              <w:ind w:left="98"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51,594.72</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-320,766.59</w:t>
            </w:r>
          </w:p>
        </w:tc>
      </w:tr>
      <w:tr>
        <w:trPr>
          <w:trHeight w:val="326"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18" w:right="0"/>
              <w:jc w:val="left"/>
              <w:rPr>
                <w:rFonts w:ascii="宋体" w:hAnsi="宋体" w:cs="宋体" w:eastAsia="宋体" w:hint="default"/>
                <w:sz w:val="24"/>
                <w:szCs w:val="24"/>
              </w:rPr>
            </w:pPr>
            <w:r>
              <w:rPr>
                <w:rFonts w:ascii="宋体" w:hAnsi="宋体" w:cs="宋体" w:eastAsia="宋体" w:hint="default"/>
                <w:sz w:val="24"/>
                <w:szCs w:val="24"/>
              </w:rPr>
              <w:t>投资收益（损失以“－”号填列）</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67"/>
              <w:jc w:val="center"/>
              <w:rPr>
                <w:rFonts w:ascii="宋体" w:hAnsi="宋体" w:cs="宋体" w:eastAsia="宋体" w:hint="default"/>
                <w:sz w:val="24"/>
                <w:szCs w:val="24"/>
              </w:rPr>
            </w:pPr>
            <w:r>
              <w:rPr>
                <w:rFonts w:ascii="宋体" w:hAnsi="宋体" w:cs="宋体" w:eastAsia="宋体" w:hint="default"/>
                <w:sz w:val="24"/>
                <w:szCs w:val="24"/>
              </w:rPr>
              <w:t>十七、</w:t>
            </w:r>
            <w:r>
              <w:rPr>
                <w:rFonts w:ascii="宋体" w:hAnsi="宋体" w:cs="宋体" w:eastAsia="宋体" w:hint="default"/>
                <w:sz w:val="24"/>
                <w:szCs w:val="24"/>
              </w:rPr>
              <w:t>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2,752,800,501.88</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1,877,250,651.50</w:t>
            </w:r>
          </w:p>
        </w:tc>
      </w:tr>
      <w:tr>
        <w:trPr>
          <w:trHeight w:val="638"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818" w:right="0"/>
              <w:jc w:val="left"/>
              <w:rPr>
                <w:rFonts w:ascii="宋体" w:hAnsi="宋体" w:cs="宋体" w:eastAsia="宋体" w:hint="default"/>
                <w:sz w:val="24"/>
                <w:szCs w:val="24"/>
              </w:rPr>
            </w:pPr>
            <w:r>
              <w:rPr>
                <w:rFonts w:ascii="宋体" w:hAnsi="宋体" w:cs="宋体" w:eastAsia="宋体" w:hint="default"/>
                <w:spacing w:val="-4"/>
                <w:sz w:val="24"/>
                <w:szCs w:val="24"/>
              </w:rPr>
              <w:t>其中：对联营企业和合营企业的投</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资收益</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9"/>
              <w:jc w:val="right"/>
              <w:rPr>
                <w:rFonts w:ascii="宋体" w:hAnsi="宋体" w:cs="宋体" w:eastAsia="宋体" w:hint="default"/>
                <w:sz w:val="24"/>
                <w:szCs w:val="24"/>
              </w:rPr>
            </w:pPr>
            <w:r>
              <w:rPr>
                <w:rFonts w:ascii="宋体"/>
                <w:sz w:val="24"/>
              </w:rPr>
              <w:t>430,354,560.80</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sz w:val="24"/>
              </w:rPr>
              <w:t>527,254,740.97</w:t>
            </w:r>
          </w:p>
        </w:tc>
      </w:tr>
      <w:tr>
        <w:trPr>
          <w:trHeight w:val="636"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818" w:right="0"/>
              <w:jc w:val="left"/>
              <w:rPr>
                <w:rFonts w:ascii="宋体" w:hAnsi="宋体" w:cs="宋体" w:eastAsia="宋体" w:hint="default"/>
                <w:sz w:val="24"/>
                <w:szCs w:val="24"/>
              </w:rPr>
            </w:pPr>
            <w:r>
              <w:rPr>
                <w:rFonts w:ascii="宋体" w:hAnsi="宋体" w:cs="宋体" w:eastAsia="宋体" w:hint="default"/>
                <w:spacing w:val="-4"/>
                <w:sz w:val="24"/>
                <w:szCs w:val="24"/>
              </w:rPr>
              <w:t>资产处置收益（损失以“－”号填</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列）</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宋体" w:hAnsi="宋体" w:cs="宋体" w:eastAsia="宋体" w:hint="default"/>
                <w:sz w:val="24"/>
                <w:szCs w:val="24"/>
              </w:rPr>
            </w:pPr>
            <w:r>
              <w:rPr>
                <w:rFonts w:ascii="宋体"/>
                <w:sz w:val="24"/>
              </w:rPr>
              <w:t>484,019.90</w:t>
            </w:r>
          </w:p>
        </w:tc>
      </w:tr>
      <w:tr>
        <w:trPr>
          <w:trHeight w:val="326"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818" w:right="0"/>
              <w:jc w:val="left"/>
              <w:rPr>
                <w:rFonts w:ascii="宋体" w:hAnsi="宋体" w:cs="宋体" w:eastAsia="宋体" w:hint="default"/>
                <w:sz w:val="24"/>
                <w:szCs w:val="24"/>
              </w:rPr>
            </w:pPr>
            <w:r>
              <w:rPr>
                <w:rFonts w:ascii="宋体" w:hAnsi="宋体" w:cs="宋体" w:eastAsia="宋体" w:hint="default"/>
                <w:sz w:val="24"/>
                <w:szCs w:val="24"/>
              </w:rPr>
              <w:t>其他收益</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00" w:bottom="280" w:left="1020" w:right="4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87" w:type="dxa"/>
        <w:tblLayout w:type="fixed"/>
        <w:tblCellMar>
          <w:top w:w="0" w:type="dxa"/>
          <w:left w:w="0" w:type="dxa"/>
          <w:bottom w:w="0" w:type="dxa"/>
          <w:right w:w="0" w:type="dxa"/>
        </w:tblCellMar>
        <w:tblLook w:val="01E0"/>
      </w:tblPr>
      <w:tblGrid>
        <w:gridCol w:w="4482"/>
        <w:gridCol w:w="1126"/>
        <w:gridCol w:w="2137"/>
        <w:gridCol w:w="2136"/>
      </w:tblGrid>
      <w:tr>
        <w:trPr>
          <w:trHeight w:val="327"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79" w:right="0"/>
              <w:jc w:val="left"/>
              <w:rPr>
                <w:rFonts w:ascii="宋体" w:hAnsi="宋体" w:cs="宋体" w:eastAsia="宋体" w:hint="default"/>
                <w:sz w:val="24"/>
                <w:szCs w:val="24"/>
              </w:rPr>
            </w:pPr>
            <w:r>
              <w:rPr>
                <w:rFonts w:ascii="宋体" w:hAnsi="宋体" w:cs="宋体" w:eastAsia="宋体" w:hint="default"/>
                <w:sz w:val="24"/>
                <w:szCs w:val="24"/>
              </w:rPr>
              <w:t>二、营业利润（亏损以“－”号填列）</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9"/>
              <w:jc w:val="right"/>
              <w:rPr>
                <w:rFonts w:ascii="宋体" w:hAnsi="宋体" w:cs="宋体" w:eastAsia="宋体" w:hint="default"/>
                <w:sz w:val="24"/>
                <w:szCs w:val="24"/>
              </w:rPr>
            </w:pPr>
            <w:r>
              <w:rPr>
                <w:rFonts w:ascii="宋体"/>
                <w:sz w:val="24"/>
              </w:rPr>
              <w:t>1,601,569,386.54</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1,118,323,365.52</w:t>
            </w:r>
          </w:p>
        </w:tc>
      </w:tr>
      <w:tr>
        <w:trPr>
          <w:trHeight w:val="326"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38" w:right="0"/>
              <w:jc w:val="left"/>
              <w:rPr>
                <w:rFonts w:ascii="宋体" w:hAnsi="宋体" w:cs="宋体" w:eastAsia="宋体" w:hint="default"/>
                <w:sz w:val="24"/>
                <w:szCs w:val="24"/>
              </w:rPr>
            </w:pPr>
            <w:r>
              <w:rPr>
                <w:rFonts w:ascii="宋体" w:hAnsi="宋体" w:cs="宋体" w:eastAsia="宋体" w:hint="default"/>
                <w:sz w:val="24"/>
                <w:szCs w:val="24"/>
              </w:rPr>
              <w:t>加：营业外收入</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1.12</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81.72</w:t>
            </w:r>
          </w:p>
        </w:tc>
      </w:tr>
      <w:tr>
        <w:trPr>
          <w:trHeight w:val="326"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38" w:right="0"/>
              <w:jc w:val="left"/>
              <w:rPr>
                <w:rFonts w:ascii="宋体" w:hAnsi="宋体" w:cs="宋体" w:eastAsia="宋体" w:hint="default"/>
                <w:sz w:val="24"/>
                <w:szCs w:val="24"/>
              </w:rPr>
            </w:pPr>
            <w:r>
              <w:rPr>
                <w:rFonts w:ascii="宋体" w:hAnsi="宋体" w:cs="宋体" w:eastAsia="宋体" w:hint="default"/>
                <w:sz w:val="24"/>
                <w:szCs w:val="24"/>
              </w:rPr>
              <w:t>减：营业外支出</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85,829.50</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-88,099.48</w:t>
            </w:r>
          </w:p>
        </w:tc>
      </w:tr>
      <w:tr>
        <w:trPr>
          <w:trHeight w:val="326"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9" w:right="-19"/>
              <w:jc w:val="left"/>
              <w:rPr>
                <w:rFonts w:ascii="宋体" w:hAnsi="宋体" w:cs="宋体" w:eastAsia="宋体" w:hint="default"/>
                <w:sz w:val="24"/>
                <w:szCs w:val="24"/>
              </w:rPr>
            </w:pPr>
            <w:r>
              <w:rPr>
                <w:rFonts w:ascii="宋体" w:hAnsi="宋体" w:cs="宋体" w:eastAsia="宋体" w:hint="default"/>
                <w:spacing w:val="-9"/>
                <w:sz w:val="24"/>
                <w:szCs w:val="24"/>
              </w:rPr>
              <w:t>三、利润总额（亏损总额以“－”号填列）</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1,601,483,558.16</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1,118,411,546.72</w:t>
            </w:r>
          </w:p>
        </w:tc>
      </w:tr>
      <w:tr>
        <w:trPr>
          <w:trHeight w:val="326"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59" w:right="0"/>
              <w:jc w:val="left"/>
              <w:rPr>
                <w:rFonts w:ascii="宋体" w:hAnsi="宋体" w:cs="宋体" w:eastAsia="宋体" w:hint="default"/>
                <w:sz w:val="24"/>
                <w:szCs w:val="24"/>
              </w:rPr>
            </w:pPr>
            <w:r>
              <w:rPr>
                <w:rFonts w:ascii="宋体" w:hAnsi="宋体" w:cs="宋体" w:eastAsia="宋体" w:hint="default"/>
                <w:sz w:val="24"/>
                <w:szCs w:val="24"/>
              </w:rPr>
              <w:t>减：所得税费用</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112,774,225.09</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-112,774,225.09</w:t>
            </w:r>
          </w:p>
        </w:tc>
      </w:tr>
      <w:tr>
        <w:trPr>
          <w:trHeight w:val="326"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9" w:right="0"/>
              <w:jc w:val="left"/>
              <w:rPr>
                <w:rFonts w:ascii="宋体" w:hAnsi="宋体" w:cs="宋体" w:eastAsia="宋体" w:hint="default"/>
                <w:sz w:val="24"/>
                <w:szCs w:val="24"/>
              </w:rPr>
            </w:pPr>
            <w:r>
              <w:rPr>
                <w:rFonts w:ascii="宋体" w:hAnsi="宋体" w:cs="宋体" w:eastAsia="宋体" w:hint="default"/>
                <w:sz w:val="24"/>
                <w:szCs w:val="24"/>
              </w:rPr>
              <w:t>四、净利润（净亏损以“－”号填列）</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1,488,709,333.07</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1,231,185,771.81</w:t>
            </w:r>
          </w:p>
        </w:tc>
      </w:tr>
      <w:tr>
        <w:trPr>
          <w:trHeight w:val="638"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561"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一</w:t>
            </w:r>
            <w:r>
              <w:rPr>
                <w:rFonts w:ascii="宋体" w:hAnsi="宋体" w:cs="宋体" w:eastAsia="宋体" w:hint="default"/>
                <w:sz w:val="24"/>
                <w:szCs w:val="24"/>
              </w:rPr>
              <w:t>)</w:t>
            </w:r>
            <w:r>
              <w:rPr>
                <w:rFonts w:ascii="宋体" w:hAnsi="宋体" w:cs="宋体" w:eastAsia="宋体" w:hint="default"/>
                <w:sz w:val="24"/>
                <w:szCs w:val="24"/>
              </w:rPr>
              <w:t>持续经营净利润（净亏损以</w:t>
            </w:r>
          </w:p>
          <w:p>
            <w:pPr>
              <w:pStyle w:val="TableParagraph"/>
              <w:spacing w:line="313" w:lineRule="exact"/>
              <w:ind w:left="81"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9"/>
              <w:jc w:val="right"/>
              <w:rPr>
                <w:rFonts w:ascii="宋体" w:hAnsi="宋体" w:cs="宋体" w:eastAsia="宋体" w:hint="default"/>
                <w:sz w:val="24"/>
                <w:szCs w:val="24"/>
              </w:rPr>
            </w:pPr>
            <w:r>
              <w:rPr>
                <w:rFonts w:ascii="宋体"/>
                <w:sz w:val="24"/>
              </w:rPr>
              <w:t>1,488,709,333.07</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sz w:val="24"/>
              </w:rPr>
              <w:t>1,231,185,771.81</w:t>
            </w:r>
          </w:p>
        </w:tc>
      </w:tr>
      <w:tr>
        <w:trPr>
          <w:trHeight w:val="636"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561" w:right="0"/>
              <w:jc w:val="left"/>
              <w:rPr>
                <w:rFonts w:ascii="宋体" w:hAnsi="宋体" w:cs="宋体" w:eastAsia="宋体" w:hint="default"/>
                <w:sz w:val="24"/>
                <w:szCs w:val="24"/>
              </w:rPr>
            </w:pPr>
            <w:r>
              <w:rPr>
                <w:rFonts w:ascii="宋体" w:hAnsi="宋体" w:cs="宋体" w:eastAsia="宋体" w:hint="default"/>
                <w:sz w:val="24"/>
                <w:szCs w:val="24"/>
              </w:rPr>
              <w:t>（二）终止经营净利润（净亏损以</w:t>
            </w:r>
          </w:p>
          <w:p>
            <w:pPr>
              <w:pStyle w:val="TableParagraph"/>
              <w:spacing w:line="313" w:lineRule="exact"/>
              <w:ind w:left="81"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2" w:right="0"/>
              <w:jc w:val="left"/>
              <w:rPr>
                <w:rFonts w:ascii="宋体" w:hAnsi="宋体" w:cs="宋体" w:eastAsia="宋体" w:hint="default"/>
                <w:sz w:val="24"/>
                <w:szCs w:val="24"/>
              </w:rPr>
            </w:pPr>
            <w:r>
              <w:rPr>
                <w:rFonts w:ascii="宋体" w:hAnsi="宋体" w:cs="宋体" w:eastAsia="宋体" w:hint="default"/>
                <w:sz w:val="24"/>
                <w:szCs w:val="24"/>
              </w:rPr>
              <w:t>五、其他综合收益的税后净额</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9"/>
              <w:jc w:val="right"/>
              <w:rPr>
                <w:rFonts w:ascii="宋体" w:hAnsi="宋体" w:cs="宋体" w:eastAsia="宋体" w:hint="default"/>
                <w:sz w:val="24"/>
                <w:szCs w:val="24"/>
              </w:rPr>
            </w:pPr>
            <w:r>
              <w:rPr>
                <w:rFonts w:ascii="宋体"/>
                <w:sz w:val="24"/>
              </w:rPr>
              <w:t>-314,569,536.59</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68,747,929.81</w:t>
            </w:r>
          </w:p>
        </w:tc>
      </w:tr>
      <w:tr>
        <w:trPr>
          <w:trHeight w:val="638"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38" w:right="0"/>
              <w:jc w:val="left"/>
              <w:rPr>
                <w:rFonts w:ascii="宋体" w:hAnsi="宋体" w:cs="宋体" w:eastAsia="宋体" w:hint="default"/>
                <w:sz w:val="24"/>
                <w:szCs w:val="24"/>
              </w:rPr>
            </w:pPr>
            <w:r>
              <w:rPr>
                <w:rFonts w:ascii="宋体" w:hAnsi="宋体" w:cs="宋体" w:eastAsia="宋体" w:hint="default"/>
                <w:spacing w:val="-4"/>
                <w:sz w:val="24"/>
                <w:szCs w:val="24"/>
              </w:rPr>
              <w:t>（一）以后不能重分类进损益的其他综</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合收益</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r>
      <w:tr>
        <w:trPr>
          <w:trHeight w:val="636"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578"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重新计量设定受益计划净负债或</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净资产的变动</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20"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权益法下在被投资单位不能重分类</w:t>
            </w:r>
          </w:p>
          <w:p>
            <w:pPr>
              <w:pStyle w:val="TableParagraph"/>
              <w:spacing w:line="312" w:lineRule="exact"/>
              <w:ind w:left="40" w:right="0"/>
              <w:jc w:val="left"/>
              <w:rPr>
                <w:rFonts w:ascii="宋体" w:hAnsi="宋体" w:cs="宋体" w:eastAsia="宋体" w:hint="default"/>
                <w:sz w:val="24"/>
                <w:szCs w:val="24"/>
              </w:rPr>
            </w:pPr>
            <w:r>
              <w:rPr>
                <w:rFonts w:ascii="宋体" w:hAnsi="宋体" w:cs="宋体" w:eastAsia="宋体" w:hint="default"/>
                <w:sz w:val="24"/>
                <w:szCs w:val="24"/>
              </w:rPr>
              <w:t>进损益的其他综合收益中享有的份额</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38" w:right="0"/>
              <w:jc w:val="left"/>
              <w:rPr>
                <w:rFonts w:ascii="宋体" w:hAnsi="宋体" w:cs="宋体" w:eastAsia="宋体" w:hint="default"/>
                <w:sz w:val="24"/>
                <w:szCs w:val="24"/>
              </w:rPr>
            </w:pPr>
            <w:r>
              <w:rPr>
                <w:rFonts w:ascii="宋体" w:hAnsi="宋体" w:cs="宋体" w:eastAsia="宋体" w:hint="default"/>
                <w:spacing w:val="-4"/>
                <w:sz w:val="24"/>
                <w:szCs w:val="24"/>
              </w:rPr>
              <w:t>（二）以后将重分类进损益的其他综合</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收益</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9"/>
              <w:jc w:val="right"/>
              <w:rPr>
                <w:rFonts w:ascii="宋体" w:hAnsi="宋体" w:cs="宋体" w:eastAsia="宋体" w:hint="default"/>
                <w:sz w:val="24"/>
                <w:szCs w:val="24"/>
              </w:rPr>
            </w:pPr>
            <w:r>
              <w:rPr>
                <w:rFonts w:ascii="宋体"/>
                <w:sz w:val="24"/>
              </w:rPr>
              <w:t>-314,569,536.59</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sz w:val="24"/>
              </w:rPr>
              <w:t>68,747,929.81</w:t>
            </w:r>
          </w:p>
        </w:tc>
      </w:tr>
      <w:tr>
        <w:trPr>
          <w:trHeight w:val="948"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98" w:right="0" w:firstLine="48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权益法下在被投资单位以后将重</w:t>
            </w:r>
          </w:p>
          <w:p>
            <w:pPr>
              <w:pStyle w:val="TableParagraph"/>
              <w:spacing w:line="310" w:lineRule="exact" w:before="31"/>
              <w:ind w:left="98" w:right="286"/>
              <w:jc w:val="left"/>
              <w:rPr>
                <w:rFonts w:ascii="宋体" w:hAnsi="宋体" w:cs="宋体" w:eastAsia="宋体" w:hint="default"/>
                <w:sz w:val="24"/>
                <w:szCs w:val="24"/>
              </w:rPr>
            </w:pPr>
            <w:r>
              <w:rPr>
                <w:rFonts w:ascii="宋体" w:hAnsi="宋体" w:cs="宋体" w:eastAsia="宋体" w:hint="default"/>
                <w:sz w:val="24"/>
                <w:szCs w:val="24"/>
              </w:rPr>
              <w:t>分类进损益的其他综合收益中享有的份 额</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24"/>
                <w:szCs w:val="24"/>
              </w:rPr>
            </w:pPr>
            <w:r>
              <w:rPr>
                <w:rFonts w:ascii="宋体"/>
                <w:sz w:val="24"/>
              </w:rPr>
              <w:t>54,159,252.86</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4"/>
                <w:szCs w:val="24"/>
              </w:rPr>
            </w:pPr>
            <w:r>
              <w:rPr>
                <w:rFonts w:ascii="宋体"/>
                <w:sz w:val="24"/>
              </w:rPr>
              <w:t>-116,552,897.87</w:t>
            </w:r>
          </w:p>
        </w:tc>
      </w:tr>
      <w:tr>
        <w:trPr>
          <w:trHeight w:val="638"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578"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可供出售金融资产公允价值变动</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损益</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9"/>
              <w:jc w:val="right"/>
              <w:rPr>
                <w:rFonts w:ascii="宋体" w:hAnsi="宋体" w:cs="宋体" w:eastAsia="宋体" w:hint="default"/>
                <w:sz w:val="24"/>
                <w:szCs w:val="24"/>
              </w:rPr>
            </w:pPr>
            <w:r>
              <w:rPr>
                <w:rFonts w:ascii="宋体"/>
                <w:sz w:val="24"/>
              </w:rPr>
              <w:t>-368,728,789.45</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sz w:val="24"/>
              </w:rPr>
              <w:t>185,300,827.68</w:t>
            </w:r>
          </w:p>
        </w:tc>
      </w:tr>
      <w:tr>
        <w:trPr>
          <w:trHeight w:val="636"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578"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持有至到期投资重分类为可供出</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售金融资产损益</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578"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现金流量套期损益的有效部分</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78"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外币财务报表折算差额</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78"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其他</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9" w:right="0"/>
              <w:jc w:val="left"/>
              <w:rPr>
                <w:rFonts w:ascii="宋体" w:hAnsi="宋体" w:cs="宋体" w:eastAsia="宋体" w:hint="default"/>
                <w:sz w:val="24"/>
                <w:szCs w:val="24"/>
              </w:rPr>
            </w:pPr>
            <w:r>
              <w:rPr>
                <w:rFonts w:ascii="宋体" w:hAnsi="宋体" w:cs="宋体" w:eastAsia="宋体" w:hint="default"/>
                <w:sz w:val="24"/>
                <w:szCs w:val="24"/>
              </w:rPr>
              <w:t>六、综合收益总额</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1,174,139,796.48</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1,299,933,701.62</w:t>
            </w:r>
          </w:p>
        </w:tc>
      </w:tr>
      <w:tr>
        <w:trPr>
          <w:trHeight w:val="327"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2" w:right="0"/>
              <w:jc w:val="left"/>
              <w:rPr>
                <w:rFonts w:ascii="宋体" w:hAnsi="宋体" w:cs="宋体" w:eastAsia="宋体" w:hint="default"/>
                <w:sz w:val="24"/>
                <w:szCs w:val="24"/>
              </w:rPr>
            </w:pPr>
            <w:r>
              <w:rPr>
                <w:rFonts w:ascii="宋体" w:hAnsi="宋体" w:cs="宋体" w:eastAsia="宋体" w:hint="default"/>
                <w:sz w:val="24"/>
                <w:szCs w:val="24"/>
              </w:rPr>
              <w:t>七、每股收益：</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59" w:right="0"/>
              <w:jc w:val="left"/>
              <w:rPr>
                <w:rFonts w:ascii="宋体" w:hAnsi="宋体" w:cs="宋体" w:eastAsia="宋体" w:hint="default"/>
                <w:sz w:val="24"/>
                <w:szCs w:val="24"/>
              </w:rPr>
            </w:pPr>
            <w:r>
              <w:rPr>
                <w:rFonts w:ascii="宋体" w:hAnsi="宋体" w:cs="宋体" w:eastAsia="宋体" w:hint="default"/>
                <w:sz w:val="24"/>
                <w:szCs w:val="24"/>
              </w:rPr>
              <w:t>（一）基本每股收益</w:t>
            </w:r>
            <w:r>
              <w:rPr>
                <w:rFonts w:ascii="宋体" w:hAnsi="宋体" w:cs="宋体" w:eastAsia="宋体" w:hint="default"/>
                <w:sz w:val="24"/>
                <w:szCs w:val="24"/>
              </w:rPr>
              <w:t>(</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股</w:t>
            </w:r>
            <w:r>
              <w:rPr>
                <w:rFonts w:ascii="宋体" w:hAnsi="宋体" w:cs="宋体" w:eastAsia="宋体" w:hint="default"/>
                <w:sz w:val="24"/>
                <w:szCs w:val="24"/>
              </w:rPr>
              <w:t>)</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59" w:right="0"/>
              <w:jc w:val="left"/>
              <w:rPr>
                <w:rFonts w:ascii="宋体" w:hAnsi="宋体" w:cs="宋体" w:eastAsia="宋体" w:hint="default"/>
                <w:sz w:val="24"/>
                <w:szCs w:val="24"/>
              </w:rPr>
            </w:pPr>
            <w:r>
              <w:rPr>
                <w:rFonts w:ascii="宋体" w:hAnsi="宋体" w:cs="宋体" w:eastAsia="宋体" w:hint="default"/>
                <w:sz w:val="24"/>
                <w:szCs w:val="24"/>
              </w:rPr>
              <w:t>（二）稀释每股收益</w:t>
            </w:r>
            <w:r>
              <w:rPr>
                <w:rFonts w:ascii="宋体" w:hAnsi="宋体" w:cs="宋体" w:eastAsia="宋体" w:hint="default"/>
                <w:sz w:val="24"/>
                <w:szCs w:val="24"/>
              </w:rPr>
              <w:t>(</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股</w:t>
            </w:r>
            <w:r>
              <w:rPr>
                <w:rFonts w:ascii="宋体" w:hAnsi="宋体" w:cs="宋体" w:eastAsia="宋体" w:hint="default"/>
                <w:sz w:val="24"/>
                <w:szCs w:val="24"/>
              </w:rPr>
              <w:t>)</w:t>
            </w:r>
          </w:p>
        </w:tc>
        <w:tc>
          <w:tcPr>
            <w:tcW w:w="1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宋体" w:hAnsi="宋体" w:cs="宋体" w:eastAsia="宋体" w:hint="default"/>
          <w:sz w:val="18"/>
          <w:szCs w:val="18"/>
        </w:rPr>
      </w:pPr>
    </w:p>
    <w:p>
      <w:pPr>
        <w:pStyle w:val="BodyText"/>
        <w:spacing w:line="240" w:lineRule="auto" w:before="26"/>
        <w:ind w:left="718" w:right="0"/>
        <w:jc w:val="left"/>
      </w:pPr>
      <w:r>
        <w:rPr/>
        <w:t>法定代表人：林俊波 主管会计工作负责人：潘孝娜</w:t>
      </w:r>
      <w:r>
        <w:rPr>
          <w:spacing w:val="-1"/>
        </w:rPr>
        <w:t> </w:t>
      </w:r>
      <w:r>
        <w:rPr/>
        <w:t>会计机构负责人：胡倩倩</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00" w:bottom="1380" w:left="1080" w:right="560"/>
        </w:sectPr>
      </w:pPr>
    </w:p>
    <w:p>
      <w:pPr>
        <w:spacing w:line="312" w:lineRule="exact" w:before="56"/>
        <w:ind w:left="4263" w:right="0" w:firstLine="26"/>
        <w:jc w:val="right"/>
        <w:rPr>
          <w:rFonts w:ascii="宋体" w:hAnsi="宋体" w:cs="宋体" w:eastAsia="宋体" w:hint="default"/>
          <w:sz w:val="24"/>
          <w:szCs w:val="24"/>
        </w:rPr>
      </w:pPr>
      <w:r>
        <w:rPr>
          <w:rFonts w:ascii="宋体" w:hAnsi="宋体" w:cs="宋体" w:eastAsia="宋体" w:hint="default"/>
          <w:b/>
          <w:bCs/>
          <w:w w:val="95"/>
          <w:sz w:val="24"/>
          <w:szCs w:val="24"/>
        </w:rPr>
        <w:t>合并现金流量表</w:t>
      </w:r>
      <w:r>
        <w:rPr>
          <w:rFonts w:ascii="宋体" w:hAnsi="宋体" w:cs="宋体" w:eastAsia="宋体" w:hint="default"/>
          <w:b/>
          <w:bCs/>
          <w:spacing w:val="-87"/>
          <w:w w:val="95"/>
          <w:sz w:val="24"/>
          <w:szCs w:val="24"/>
        </w:rPr>
        <w:t> </w:t>
      </w:r>
      <w:r>
        <w:rPr>
          <w:rFonts w:ascii="宋体" w:hAnsi="宋体" w:cs="宋体" w:eastAsia="宋体" w:hint="default"/>
          <w:b/>
          <w:bCs/>
          <w:spacing w:val="-87"/>
          <w:w w:val="95"/>
          <w:sz w:val="24"/>
          <w:szCs w:val="24"/>
        </w:rPr>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BodyText"/>
        <w:tabs>
          <w:tab w:pos="2067" w:val="left" w:leader="none"/>
        </w:tabs>
        <w:spacing w:line="240" w:lineRule="auto"/>
        <w:ind w:left="867" w:right="0"/>
        <w:jc w:val="left"/>
      </w:pPr>
      <w:r>
        <w:rPr/>
        <w:t>单位：元</w:t>
        <w:tab/>
        <w:t>币种：人民币</w:t>
      </w:r>
    </w:p>
    <w:p>
      <w:pPr>
        <w:spacing w:after="0" w:line="240" w:lineRule="auto"/>
        <w:jc w:val="left"/>
        <w:sectPr>
          <w:type w:val="continuous"/>
          <w:pgSz w:w="11910" w:h="16840"/>
          <w:pgMar w:top="1000" w:bottom="280" w:left="1080" w:right="560"/>
          <w:cols w:num="2" w:equalWidth="0">
            <w:col w:w="6004" w:space="40"/>
            <w:col w:w="4226"/>
          </w:cols>
        </w:sectPr>
      </w:pPr>
    </w:p>
    <w:p>
      <w:pPr>
        <w:spacing w:line="240" w:lineRule="auto" w:before="12"/>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578"/>
        <w:gridCol w:w="934"/>
        <w:gridCol w:w="2257"/>
        <w:gridCol w:w="2256"/>
      </w:tblGrid>
      <w:tr>
        <w:trPr>
          <w:trHeight w:val="327"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8"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1" w:right="0"/>
              <w:jc w:val="left"/>
              <w:rPr>
                <w:rFonts w:ascii="宋体" w:hAnsi="宋体" w:cs="宋体" w:eastAsia="宋体" w:hint="default"/>
                <w:sz w:val="24"/>
                <w:szCs w:val="24"/>
              </w:rPr>
            </w:pPr>
            <w:r>
              <w:rPr>
                <w:rFonts w:ascii="宋体" w:hAnsi="宋体" w:cs="宋体" w:eastAsia="宋体" w:hint="default"/>
                <w:b/>
                <w:bCs/>
                <w:sz w:val="24"/>
                <w:szCs w:val="24"/>
              </w:rPr>
              <w:t>一、经营活动产生的现金流量：</w:t>
            </w:r>
            <w:r>
              <w:rPr>
                <w:rFonts w:ascii="宋体" w:hAnsi="宋体" w:cs="宋体" w:eastAsia="宋体" w:hint="default"/>
                <w:sz w:val="24"/>
                <w:szCs w:val="24"/>
              </w:rPr>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销售商品、提供劳务收到的现金</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20,802,110,245.06</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18,295,349,781.23</w:t>
            </w:r>
          </w:p>
        </w:tc>
      </w:tr>
    </w:tbl>
    <w:p>
      <w:pPr>
        <w:spacing w:after="0" w:line="274" w:lineRule="exact"/>
        <w:jc w:val="center"/>
        <w:rPr>
          <w:rFonts w:ascii="宋体" w:hAnsi="宋体" w:cs="宋体" w:eastAsia="宋体" w:hint="default"/>
          <w:sz w:val="24"/>
          <w:szCs w:val="24"/>
        </w:rPr>
        <w:sectPr>
          <w:type w:val="continuous"/>
          <w:pgSz w:w="11910" w:h="16840"/>
          <w:pgMar w:top="1000" w:bottom="280" w:left="1080" w:right="5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15" w:type="dxa"/>
        <w:tblLayout w:type="fixed"/>
        <w:tblCellMar>
          <w:top w:w="0" w:type="dxa"/>
          <w:left w:w="0" w:type="dxa"/>
          <w:bottom w:w="0" w:type="dxa"/>
          <w:right w:w="0" w:type="dxa"/>
        </w:tblCellMar>
        <w:tblLook w:val="01E0"/>
      </w:tblPr>
      <w:tblGrid>
        <w:gridCol w:w="4578"/>
        <w:gridCol w:w="934"/>
        <w:gridCol w:w="2257"/>
        <w:gridCol w:w="2256"/>
      </w:tblGrid>
      <w:tr>
        <w:trPr>
          <w:trHeight w:val="327"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620"/>
              <w:jc w:val="right"/>
              <w:rPr>
                <w:rFonts w:ascii="宋体" w:hAnsi="宋体" w:cs="宋体" w:eastAsia="宋体" w:hint="default"/>
                <w:sz w:val="24"/>
                <w:szCs w:val="24"/>
              </w:rPr>
            </w:pPr>
            <w:r>
              <w:rPr>
                <w:rFonts w:ascii="宋体" w:hAnsi="宋体" w:cs="宋体" w:eastAsia="宋体" w:hint="default"/>
                <w:sz w:val="24"/>
                <w:szCs w:val="24"/>
              </w:rPr>
              <w:t>客户存款和同业存放款项净增加额</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1" w:right="0"/>
              <w:jc w:val="left"/>
              <w:rPr>
                <w:rFonts w:ascii="宋体" w:hAnsi="宋体" w:cs="宋体" w:eastAsia="宋体" w:hint="default"/>
                <w:sz w:val="24"/>
                <w:szCs w:val="24"/>
              </w:rPr>
            </w:pPr>
            <w:r>
              <w:rPr>
                <w:rFonts w:ascii="宋体" w:hAnsi="宋体" w:cs="宋体" w:eastAsia="宋体" w:hint="default"/>
                <w:sz w:val="24"/>
                <w:szCs w:val="24"/>
              </w:rPr>
              <w:t>向中央银行借款净增加额</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620"/>
              <w:jc w:val="right"/>
              <w:rPr>
                <w:rFonts w:ascii="宋体" w:hAnsi="宋体" w:cs="宋体" w:eastAsia="宋体" w:hint="default"/>
                <w:sz w:val="24"/>
                <w:szCs w:val="24"/>
              </w:rPr>
            </w:pPr>
            <w:r>
              <w:rPr>
                <w:rFonts w:ascii="宋体" w:hAnsi="宋体" w:cs="宋体" w:eastAsia="宋体" w:hint="default"/>
                <w:sz w:val="24"/>
                <w:szCs w:val="24"/>
              </w:rPr>
              <w:t>向其他金融机构拆入资金净增加额</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收到原保险合同保费取得的现金</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收到再保险业务现金净额</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保户储金及投资款净增加额</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1" w:right="0"/>
              <w:jc w:val="left"/>
              <w:rPr>
                <w:rFonts w:ascii="宋体" w:hAnsi="宋体" w:cs="宋体" w:eastAsia="宋体" w:hint="default"/>
                <w:sz w:val="24"/>
                <w:szCs w:val="24"/>
              </w:rPr>
            </w:pPr>
            <w:r>
              <w:rPr>
                <w:rFonts w:ascii="宋体" w:hAnsi="宋体" w:cs="宋体" w:eastAsia="宋体" w:hint="default"/>
                <w:sz w:val="24"/>
                <w:szCs w:val="24"/>
              </w:rPr>
              <w:t>处置以公允价值计量且其变动计入当期</w:t>
            </w:r>
          </w:p>
          <w:p>
            <w:pPr>
              <w:pStyle w:val="TableParagraph"/>
              <w:spacing w:line="313" w:lineRule="exact"/>
              <w:ind w:left="101" w:right="0"/>
              <w:jc w:val="left"/>
              <w:rPr>
                <w:rFonts w:ascii="宋体" w:hAnsi="宋体" w:cs="宋体" w:eastAsia="宋体" w:hint="default"/>
                <w:sz w:val="24"/>
                <w:szCs w:val="24"/>
              </w:rPr>
            </w:pPr>
            <w:r>
              <w:rPr>
                <w:rFonts w:ascii="宋体" w:hAnsi="宋体" w:cs="宋体" w:eastAsia="宋体" w:hint="default"/>
                <w:sz w:val="24"/>
                <w:szCs w:val="24"/>
              </w:rPr>
              <w:t>损益的金融资产净增加额</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收取利息、手续费及佣金的现金</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拆入资金净增加额</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5"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回购业务资金净增加额</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1" w:right="0"/>
              <w:jc w:val="left"/>
              <w:rPr>
                <w:rFonts w:ascii="宋体" w:hAnsi="宋体" w:cs="宋体" w:eastAsia="宋体" w:hint="default"/>
                <w:sz w:val="24"/>
                <w:szCs w:val="24"/>
              </w:rPr>
            </w:pPr>
            <w:r>
              <w:rPr>
                <w:rFonts w:ascii="宋体" w:hAnsi="宋体" w:cs="宋体" w:eastAsia="宋体" w:hint="default"/>
                <w:sz w:val="24"/>
                <w:szCs w:val="24"/>
              </w:rPr>
              <w:t>收到的税费返还</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329,924.64</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18,991,766.62</w:t>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1" w:right="0"/>
              <w:jc w:val="left"/>
              <w:rPr>
                <w:rFonts w:ascii="宋体" w:hAnsi="宋体" w:cs="宋体" w:eastAsia="宋体" w:hint="default"/>
                <w:sz w:val="24"/>
                <w:szCs w:val="24"/>
              </w:rPr>
            </w:pPr>
            <w:r>
              <w:rPr>
                <w:rFonts w:ascii="宋体" w:hAnsi="宋体" w:cs="宋体" w:eastAsia="宋体" w:hint="default"/>
                <w:sz w:val="24"/>
                <w:szCs w:val="24"/>
              </w:rPr>
              <w:t>收到其他与经营活动有关的现金</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hAnsi="宋体" w:cs="宋体" w:eastAsia="宋体" w:hint="default"/>
                <w:spacing w:val="-1"/>
                <w:sz w:val="24"/>
                <w:szCs w:val="24"/>
              </w:rPr>
              <w:t>七、</w:t>
            </w:r>
            <w:r>
              <w:rPr>
                <w:rFonts w:ascii="宋体" w:hAnsi="宋体" w:cs="宋体" w:eastAsia="宋体" w:hint="default"/>
                <w:spacing w:val="-1"/>
                <w:sz w:val="24"/>
                <w:szCs w:val="24"/>
              </w:rPr>
              <w:t>57</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2,673,066,600.94</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1,445,819,491.47</w:t>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581" w:right="0"/>
              <w:jc w:val="left"/>
              <w:rPr>
                <w:rFonts w:ascii="宋体" w:hAnsi="宋体" w:cs="宋体" w:eastAsia="宋体" w:hint="default"/>
                <w:sz w:val="24"/>
                <w:szCs w:val="24"/>
              </w:rPr>
            </w:pPr>
            <w:r>
              <w:rPr>
                <w:rFonts w:ascii="宋体" w:hAnsi="宋体" w:cs="宋体" w:eastAsia="宋体" w:hint="default"/>
                <w:sz w:val="24"/>
                <w:szCs w:val="24"/>
              </w:rPr>
              <w:t>经营活动现金流入小计</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23,475,506,770.64</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19,760,161,039.32</w:t>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1" w:right="0"/>
              <w:jc w:val="left"/>
              <w:rPr>
                <w:rFonts w:ascii="宋体" w:hAnsi="宋体" w:cs="宋体" w:eastAsia="宋体" w:hint="default"/>
                <w:sz w:val="24"/>
                <w:szCs w:val="24"/>
              </w:rPr>
            </w:pPr>
            <w:r>
              <w:rPr>
                <w:rFonts w:ascii="宋体" w:hAnsi="宋体" w:cs="宋体" w:eastAsia="宋体" w:hint="default"/>
                <w:sz w:val="24"/>
                <w:szCs w:val="24"/>
              </w:rPr>
              <w:t>购买商品、接受劳务支付的现金</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16,782,175,683.93</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10,981,070,076.66</w:t>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客户贷款及垫款净增加额</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620"/>
              <w:jc w:val="right"/>
              <w:rPr>
                <w:rFonts w:ascii="宋体" w:hAnsi="宋体" w:cs="宋体" w:eastAsia="宋体" w:hint="default"/>
                <w:sz w:val="24"/>
                <w:szCs w:val="24"/>
              </w:rPr>
            </w:pPr>
            <w:r>
              <w:rPr>
                <w:rFonts w:ascii="宋体" w:hAnsi="宋体" w:cs="宋体" w:eastAsia="宋体" w:hint="default"/>
                <w:sz w:val="24"/>
                <w:szCs w:val="24"/>
              </w:rPr>
              <w:t>存放中央银行和同业款项净增加额</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支付原保险合同赔付款项的现金</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支付利息、手续费及佣金的现金</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支付保单红利的现金</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620"/>
              <w:jc w:val="right"/>
              <w:rPr>
                <w:rFonts w:ascii="宋体" w:hAnsi="宋体" w:cs="宋体" w:eastAsia="宋体" w:hint="default"/>
                <w:sz w:val="24"/>
                <w:szCs w:val="24"/>
              </w:rPr>
            </w:pPr>
            <w:r>
              <w:rPr>
                <w:rFonts w:ascii="宋体" w:hAnsi="宋体" w:cs="宋体" w:eastAsia="宋体" w:hint="default"/>
                <w:sz w:val="24"/>
                <w:szCs w:val="24"/>
              </w:rPr>
              <w:t>支付给职工以及为职工支付的现金</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419,759,113.50</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369,264,511.83</w:t>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支付的各项税费</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1,729,265,185.03</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1,687,678,775.31</w:t>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支付其他与经营活动有关的现金</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pacing w:val="-1"/>
                <w:sz w:val="24"/>
                <w:szCs w:val="24"/>
              </w:rPr>
              <w:t>七、</w:t>
            </w:r>
            <w:r>
              <w:rPr>
                <w:rFonts w:ascii="宋体" w:hAnsi="宋体" w:cs="宋体" w:eastAsia="宋体" w:hint="default"/>
                <w:spacing w:val="-1"/>
                <w:sz w:val="24"/>
                <w:szCs w:val="24"/>
              </w:rPr>
              <w:t>57</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2,861,132,542.27</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2,094,045,854.80</w:t>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1" w:right="0"/>
              <w:jc w:val="left"/>
              <w:rPr>
                <w:rFonts w:ascii="宋体" w:hAnsi="宋体" w:cs="宋体" w:eastAsia="宋体" w:hint="default"/>
                <w:sz w:val="24"/>
                <w:szCs w:val="24"/>
              </w:rPr>
            </w:pPr>
            <w:r>
              <w:rPr>
                <w:rFonts w:ascii="宋体" w:hAnsi="宋体" w:cs="宋体" w:eastAsia="宋体" w:hint="default"/>
                <w:sz w:val="24"/>
                <w:szCs w:val="24"/>
              </w:rPr>
              <w:t>经营活动现金流出小计</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21,792,332,524.73</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15,132,059,218.60</w:t>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620"/>
              <w:jc w:val="righ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1,683,174,245.91</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4,628,101,820.72</w:t>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1" w:right="0"/>
              <w:jc w:val="left"/>
              <w:rPr>
                <w:rFonts w:ascii="宋体" w:hAnsi="宋体" w:cs="宋体" w:eastAsia="宋体" w:hint="default"/>
                <w:sz w:val="24"/>
                <w:szCs w:val="24"/>
              </w:rPr>
            </w:pPr>
            <w:r>
              <w:rPr>
                <w:rFonts w:ascii="宋体" w:hAnsi="宋体" w:cs="宋体" w:eastAsia="宋体" w:hint="default"/>
                <w:b/>
                <w:bCs/>
                <w:sz w:val="24"/>
                <w:szCs w:val="24"/>
              </w:rPr>
              <w:t>二、投资活动产生的现金流量：</w:t>
            </w:r>
            <w:r>
              <w:rPr>
                <w:rFonts w:ascii="宋体" w:hAnsi="宋体" w:cs="宋体" w:eastAsia="宋体" w:hint="default"/>
                <w:sz w:val="24"/>
                <w:szCs w:val="24"/>
              </w:rPr>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收回投资收到的现金</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3,504,284,695.66</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417,795,415.73</w:t>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1" w:right="0"/>
              <w:jc w:val="left"/>
              <w:rPr>
                <w:rFonts w:ascii="宋体" w:hAnsi="宋体" w:cs="宋体" w:eastAsia="宋体" w:hint="default"/>
                <w:sz w:val="24"/>
                <w:szCs w:val="24"/>
              </w:rPr>
            </w:pPr>
            <w:r>
              <w:rPr>
                <w:rFonts w:ascii="宋体" w:hAnsi="宋体" w:cs="宋体" w:eastAsia="宋体" w:hint="default"/>
                <w:sz w:val="24"/>
                <w:szCs w:val="24"/>
              </w:rPr>
              <w:t>取得投资收益收到的现金</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891,977,052.06</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283,297,533.51</w:t>
            </w:r>
          </w:p>
        </w:tc>
      </w:tr>
      <w:tr>
        <w:trPr>
          <w:trHeight w:val="638"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处置固定资产、无形资产和其他长期资</w:t>
            </w:r>
          </w:p>
          <w:p>
            <w:pPr>
              <w:pStyle w:val="TableParagraph"/>
              <w:spacing w:line="312" w:lineRule="exact"/>
              <w:ind w:left="101" w:right="0"/>
              <w:jc w:val="left"/>
              <w:rPr>
                <w:rFonts w:ascii="宋体" w:hAnsi="宋体" w:cs="宋体" w:eastAsia="宋体" w:hint="default"/>
                <w:sz w:val="24"/>
                <w:szCs w:val="24"/>
              </w:rPr>
            </w:pPr>
            <w:r>
              <w:rPr>
                <w:rFonts w:ascii="宋体" w:hAnsi="宋体" w:cs="宋体" w:eastAsia="宋体" w:hint="default"/>
                <w:sz w:val="24"/>
                <w:szCs w:val="24"/>
              </w:rPr>
              <w:t>产收回的现金净额</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9"/>
              <w:jc w:val="right"/>
              <w:rPr>
                <w:rFonts w:ascii="宋体" w:hAnsi="宋体" w:cs="宋体" w:eastAsia="宋体" w:hint="default"/>
                <w:sz w:val="24"/>
                <w:szCs w:val="24"/>
              </w:rPr>
            </w:pPr>
            <w:r>
              <w:rPr>
                <w:rFonts w:ascii="宋体"/>
                <w:sz w:val="24"/>
              </w:rPr>
              <w:t>806,170.98</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8"/>
              <w:jc w:val="right"/>
              <w:rPr>
                <w:rFonts w:ascii="宋体" w:hAnsi="宋体" w:cs="宋体" w:eastAsia="宋体" w:hint="default"/>
                <w:sz w:val="24"/>
                <w:szCs w:val="24"/>
              </w:rPr>
            </w:pPr>
            <w:r>
              <w:rPr>
                <w:rFonts w:ascii="宋体"/>
                <w:sz w:val="24"/>
              </w:rPr>
              <w:t>1,819,300.35</w:t>
            </w:r>
          </w:p>
        </w:tc>
      </w:tr>
      <w:tr>
        <w:trPr>
          <w:trHeight w:val="639"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1" w:right="0"/>
              <w:jc w:val="left"/>
              <w:rPr>
                <w:rFonts w:ascii="宋体" w:hAnsi="宋体" w:cs="宋体" w:eastAsia="宋体" w:hint="default"/>
                <w:sz w:val="24"/>
                <w:szCs w:val="24"/>
              </w:rPr>
            </w:pPr>
            <w:r>
              <w:rPr>
                <w:rFonts w:ascii="宋体" w:hAnsi="宋体" w:cs="宋体" w:eastAsia="宋体" w:hint="default"/>
                <w:sz w:val="24"/>
                <w:szCs w:val="24"/>
              </w:rPr>
              <w:t>处置子公司及其他营业单位收到的现金</w:t>
            </w:r>
          </w:p>
          <w:p>
            <w:pPr>
              <w:pStyle w:val="TableParagraph"/>
              <w:spacing w:line="313" w:lineRule="exact"/>
              <w:ind w:left="101" w:right="0"/>
              <w:jc w:val="left"/>
              <w:rPr>
                <w:rFonts w:ascii="宋体" w:hAnsi="宋体" w:cs="宋体" w:eastAsia="宋体" w:hint="default"/>
                <w:sz w:val="24"/>
                <w:szCs w:val="24"/>
              </w:rPr>
            </w:pPr>
            <w:r>
              <w:rPr>
                <w:rFonts w:ascii="宋体" w:hAnsi="宋体" w:cs="宋体" w:eastAsia="宋体" w:hint="default"/>
                <w:sz w:val="24"/>
                <w:szCs w:val="24"/>
              </w:rPr>
              <w:t>净额</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宋体" w:hAnsi="宋体" w:cs="宋体" w:eastAsia="宋体" w:hint="default"/>
                <w:sz w:val="24"/>
                <w:szCs w:val="24"/>
              </w:rPr>
            </w:pPr>
            <w:r>
              <w:rPr>
                <w:rFonts w:ascii="宋体"/>
                <w:sz w:val="24"/>
              </w:rPr>
              <w:t>300,991,019.56</w:t>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收到其他与投资活动有关的现金</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pacing w:val="-1"/>
                <w:sz w:val="24"/>
                <w:szCs w:val="24"/>
              </w:rPr>
              <w:t>七、</w:t>
            </w:r>
            <w:r>
              <w:rPr>
                <w:rFonts w:ascii="宋体" w:hAnsi="宋体" w:cs="宋体" w:eastAsia="宋体" w:hint="default"/>
                <w:spacing w:val="-1"/>
                <w:sz w:val="24"/>
                <w:szCs w:val="24"/>
              </w:rPr>
              <w:t>57</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21,412,251,739.36</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2,270,981,770.86</w:t>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1" w:right="0"/>
              <w:jc w:val="left"/>
              <w:rPr>
                <w:rFonts w:ascii="宋体" w:hAnsi="宋体" w:cs="宋体" w:eastAsia="宋体" w:hint="default"/>
                <w:sz w:val="24"/>
                <w:szCs w:val="24"/>
              </w:rPr>
            </w:pPr>
            <w:r>
              <w:rPr>
                <w:rFonts w:ascii="宋体" w:hAnsi="宋体" w:cs="宋体" w:eastAsia="宋体" w:hint="default"/>
                <w:sz w:val="24"/>
                <w:szCs w:val="24"/>
              </w:rPr>
              <w:t>投资活动现金流入小计</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25,809,319,658.06</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3,274,885,040.01</w:t>
            </w:r>
          </w:p>
        </w:tc>
      </w:tr>
      <w:tr>
        <w:trPr>
          <w:trHeight w:val="63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41" w:right="0"/>
              <w:jc w:val="left"/>
              <w:rPr>
                <w:rFonts w:ascii="宋体" w:hAnsi="宋体" w:cs="宋体" w:eastAsia="宋体" w:hint="default"/>
                <w:sz w:val="24"/>
                <w:szCs w:val="24"/>
              </w:rPr>
            </w:pPr>
            <w:r>
              <w:rPr>
                <w:rFonts w:ascii="宋体" w:hAnsi="宋体" w:cs="宋体" w:eastAsia="宋体" w:hint="default"/>
                <w:sz w:val="24"/>
                <w:szCs w:val="24"/>
              </w:rPr>
              <w:t>购建固定资产、无形资产和其他长期资</w:t>
            </w:r>
          </w:p>
          <w:p>
            <w:pPr>
              <w:pStyle w:val="TableParagraph"/>
              <w:spacing w:line="312" w:lineRule="exact"/>
              <w:ind w:left="101" w:right="0"/>
              <w:jc w:val="left"/>
              <w:rPr>
                <w:rFonts w:ascii="宋体" w:hAnsi="宋体" w:cs="宋体" w:eastAsia="宋体" w:hint="default"/>
                <w:sz w:val="24"/>
                <w:szCs w:val="24"/>
              </w:rPr>
            </w:pPr>
            <w:r>
              <w:rPr>
                <w:rFonts w:ascii="宋体" w:hAnsi="宋体" w:cs="宋体" w:eastAsia="宋体" w:hint="default"/>
                <w:sz w:val="24"/>
                <w:szCs w:val="24"/>
              </w:rPr>
              <w:t>产支付的现金</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9"/>
              <w:jc w:val="right"/>
              <w:rPr>
                <w:rFonts w:ascii="宋体" w:hAnsi="宋体" w:cs="宋体" w:eastAsia="宋体" w:hint="default"/>
                <w:sz w:val="24"/>
                <w:szCs w:val="24"/>
              </w:rPr>
            </w:pPr>
            <w:r>
              <w:rPr>
                <w:rFonts w:ascii="宋体"/>
                <w:sz w:val="24"/>
              </w:rPr>
              <w:t>41,639,835.98</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sz w:val="24"/>
              </w:rPr>
              <w:t>446,301,703.75</w:t>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投资支付的现金</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9,649,036,604.20</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2,510,896,274.52</w:t>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质押贷款净增加额</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1" w:right="0"/>
              <w:jc w:val="left"/>
              <w:rPr>
                <w:rFonts w:ascii="宋体" w:hAnsi="宋体" w:cs="宋体" w:eastAsia="宋体" w:hint="default"/>
                <w:sz w:val="24"/>
                <w:szCs w:val="24"/>
              </w:rPr>
            </w:pPr>
            <w:r>
              <w:rPr>
                <w:rFonts w:ascii="宋体" w:hAnsi="宋体" w:cs="宋体" w:eastAsia="宋体" w:hint="default"/>
                <w:sz w:val="24"/>
                <w:szCs w:val="24"/>
              </w:rPr>
              <w:t>取得子公司及其他营业单位支付的现金</w:t>
            </w:r>
          </w:p>
          <w:p>
            <w:pPr>
              <w:pStyle w:val="TableParagraph"/>
              <w:spacing w:line="313" w:lineRule="exact"/>
              <w:ind w:left="101" w:right="0"/>
              <w:jc w:val="left"/>
              <w:rPr>
                <w:rFonts w:ascii="宋体" w:hAnsi="宋体" w:cs="宋体" w:eastAsia="宋体" w:hint="default"/>
                <w:sz w:val="24"/>
                <w:szCs w:val="24"/>
              </w:rPr>
            </w:pPr>
            <w:r>
              <w:rPr>
                <w:rFonts w:ascii="宋体" w:hAnsi="宋体" w:cs="宋体" w:eastAsia="宋体" w:hint="default"/>
                <w:sz w:val="24"/>
                <w:szCs w:val="24"/>
              </w:rPr>
              <w:t>净额</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9"/>
              <w:jc w:val="right"/>
              <w:rPr>
                <w:rFonts w:ascii="宋体" w:hAnsi="宋体" w:cs="宋体" w:eastAsia="宋体" w:hint="default"/>
                <w:sz w:val="24"/>
                <w:szCs w:val="24"/>
              </w:rPr>
            </w:pPr>
            <w:r>
              <w:rPr>
                <w:rFonts w:ascii="宋体"/>
                <w:sz w:val="24"/>
              </w:rPr>
              <w:t>36,183,144.86</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sz w:val="24"/>
              </w:rPr>
              <w:t>359,498,497.62</w:t>
            </w:r>
          </w:p>
        </w:tc>
      </w:tr>
      <w:tr>
        <w:trPr>
          <w:trHeight w:val="327"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支付其他与投资活动有关的现金</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pacing w:val="-1"/>
                <w:sz w:val="24"/>
                <w:szCs w:val="24"/>
              </w:rPr>
              <w:t>七、</w:t>
            </w:r>
            <w:r>
              <w:rPr>
                <w:rFonts w:ascii="宋体" w:hAnsi="宋体" w:cs="宋体" w:eastAsia="宋体" w:hint="default"/>
                <w:spacing w:val="-1"/>
                <w:sz w:val="24"/>
                <w:szCs w:val="24"/>
              </w:rPr>
              <w:t>57</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22,515,225,262.43</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2,203,742,557.48</w:t>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1" w:right="0"/>
              <w:jc w:val="left"/>
              <w:rPr>
                <w:rFonts w:ascii="宋体" w:hAnsi="宋体" w:cs="宋体" w:eastAsia="宋体" w:hint="default"/>
                <w:sz w:val="24"/>
                <w:szCs w:val="24"/>
              </w:rPr>
            </w:pPr>
            <w:r>
              <w:rPr>
                <w:rFonts w:ascii="宋体" w:hAnsi="宋体" w:cs="宋体" w:eastAsia="宋体" w:hint="default"/>
                <w:sz w:val="24"/>
                <w:szCs w:val="24"/>
              </w:rPr>
              <w:t>投资活动现金流出小计</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32,242,084,847.47</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5,520,439,033.37</w:t>
            </w:r>
          </w:p>
        </w:tc>
      </w:tr>
    </w:tbl>
    <w:p>
      <w:pPr>
        <w:spacing w:after="0" w:line="274" w:lineRule="exact"/>
        <w:jc w:val="right"/>
        <w:rPr>
          <w:rFonts w:ascii="宋体" w:hAnsi="宋体" w:cs="宋体" w:eastAsia="宋体" w:hint="default"/>
          <w:sz w:val="24"/>
          <w:szCs w:val="24"/>
        </w:rPr>
        <w:sectPr>
          <w:pgSz w:w="11910" w:h="16840"/>
          <w:pgMar w:header="0" w:footer="1195" w:top="1100" w:bottom="1380" w:left="1080" w:right="5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15" w:type="dxa"/>
        <w:tblLayout w:type="fixed"/>
        <w:tblCellMar>
          <w:top w:w="0" w:type="dxa"/>
          <w:left w:w="0" w:type="dxa"/>
          <w:bottom w:w="0" w:type="dxa"/>
          <w:right w:w="0" w:type="dxa"/>
        </w:tblCellMar>
        <w:tblLook w:val="01E0"/>
      </w:tblPr>
      <w:tblGrid>
        <w:gridCol w:w="4578"/>
        <w:gridCol w:w="934"/>
        <w:gridCol w:w="2257"/>
        <w:gridCol w:w="2256"/>
      </w:tblGrid>
      <w:tr>
        <w:trPr>
          <w:trHeight w:val="327"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821" w:right="0"/>
              <w:jc w:val="left"/>
              <w:rPr>
                <w:rFonts w:ascii="宋体" w:hAnsi="宋体" w:cs="宋体" w:eastAsia="宋体" w:hint="default"/>
                <w:sz w:val="24"/>
                <w:szCs w:val="24"/>
              </w:rPr>
            </w:pPr>
            <w:r>
              <w:rPr>
                <w:rFonts w:ascii="宋体" w:hAnsi="宋体" w:cs="宋体" w:eastAsia="宋体" w:hint="default"/>
                <w:sz w:val="24"/>
                <w:szCs w:val="24"/>
              </w:rPr>
              <w:t>投资活动产生的现金流量净额</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9"/>
              <w:jc w:val="right"/>
              <w:rPr>
                <w:rFonts w:ascii="宋体" w:hAnsi="宋体" w:cs="宋体" w:eastAsia="宋体" w:hint="default"/>
                <w:sz w:val="24"/>
                <w:szCs w:val="24"/>
              </w:rPr>
            </w:pPr>
            <w:r>
              <w:rPr>
                <w:rFonts w:ascii="宋体"/>
                <w:sz w:val="24"/>
              </w:rPr>
              <w:t>-6,432,765,189.41</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-2,245,553,993.36</w:t>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1" w:right="0"/>
              <w:jc w:val="left"/>
              <w:rPr>
                <w:rFonts w:ascii="宋体" w:hAnsi="宋体" w:cs="宋体" w:eastAsia="宋体" w:hint="default"/>
                <w:sz w:val="24"/>
                <w:szCs w:val="24"/>
              </w:rPr>
            </w:pPr>
            <w:r>
              <w:rPr>
                <w:rFonts w:ascii="宋体" w:hAnsi="宋体" w:cs="宋体" w:eastAsia="宋体" w:hint="default"/>
                <w:b/>
                <w:bCs/>
                <w:sz w:val="24"/>
                <w:szCs w:val="24"/>
              </w:rPr>
              <w:t>三、筹资活动产生的现金流量：</w:t>
            </w:r>
            <w:r>
              <w:rPr>
                <w:rFonts w:ascii="宋体" w:hAnsi="宋体" w:cs="宋体" w:eastAsia="宋体" w:hint="default"/>
                <w:sz w:val="24"/>
                <w:szCs w:val="24"/>
              </w:rPr>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1" w:right="0"/>
              <w:jc w:val="left"/>
              <w:rPr>
                <w:rFonts w:ascii="宋体" w:hAnsi="宋体" w:cs="宋体" w:eastAsia="宋体" w:hint="default"/>
                <w:sz w:val="24"/>
                <w:szCs w:val="24"/>
              </w:rPr>
            </w:pPr>
            <w:r>
              <w:rPr>
                <w:rFonts w:ascii="宋体" w:hAnsi="宋体" w:cs="宋体" w:eastAsia="宋体" w:hint="default"/>
                <w:sz w:val="24"/>
                <w:szCs w:val="24"/>
              </w:rPr>
              <w:t>吸收投资收到的现金</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1" w:right="0"/>
              <w:jc w:val="left"/>
              <w:rPr>
                <w:rFonts w:ascii="宋体" w:hAnsi="宋体" w:cs="宋体" w:eastAsia="宋体" w:hint="default"/>
                <w:sz w:val="24"/>
                <w:szCs w:val="24"/>
              </w:rPr>
            </w:pPr>
            <w:r>
              <w:rPr>
                <w:rFonts w:ascii="宋体" w:hAnsi="宋体" w:cs="宋体" w:eastAsia="宋体" w:hint="default"/>
                <w:sz w:val="24"/>
                <w:szCs w:val="24"/>
              </w:rPr>
              <w:t>其中：子公司吸收少数股东投资收到的</w:t>
            </w:r>
          </w:p>
          <w:p>
            <w:pPr>
              <w:pStyle w:val="TableParagraph"/>
              <w:spacing w:line="313" w:lineRule="exact"/>
              <w:ind w:left="101"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取得借款收到的现金</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23,243,490,000.00</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27,951,814,573.77</w:t>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发行债券收到的现金</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7,194,636,927.99</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3,874,880,000.00</w:t>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收到其他与筹资活动有关的现金</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pacing w:val="-1"/>
                <w:sz w:val="24"/>
                <w:szCs w:val="24"/>
              </w:rPr>
              <w:t>七、</w:t>
            </w:r>
            <w:r>
              <w:rPr>
                <w:rFonts w:ascii="宋体" w:hAnsi="宋体" w:cs="宋体" w:eastAsia="宋体" w:hint="default"/>
                <w:spacing w:val="-1"/>
                <w:sz w:val="24"/>
                <w:szCs w:val="24"/>
              </w:rPr>
              <w:t>57</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1,175,596,549.74</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2,894,563,863.27</w:t>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1" w:right="0"/>
              <w:jc w:val="left"/>
              <w:rPr>
                <w:rFonts w:ascii="宋体" w:hAnsi="宋体" w:cs="宋体" w:eastAsia="宋体" w:hint="default"/>
                <w:sz w:val="24"/>
                <w:szCs w:val="24"/>
              </w:rPr>
            </w:pPr>
            <w:r>
              <w:rPr>
                <w:rFonts w:ascii="宋体" w:hAnsi="宋体" w:cs="宋体" w:eastAsia="宋体" w:hint="default"/>
                <w:sz w:val="24"/>
                <w:szCs w:val="24"/>
              </w:rPr>
              <w:t>筹资活动现金流入小计</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31,613,723,477.73</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34,721,258,437.04</w:t>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偿还债务支付的现金</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21,383,245,616.99</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24,176,693,479.20</w:t>
            </w:r>
          </w:p>
        </w:tc>
      </w:tr>
      <w:tr>
        <w:trPr>
          <w:trHeight w:val="325"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分配股利、利润或偿付利息支付的现金</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4,166,635,041.14</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4,220,531,670.65</w:t>
            </w:r>
          </w:p>
        </w:tc>
      </w:tr>
      <w:tr>
        <w:trPr>
          <w:trHeight w:val="638"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其中：子公司支付给少数股东的股利、</w:t>
            </w:r>
          </w:p>
          <w:p>
            <w:pPr>
              <w:pStyle w:val="TableParagraph"/>
              <w:spacing w:line="312" w:lineRule="exact"/>
              <w:ind w:left="101" w:right="0"/>
              <w:jc w:val="left"/>
              <w:rPr>
                <w:rFonts w:ascii="宋体" w:hAnsi="宋体" w:cs="宋体" w:eastAsia="宋体" w:hint="default"/>
                <w:sz w:val="24"/>
                <w:szCs w:val="24"/>
              </w:rPr>
            </w:pPr>
            <w:r>
              <w:rPr>
                <w:rFonts w:ascii="宋体" w:hAnsi="宋体" w:cs="宋体" w:eastAsia="宋体" w:hint="default"/>
                <w:sz w:val="24"/>
                <w:szCs w:val="24"/>
              </w:rPr>
              <w:t>利润</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9"/>
              <w:jc w:val="right"/>
              <w:rPr>
                <w:rFonts w:ascii="宋体" w:hAnsi="宋体" w:cs="宋体" w:eastAsia="宋体" w:hint="default"/>
                <w:sz w:val="24"/>
                <w:szCs w:val="24"/>
              </w:rPr>
            </w:pPr>
            <w:r>
              <w:rPr>
                <w:rFonts w:ascii="宋体"/>
                <w:sz w:val="24"/>
              </w:rPr>
              <w:t>51,095,000.00</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8"/>
              <w:jc w:val="right"/>
              <w:rPr>
                <w:rFonts w:ascii="宋体" w:hAnsi="宋体" w:cs="宋体" w:eastAsia="宋体" w:hint="default"/>
                <w:sz w:val="24"/>
                <w:szCs w:val="24"/>
              </w:rPr>
            </w:pPr>
            <w:r>
              <w:rPr>
                <w:rFonts w:ascii="宋体"/>
                <w:sz w:val="24"/>
              </w:rPr>
              <w:t>18,000,000.00</w:t>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支付其他与筹资活动有关的现金</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pacing w:val="-1"/>
                <w:sz w:val="24"/>
                <w:szCs w:val="24"/>
              </w:rPr>
              <w:t>七、</w:t>
            </w:r>
            <w:r>
              <w:rPr>
                <w:rFonts w:ascii="宋体" w:hAnsi="宋体" w:cs="宋体" w:eastAsia="宋体" w:hint="default"/>
                <w:spacing w:val="-1"/>
                <w:sz w:val="24"/>
                <w:szCs w:val="24"/>
              </w:rPr>
              <w:t>57</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885,647,965.05</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4,675,037,899.19</w:t>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1" w:right="0"/>
              <w:jc w:val="left"/>
              <w:rPr>
                <w:rFonts w:ascii="宋体" w:hAnsi="宋体" w:cs="宋体" w:eastAsia="宋体" w:hint="default"/>
                <w:sz w:val="24"/>
                <w:szCs w:val="24"/>
              </w:rPr>
            </w:pPr>
            <w:r>
              <w:rPr>
                <w:rFonts w:ascii="宋体" w:hAnsi="宋体" w:cs="宋体" w:eastAsia="宋体" w:hint="default"/>
                <w:sz w:val="24"/>
                <w:szCs w:val="24"/>
              </w:rPr>
              <w:t>筹资活动现金流出小计</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26,435,528,623.18</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33,072,263,049.04</w:t>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1" w:right="0"/>
              <w:jc w:val="left"/>
              <w:rPr>
                <w:rFonts w:ascii="宋体" w:hAnsi="宋体" w:cs="宋体" w:eastAsia="宋体" w:hint="default"/>
                <w:sz w:val="24"/>
                <w:szCs w:val="24"/>
              </w:rPr>
            </w:pPr>
            <w:r>
              <w:rPr>
                <w:rFonts w:ascii="宋体" w:hAnsi="宋体" w:cs="宋体" w:eastAsia="宋体" w:hint="default"/>
                <w:sz w:val="24"/>
                <w:szCs w:val="24"/>
              </w:rPr>
              <w:t>筹资活动产生的现金流量净额</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5,178,194,854.55</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1,648,995,388.00</w:t>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1" w:right="0"/>
              <w:jc w:val="left"/>
              <w:rPr>
                <w:rFonts w:ascii="宋体" w:hAnsi="宋体" w:cs="宋体" w:eastAsia="宋体" w:hint="default"/>
                <w:sz w:val="24"/>
                <w:szCs w:val="24"/>
              </w:rPr>
            </w:pPr>
            <w:r>
              <w:rPr>
                <w:rFonts w:ascii="宋体" w:hAnsi="宋体" w:cs="宋体" w:eastAsia="宋体" w:hint="default"/>
                <w:b/>
                <w:bCs/>
                <w:sz w:val="24"/>
                <w:szCs w:val="24"/>
              </w:rPr>
              <w:t>四、汇率变动对现金及现金等价物的影响</w:t>
            </w:r>
            <w:r>
              <w:rPr>
                <w:rFonts w:ascii="宋体" w:hAnsi="宋体" w:cs="宋体" w:eastAsia="宋体" w:hint="default"/>
                <w:sz w:val="24"/>
                <w:szCs w:val="24"/>
              </w:rPr>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-71,303,094.18</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32,129,637.69</w:t>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1" w:right="0"/>
              <w:jc w:val="left"/>
              <w:rPr>
                <w:rFonts w:ascii="宋体" w:hAnsi="宋体" w:cs="宋体" w:eastAsia="宋体" w:hint="default"/>
                <w:sz w:val="24"/>
                <w:szCs w:val="24"/>
              </w:rPr>
            </w:pPr>
            <w:r>
              <w:rPr>
                <w:rFonts w:ascii="宋体" w:hAnsi="宋体" w:cs="宋体" w:eastAsia="宋体" w:hint="default"/>
                <w:b/>
                <w:bCs/>
                <w:sz w:val="24"/>
                <w:szCs w:val="24"/>
              </w:rPr>
              <w:t>五、现金及现金等价物净增加额</w:t>
            </w:r>
            <w:r>
              <w:rPr>
                <w:rFonts w:ascii="宋体" w:hAnsi="宋体" w:cs="宋体" w:eastAsia="宋体" w:hint="default"/>
                <w:sz w:val="24"/>
                <w:szCs w:val="24"/>
              </w:rPr>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357,300,816.87</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4,063,672,853.05</w:t>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hAnsi="宋体" w:cs="宋体" w:eastAsia="宋体" w:hint="default"/>
                <w:sz w:val="24"/>
                <w:szCs w:val="24"/>
              </w:rPr>
              <w:t>加：期初现金及现金等价物余额</w:t>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15,863,105,197.18</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11,799,432,344.13</w:t>
            </w:r>
          </w:p>
        </w:tc>
      </w:tr>
      <w:tr>
        <w:trPr>
          <w:trHeight w:val="326" w:hRule="exact"/>
        </w:trPr>
        <w:tc>
          <w:tcPr>
            <w:tcW w:w="45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1" w:right="0"/>
              <w:jc w:val="left"/>
              <w:rPr>
                <w:rFonts w:ascii="宋体" w:hAnsi="宋体" w:cs="宋体" w:eastAsia="宋体" w:hint="default"/>
                <w:sz w:val="24"/>
                <w:szCs w:val="24"/>
              </w:rPr>
            </w:pPr>
            <w:r>
              <w:rPr>
                <w:rFonts w:ascii="宋体" w:hAnsi="宋体" w:cs="宋体" w:eastAsia="宋体" w:hint="default"/>
                <w:b/>
                <w:bCs/>
                <w:sz w:val="24"/>
                <w:szCs w:val="24"/>
              </w:rPr>
              <w:t>六、期末现金及现金等价物余额</w:t>
            </w:r>
            <w:r>
              <w:rPr>
                <w:rFonts w:ascii="宋体" w:hAnsi="宋体" w:cs="宋体" w:eastAsia="宋体" w:hint="default"/>
                <w:sz w:val="24"/>
                <w:szCs w:val="24"/>
              </w:rPr>
            </w:r>
          </w:p>
        </w:tc>
        <w:tc>
          <w:tcPr>
            <w:tcW w:w="934"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16,220,406,014.05</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15,863,105,197.18</w:t>
            </w:r>
          </w:p>
        </w:tc>
      </w:tr>
    </w:tbl>
    <w:p>
      <w:pPr>
        <w:spacing w:line="240" w:lineRule="auto" w:before="5"/>
        <w:rPr>
          <w:rFonts w:ascii="Times New Roman" w:hAnsi="Times New Roman" w:cs="Times New Roman" w:eastAsia="Times New Roman" w:hint="default"/>
          <w:sz w:val="21"/>
          <w:szCs w:val="21"/>
        </w:rPr>
      </w:pPr>
    </w:p>
    <w:p>
      <w:pPr>
        <w:pStyle w:val="BodyText"/>
        <w:spacing w:line="240" w:lineRule="auto" w:before="26"/>
        <w:ind w:left="718" w:right="0"/>
        <w:jc w:val="left"/>
      </w:pPr>
      <w:r>
        <w:rPr/>
        <w:t>法定代表人：林俊波 主管会计工作负责人：潘孝娜</w:t>
      </w:r>
      <w:r>
        <w:rPr>
          <w:spacing w:val="-1"/>
        </w:rPr>
        <w:t> </w:t>
      </w:r>
      <w:r>
        <w:rPr/>
        <w:t>会计机构负责人：胡倩倩</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00" w:bottom="1380" w:left="1080" w:right="560"/>
        </w:sectPr>
      </w:pPr>
    </w:p>
    <w:p>
      <w:pPr>
        <w:spacing w:line="310" w:lineRule="exact" w:before="58"/>
        <w:ind w:left="4263" w:right="0" w:hanging="94"/>
        <w:jc w:val="left"/>
        <w:rPr>
          <w:rFonts w:ascii="宋体" w:hAnsi="宋体" w:cs="宋体" w:eastAsia="宋体" w:hint="default"/>
          <w:sz w:val="24"/>
          <w:szCs w:val="24"/>
        </w:rPr>
      </w:pPr>
      <w:r>
        <w:rPr>
          <w:rFonts w:ascii="宋体" w:hAnsi="宋体" w:cs="宋体" w:eastAsia="宋体" w:hint="default"/>
          <w:b/>
          <w:bCs/>
          <w:w w:val="95"/>
          <w:sz w:val="24"/>
          <w:szCs w:val="24"/>
        </w:rPr>
        <w:t>母公司现金流量表</w:t>
      </w:r>
      <w:r>
        <w:rPr>
          <w:rFonts w:ascii="宋体" w:hAnsi="宋体" w:cs="宋体" w:eastAsia="宋体" w:hint="default"/>
          <w:b/>
          <w:bCs/>
          <w:spacing w:val="-21"/>
          <w:w w:val="95"/>
          <w:sz w:val="24"/>
          <w:szCs w:val="24"/>
        </w:rPr>
        <w:t> </w:t>
      </w:r>
      <w:r>
        <w:rPr>
          <w:rFonts w:ascii="宋体" w:hAnsi="宋体" w:cs="宋体" w:eastAsia="宋体" w:hint="default"/>
          <w:b/>
          <w:bCs/>
          <w:spacing w:val="-21"/>
          <w:w w:val="95"/>
          <w:sz w:val="24"/>
          <w:szCs w:val="24"/>
        </w:rPr>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BodyText"/>
        <w:tabs>
          <w:tab w:pos="2094" w:val="left" w:leader="none"/>
        </w:tabs>
        <w:spacing w:line="240" w:lineRule="auto"/>
        <w:ind w:left="1014"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00" w:bottom="280" w:left="1080" w:right="560"/>
          <w:cols w:num="2" w:equalWidth="0">
            <w:col w:w="6097" w:space="40"/>
            <w:col w:w="4133"/>
          </w:cols>
        </w:sectPr>
      </w:pPr>
    </w:p>
    <w:p>
      <w:pPr>
        <w:spacing w:line="240" w:lineRule="auto" w:before="12"/>
        <w:rPr>
          <w:rFonts w:ascii="宋体" w:hAnsi="宋体" w:cs="宋体" w:eastAsia="宋体" w:hint="default"/>
          <w:sz w:val="2"/>
          <w:szCs w:val="2"/>
        </w:rPr>
      </w:pPr>
    </w:p>
    <w:tbl>
      <w:tblPr>
        <w:tblW w:w="0" w:type="auto"/>
        <w:jc w:val="left"/>
        <w:tblInd w:w="223" w:type="dxa"/>
        <w:tblLayout w:type="fixed"/>
        <w:tblCellMar>
          <w:top w:w="0" w:type="dxa"/>
          <w:left w:w="0" w:type="dxa"/>
          <w:bottom w:w="0" w:type="dxa"/>
          <w:right w:w="0" w:type="dxa"/>
        </w:tblCellMar>
        <w:tblLook w:val="01E0"/>
      </w:tblPr>
      <w:tblGrid>
        <w:gridCol w:w="4354"/>
        <w:gridCol w:w="944"/>
        <w:gridCol w:w="2256"/>
        <w:gridCol w:w="2257"/>
      </w:tblGrid>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23"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18" w:right="0"/>
              <w:jc w:val="lef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18" w:right="0"/>
              <w:jc w:val="lef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b/>
                <w:bCs/>
                <w:sz w:val="24"/>
                <w:szCs w:val="24"/>
              </w:rPr>
              <w:t>一、经营活动产生的现金流量：</w:t>
            </w:r>
            <w:r>
              <w:rPr>
                <w:rFonts w:ascii="宋体" w:hAnsi="宋体" w:cs="宋体" w:eastAsia="宋体" w:hint="default"/>
                <w:sz w:val="24"/>
                <w:szCs w:val="24"/>
              </w:rPr>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38" w:right="0"/>
              <w:jc w:val="left"/>
              <w:rPr>
                <w:rFonts w:ascii="宋体" w:hAnsi="宋体" w:cs="宋体" w:eastAsia="宋体" w:hint="default"/>
                <w:sz w:val="24"/>
                <w:szCs w:val="24"/>
              </w:rPr>
            </w:pPr>
            <w:r>
              <w:rPr>
                <w:rFonts w:ascii="宋体" w:hAnsi="宋体" w:cs="宋体" w:eastAsia="宋体" w:hint="default"/>
                <w:sz w:val="24"/>
                <w:szCs w:val="24"/>
              </w:rPr>
              <w:t>销售商品、提供劳务收到的现金</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2,559,883,775.86</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1,966,054,976.64</w:t>
            </w:r>
          </w:p>
        </w:tc>
      </w:tr>
      <w:tr>
        <w:trPr>
          <w:trHeight w:val="325"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38" w:right="0"/>
              <w:jc w:val="left"/>
              <w:rPr>
                <w:rFonts w:ascii="宋体" w:hAnsi="宋体" w:cs="宋体" w:eastAsia="宋体" w:hint="default"/>
                <w:sz w:val="24"/>
                <w:szCs w:val="24"/>
              </w:rPr>
            </w:pPr>
            <w:r>
              <w:rPr>
                <w:rFonts w:ascii="宋体" w:hAnsi="宋体" w:cs="宋体" w:eastAsia="宋体" w:hint="default"/>
                <w:sz w:val="24"/>
                <w:szCs w:val="24"/>
              </w:rPr>
              <w:t>收到的税费返还</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1,257,079.32</w:t>
            </w: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38" w:right="0"/>
              <w:jc w:val="left"/>
              <w:rPr>
                <w:rFonts w:ascii="宋体" w:hAnsi="宋体" w:cs="宋体" w:eastAsia="宋体" w:hint="default"/>
                <w:sz w:val="24"/>
                <w:szCs w:val="24"/>
              </w:rPr>
            </w:pPr>
            <w:r>
              <w:rPr>
                <w:rFonts w:ascii="宋体" w:hAnsi="宋体" w:cs="宋体" w:eastAsia="宋体" w:hint="default"/>
                <w:sz w:val="24"/>
                <w:szCs w:val="24"/>
              </w:rPr>
              <w:t>收到其他与经营活动有关的现金</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131,553,639.05</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83,528,665.17</w:t>
            </w: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578" w:right="0"/>
              <w:jc w:val="left"/>
              <w:rPr>
                <w:rFonts w:ascii="宋体" w:hAnsi="宋体" w:cs="宋体" w:eastAsia="宋体" w:hint="default"/>
                <w:sz w:val="24"/>
                <w:szCs w:val="24"/>
              </w:rPr>
            </w:pPr>
            <w:r>
              <w:rPr>
                <w:rFonts w:ascii="宋体" w:hAnsi="宋体" w:cs="宋体" w:eastAsia="宋体" w:hint="default"/>
                <w:sz w:val="24"/>
                <w:szCs w:val="24"/>
              </w:rPr>
              <w:t>经营活动现金流入小计</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2,691,437,414.91</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2,050,840,721.13</w:t>
            </w: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38" w:right="0"/>
              <w:jc w:val="left"/>
              <w:rPr>
                <w:rFonts w:ascii="宋体" w:hAnsi="宋体" w:cs="宋体" w:eastAsia="宋体" w:hint="default"/>
                <w:sz w:val="24"/>
                <w:szCs w:val="24"/>
              </w:rPr>
            </w:pPr>
            <w:r>
              <w:rPr>
                <w:rFonts w:ascii="宋体" w:hAnsi="宋体" w:cs="宋体" w:eastAsia="宋体" w:hint="default"/>
                <w:sz w:val="24"/>
                <w:szCs w:val="24"/>
              </w:rPr>
              <w:t>购买商品、接受劳务支付的现金</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2,582,610,102.64</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1,635,632,650.17</w:t>
            </w: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38" w:right="0"/>
              <w:jc w:val="left"/>
              <w:rPr>
                <w:rFonts w:ascii="宋体" w:hAnsi="宋体" w:cs="宋体" w:eastAsia="宋体" w:hint="default"/>
                <w:sz w:val="24"/>
                <w:szCs w:val="24"/>
              </w:rPr>
            </w:pPr>
            <w:r>
              <w:rPr>
                <w:rFonts w:ascii="宋体" w:hAnsi="宋体" w:cs="宋体" w:eastAsia="宋体" w:hint="default"/>
                <w:sz w:val="24"/>
                <w:szCs w:val="24"/>
              </w:rPr>
              <w:t>支付给职工以及为职工支付的现金</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27,702,653.02</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22,207,841.84</w:t>
            </w: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38" w:right="0"/>
              <w:jc w:val="left"/>
              <w:rPr>
                <w:rFonts w:ascii="宋体" w:hAnsi="宋体" w:cs="宋体" w:eastAsia="宋体" w:hint="default"/>
                <w:sz w:val="24"/>
                <w:szCs w:val="24"/>
              </w:rPr>
            </w:pPr>
            <w:r>
              <w:rPr>
                <w:rFonts w:ascii="宋体" w:hAnsi="宋体" w:cs="宋体" w:eastAsia="宋体" w:hint="default"/>
                <w:sz w:val="24"/>
                <w:szCs w:val="24"/>
              </w:rPr>
              <w:t>支付的各项税费</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26,265,725.63</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38,749,751.54</w:t>
            </w: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38" w:right="0"/>
              <w:jc w:val="left"/>
              <w:rPr>
                <w:rFonts w:ascii="宋体" w:hAnsi="宋体" w:cs="宋体" w:eastAsia="宋体" w:hint="default"/>
                <w:sz w:val="24"/>
                <w:szCs w:val="24"/>
              </w:rPr>
            </w:pPr>
            <w:r>
              <w:rPr>
                <w:rFonts w:ascii="宋体" w:hAnsi="宋体" w:cs="宋体" w:eastAsia="宋体" w:hint="default"/>
                <w:sz w:val="24"/>
                <w:szCs w:val="24"/>
              </w:rPr>
              <w:t>支付其他与经营活动有关的现金</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64,911,722.08</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52,766,662.08</w:t>
            </w: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78" w:right="0"/>
              <w:jc w:val="left"/>
              <w:rPr>
                <w:rFonts w:ascii="宋体" w:hAnsi="宋体" w:cs="宋体" w:eastAsia="宋体" w:hint="default"/>
                <w:sz w:val="24"/>
                <w:szCs w:val="24"/>
              </w:rPr>
            </w:pPr>
            <w:r>
              <w:rPr>
                <w:rFonts w:ascii="宋体" w:hAnsi="宋体" w:cs="宋体" w:eastAsia="宋体" w:hint="default"/>
                <w:sz w:val="24"/>
                <w:szCs w:val="24"/>
              </w:rPr>
              <w:t>经营活动现金流出小计</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2,701,490,203.37</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1,749,356,905.63</w:t>
            </w: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38"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-10,052,788.46</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301,483,815.50</w:t>
            </w: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b/>
                <w:bCs/>
                <w:sz w:val="24"/>
                <w:szCs w:val="24"/>
              </w:rPr>
              <w:t>二、投资活动产生的现金流量：</w:t>
            </w:r>
            <w:r>
              <w:rPr>
                <w:rFonts w:ascii="宋体" w:hAnsi="宋体" w:cs="宋体" w:eastAsia="宋体" w:hint="default"/>
                <w:sz w:val="24"/>
                <w:szCs w:val="24"/>
              </w:rPr>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38" w:right="0"/>
              <w:jc w:val="left"/>
              <w:rPr>
                <w:rFonts w:ascii="宋体" w:hAnsi="宋体" w:cs="宋体" w:eastAsia="宋体" w:hint="default"/>
                <w:sz w:val="24"/>
                <w:szCs w:val="24"/>
              </w:rPr>
            </w:pPr>
            <w:r>
              <w:rPr>
                <w:rFonts w:ascii="宋体" w:hAnsi="宋体" w:cs="宋体" w:eastAsia="宋体" w:hint="default"/>
                <w:sz w:val="24"/>
                <w:szCs w:val="24"/>
              </w:rPr>
              <w:t>收回投资收到的现金</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2,460,430,560.99</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1,235,977,703.22</w:t>
            </w: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38" w:right="0"/>
              <w:jc w:val="left"/>
              <w:rPr>
                <w:rFonts w:ascii="宋体" w:hAnsi="宋体" w:cs="宋体" w:eastAsia="宋体" w:hint="default"/>
                <w:sz w:val="24"/>
                <w:szCs w:val="24"/>
              </w:rPr>
            </w:pPr>
            <w:r>
              <w:rPr>
                <w:rFonts w:ascii="宋体" w:hAnsi="宋体" w:cs="宋体" w:eastAsia="宋体" w:hint="default"/>
                <w:sz w:val="24"/>
                <w:szCs w:val="24"/>
              </w:rPr>
              <w:t>取得投资收益收到的现金</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1,434,027,529.85</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867,068,127.18</w:t>
            </w:r>
          </w:p>
        </w:tc>
      </w:tr>
    </w:tbl>
    <w:p>
      <w:pPr>
        <w:spacing w:after="0" w:line="274" w:lineRule="exact"/>
        <w:jc w:val="right"/>
        <w:rPr>
          <w:rFonts w:ascii="宋体" w:hAnsi="宋体" w:cs="宋体" w:eastAsia="宋体" w:hint="default"/>
          <w:sz w:val="24"/>
          <w:szCs w:val="24"/>
        </w:rPr>
        <w:sectPr>
          <w:type w:val="continuous"/>
          <w:pgSz w:w="11910" w:h="16840"/>
          <w:pgMar w:top="1000" w:bottom="280" w:left="1080" w:right="5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4354"/>
        <w:gridCol w:w="944"/>
        <w:gridCol w:w="2256"/>
        <w:gridCol w:w="2257"/>
      </w:tblGrid>
      <w:tr>
        <w:trPr>
          <w:trHeight w:val="639"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38" w:right="0"/>
              <w:jc w:val="left"/>
              <w:rPr>
                <w:rFonts w:ascii="宋体" w:hAnsi="宋体" w:cs="宋体" w:eastAsia="宋体" w:hint="default"/>
                <w:sz w:val="24"/>
                <w:szCs w:val="24"/>
              </w:rPr>
            </w:pPr>
            <w:r>
              <w:rPr>
                <w:rFonts w:ascii="宋体" w:hAnsi="宋体" w:cs="宋体" w:eastAsia="宋体" w:hint="default"/>
                <w:sz w:val="24"/>
                <w:szCs w:val="24"/>
              </w:rPr>
              <w:t>处置固定资产、无形资产和其他长期</w:t>
            </w:r>
          </w:p>
          <w:p>
            <w:pPr>
              <w:pStyle w:val="TableParagraph"/>
              <w:spacing w:line="312" w:lineRule="exact"/>
              <w:ind w:left="98" w:right="0"/>
              <w:jc w:val="left"/>
              <w:rPr>
                <w:rFonts w:ascii="宋体" w:hAnsi="宋体" w:cs="宋体" w:eastAsia="宋体" w:hint="default"/>
                <w:sz w:val="24"/>
                <w:szCs w:val="24"/>
              </w:rPr>
            </w:pPr>
            <w:r>
              <w:rPr>
                <w:rFonts w:ascii="宋体" w:hAnsi="宋体" w:cs="宋体" w:eastAsia="宋体" w:hint="default"/>
                <w:sz w:val="24"/>
                <w:szCs w:val="24"/>
              </w:rPr>
              <w:t>资产收回的现金净额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8"/>
              <w:jc w:val="right"/>
              <w:rPr>
                <w:rFonts w:ascii="宋体" w:hAnsi="宋体" w:cs="宋体" w:eastAsia="宋体" w:hint="default"/>
                <w:sz w:val="24"/>
                <w:szCs w:val="24"/>
              </w:rPr>
            </w:pPr>
            <w:r>
              <w:rPr>
                <w:rFonts w:ascii="宋体"/>
                <w:sz w:val="24"/>
              </w:rPr>
              <w:t>500,457.00</w:t>
            </w:r>
          </w:p>
        </w:tc>
      </w:tr>
      <w:tr>
        <w:trPr>
          <w:trHeight w:val="638"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38" w:right="0"/>
              <w:jc w:val="left"/>
              <w:rPr>
                <w:rFonts w:ascii="宋体" w:hAnsi="宋体" w:cs="宋体" w:eastAsia="宋体" w:hint="default"/>
                <w:sz w:val="24"/>
                <w:szCs w:val="24"/>
              </w:rPr>
            </w:pPr>
            <w:r>
              <w:rPr>
                <w:rFonts w:ascii="宋体" w:hAnsi="宋体" w:cs="宋体" w:eastAsia="宋体" w:hint="default"/>
                <w:sz w:val="24"/>
                <w:szCs w:val="24"/>
              </w:rPr>
              <w:t>处置子公司及其他营业单位收到的现</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金净额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38" w:right="0"/>
              <w:jc w:val="left"/>
              <w:rPr>
                <w:rFonts w:ascii="宋体" w:hAnsi="宋体" w:cs="宋体" w:eastAsia="宋体" w:hint="default"/>
                <w:sz w:val="24"/>
                <w:szCs w:val="24"/>
              </w:rPr>
            </w:pPr>
            <w:r>
              <w:rPr>
                <w:rFonts w:ascii="宋体" w:hAnsi="宋体" w:cs="宋体" w:eastAsia="宋体" w:hint="default"/>
                <w:sz w:val="24"/>
                <w:szCs w:val="24"/>
              </w:rPr>
              <w:t>收到其他与投资活动有关的现金</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33,969,447,270.31</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21,170,090,966.22</w:t>
            </w: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78" w:right="0"/>
              <w:jc w:val="left"/>
              <w:rPr>
                <w:rFonts w:ascii="宋体" w:hAnsi="宋体" w:cs="宋体" w:eastAsia="宋体" w:hint="default"/>
                <w:sz w:val="24"/>
                <w:szCs w:val="24"/>
              </w:rPr>
            </w:pPr>
            <w:r>
              <w:rPr>
                <w:rFonts w:ascii="宋体" w:hAnsi="宋体" w:cs="宋体" w:eastAsia="宋体" w:hint="default"/>
                <w:sz w:val="24"/>
                <w:szCs w:val="24"/>
              </w:rPr>
              <w:t>投资活动现金流入小计</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37,863,905,361.15</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23,273,637,253.62</w:t>
            </w:r>
          </w:p>
        </w:tc>
      </w:tr>
      <w:tr>
        <w:trPr>
          <w:trHeight w:val="63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38" w:right="0"/>
              <w:jc w:val="left"/>
              <w:rPr>
                <w:rFonts w:ascii="宋体" w:hAnsi="宋体" w:cs="宋体" w:eastAsia="宋体" w:hint="default"/>
                <w:sz w:val="24"/>
                <w:szCs w:val="24"/>
              </w:rPr>
            </w:pPr>
            <w:r>
              <w:rPr>
                <w:rFonts w:ascii="宋体" w:hAnsi="宋体" w:cs="宋体" w:eastAsia="宋体" w:hint="default"/>
                <w:sz w:val="24"/>
                <w:szCs w:val="24"/>
              </w:rPr>
              <w:t>购建固定资产、无形资产和其他长期</w:t>
            </w:r>
          </w:p>
          <w:p>
            <w:pPr>
              <w:pStyle w:val="TableParagraph"/>
              <w:spacing w:line="312" w:lineRule="exact"/>
              <w:ind w:left="98" w:right="0"/>
              <w:jc w:val="left"/>
              <w:rPr>
                <w:rFonts w:ascii="宋体" w:hAnsi="宋体" w:cs="宋体" w:eastAsia="宋体" w:hint="default"/>
                <w:sz w:val="24"/>
                <w:szCs w:val="24"/>
              </w:rPr>
            </w:pPr>
            <w:r>
              <w:rPr>
                <w:rFonts w:ascii="宋体" w:hAnsi="宋体" w:cs="宋体" w:eastAsia="宋体" w:hint="default"/>
                <w:sz w:val="24"/>
                <w:szCs w:val="24"/>
              </w:rPr>
              <w:t>资产支付的现金</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sz w:val="24"/>
              </w:rPr>
              <w:t>193,827.25</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sz w:val="24"/>
              </w:rPr>
              <w:t>112,328.21</w:t>
            </w: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38" w:right="0"/>
              <w:jc w:val="left"/>
              <w:rPr>
                <w:rFonts w:ascii="宋体" w:hAnsi="宋体" w:cs="宋体" w:eastAsia="宋体" w:hint="default"/>
                <w:sz w:val="24"/>
                <w:szCs w:val="24"/>
              </w:rPr>
            </w:pPr>
            <w:r>
              <w:rPr>
                <w:rFonts w:ascii="宋体" w:hAnsi="宋体" w:cs="宋体" w:eastAsia="宋体" w:hint="default"/>
                <w:sz w:val="24"/>
                <w:szCs w:val="24"/>
              </w:rPr>
              <w:t>投资支付的现金</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4,966,725,882.61</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2,069,256,109.88</w:t>
            </w:r>
          </w:p>
        </w:tc>
      </w:tr>
      <w:tr>
        <w:trPr>
          <w:trHeight w:val="639"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38" w:right="0"/>
              <w:jc w:val="left"/>
              <w:rPr>
                <w:rFonts w:ascii="宋体" w:hAnsi="宋体" w:cs="宋体" w:eastAsia="宋体" w:hint="default"/>
                <w:sz w:val="24"/>
                <w:szCs w:val="24"/>
              </w:rPr>
            </w:pPr>
            <w:r>
              <w:rPr>
                <w:rFonts w:ascii="宋体" w:hAnsi="宋体" w:cs="宋体" w:eastAsia="宋体" w:hint="default"/>
                <w:sz w:val="24"/>
                <w:szCs w:val="24"/>
              </w:rPr>
              <w:t>取得子公司及其他营业单位支付的现</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金净额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38" w:right="0"/>
              <w:jc w:val="left"/>
              <w:rPr>
                <w:rFonts w:ascii="宋体" w:hAnsi="宋体" w:cs="宋体" w:eastAsia="宋体" w:hint="default"/>
                <w:sz w:val="24"/>
                <w:szCs w:val="24"/>
              </w:rPr>
            </w:pPr>
            <w:r>
              <w:rPr>
                <w:rFonts w:ascii="宋体" w:hAnsi="宋体" w:cs="宋体" w:eastAsia="宋体" w:hint="default"/>
                <w:sz w:val="24"/>
                <w:szCs w:val="24"/>
              </w:rPr>
              <w:t>支付其他与投资活动有关的现金</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34,311,841,751.54</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22,358,229,256.54</w:t>
            </w: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78" w:right="0"/>
              <w:jc w:val="left"/>
              <w:rPr>
                <w:rFonts w:ascii="宋体" w:hAnsi="宋体" w:cs="宋体" w:eastAsia="宋体" w:hint="default"/>
                <w:sz w:val="24"/>
                <w:szCs w:val="24"/>
              </w:rPr>
            </w:pPr>
            <w:r>
              <w:rPr>
                <w:rFonts w:ascii="宋体" w:hAnsi="宋体" w:cs="宋体" w:eastAsia="宋体" w:hint="default"/>
                <w:sz w:val="24"/>
                <w:szCs w:val="24"/>
              </w:rPr>
              <w:t>投资活动现金流出小计</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39,278,761,461.40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24,427,597,694.63</w:t>
            </w: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99"/>
              <w:jc w:val="right"/>
              <w:rPr>
                <w:rFonts w:ascii="宋体" w:hAnsi="宋体" w:cs="宋体" w:eastAsia="宋体" w:hint="default"/>
                <w:sz w:val="24"/>
                <w:szCs w:val="24"/>
              </w:rPr>
            </w:pPr>
            <w:r>
              <w:rPr>
                <w:rFonts w:ascii="宋体" w:hAnsi="宋体" w:cs="宋体" w:eastAsia="宋体" w:hint="default"/>
                <w:sz w:val="24"/>
                <w:szCs w:val="24"/>
              </w:rPr>
              <w:t>投资活动产生的现金流量净额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-1,414,856,100.25</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-1,153,960,441.01</w:t>
            </w:r>
          </w:p>
        </w:tc>
      </w:tr>
      <w:tr>
        <w:trPr>
          <w:trHeight w:val="324"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b/>
                <w:bCs/>
                <w:sz w:val="24"/>
                <w:szCs w:val="24"/>
              </w:rPr>
              <w:t>三、筹资活动产生的现金流量：</w:t>
            </w:r>
            <w:r>
              <w:rPr>
                <w:rFonts w:ascii="宋体" w:hAnsi="宋体" w:cs="宋体" w:eastAsia="宋体" w:hint="default"/>
                <w:sz w:val="24"/>
                <w:szCs w:val="24"/>
              </w:rPr>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38" w:right="0"/>
              <w:jc w:val="left"/>
              <w:rPr>
                <w:rFonts w:ascii="宋体" w:hAnsi="宋体" w:cs="宋体" w:eastAsia="宋体" w:hint="default"/>
                <w:sz w:val="24"/>
                <w:szCs w:val="24"/>
              </w:rPr>
            </w:pPr>
            <w:r>
              <w:rPr>
                <w:rFonts w:ascii="宋体" w:hAnsi="宋体" w:cs="宋体" w:eastAsia="宋体" w:hint="default"/>
                <w:sz w:val="24"/>
                <w:szCs w:val="24"/>
              </w:rPr>
              <w:t>吸收投资收到的现金</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38" w:right="0"/>
              <w:jc w:val="left"/>
              <w:rPr>
                <w:rFonts w:ascii="宋体" w:hAnsi="宋体" w:cs="宋体" w:eastAsia="宋体" w:hint="default"/>
                <w:sz w:val="24"/>
                <w:szCs w:val="24"/>
              </w:rPr>
            </w:pPr>
            <w:r>
              <w:rPr>
                <w:rFonts w:ascii="宋体" w:hAnsi="宋体" w:cs="宋体" w:eastAsia="宋体" w:hint="default"/>
                <w:sz w:val="24"/>
                <w:szCs w:val="24"/>
              </w:rPr>
              <w:t>取得借款收到的现金</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7,938,260,000.00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11,196,510,000.00</w:t>
            </w: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38" w:right="0"/>
              <w:jc w:val="left"/>
              <w:rPr>
                <w:rFonts w:ascii="宋体" w:hAnsi="宋体" w:cs="宋体" w:eastAsia="宋体" w:hint="default"/>
                <w:sz w:val="24"/>
                <w:szCs w:val="24"/>
              </w:rPr>
            </w:pPr>
            <w:r>
              <w:rPr>
                <w:rFonts w:ascii="宋体" w:hAnsi="宋体" w:cs="宋体" w:eastAsia="宋体" w:hint="default"/>
                <w:sz w:val="24"/>
                <w:szCs w:val="24"/>
              </w:rPr>
              <w:t>发行债券收到的现金</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38" w:right="0"/>
              <w:jc w:val="left"/>
              <w:rPr>
                <w:rFonts w:ascii="宋体" w:hAnsi="宋体" w:cs="宋体" w:eastAsia="宋体" w:hint="default"/>
                <w:sz w:val="24"/>
                <w:szCs w:val="24"/>
              </w:rPr>
            </w:pPr>
            <w:r>
              <w:rPr>
                <w:rFonts w:ascii="宋体" w:hAnsi="宋体" w:cs="宋体" w:eastAsia="宋体" w:hint="default"/>
                <w:sz w:val="24"/>
                <w:szCs w:val="24"/>
              </w:rPr>
              <w:t>收到其他与筹资活动有关的现金</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17,121,515,748.80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16,112,177,140.13</w:t>
            </w: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78" w:right="0"/>
              <w:jc w:val="left"/>
              <w:rPr>
                <w:rFonts w:ascii="宋体" w:hAnsi="宋体" w:cs="宋体" w:eastAsia="宋体" w:hint="default"/>
                <w:sz w:val="24"/>
                <w:szCs w:val="24"/>
              </w:rPr>
            </w:pPr>
            <w:r>
              <w:rPr>
                <w:rFonts w:ascii="宋体" w:hAnsi="宋体" w:cs="宋体" w:eastAsia="宋体" w:hint="default"/>
                <w:sz w:val="24"/>
                <w:szCs w:val="24"/>
              </w:rPr>
              <w:t>筹资活动现金流入小计</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25,059,775,748.80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27,308,687,140.13</w:t>
            </w:r>
          </w:p>
        </w:tc>
      </w:tr>
      <w:tr>
        <w:trPr>
          <w:trHeight w:val="327"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38" w:right="0"/>
              <w:jc w:val="left"/>
              <w:rPr>
                <w:rFonts w:ascii="宋体" w:hAnsi="宋体" w:cs="宋体" w:eastAsia="宋体" w:hint="default"/>
                <w:sz w:val="24"/>
                <w:szCs w:val="24"/>
              </w:rPr>
            </w:pPr>
            <w:r>
              <w:rPr>
                <w:rFonts w:ascii="宋体" w:hAnsi="宋体" w:cs="宋体" w:eastAsia="宋体" w:hint="default"/>
                <w:sz w:val="24"/>
                <w:szCs w:val="24"/>
              </w:rPr>
              <w:t>偿还债务支付的现金</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9,160,098,480.00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9,901,739,670.00</w:t>
            </w:r>
          </w:p>
        </w:tc>
      </w:tr>
      <w:tr>
        <w:trPr>
          <w:trHeight w:val="638"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38" w:right="0"/>
              <w:jc w:val="left"/>
              <w:rPr>
                <w:rFonts w:ascii="宋体" w:hAnsi="宋体" w:cs="宋体" w:eastAsia="宋体" w:hint="default"/>
                <w:sz w:val="24"/>
                <w:szCs w:val="24"/>
              </w:rPr>
            </w:pPr>
            <w:r>
              <w:rPr>
                <w:rFonts w:ascii="宋体" w:hAnsi="宋体" w:cs="宋体" w:eastAsia="宋体" w:hint="default"/>
                <w:sz w:val="24"/>
                <w:szCs w:val="24"/>
              </w:rPr>
              <w:t>分配股利、利润或偿付利息支付的现</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1,435,039,318.81</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2,069,240,719.17</w:t>
            </w: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38" w:right="0"/>
              <w:jc w:val="left"/>
              <w:rPr>
                <w:rFonts w:ascii="宋体" w:hAnsi="宋体" w:cs="宋体" w:eastAsia="宋体" w:hint="default"/>
                <w:sz w:val="24"/>
                <w:szCs w:val="24"/>
              </w:rPr>
            </w:pPr>
            <w:r>
              <w:rPr>
                <w:rFonts w:ascii="宋体" w:hAnsi="宋体" w:cs="宋体" w:eastAsia="宋体" w:hint="default"/>
                <w:sz w:val="24"/>
                <w:szCs w:val="24"/>
              </w:rPr>
              <w:t>支付其他与筹资活动有关的现金</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12,039,489,119.90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12,270,553,382.12</w:t>
            </w: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78" w:right="0"/>
              <w:jc w:val="left"/>
              <w:rPr>
                <w:rFonts w:ascii="宋体" w:hAnsi="宋体" w:cs="宋体" w:eastAsia="宋体" w:hint="default"/>
                <w:sz w:val="24"/>
                <w:szCs w:val="24"/>
              </w:rPr>
            </w:pPr>
            <w:r>
              <w:rPr>
                <w:rFonts w:ascii="宋体" w:hAnsi="宋体" w:cs="宋体" w:eastAsia="宋体" w:hint="default"/>
                <w:sz w:val="24"/>
                <w:szCs w:val="24"/>
              </w:rPr>
              <w:t>筹资活动现金流出小计</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22,634,626,918.71</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24,241,533,771.29</w:t>
            </w: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99"/>
              <w:jc w:val="right"/>
              <w:rPr>
                <w:rFonts w:ascii="宋体" w:hAnsi="宋体" w:cs="宋体" w:eastAsia="宋体" w:hint="default"/>
                <w:sz w:val="24"/>
                <w:szCs w:val="24"/>
              </w:rPr>
            </w:pPr>
            <w:r>
              <w:rPr>
                <w:rFonts w:ascii="宋体" w:hAnsi="宋体" w:cs="宋体" w:eastAsia="宋体" w:hint="default"/>
                <w:sz w:val="24"/>
                <w:szCs w:val="24"/>
              </w:rPr>
              <w:t>筹资活动产生的现金流量净额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2,425,148,830.09</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3,067,153,368.84</w:t>
            </w:r>
          </w:p>
        </w:tc>
      </w:tr>
      <w:tr>
        <w:trPr>
          <w:trHeight w:val="63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98" w:right="0"/>
              <w:jc w:val="left"/>
              <w:rPr>
                <w:rFonts w:ascii="宋体" w:hAnsi="宋体" w:cs="宋体" w:eastAsia="宋体" w:hint="default"/>
                <w:sz w:val="24"/>
                <w:szCs w:val="24"/>
              </w:rPr>
            </w:pPr>
            <w:r>
              <w:rPr>
                <w:rFonts w:ascii="宋体" w:hAnsi="宋体" w:cs="宋体" w:eastAsia="宋体" w:hint="default"/>
                <w:b/>
                <w:bCs/>
                <w:sz w:val="24"/>
                <w:szCs w:val="24"/>
              </w:rPr>
              <w:t>四、汇率变动对现金及现金等价物的影</w:t>
            </w:r>
            <w:r>
              <w:rPr>
                <w:rFonts w:ascii="宋体" w:hAnsi="宋体" w:cs="宋体" w:eastAsia="宋体" w:hint="default"/>
                <w:sz w:val="24"/>
                <w:szCs w:val="24"/>
              </w:rPr>
            </w:r>
          </w:p>
          <w:p>
            <w:pPr>
              <w:pStyle w:val="TableParagraph"/>
              <w:spacing w:line="312" w:lineRule="exact"/>
              <w:ind w:left="98" w:right="0"/>
              <w:jc w:val="left"/>
              <w:rPr>
                <w:rFonts w:ascii="宋体" w:hAnsi="宋体" w:cs="宋体" w:eastAsia="宋体" w:hint="default"/>
                <w:sz w:val="24"/>
                <w:szCs w:val="24"/>
              </w:rPr>
            </w:pPr>
            <w:r>
              <w:rPr>
                <w:rFonts w:ascii="宋体" w:hAnsi="宋体" w:cs="宋体" w:eastAsia="宋体" w:hint="default"/>
                <w:b/>
                <w:bCs/>
                <w:w w:val="99"/>
                <w:sz w:val="24"/>
                <w:szCs w:val="24"/>
              </w:rPr>
              <w:t>响</w:t>
            </w:r>
            <w:r>
              <w:rPr>
                <w:rFonts w:ascii="宋体" w:hAnsi="宋体" w:cs="宋体" w:eastAsia="宋体" w:hint="default"/>
                <w:sz w:val="24"/>
                <w:szCs w:val="24"/>
              </w:rPr>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b/>
                <w:bCs/>
                <w:sz w:val="24"/>
                <w:szCs w:val="24"/>
              </w:rPr>
              <w:t>五、现金及现金等价物净增加额</w:t>
            </w:r>
            <w:r>
              <w:rPr>
                <w:rFonts w:ascii="宋体" w:hAnsi="宋体" w:cs="宋体" w:eastAsia="宋体" w:hint="default"/>
                <w:sz w:val="24"/>
                <w:szCs w:val="24"/>
              </w:rPr>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1,000,239,941.38</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2,214,676,743.33</w:t>
            </w:r>
          </w:p>
        </w:tc>
      </w:tr>
      <w:tr>
        <w:trPr>
          <w:trHeight w:val="326"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38" w:right="0"/>
              <w:jc w:val="left"/>
              <w:rPr>
                <w:rFonts w:ascii="宋体" w:hAnsi="宋体" w:cs="宋体" w:eastAsia="宋体" w:hint="default"/>
                <w:sz w:val="24"/>
                <w:szCs w:val="24"/>
              </w:rPr>
            </w:pPr>
            <w:r>
              <w:rPr>
                <w:rFonts w:ascii="宋体" w:hAnsi="宋体" w:cs="宋体" w:eastAsia="宋体" w:hint="default"/>
                <w:sz w:val="24"/>
                <w:szCs w:val="24"/>
              </w:rPr>
              <w:t>加：期初现金及现金等价物余额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7,294,310,351.69</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5,079,633,608.36</w:t>
            </w:r>
          </w:p>
        </w:tc>
      </w:tr>
      <w:tr>
        <w:trPr>
          <w:trHeight w:val="327"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b/>
                <w:bCs/>
                <w:sz w:val="24"/>
                <w:szCs w:val="24"/>
              </w:rPr>
              <w:t>六、期末现金及现金等价物余额</w:t>
            </w:r>
            <w:r>
              <w:rPr>
                <w:rFonts w:ascii="宋体" w:hAnsi="宋体" w:cs="宋体" w:eastAsia="宋体" w:hint="default"/>
                <w:sz w:val="24"/>
                <w:szCs w:val="24"/>
              </w:rPr>
            </w:r>
          </w:p>
        </w:tc>
        <w:tc>
          <w:tcPr>
            <w:tcW w:w="944"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8,294,550,293.07</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7,294,310,351.69</w:t>
            </w:r>
          </w:p>
        </w:tc>
      </w:tr>
    </w:tbl>
    <w:p>
      <w:pPr>
        <w:spacing w:line="240" w:lineRule="auto" w:before="10"/>
        <w:rPr>
          <w:rFonts w:ascii="宋体" w:hAnsi="宋体" w:cs="宋体" w:eastAsia="宋体" w:hint="default"/>
          <w:sz w:val="18"/>
          <w:szCs w:val="18"/>
        </w:rPr>
      </w:pPr>
    </w:p>
    <w:p>
      <w:pPr>
        <w:pStyle w:val="BodyText"/>
        <w:spacing w:line="240" w:lineRule="auto" w:before="26"/>
        <w:ind w:left="598" w:right="614"/>
        <w:jc w:val="left"/>
      </w:pPr>
      <w:r>
        <w:rPr/>
        <w:t>法定代表人：林俊波 主管会计工作负责人：潘孝娜</w:t>
      </w:r>
      <w:r>
        <w:rPr>
          <w:spacing w:val="-1"/>
        </w:rPr>
        <w:t> </w:t>
      </w:r>
      <w:r>
        <w:rPr/>
        <w:t>会计机构负责人：胡倩倩</w:t>
      </w:r>
    </w:p>
    <w:p>
      <w:pPr>
        <w:spacing w:after="0" w:line="240" w:lineRule="auto"/>
        <w:jc w:val="left"/>
        <w:sectPr>
          <w:pgSz w:w="11910" w:h="16840"/>
          <w:pgMar w:header="0" w:footer="1195" w:top="1100" w:bottom="1380" w:left="1200" w:right="66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4"/>
          <w:footerReference w:type="default" r:id="rId55"/>
          <w:pgSz w:w="16840" w:h="11910" w:orient="landscape"/>
          <w:pgMar w:header="882" w:footer="1195" w:top="1120" w:bottom="1380" w:left="380" w:right="280"/>
          <w:pgNumType w:start="8"/>
        </w:sectPr>
      </w:pPr>
    </w:p>
    <w:p>
      <w:pPr>
        <w:spacing w:line="312" w:lineRule="exact" w:before="190"/>
        <w:ind w:left="7195" w:right="0" w:hanging="334"/>
        <w:jc w:val="left"/>
        <w:rPr>
          <w:rFonts w:ascii="宋体" w:hAnsi="宋体" w:cs="宋体" w:eastAsia="宋体" w:hint="default"/>
          <w:sz w:val="24"/>
          <w:szCs w:val="24"/>
        </w:rPr>
      </w:pPr>
      <w:r>
        <w:rPr>
          <w:rFonts w:ascii="宋体" w:hAnsi="宋体" w:cs="宋体" w:eastAsia="宋体" w:hint="default"/>
          <w:b/>
          <w:bCs/>
          <w:w w:val="95"/>
          <w:sz w:val="24"/>
          <w:szCs w:val="24"/>
        </w:rPr>
        <w:t>合并所有者权益变动表</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tabs>
          <w:tab w:pos="4552" w:val="left" w:leader="none"/>
        </w:tabs>
        <w:spacing w:before="0"/>
        <w:ind w:left="3607" w:right="0" w:firstLine="0"/>
        <w:jc w:val="left"/>
        <w:rPr>
          <w:rFonts w:ascii="宋体" w:hAnsi="宋体" w:cs="宋体" w:eastAsia="宋体" w:hint="default"/>
          <w:sz w:val="21"/>
          <w:szCs w:val="21"/>
        </w:rPr>
      </w:pPr>
      <w:r>
        <w:rPr>
          <w:rFonts w:ascii="宋体" w:hAnsi="宋体" w:cs="宋体" w:eastAsia="宋体" w:hint="default"/>
          <w:spacing w:val="-1"/>
          <w:sz w:val="21"/>
          <w:szCs w:val="21"/>
        </w:rPr>
        <w:t>单位</w:t>
      </w:r>
      <w:r>
        <w:rPr>
          <w:rFonts w:ascii="宋体" w:hAnsi="宋体" w:cs="宋体" w:eastAsia="宋体" w:hint="default"/>
          <w:spacing w:val="-1"/>
          <w:sz w:val="21"/>
          <w:szCs w:val="21"/>
        </w:rPr>
        <w:t>:</w:t>
      </w:r>
      <w:r>
        <w:rPr>
          <w:rFonts w:ascii="宋体" w:hAnsi="宋体" w:cs="宋体" w:eastAsia="宋体" w:hint="default"/>
          <w:spacing w:val="-1"/>
          <w:sz w:val="21"/>
          <w:szCs w:val="21"/>
        </w:rPr>
        <w:t>元</w:t>
        <w:tab/>
        <w:t>币种</w:t>
      </w:r>
      <w:r>
        <w:rPr>
          <w:rFonts w:ascii="宋体" w:hAnsi="宋体" w:cs="宋体" w:eastAsia="宋体" w:hint="default"/>
          <w:spacing w:val="-1"/>
          <w:sz w:val="21"/>
          <w:szCs w:val="21"/>
        </w:rPr>
        <w:t>:</w:t>
      </w:r>
      <w:r>
        <w:rPr>
          <w:rFonts w:ascii="宋体" w:hAnsi="宋体" w:cs="宋体" w:eastAsia="宋体" w:hint="default"/>
          <w:spacing w:val="-1"/>
          <w:sz w:val="21"/>
          <w:szCs w:val="21"/>
        </w:rPr>
        <w:t>人民币</w:t>
      </w:r>
    </w:p>
    <w:p>
      <w:pPr>
        <w:spacing w:after="0"/>
        <w:jc w:val="left"/>
        <w:rPr>
          <w:rFonts w:ascii="宋体" w:hAnsi="宋体" w:cs="宋体" w:eastAsia="宋体" w:hint="default"/>
          <w:sz w:val="21"/>
          <w:szCs w:val="21"/>
        </w:rPr>
        <w:sectPr>
          <w:type w:val="continuous"/>
          <w:pgSz w:w="16840" w:h="11910" w:orient="landscape"/>
          <w:pgMar w:top="1000" w:bottom="280" w:left="380" w:right="280"/>
          <w:cols w:num="2" w:equalWidth="0">
            <w:col w:w="9271" w:space="40"/>
            <w:col w:w="6869"/>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788"/>
        <w:gridCol w:w="1656"/>
        <w:gridCol w:w="396"/>
        <w:gridCol w:w="396"/>
        <w:gridCol w:w="397"/>
        <w:gridCol w:w="1656"/>
        <w:gridCol w:w="576"/>
        <w:gridCol w:w="1568"/>
        <w:gridCol w:w="396"/>
        <w:gridCol w:w="1656"/>
        <w:gridCol w:w="396"/>
        <w:gridCol w:w="1745"/>
        <w:gridCol w:w="1568"/>
        <w:gridCol w:w="1745"/>
      </w:tblGrid>
      <w:tr>
        <w:trPr>
          <w:trHeight w:val="250" w:hRule="exact"/>
        </w:trPr>
        <w:tc>
          <w:tcPr>
            <w:tcW w:w="17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5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2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86" w:hRule="exact"/>
        </w:trPr>
        <w:tc>
          <w:tcPr>
            <w:tcW w:w="1788" w:type="dxa"/>
            <w:vMerge/>
            <w:tcBorders>
              <w:left w:val="single" w:sz="4" w:space="0" w:color="000000"/>
              <w:right w:val="single" w:sz="4" w:space="0" w:color="000000"/>
            </w:tcBorders>
          </w:tcPr>
          <w:p>
            <w:pPr/>
          </w:p>
        </w:tc>
        <w:tc>
          <w:tcPr>
            <w:tcW w:w="108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33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788" w:type="dxa"/>
            <w:vMerge/>
            <w:tcBorders>
              <w:left w:val="single" w:sz="4" w:space="0" w:color="000000"/>
              <w:right w:val="single" w:sz="4" w:space="0" w:color="000000"/>
            </w:tcBorders>
          </w:tcPr>
          <w:p>
            <w:pP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103" w:right="101"/>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5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3" w:right="101"/>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101"/>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8" w:type="dxa"/>
            <w:vMerge/>
            <w:tcBorders>
              <w:left w:val="single" w:sz="4" w:space="0" w:color="000000"/>
              <w:right w:val="single" w:sz="4" w:space="0" w:color="000000"/>
            </w:tcBorders>
          </w:tcPr>
          <w:p>
            <w:pPr/>
          </w:p>
        </w:tc>
        <w:tc>
          <w:tcPr>
            <w:tcW w:w="1745" w:type="dxa"/>
            <w:vMerge/>
            <w:tcBorders>
              <w:left w:val="single" w:sz="4" w:space="0" w:color="000000"/>
              <w:right w:val="single" w:sz="4" w:space="0" w:color="000000"/>
            </w:tcBorders>
          </w:tcPr>
          <w:p>
            <w:pPr/>
          </w:p>
        </w:tc>
      </w:tr>
      <w:tr>
        <w:trPr>
          <w:trHeight w:val="961" w:hRule="exact"/>
        </w:trPr>
        <w:tc>
          <w:tcPr>
            <w:tcW w:w="1788"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3" w:right="101"/>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3" w:right="101"/>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03" w:right="101"/>
              <w:jc w:val="left"/>
              <w:rPr>
                <w:rFonts w:ascii="宋体" w:hAnsi="宋体" w:cs="宋体" w:eastAsia="宋体" w:hint="default"/>
                <w:sz w:val="18"/>
                <w:szCs w:val="18"/>
              </w:rPr>
            </w:pPr>
            <w:r>
              <w:rPr>
                <w:rFonts w:ascii="宋体" w:hAnsi="宋体" w:cs="宋体" w:eastAsia="宋体" w:hint="default"/>
                <w:sz w:val="18"/>
                <w:szCs w:val="18"/>
              </w:rPr>
              <w:t>其 他</w:t>
            </w:r>
          </w:p>
        </w:tc>
        <w:tc>
          <w:tcPr>
            <w:tcW w:w="165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1568"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745" w:type="dxa"/>
            <w:vMerge/>
            <w:tcBorders>
              <w:left w:val="single" w:sz="4" w:space="0" w:color="000000"/>
              <w:bottom w:val="single" w:sz="4" w:space="0" w:color="000000"/>
              <w:right w:val="single" w:sz="4" w:space="0" w:color="000000"/>
            </w:tcBorders>
          </w:tcPr>
          <w:p>
            <w:pPr/>
          </w:p>
        </w:tc>
        <w:tc>
          <w:tcPr>
            <w:tcW w:w="1568" w:type="dxa"/>
            <w:vMerge/>
            <w:tcBorders>
              <w:left w:val="single" w:sz="4" w:space="0" w:color="000000"/>
              <w:bottom w:val="single" w:sz="4" w:space="0" w:color="000000"/>
              <w:right w:val="single" w:sz="4" w:space="0" w:color="000000"/>
            </w:tcBorders>
          </w:tcPr>
          <w:p>
            <w:pPr/>
          </w:p>
        </w:tc>
        <w:tc>
          <w:tcPr>
            <w:tcW w:w="1745" w:type="dxa"/>
            <w:vMerge/>
            <w:tcBorders>
              <w:left w:val="single" w:sz="4" w:space="0" w:color="000000"/>
              <w:bottom w:val="single" w:sz="4" w:space="0" w:color="000000"/>
              <w:right w:val="single" w:sz="4" w:space="0" w:color="000000"/>
            </w:tcBorders>
          </w:tcPr>
          <w:p>
            <w:pPr/>
          </w:p>
        </w:tc>
      </w:tr>
      <w:tr>
        <w:trPr>
          <w:trHeight w:val="24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8,599,343,536.00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7,977,663,131.66</w:t>
            </w: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-50,324,424.41</w:t>
            </w: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910,232,816.39</w:t>
            </w: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11,616,786,385.09</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844,648,671.92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29,898,350,116.65</w:t>
            </w:r>
          </w:p>
        </w:tc>
      </w:tr>
      <w:tr>
        <w:trPr>
          <w:trHeight w:val="24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8,599,343,536.00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7,977,663,131.66</w:t>
            </w: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-50,324,424.41</w:t>
            </w: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910,232,816.39</w:t>
            </w: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11,616,786,385.09</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844,648,671.92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29,898,350,116.65</w:t>
            </w:r>
          </w:p>
        </w:tc>
      </w:tr>
      <w:tr>
        <w:trPr>
          <w:trHeight w:val="711"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w:t>
            </w:r>
          </w:p>
          <w:p>
            <w:pPr>
              <w:pStyle w:val="TableParagraph"/>
              <w:spacing w:line="240" w:lineRule="auto"/>
              <w:ind w:left="105" w:right="98"/>
              <w:jc w:val="left"/>
              <w:rPr>
                <w:rFonts w:ascii="宋体" w:hAnsi="宋体" w:cs="宋体" w:eastAsia="宋体" w:hint="default"/>
                <w:sz w:val="18"/>
                <w:szCs w:val="18"/>
              </w:rPr>
            </w:pPr>
            <w:r>
              <w:rPr>
                <w:rFonts w:ascii="宋体" w:hAnsi="宋体" w:cs="宋体" w:eastAsia="宋体" w:hint="default"/>
                <w:spacing w:val="-6"/>
                <w:sz w:val="18"/>
                <w:szCs w:val="18"/>
              </w:rPr>
              <w:t>额（减少以“－”号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填列）</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-9,548,646.19</w:t>
            </w: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-159,378,552.43</w:t>
            </w: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148,870,933.31</w:t>
            </w: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3,172,994,284.44</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-151,702,821.73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3,001,235,197.40</w:t>
            </w:r>
          </w:p>
        </w:tc>
      </w:tr>
      <w:tr>
        <w:trPr>
          <w:trHeight w:val="24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6"/>
                <w:sz w:val="18"/>
                <w:szCs w:val="18"/>
              </w:rPr>
              <w:t>（一）综合收益总额</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-159,378,552.43</w:t>
            </w: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3,321,865,217.75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28,355,740.36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3,190,842,405.68</w:t>
            </w:r>
          </w:p>
        </w:tc>
      </w:tr>
      <w:tr>
        <w:trPr>
          <w:trHeight w:val="478"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6"/>
                <w:sz w:val="18"/>
                <w:szCs w:val="18"/>
              </w:rPr>
              <w:t>（二）所有者投入和</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-9,548,646.19</w:t>
            </w: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-45,363,562.09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-54,912,208.28</w:t>
            </w:r>
          </w:p>
        </w:tc>
      </w:tr>
      <w:tr>
        <w:trPr>
          <w:trHeight w:val="478"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-30,000,000.00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-30,000,000.00</w:t>
            </w:r>
          </w:p>
        </w:tc>
      </w:tr>
      <w:tr>
        <w:trPr>
          <w:trHeight w:val="47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有者投入资本</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有者权益的金额</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43,441,178.76</w:t>
            </w: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spacing w:val="-1"/>
                <w:sz w:val="18"/>
              </w:rPr>
              <w:t>43,441,178.76</w:t>
            </w:r>
          </w:p>
        </w:tc>
      </w:tr>
      <w:tr>
        <w:trPr>
          <w:trHeight w:val="24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-52,989,824.95</w:t>
            </w: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-15,363,562.09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-68,353,387.04</w:t>
            </w:r>
          </w:p>
        </w:tc>
      </w:tr>
      <w:tr>
        <w:trPr>
          <w:trHeight w:val="24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148,870,933.31</w:t>
            </w: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-148,870,933.31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-134,695,000.00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-134,695,000.00</w:t>
            </w:r>
          </w:p>
        </w:tc>
      </w:tr>
      <w:tr>
        <w:trPr>
          <w:trHeight w:val="24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148,870,933.31</w:t>
            </w: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-148,870,933.31</w:t>
            </w:r>
          </w:p>
        </w:tc>
        <w:tc>
          <w:tcPr>
            <w:tcW w:w="156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00" w:bottom="280" w:left="380" w:right="280"/>
        </w:sectPr>
      </w:pPr>
    </w:p>
    <w:p>
      <w:pPr>
        <w:spacing w:line="240" w:lineRule="auto" w:before="2"/>
        <w:rPr>
          <w:rFonts w:ascii="Times New Roman" w:hAnsi="Times New Roman" w:cs="Times New Roman" w:eastAsia="Times New Roman" w:hint="default"/>
          <w:sz w:val="13"/>
          <w:szCs w:val="13"/>
        </w:rPr>
      </w:pPr>
    </w:p>
    <w:tbl>
      <w:tblPr>
        <w:tblW w:w="0" w:type="auto"/>
        <w:jc w:val="left"/>
        <w:tblInd w:w="127" w:type="dxa"/>
        <w:tblLayout w:type="fixed"/>
        <w:tblCellMar>
          <w:top w:w="0" w:type="dxa"/>
          <w:left w:w="0" w:type="dxa"/>
          <w:bottom w:w="0" w:type="dxa"/>
          <w:right w:w="0" w:type="dxa"/>
        </w:tblCellMar>
        <w:tblLook w:val="01E0"/>
      </w:tblPr>
      <w:tblGrid>
        <w:gridCol w:w="1788"/>
        <w:gridCol w:w="1656"/>
        <w:gridCol w:w="396"/>
        <w:gridCol w:w="396"/>
        <w:gridCol w:w="397"/>
        <w:gridCol w:w="1656"/>
        <w:gridCol w:w="576"/>
        <w:gridCol w:w="1568"/>
        <w:gridCol w:w="396"/>
        <w:gridCol w:w="1656"/>
        <w:gridCol w:w="396"/>
        <w:gridCol w:w="1745"/>
        <w:gridCol w:w="1568"/>
        <w:gridCol w:w="1745"/>
      </w:tblGrid>
      <w:tr>
        <w:trPr>
          <w:trHeight w:val="24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东）的分配</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-134,695,000.00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-134,695,000.00</w:t>
            </w:r>
          </w:p>
        </w:tc>
      </w:tr>
      <w:tr>
        <w:trPr>
          <w:trHeight w:val="24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6"/>
                <w:sz w:val="18"/>
                <w:szCs w:val="18"/>
              </w:rPr>
              <w:t>（四）所有者权益内</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损</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8,599,343,536.00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7,968,114,485.47</w:t>
            </w: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-209,702,976.84</w:t>
            </w:r>
          </w:p>
        </w:tc>
        <w:tc>
          <w:tcPr>
            <w:tcW w:w="3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1,059,103,749.70</w:t>
            </w: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14,789,780,669.53</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692,945,850.19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32,899,585,314.05</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829"/>
        <w:gridCol w:w="1656"/>
        <w:gridCol w:w="396"/>
        <w:gridCol w:w="396"/>
        <w:gridCol w:w="397"/>
        <w:gridCol w:w="1745"/>
        <w:gridCol w:w="576"/>
        <w:gridCol w:w="1568"/>
        <w:gridCol w:w="396"/>
        <w:gridCol w:w="1476"/>
        <w:gridCol w:w="396"/>
        <w:gridCol w:w="1745"/>
        <w:gridCol w:w="1656"/>
        <w:gridCol w:w="1747"/>
      </w:tblGrid>
      <w:tr>
        <w:trPr>
          <w:trHeight w:val="250" w:hRule="exact"/>
        </w:trPr>
        <w:tc>
          <w:tcPr>
            <w:tcW w:w="18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5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2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62" w:hRule="exact"/>
        </w:trPr>
        <w:tc>
          <w:tcPr>
            <w:tcW w:w="1829" w:type="dxa"/>
            <w:vMerge/>
            <w:tcBorders>
              <w:left w:val="single" w:sz="4" w:space="0" w:color="000000"/>
              <w:right w:val="single" w:sz="4" w:space="0" w:color="000000"/>
            </w:tcBorders>
          </w:tcPr>
          <w:p>
            <w:pPr/>
          </w:p>
        </w:tc>
        <w:tc>
          <w:tcPr>
            <w:tcW w:w="1074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29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8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4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829" w:type="dxa"/>
            <w:vMerge/>
            <w:tcBorders>
              <w:left w:val="single" w:sz="4" w:space="0" w:color="000000"/>
              <w:right w:val="single" w:sz="4" w:space="0" w:color="000000"/>
            </w:tcBorders>
          </w:tcPr>
          <w:p>
            <w:pP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0"/>
              <w:ind w:left="105" w:right="98"/>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5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03" w:right="101"/>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101"/>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56" w:type="dxa"/>
            <w:vMerge/>
            <w:tcBorders>
              <w:left w:val="single" w:sz="4" w:space="0" w:color="000000"/>
              <w:right w:val="single" w:sz="4" w:space="0" w:color="000000"/>
            </w:tcBorders>
          </w:tcPr>
          <w:p>
            <w:pPr/>
          </w:p>
        </w:tc>
        <w:tc>
          <w:tcPr>
            <w:tcW w:w="1747" w:type="dxa"/>
            <w:vMerge/>
            <w:tcBorders>
              <w:left w:val="single" w:sz="4" w:space="0" w:color="000000"/>
              <w:right w:val="single" w:sz="4" w:space="0" w:color="000000"/>
            </w:tcBorders>
          </w:tcPr>
          <w:p>
            <w:pPr/>
          </w:p>
        </w:tc>
      </w:tr>
      <w:tr>
        <w:trPr>
          <w:trHeight w:val="960" w:hRule="exact"/>
        </w:trPr>
        <w:tc>
          <w:tcPr>
            <w:tcW w:w="1829"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6"/>
              <w:ind w:left="103" w:right="101"/>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6"/>
              <w:ind w:left="103" w:right="101"/>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其 他</w:t>
            </w:r>
          </w:p>
        </w:tc>
        <w:tc>
          <w:tcPr>
            <w:tcW w:w="1745"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1568"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745"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1747" w:type="dxa"/>
            <w:vMerge/>
            <w:tcBorders>
              <w:left w:val="single" w:sz="4" w:space="0" w:color="000000"/>
              <w:bottom w:val="single" w:sz="4" w:space="0" w:color="000000"/>
              <w:right w:val="single" w:sz="4" w:space="0" w:color="000000"/>
            </w:tcBorders>
          </w:tcPr>
          <w:p>
            <w:pPr/>
          </w:p>
        </w:tc>
      </w:tr>
      <w:tr>
        <w:trPr>
          <w:trHeight w:val="242"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4"/>
              <w:jc w:val="right"/>
              <w:rPr>
                <w:rFonts w:ascii="宋体" w:hAnsi="宋体" w:cs="宋体" w:eastAsia="宋体" w:hint="default"/>
                <w:sz w:val="18"/>
                <w:szCs w:val="18"/>
              </w:rPr>
            </w:pPr>
            <w:r>
              <w:rPr>
                <w:rFonts w:ascii="宋体" w:hAnsi="宋体" w:cs="宋体" w:eastAsia="宋体" w:hint="default"/>
                <w:sz w:val="18"/>
                <w:szCs w:val="18"/>
              </w:rPr>
              <w:t>一、上年期末余额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9,099,670,428.00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8,851,330,027.78</w:t>
            </w: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-945,540,711.80</w:t>
            </w: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787,114,239.21</w:t>
            </w: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6,331,411,362.06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1,276,761,405.86</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25,400,746,751.11</w:t>
            </w:r>
          </w:p>
        </w:tc>
      </w:tr>
      <w:tr>
        <w:trPr>
          <w:trHeight w:val="245"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74"/>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74"/>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74"/>
              <w:jc w:val="right"/>
              <w:rPr>
                <w:rFonts w:ascii="宋体" w:hAnsi="宋体" w:cs="宋体" w:eastAsia="宋体" w:hint="default"/>
                <w:sz w:val="18"/>
                <w:szCs w:val="18"/>
              </w:rPr>
            </w:pPr>
            <w:r>
              <w:rPr>
                <w:rFonts w:ascii="宋体" w:hAnsi="宋体" w:cs="宋体" w:eastAsia="宋体" w:hint="default"/>
                <w:sz w:val="18"/>
                <w:szCs w:val="18"/>
              </w:rPr>
              <w:t>二、本年期初余额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9,099,670,428.00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8,851,330,027.78</w:t>
            </w: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-945,540,711.80</w:t>
            </w: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787,114,239.21</w:t>
            </w: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6,331,411,362.06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1,276,761,405.86</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25,400,746,751.11</w:t>
            </w:r>
          </w:p>
        </w:tc>
      </w:tr>
    </w:tbl>
    <w:p>
      <w:pPr>
        <w:spacing w:after="0" w:line="208" w:lineRule="exact"/>
        <w:jc w:val="left"/>
        <w:rPr>
          <w:rFonts w:ascii="宋体" w:hAnsi="宋体" w:cs="宋体" w:eastAsia="宋体" w:hint="default"/>
          <w:sz w:val="18"/>
          <w:szCs w:val="18"/>
        </w:rPr>
        <w:sectPr>
          <w:pgSz w:w="16840" w:h="11910" w:orient="landscape"/>
          <w:pgMar w:header="882" w:footer="1195" w:top="1120" w:bottom="1380" w:left="360" w:right="260"/>
        </w:sectPr>
      </w:pPr>
    </w:p>
    <w:p>
      <w:pPr>
        <w:spacing w:line="240" w:lineRule="auto" w:before="2"/>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1829"/>
        <w:gridCol w:w="1656"/>
        <w:gridCol w:w="396"/>
        <w:gridCol w:w="396"/>
        <w:gridCol w:w="397"/>
        <w:gridCol w:w="1745"/>
        <w:gridCol w:w="576"/>
        <w:gridCol w:w="1568"/>
        <w:gridCol w:w="396"/>
        <w:gridCol w:w="1476"/>
        <w:gridCol w:w="396"/>
        <w:gridCol w:w="1745"/>
        <w:gridCol w:w="1656"/>
        <w:gridCol w:w="1747"/>
      </w:tblGrid>
      <w:tr>
        <w:trPr>
          <w:trHeight w:val="710"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额（减少以“－”号 填列）</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宋体" w:hAnsi="宋体" w:cs="宋体" w:eastAsia="宋体" w:hint="default"/>
                <w:sz w:val="18"/>
                <w:szCs w:val="18"/>
              </w:rPr>
            </w:pPr>
            <w:r>
              <w:rPr>
                <w:rFonts w:ascii="宋体"/>
                <w:sz w:val="18"/>
              </w:rPr>
              <w:t>-500,326,892.00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-873,666,896.12</w:t>
            </w: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895,216,287.39</w:t>
            </w: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123,118,577.18</w:t>
            </w: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5,285,375,023.03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-432,112,733.94</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4,497,603,365.54</w:t>
            </w:r>
          </w:p>
        </w:tc>
      </w:tr>
      <w:tr>
        <w:trPr>
          <w:trHeight w:val="242"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895,216,287.39</w:t>
            </w: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5,838,460,777.01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8,718,752.41</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6,742,395,816.81</w:t>
            </w:r>
          </w:p>
        </w:tc>
      </w:tr>
      <w:tr>
        <w:trPr>
          <w:trHeight w:val="478"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-500,326,892.00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-873,666,896.12</w:t>
            </w: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-540,337,201.09</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-1,914,330,989.21</w:t>
            </w:r>
          </w:p>
        </w:tc>
      </w:tr>
      <w:tr>
        <w:trPr>
          <w:trHeight w:val="475"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-500,326,892.00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-1,186,411,260.75</w:t>
            </w: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-22,400,398.00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-1,709,138,550.75</w:t>
            </w:r>
          </w:p>
        </w:tc>
      </w:tr>
      <w:tr>
        <w:trPr>
          <w:trHeight w:val="478"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有者投入资本</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有者权益的金额</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spacing w:val="-1"/>
                <w:sz w:val="18"/>
              </w:rPr>
              <w:t>76,439,673.87</w:t>
            </w: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spacing w:val="-1"/>
                <w:sz w:val="18"/>
              </w:rPr>
              <w:t>76,439,673.87</w:t>
            </w:r>
          </w:p>
        </w:tc>
      </w:tr>
      <w:tr>
        <w:trPr>
          <w:trHeight w:val="242"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236,304,690.76</w:t>
            </w: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-517,936,803.09</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-281,632,112.33</w:t>
            </w:r>
          </w:p>
        </w:tc>
      </w:tr>
      <w:tr>
        <w:trPr>
          <w:trHeight w:val="245"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123,118,577.18</w:t>
            </w: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-553,085,753.98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99,505,714.74</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-330,461,462.06</w:t>
            </w:r>
          </w:p>
        </w:tc>
      </w:tr>
      <w:tr>
        <w:trPr>
          <w:trHeight w:val="242"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123,118,577.18</w:t>
            </w: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-123,118,577.18</w:t>
            </w: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东）的分配</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-429,967,176.80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-20,600,000.00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-450,567,176.80</w:t>
            </w:r>
          </w:p>
        </w:tc>
      </w:tr>
      <w:tr>
        <w:trPr>
          <w:trHeight w:val="242"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120,105,714.74</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120,105,714.74</w:t>
            </w:r>
          </w:p>
        </w:tc>
      </w:tr>
      <w:tr>
        <w:trPr>
          <w:trHeight w:val="478"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损</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8,599,343,536.00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7,977,663,131.66</w:t>
            </w:r>
          </w:p>
        </w:tc>
        <w:tc>
          <w:tcPr>
            <w:tcW w:w="57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-50,324,424.41</w:t>
            </w: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910,232,816.39</w:t>
            </w:r>
          </w:p>
        </w:tc>
        <w:tc>
          <w:tcPr>
            <w:tcW w:w="39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11,616,786,385.09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844,648,671.92</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29,898,350,116.65</w:t>
            </w:r>
          </w:p>
        </w:tc>
      </w:tr>
    </w:tbl>
    <w:p>
      <w:pPr>
        <w:spacing w:line="240" w:lineRule="auto" w:before="2"/>
        <w:rPr>
          <w:rFonts w:ascii="Times New Roman" w:hAnsi="Times New Roman" w:cs="Times New Roman" w:eastAsia="Times New Roman" w:hint="default"/>
          <w:sz w:val="21"/>
          <w:szCs w:val="21"/>
        </w:rPr>
      </w:pPr>
    </w:p>
    <w:p>
      <w:pPr>
        <w:pStyle w:val="BodyText"/>
        <w:tabs>
          <w:tab w:pos="4944" w:val="left" w:leader="none"/>
          <w:tab w:pos="9565" w:val="left" w:leader="none"/>
        </w:tabs>
        <w:spacing w:line="240" w:lineRule="auto" w:before="26"/>
        <w:ind w:left="1164" w:right="0"/>
        <w:jc w:val="left"/>
      </w:pPr>
      <w:r>
        <w:rPr/>
        <w:t>法定代表人：林俊波</w:t>
        <w:tab/>
        <w:t>主管会计工作负责人：潘孝娜</w:t>
        <w:tab/>
        <w:t>会计机构负责人：胡倩倩</w:t>
      </w:r>
    </w:p>
    <w:p>
      <w:pPr>
        <w:spacing w:after="0" w:line="240" w:lineRule="auto"/>
        <w:jc w:val="left"/>
        <w:sectPr>
          <w:footerReference w:type="default" r:id="rId56"/>
          <w:pgSz w:w="16840" w:h="11910" w:orient="landscape"/>
          <w:pgMar w:footer="1195" w:header="882" w:top="1120" w:bottom="1380" w:left="360" w:right="260"/>
          <w:pgNumType w:start="91"/>
        </w:sectPr>
      </w:pPr>
    </w:p>
    <w:p>
      <w:pPr>
        <w:spacing w:line="310" w:lineRule="exact" w:before="143"/>
        <w:ind w:left="7055" w:right="0" w:hanging="454"/>
        <w:jc w:val="left"/>
        <w:rPr>
          <w:rFonts w:ascii="宋体" w:hAnsi="宋体" w:cs="宋体" w:eastAsia="宋体" w:hint="default"/>
          <w:sz w:val="24"/>
          <w:szCs w:val="24"/>
        </w:rPr>
      </w:pPr>
      <w:r>
        <w:rPr>
          <w:rFonts w:ascii="宋体" w:hAnsi="宋体" w:cs="宋体" w:eastAsia="宋体" w:hint="default"/>
          <w:b/>
          <w:bCs/>
          <w:w w:val="95"/>
          <w:sz w:val="24"/>
          <w:szCs w:val="24"/>
        </w:rPr>
        <w:t>母公司所有者权益变动表</w:t>
      </w:r>
      <w:r>
        <w:rPr>
          <w:rFonts w:ascii="宋体" w:hAnsi="宋体" w:cs="宋体" w:eastAsia="宋体" w:hint="default"/>
          <w:b/>
          <w:bCs/>
          <w:spacing w:val="15"/>
          <w:w w:val="95"/>
          <w:sz w:val="24"/>
          <w:szCs w:val="24"/>
        </w:rPr>
        <w:t> </w:t>
      </w:r>
      <w:r>
        <w:rPr>
          <w:rFonts w:ascii="宋体" w:hAnsi="宋体" w:cs="宋体" w:eastAsia="宋体" w:hint="default"/>
          <w:b/>
          <w:bCs/>
          <w:spacing w:val="15"/>
          <w:w w:val="95"/>
          <w:sz w:val="24"/>
          <w:szCs w:val="24"/>
        </w:rPr>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tabs>
          <w:tab w:pos="4432" w:val="left" w:leader="none"/>
        </w:tabs>
        <w:spacing w:before="0"/>
        <w:ind w:left="3487" w:right="0" w:firstLine="0"/>
        <w:jc w:val="left"/>
        <w:rPr>
          <w:rFonts w:ascii="宋体" w:hAnsi="宋体" w:cs="宋体" w:eastAsia="宋体" w:hint="default"/>
          <w:sz w:val="21"/>
          <w:szCs w:val="21"/>
        </w:rPr>
      </w:pPr>
      <w:r>
        <w:rPr>
          <w:rFonts w:ascii="宋体" w:hAnsi="宋体" w:cs="宋体" w:eastAsia="宋体" w:hint="default"/>
          <w:spacing w:val="-1"/>
          <w:sz w:val="21"/>
          <w:szCs w:val="21"/>
        </w:rPr>
        <w:t>单位</w:t>
      </w:r>
      <w:r>
        <w:rPr>
          <w:rFonts w:ascii="宋体" w:hAnsi="宋体" w:cs="宋体" w:eastAsia="宋体" w:hint="default"/>
          <w:spacing w:val="-1"/>
          <w:sz w:val="21"/>
          <w:szCs w:val="21"/>
        </w:rPr>
        <w:t>:</w:t>
      </w:r>
      <w:r>
        <w:rPr>
          <w:rFonts w:ascii="宋体" w:hAnsi="宋体" w:cs="宋体" w:eastAsia="宋体" w:hint="default"/>
          <w:spacing w:val="-1"/>
          <w:sz w:val="21"/>
          <w:szCs w:val="21"/>
        </w:rPr>
        <w:t>元</w:t>
        <w:tab/>
        <w:t>币种</w:t>
      </w:r>
      <w:r>
        <w:rPr>
          <w:rFonts w:ascii="宋体" w:hAnsi="宋体" w:cs="宋体" w:eastAsia="宋体" w:hint="default"/>
          <w:spacing w:val="-1"/>
          <w:sz w:val="21"/>
          <w:szCs w:val="21"/>
        </w:rPr>
        <w:t>:</w:t>
      </w:r>
      <w:r>
        <w:rPr>
          <w:rFonts w:ascii="宋体" w:hAnsi="宋体" w:cs="宋体" w:eastAsia="宋体" w:hint="default"/>
          <w:spacing w:val="-1"/>
          <w:sz w:val="21"/>
          <w:szCs w:val="21"/>
        </w:rPr>
        <w:t>人民币</w:t>
      </w:r>
    </w:p>
    <w:p>
      <w:pPr>
        <w:spacing w:after="0"/>
        <w:jc w:val="left"/>
        <w:rPr>
          <w:rFonts w:ascii="宋体" w:hAnsi="宋体" w:cs="宋体" w:eastAsia="宋体" w:hint="default"/>
          <w:sz w:val="21"/>
          <w:szCs w:val="21"/>
        </w:rPr>
        <w:sectPr>
          <w:pgSz w:w="16840" w:h="11910" w:orient="landscape"/>
          <w:pgMar w:header="882" w:footer="1195" w:top="1120" w:bottom="1380" w:left="520" w:right="440"/>
          <w:cols w:num="2" w:equalWidth="0">
            <w:col w:w="9251" w:space="40"/>
            <w:col w:w="6589"/>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913"/>
        <w:gridCol w:w="1896"/>
        <w:gridCol w:w="425"/>
        <w:gridCol w:w="428"/>
        <w:gridCol w:w="425"/>
        <w:gridCol w:w="1896"/>
        <w:gridCol w:w="636"/>
        <w:gridCol w:w="2002"/>
        <w:gridCol w:w="427"/>
        <w:gridCol w:w="1685"/>
        <w:gridCol w:w="1896"/>
        <w:gridCol w:w="2002"/>
      </w:tblGrid>
      <w:tr>
        <w:trPr>
          <w:trHeight w:val="286" w:hRule="exact"/>
        </w:trPr>
        <w:tc>
          <w:tcPr>
            <w:tcW w:w="191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718" w:type="dxa"/>
            <w:gridSpan w:val="11"/>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557" w:hRule="exact"/>
        </w:trPr>
        <w:tc>
          <w:tcPr>
            <w:tcW w:w="1913" w:type="dxa"/>
            <w:vMerge/>
            <w:tcBorders>
              <w:left w:val="single" w:sz="6" w:space="0" w:color="000000"/>
              <w:right w:val="single" w:sz="6" w:space="0" w:color="000000"/>
            </w:tcBorders>
          </w:tcPr>
          <w:p>
            <w:pPr/>
          </w:p>
        </w:tc>
        <w:tc>
          <w:tcPr>
            <w:tcW w:w="1896"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277"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其他权益工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具</w:t>
            </w:r>
          </w:p>
        </w:tc>
        <w:tc>
          <w:tcPr>
            <w:tcW w:w="18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37" w:lineRule="auto"/>
              <w:ind w:left="103" w:right="94"/>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03"/>
                <w:sz w:val="21"/>
                <w:szCs w:val="21"/>
              </w:rPr>
              <w:t> </w:t>
            </w:r>
            <w:r>
              <w:rPr>
                <w:rFonts w:ascii="宋体" w:hAnsi="宋体" w:cs="宋体" w:eastAsia="宋体" w:hint="default"/>
                <w:sz w:val="21"/>
                <w:szCs w:val="21"/>
              </w:rPr>
              <w:t>库存</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20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427" w:type="dxa"/>
            <w:vMerge w:val="restart"/>
            <w:tcBorders>
              <w:top w:val="single" w:sz="6" w:space="0" w:color="000000"/>
              <w:left w:val="single" w:sz="6" w:space="0" w:color="000000"/>
              <w:right w:val="single" w:sz="6" w:space="0" w:color="000000"/>
            </w:tcBorders>
          </w:tcPr>
          <w:p>
            <w:pPr>
              <w:pStyle w:val="TableParagraph"/>
              <w:spacing w:line="237" w:lineRule="auto" w:before="112"/>
              <w:ind w:left="103" w:right="96"/>
              <w:jc w:val="both"/>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储</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68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836" w:hRule="exact"/>
        </w:trPr>
        <w:tc>
          <w:tcPr>
            <w:tcW w:w="1913"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4" w:space="0" w:color="000000"/>
            </w:tcBorders>
          </w:tcPr>
          <w:p>
            <w:pP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z w:val="21"/>
                <w:szCs w:val="21"/>
              </w:rPr>
              <w:t>优</w:t>
            </w:r>
            <w:r>
              <w:rPr>
                <w:rFonts w:ascii="宋体" w:hAnsi="宋体" w:cs="宋体" w:eastAsia="宋体" w:hint="default"/>
                <w:w w:val="100"/>
                <w:sz w:val="21"/>
                <w:szCs w:val="21"/>
              </w:rPr>
              <w:t> </w:t>
            </w:r>
            <w:r>
              <w:rPr>
                <w:rFonts w:ascii="宋体" w:hAnsi="宋体" w:cs="宋体" w:eastAsia="宋体" w:hint="default"/>
                <w:sz w:val="21"/>
                <w:szCs w:val="21"/>
              </w:rPr>
              <w:t>先</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428" w:type="dxa"/>
            <w:tcBorders>
              <w:top w:val="single" w:sz="4" w:space="0" w:color="000000"/>
              <w:left w:val="single" w:sz="4" w:space="0" w:color="000000"/>
              <w:bottom w:val="single" w:sz="6" w:space="0" w:color="000000"/>
              <w:right w:val="single" w:sz="4" w:space="0" w:color="000000"/>
            </w:tcBorders>
          </w:tcPr>
          <w:p>
            <w:pPr>
              <w:pStyle w:val="TableParagraph"/>
              <w:spacing w:line="272" w:lineRule="exact" w:before="1"/>
              <w:ind w:left="105" w:right="98"/>
              <w:jc w:val="left"/>
              <w:rPr>
                <w:rFonts w:ascii="宋体" w:hAnsi="宋体" w:cs="宋体" w:eastAsia="宋体" w:hint="default"/>
                <w:sz w:val="21"/>
                <w:szCs w:val="21"/>
              </w:rPr>
            </w:pPr>
            <w:r>
              <w:rPr>
                <w:rFonts w:ascii="宋体" w:hAnsi="宋体" w:cs="宋体" w:eastAsia="宋体" w:hint="default"/>
                <w:sz w:val="21"/>
                <w:szCs w:val="21"/>
              </w:rPr>
              <w:t>永</w:t>
            </w:r>
            <w:r>
              <w:rPr>
                <w:rFonts w:ascii="宋体" w:hAnsi="宋体" w:cs="宋体" w:eastAsia="宋体" w:hint="default"/>
                <w:w w:val="100"/>
                <w:sz w:val="21"/>
                <w:szCs w:val="21"/>
              </w:rPr>
              <w:t> </w:t>
            </w:r>
            <w:r>
              <w:rPr>
                <w:rFonts w:ascii="宋体" w:hAnsi="宋体" w:cs="宋体" w:eastAsia="宋体" w:hint="default"/>
                <w:sz w:val="21"/>
                <w:szCs w:val="21"/>
              </w:rPr>
              <w:t>续</w:t>
            </w:r>
          </w:p>
          <w:p>
            <w:pPr>
              <w:pStyle w:val="TableParagraph"/>
              <w:spacing w:line="24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425"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7"/>
              <w:ind w:left="103" w:right="96"/>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896" w:type="dxa"/>
            <w:vMerge/>
            <w:tcBorders>
              <w:left w:val="single" w:sz="6" w:space="0" w:color="000000"/>
              <w:bottom w:val="single" w:sz="6" w:space="0" w:color="000000"/>
              <w:right w:val="single" w:sz="6" w:space="0" w:color="000000"/>
            </w:tcBorders>
          </w:tcPr>
          <w:p>
            <w:pPr/>
          </w:p>
        </w:tc>
        <w:tc>
          <w:tcPr>
            <w:tcW w:w="636" w:type="dxa"/>
            <w:vMerge/>
            <w:tcBorders>
              <w:left w:val="single" w:sz="6" w:space="0" w:color="000000"/>
              <w:bottom w:val="single" w:sz="6" w:space="0" w:color="000000"/>
              <w:right w:val="single" w:sz="6" w:space="0" w:color="000000"/>
            </w:tcBorders>
          </w:tcPr>
          <w:p>
            <w:pPr/>
          </w:p>
        </w:tc>
        <w:tc>
          <w:tcPr>
            <w:tcW w:w="2002" w:type="dxa"/>
            <w:vMerge/>
            <w:tcBorders>
              <w:left w:val="single" w:sz="6" w:space="0" w:color="000000"/>
              <w:bottom w:val="single" w:sz="6" w:space="0" w:color="000000"/>
              <w:right w:val="single" w:sz="6" w:space="0" w:color="000000"/>
            </w:tcBorders>
          </w:tcPr>
          <w:p>
            <w:pPr/>
          </w:p>
        </w:tc>
        <w:tc>
          <w:tcPr>
            <w:tcW w:w="427" w:type="dxa"/>
            <w:vMerge/>
            <w:tcBorders>
              <w:left w:val="single" w:sz="6" w:space="0" w:color="000000"/>
              <w:bottom w:val="single" w:sz="6" w:space="0" w:color="000000"/>
              <w:right w:val="single" w:sz="6" w:space="0" w:color="000000"/>
            </w:tcBorders>
          </w:tcPr>
          <w:p>
            <w:pPr/>
          </w:p>
        </w:tc>
        <w:tc>
          <w:tcPr>
            <w:tcW w:w="1685"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c>
          <w:tcPr>
            <w:tcW w:w="2002" w:type="dxa"/>
            <w:vMerge/>
            <w:tcBorders>
              <w:left w:val="single" w:sz="6" w:space="0" w:color="000000"/>
              <w:bottom w:val="single" w:sz="6" w:space="0" w:color="000000"/>
              <w:right w:val="single" w:sz="6" w:space="0" w:color="000000"/>
            </w:tcBorders>
          </w:tcPr>
          <w:p>
            <w:pPr/>
          </w:p>
        </w:tc>
      </w:tr>
      <w:tr>
        <w:trPr>
          <w:trHeight w:val="288"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89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8,599,343,536.00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8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8,223,779,898.56</w:t>
            </w:r>
          </w:p>
        </w:tc>
        <w:tc>
          <w:tcPr>
            <w:tcW w:w="63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-1,080,792,529.81</w:t>
            </w: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832,294,950.74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2,486,164,030.76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19,060,789,886.25</w:t>
            </w:r>
          </w:p>
        </w:tc>
      </w:tr>
      <w:tr>
        <w:trPr>
          <w:trHeight w:val="288"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896" w:type="dxa"/>
            <w:tcBorders>
              <w:top w:val="single" w:sz="6" w:space="0" w:color="000000"/>
              <w:left w:val="single" w:sz="4"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896" w:type="dxa"/>
            <w:tcBorders>
              <w:top w:val="single" w:sz="6" w:space="0" w:color="000000"/>
              <w:left w:val="single" w:sz="4"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896" w:type="dxa"/>
            <w:tcBorders>
              <w:top w:val="single" w:sz="6" w:space="0" w:color="000000"/>
              <w:left w:val="single" w:sz="4"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89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8,599,343,536.00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8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8,223,779,898.56</w:t>
            </w:r>
          </w:p>
        </w:tc>
        <w:tc>
          <w:tcPr>
            <w:tcW w:w="63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-1,080,792,529.81</w:t>
            </w: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832,294,950.74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2,486,164,030.76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19,060,789,886.25</w:t>
            </w:r>
          </w:p>
        </w:tc>
      </w:tr>
      <w:tr>
        <w:trPr>
          <w:trHeight w:val="830"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三、本期增减变动</w:t>
            </w:r>
          </w:p>
          <w:p>
            <w:pPr>
              <w:pStyle w:val="TableParagraph"/>
              <w:spacing w:line="240" w:lineRule="auto"/>
              <w:ind w:left="103" w:right="319"/>
              <w:jc w:val="left"/>
              <w:rPr>
                <w:rFonts w:ascii="宋体" w:hAnsi="宋体" w:cs="宋体" w:eastAsia="宋体" w:hint="default"/>
                <w:sz w:val="21"/>
                <w:szCs w:val="21"/>
              </w:rPr>
            </w:pPr>
            <w:r>
              <w:rPr>
                <w:rFonts w:ascii="宋体" w:hAnsi="宋体" w:cs="宋体" w:eastAsia="宋体" w:hint="default"/>
                <w:sz w:val="21"/>
                <w:szCs w:val="21"/>
              </w:rPr>
              <w:t>金额（减少以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71,035,178.76</w:t>
            </w:r>
          </w:p>
        </w:tc>
        <w:tc>
          <w:tcPr>
            <w:tcW w:w="63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-314,569,536.59</w:t>
            </w: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148,870,933.31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1,396,868,399.67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1,302,204,975.15</w:t>
            </w:r>
          </w:p>
        </w:tc>
      </w:tr>
      <w:tr>
        <w:trPr>
          <w:trHeight w:val="562"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（一）综合收益总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3"/>
              <w:jc w:val="right"/>
              <w:rPr>
                <w:rFonts w:ascii="宋体" w:hAnsi="宋体" w:cs="宋体" w:eastAsia="宋体" w:hint="default"/>
                <w:sz w:val="21"/>
                <w:szCs w:val="21"/>
              </w:rPr>
            </w:pPr>
            <w:r>
              <w:rPr>
                <w:rFonts w:ascii="宋体"/>
                <w:spacing w:val="-1"/>
                <w:sz w:val="21"/>
              </w:rPr>
              <w:t>-314,569,536.59</w:t>
            </w: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3"/>
              <w:jc w:val="right"/>
              <w:rPr>
                <w:rFonts w:ascii="宋体" w:hAnsi="宋体" w:cs="宋体" w:eastAsia="宋体" w:hint="default"/>
                <w:sz w:val="21"/>
                <w:szCs w:val="21"/>
              </w:rPr>
            </w:pPr>
            <w:r>
              <w:rPr>
                <w:rFonts w:ascii="宋体"/>
                <w:spacing w:val="-1"/>
                <w:sz w:val="21"/>
              </w:rPr>
              <w:t>1,488,709,333.07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4"/>
              <w:jc w:val="right"/>
              <w:rPr>
                <w:rFonts w:ascii="宋体" w:hAnsi="宋体" w:cs="宋体" w:eastAsia="宋体" w:hint="default"/>
                <w:sz w:val="21"/>
                <w:szCs w:val="21"/>
              </w:rPr>
            </w:pPr>
            <w:r>
              <w:rPr>
                <w:rFonts w:ascii="宋体"/>
                <w:spacing w:val="-1"/>
                <w:sz w:val="21"/>
              </w:rPr>
              <w:t>1,174,139,796.48</w:t>
            </w:r>
          </w:p>
        </w:tc>
      </w:tr>
      <w:tr>
        <w:trPr>
          <w:trHeight w:val="559"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（二）所有者投入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和减少资本</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71,035,178.76</w:t>
            </w:r>
          </w:p>
        </w:tc>
        <w:tc>
          <w:tcPr>
            <w:tcW w:w="63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57,029,999.91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128,065,178.67</w:t>
            </w:r>
          </w:p>
        </w:tc>
      </w:tr>
      <w:tr>
        <w:trPr>
          <w:trHeight w:val="559"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投</w:t>
            </w:r>
            <w:r>
              <w:rPr>
                <w:rFonts w:ascii="宋体" w:hAnsi="宋体" w:cs="宋体" w:eastAsia="宋体" w:hint="default"/>
                <w:w w:val="100"/>
                <w:sz w:val="21"/>
                <w:szCs w:val="21"/>
              </w:rPr>
              <w:t>入</w:t>
            </w:r>
            <w:r>
              <w:rPr>
                <w:rFonts w:ascii="宋体" w:hAnsi="宋体" w:cs="宋体" w:eastAsia="宋体" w:hint="default"/>
                <w:spacing w:val="-3"/>
                <w:w w:val="100"/>
                <w:sz w:val="21"/>
                <w:szCs w:val="21"/>
              </w:rPr>
              <w:t>的</w:t>
            </w:r>
            <w:r>
              <w:rPr>
                <w:rFonts w:ascii="宋体" w:hAnsi="宋体" w:cs="宋体" w:eastAsia="宋体" w:hint="default"/>
                <w:w w:val="100"/>
                <w:sz w:val="21"/>
                <w:szCs w:val="21"/>
              </w:rPr>
              <w:t>普通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权</w:t>
            </w:r>
            <w:r>
              <w:rPr>
                <w:rFonts w:ascii="宋体" w:hAnsi="宋体" w:cs="宋体" w:eastAsia="宋体" w:hint="default"/>
                <w:w w:val="100"/>
                <w:sz w:val="21"/>
                <w:szCs w:val="21"/>
              </w:rPr>
              <w:t>益</w:t>
            </w:r>
            <w:r>
              <w:rPr>
                <w:rFonts w:ascii="宋体" w:hAnsi="宋体" w:cs="宋体" w:eastAsia="宋体" w:hint="default"/>
                <w:spacing w:val="-3"/>
                <w:w w:val="100"/>
                <w:sz w:val="21"/>
                <w:szCs w:val="21"/>
              </w:rPr>
              <w:t>工</w:t>
            </w:r>
            <w:r>
              <w:rPr>
                <w:rFonts w:ascii="宋体" w:hAnsi="宋体" w:cs="宋体" w:eastAsia="宋体" w:hint="default"/>
                <w:w w:val="100"/>
                <w:sz w:val="21"/>
                <w:szCs w:val="21"/>
              </w:rPr>
              <w:t>具持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有者投入资本</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支</w:t>
            </w:r>
            <w:r>
              <w:rPr>
                <w:rFonts w:ascii="宋体" w:hAnsi="宋体" w:cs="宋体" w:eastAsia="宋体" w:hint="default"/>
                <w:w w:val="100"/>
                <w:sz w:val="21"/>
                <w:szCs w:val="21"/>
              </w:rPr>
              <w:t>付</w:t>
            </w:r>
            <w:r>
              <w:rPr>
                <w:rFonts w:ascii="宋体" w:hAnsi="宋体" w:cs="宋体" w:eastAsia="宋体" w:hint="default"/>
                <w:spacing w:val="-3"/>
                <w:w w:val="100"/>
                <w:sz w:val="21"/>
                <w:szCs w:val="21"/>
              </w:rPr>
              <w:t>计</w:t>
            </w:r>
            <w:r>
              <w:rPr>
                <w:rFonts w:ascii="宋体" w:hAnsi="宋体" w:cs="宋体" w:eastAsia="宋体" w:hint="default"/>
                <w:w w:val="100"/>
                <w:sz w:val="21"/>
                <w:szCs w:val="21"/>
              </w:rPr>
              <w:t>入所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43,441,178.76</w:t>
            </w:r>
          </w:p>
        </w:tc>
        <w:tc>
          <w:tcPr>
            <w:tcW w:w="63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43,441,178.76</w:t>
            </w:r>
          </w:p>
        </w:tc>
      </w:tr>
      <w:tr>
        <w:trPr>
          <w:trHeight w:val="288"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27,594,000.00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57,029,999.91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84,623,999.91</w:t>
            </w:r>
          </w:p>
        </w:tc>
      </w:tr>
      <w:tr>
        <w:trPr>
          <w:trHeight w:val="288"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148,870,933.31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-148,870,933.31</w:t>
            </w: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148,870,933.31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-148,870,933.31</w:t>
            </w: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2</w:t>
            </w:r>
            <w:r>
              <w:rPr>
                <w:rFonts w:ascii="宋体" w:hAnsi="宋体" w:cs="宋体" w:eastAsia="宋体" w:hint="default"/>
                <w:spacing w:val="-11"/>
                <w:sz w:val="21"/>
                <w:szCs w:val="21"/>
              </w:rPr>
              <w:t>．对所有者（或股</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000" w:bottom="280" w:left="520" w:right="440"/>
        </w:sectPr>
      </w:pPr>
    </w:p>
    <w:p>
      <w:pPr>
        <w:spacing w:line="240" w:lineRule="auto" w:before="2"/>
        <w:rPr>
          <w:rFonts w:ascii="Times New Roman" w:hAnsi="Times New Roman" w:cs="Times New Roman" w:eastAsia="Times New Roman" w:hint="default"/>
          <w:sz w:val="13"/>
          <w:szCs w:val="13"/>
        </w:rPr>
      </w:pPr>
    </w:p>
    <w:tbl>
      <w:tblPr>
        <w:tblW w:w="0" w:type="auto"/>
        <w:jc w:val="left"/>
        <w:tblInd w:w="278" w:type="dxa"/>
        <w:tblLayout w:type="fixed"/>
        <w:tblCellMar>
          <w:top w:w="0" w:type="dxa"/>
          <w:left w:w="0" w:type="dxa"/>
          <w:bottom w:w="0" w:type="dxa"/>
          <w:right w:w="0" w:type="dxa"/>
        </w:tblCellMar>
        <w:tblLook w:val="01E0"/>
      </w:tblPr>
      <w:tblGrid>
        <w:gridCol w:w="1913"/>
        <w:gridCol w:w="1896"/>
        <w:gridCol w:w="425"/>
        <w:gridCol w:w="428"/>
        <w:gridCol w:w="425"/>
        <w:gridCol w:w="1896"/>
        <w:gridCol w:w="636"/>
        <w:gridCol w:w="2002"/>
        <w:gridCol w:w="427"/>
        <w:gridCol w:w="1685"/>
        <w:gridCol w:w="1896"/>
        <w:gridCol w:w="2002"/>
      </w:tblGrid>
      <w:tr>
        <w:trPr>
          <w:trHeight w:val="286"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（四）所有者权益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内部结转</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资</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积</w:t>
            </w:r>
            <w:r>
              <w:rPr>
                <w:rFonts w:ascii="宋体" w:hAnsi="宋体" w:cs="宋体" w:eastAsia="宋体" w:hint="default"/>
                <w:spacing w:val="-3"/>
                <w:w w:val="100"/>
                <w:sz w:val="21"/>
                <w:szCs w:val="21"/>
              </w:rPr>
              <w:t>转</w:t>
            </w:r>
            <w:r>
              <w:rPr>
                <w:rFonts w:ascii="宋体" w:hAnsi="宋体" w:cs="宋体" w:eastAsia="宋体" w:hint="default"/>
                <w:w w:val="100"/>
                <w:sz w:val="21"/>
                <w:szCs w:val="21"/>
              </w:rPr>
              <w:t>增资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盈</w:t>
            </w:r>
            <w:r>
              <w:rPr>
                <w:rFonts w:ascii="宋体" w:hAnsi="宋体" w:cs="宋体" w:eastAsia="宋体" w:hint="default"/>
                <w:w w:val="100"/>
                <w:sz w:val="21"/>
                <w:szCs w:val="21"/>
              </w:rPr>
              <w:t>余</w:t>
            </w:r>
            <w:r>
              <w:rPr>
                <w:rFonts w:ascii="宋体" w:hAnsi="宋体" w:cs="宋体" w:eastAsia="宋体" w:hint="default"/>
                <w:spacing w:val="-3"/>
                <w:w w:val="100"/>
                <w:sz w:val="21"/>
                <w:szCs w:val="21"/>
              </w:rPr>
              <w:t>公</w:t>
            </w:r>
            <w:r>
              <w:rPr>
                <w:rFonts w:ascii="宋体" w:hAnsi="宋体" w:cs="宋体" w:eastAsia="宋体" w:hint="default"/>
                <w:w w:val="100"/>
                <w:sz w:val="21"/>
                <w:szCs w:val="21"/>
              </w:rPr>
              <w:t>积</w:t>
            </w:r>
            <w:r>
              <w:rPr>
                <w:rFonts w:ascii="宋体" w:hAnsi="宋体" w:cs="宋体" w:eastAsia="宋体" w:hint="default"/>
                <w:spacing w:val="-3"/>
                <w:w w:val="100"/>
                <w:sz w:val="21"/>
                <w:szCs w:val="21"/>
              </w:rPr>
              <w:t>转</w:t>
            </w:r>
            <w:r>
              <w:rPr>
                <w:rFonts w:ascii="宋体" w:hAnsi="宋体" w:cs="宋体" w:eastAsia="宋体" w:hint="default"/>
                <w:w w:val="100"/>
                <w:sz w:val="21"/>
                <w:szCs w:val="21"/>
              </w:rPr>
              <w:t>增资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盈</w:t>
            </w:r>
            <w:r>
              <w:rPr>
                <w:rFonts w:ascii="宋体" w:hAnsi="宋体" w:cs="宋体" w:eastAsia="宋体" w:hint="default"/>
                <w:w w:val="100"/>
                <w:sz w:val="21"/>
                <w:szCs w:val="21"/>
              </w:rPr>
              <w:t>余</w:t>
            </w:r>
            <w:r>
              <w:rPr>
                <w:rFonts w:ascii="宋体" w:hAnsi="宋体" w:cs="宋体" w:eastAsia="宋体" w:hint="default"/>
                <w:spacing w:val="-3"/>
                <w:w w:val="100"/>
                <w:sz w:val="21"/>
                <w:szCs w:val="21"/>
              </w:rPr>
              <w:t>公</w:t>
            </w:r>
            <w:r>
              <w:rPr>
                <w:rFonts w:ascii="宋体" w:hAnsi="宋体" w:cs="宋体" w:eastAsia="宋体" w:hint="default"/>
                <w:w w:val="100"/>
                <w:sz w:val="21"/>
                <w:szCs w:val="21"/>
              </w:rPr>
              <w:t>积</w:t>
            </w:r>
            <w:r>
              <w:rPr>
                <w:rFonts w:ascii="宋体" w:hAnsi="宋体" w:cs="宋体" w:eastAsia="宋体" w:hint="default"/>
                <w:spacing w:val="-3"/>
                <w:w w:val="100"/>
                <w:sz w:val="21"/>
                <w:szCs w:val="21"/>
              </w:rPr>
              <w:t>弥</w:t>
            </w:r>
            <w:r>
              <w:rPr>
                <w:rFonts w:ascii="宋体" w:hAnsi="宋体" w:cs="宋体" w:eastAsia="宋体" w:hint="default"/>
                <w:w w:val="100"/>
                <w:sz w:val="21"/>
                <w:szCs w:val="21"/>
              </w:rPr>
              <w:t>补亏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损</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89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8,599,343,536.00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8,294,815,077.32</w:t>
            </w:r>
          </w:p>
        </w:tc>
        <w:tc>
          <w:tcPr>
            <w:tcW w:w="63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-1,395,362,066.40</w:t>
            </w: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981,165,884.05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3,883,032,430.43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20,362,994,861.40</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153"/>
        <w:gridCol w:w="1896"/>
        <w:gridCol w:w="425"/>
        <w:gridCol w:w="427"/>
        <w:gridCol w:w="427"/>
        <w:gridCol w:w="2002"/>
        <w:gridCol w:w="636"/>
        <w:gridCol w:w="2004"/>
        <w:gridCol w:w="427"/>
        <w:gridCol w:w="1685"/>
        <w:gridCol w:w="1896"/>
        <w:gridCol w:w="2002"/>
      </w:tblGrid>
      <w:tr>
        <w:trPr>
          <w:trHeight w:val="288" w:hRule="exact"/>
        </w:trPr>
        <w:tc>
          <w:tcPr>
            <w:tcW w:w="215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828" w:type="dxa"/>
            <w:gridSpan w:val="11"/>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557" w:hRule="exact"/>
        </w:trPr>
        <w:tc>
          <w:tcPr>
            <w:tcW w:w="2153" w:type="dxa"/>
            <w:vMerge/>
            <w:tcBorders>
              <w:left w:val="single" w:sz="6" w:space="0" w:color="000000"/>
              <w:right w:val="single" w:sz="6" w:space="0" w:color="000000"/>
            </w:tcBorders>
          </w:tcPr>
          <w:p>
            <w:pPr/>
          </w:p>
        </w:tc>
        <w:tc>
          <w:tcPr>
            <w:tcW w:w="1896"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280" w:type="dxa"/>
            <w:gridSpan w:val="3"/>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其他权益工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具</w:t>
            </w:r>
          </w:p>
        </w:tc>
        <w:tc>
          <w:tcPr>
            <w:tcW w:w="20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37" w:lineRule="auto"/>
              <w:ind w:left="103" w:right="94"/>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03"/>
                <w:sz w:val="21"/>
                <w:szCs w:val="21"/>
              </w:rPr>
              <w:t> </w:t>
            </w:r>
            <w:r>
              <w:rPr>
                <w:rFonts w:ascii="宋体" w:hAnsi="宋体" w:cs="宋体" w:eastAsia="宋体" w:hint="default"/>
                <w:sz w:val="21"/>
                <w:szCs w:val="21"/>
              </w:rPr>
              <w:t>库存</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200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427" w:type="dxa"/>
            <w:vMerge w:val="restart"/>
            <w:tcBorders>
              <w:top w:val="single" w:sz="6" w:space="0" w:color="000000"/>
              <w:left w:val="single" w:sz="6" w:space="0" w:color="000000"/>
              <w:right w:val="single" w:sz="6" w:space="0" w:color="000000"/>
            </w:tcBorders>
          </w:tcPr>
          <w:p>
            <w:pPr>
              <w:pStyle w:val="TableParagraph"/>
              <w:spacing w:line="237" w:lineRule="auto" w:before="112"/>
              <w:ind w:left="100" w:right="98"/>
              <w:jc w:val="both"/>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储</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68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835" w:hRule="exact"/>
        </w:trPr>
        <w:tc>
          <w:tcPr>
            <w:tcW w:w="2153"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4" w:space="0" w:color="000000"/>
            </w:tcBorders>
          </w:tcPr>
          <w:p>
            <w:pP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优</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先</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27" w:type="dxa"/>
            <w:tcBorders>
              <w:top w:val="single" w:sz="4" w:space="0" w:color="000000"/>
              <w:left w:val="single" w:sz="4" w:space="0" w:color="000000"/>
              <w:bottom w:val="single" w:sz="6" w:space="0" w:color="000000"/>
              <w:right w:val="single" w:sz="4" w:space="0" w:color="000000"/>
            </w:tcBorders>
          </w:tcPr>
          <w:p>
            <w:pPr>
              <w:pStyle w:val="TableParagraph"/>
              <w:spacing w:line="245"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永</w:t>
            </w:r>
          </w:p>
          <w:p>
            <w:pPr>
              <w:pStyle w:val="TableParagraph"/>
              <w:spacing w:line="272" w:lineRule="exact" w:before="27"/>
              <w:ind w:left="105" w:right="98"/>
              <w:jc w:val="left"/>
              <w:rPr>
                <w:rFonts w:ascii="宋体" w:hAnsi="宋体" w:cs="宋体" w:eastAsia="宋体" w:hint="default"/>
                <w:sz w:val="21"/>
                <w:szCs w:val="21"/>
              </w:rPr>
            </w:pPr>
            <w:r>
              <w:rPr>
                <w:rFonts w:ascii="宋体" w:hAnsi="宋体" w:cs="宋体" w:eastAsia="宋体" w:hint="default"/>
                <w:sz w:val="21"/>
                <w:szCs w:val="21"/>
              </w:rPr>
              <w:t>续</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427" w:type="dxa"/>
            <w:tcBorders>
              <w:top w:val="single" w:sz="4" w:space="0" w:color="000000"/>
              <w:left w:val="single" w:sz="4" w:space="0" w:color="000000"/>
              <w:bottom w:val="single" w:sz="6" w:space="0" w:color="000000"/>
              <w:right w:val="single" w:sz="6" w:space="0" w:color="000000"/>
            </w:tcBorders>
          </w:tcPr>
          <w:p>
            <w:pPr>
              <w:pStyle w:val="TableParagraph"/>
              <w:spacing w:line="272" w:lineRule="exact" w:before="135"/>
              <w:ind w:left="103" w:right="98"/>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2002" w:type="dxa"/>
            <w:vMerge/>
            <w:tcBorders>
              <w:left w:val="single" w:sz="6" w:space="0" w:color="000000"/>
              <w:bottom w:val="single" w:sz="6" w:space="0" w:color="000000"/>
              <w:right w:val="single" w:sz="6" w:space="0" w:color="000000"/>
            </w:tcBorders>
          </w:tcPr>
          <w:p>
            <w:pPr/>
          </w:p>
        </w:tc>
        <w:tc>
          <w:tcPr>
            <w:tcW w:w="636" w:type="dxa"/>
            <w:vMerge/>
            <w:tcBorders>
              <w:left w:val="single" w:sz="6" w:space="0" w:color="000000"/>
              <w:bottom w:val="single" w:sz="6" w:space="0" w:color="000000"/>
              <w:right w:val="single" w:sz="6" w:space="0" w:color="000000"/>
            </w:tcBorders>
          </w:tcPr>
          <w:p>
            <w:pPr/>
          </w:p>
        </w:tc>
        <w:tc>
          <w:tcPr>
            <w:tcW w:w="2004" w:type="dxa"/>
            <w:vMerge/>
            <w:tcBorders>
              <w:left w:val="single" w:sz="6" w:space="0" w:color="000000"/>
              <w:bottom w:val="single" w:sz="6" w:space="0" w:color="000000"/>
              <w:right w:val="single" w:sz="6" w:space="0" w:color="000000"/>
            </w:tcBorders>
          </w:tcPr>
          <w:p>
            <w:pPr/>
          </w:p>
        </w:tc>
        <w:tc>
          <w:tcPr>
            <w:tcW w:w="427" w:type="dxa"/>
            <w:vMerge/>
            <w:tcBorders>
              <w:left w:val="single" w:sz="6" w:space="0" w:color="000000"/>
              <w:bottom w:val="single" w:sz="6" w:space="0" w:color="000000"/>
              <w:right w:val="single" w:sz="6" w:space="0" w:color="000000"/>
            </w:tcBorders>
          </w:tcPr>
          <w:p>
            <w:pPr/>
          </w:p>
        </w:tc>
        <w:tc>
          <w:tcPr>
            <w:tcW w:w="1685"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c>
          <w:tcPr>
            <w:tcW w:w="2002" w:type="dxa"/>
            <w:vMerge/>
            <w:tcBorders>
              <w:left w:val="single" w:sz="6" w:space="0" w:color="000000"/>
              <w:bottom w:val="single" w:sz="6" w:space="0" w:color="000000"/>
              <w:right w:val="single" w:sz="6" w:space="0" w:color="000000"/>
            </w:tcBorders>
          </w:tcPr>
          <w:p>
            <w:pPr/>
          </w:p>
        </w:tc>
      </w:tr>
      <w:tr>
        <w:trPr>
          <w:trHeight w:val="286"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89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9,099,670,428.00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15" w:right="0"/>
              <w:jc w:val="center"/>
              <w:rPr>
                <w:rFonts w:ascii="宋体" w:hAnsi="宋体" w:cs="宋体" w:eastAsia="宋体" w:hint="default"/>
                <w:sz w:val="21"/>
                <w:szCs w:val="21"/>
              </w:rPr>
            </w:pPr>
            <w:r>
              <w:rPr>
                <w:rFonts w:ascii="宋体"/>
                <w:sz w:val="21"/>
              </w:rPr>
              <w:t>9,334,883,995.77</w:t>
            </w:r>
          </w:p>
        </w:tc>
        <w:tc>
          <w:tcPr>
            <w:tcW w:w="63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-1,149,540,459.62</w:t>
            </w: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709,176,373.56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1,767,524,374.93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19,761,714,712.64</w:t>
            </w:r>
          </w:p>
        </w:tc>
      </w:tr>
      <w:tr>
        <w:trPr>
          <w:trHeight w:val="28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2002" w:type="dxa"/>
            <w:tcBorders>
              <w:top w:val="single" w:sz="6" w:space="0" w:color="000000"/>
              <w:left w:val="single" w:sz="4"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2002" w:type="dxa"/>
            <w:tcBorders>
              <w:top w:val="single" w:sz="6" w:space="0" w:color="000000"/>
              <w:left w:val="single" w:sz="4"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2002" w:type="dxa"/>
            <w:tcBorders>
              <w:top w:val="single" w:sz="6" w:space="0" w:color="000000"/>
              <w:left w:val="single" w:sz="4"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89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9,099,670,428.00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15" w:right="0"/>
              <w:jc w:val="center"/>
              <w:rPr>
                <w:rFonts w:ascii="宋体" w:hAnsi="宋体" w:cs="宋体" w:eastAsia="宋体" w:hint="default"/>
                <w:sz w:val="21"/>
                <w:szCs w:val="21"/>
              </w:rPr>
            </w:pPr>
            <w:r>
              <w:rPr>
                <w:rFonts w:ascii="宋体"/>
                <w:sz w:val="21"/>
              </w:rPr>
              <w:t>9,334,883,995.77</w:t>
            </w:r>
          </w:p>
        </w:tc>
        <w:tc>
          <w:tcPr>
            <w:tcW w:w="63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-1,149,540,459.62</w:t>
            </w: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709,176,373.56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1,767,524,374.93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19,761,714,712.64</w:t>
            </w:r>
          </w:p>
        </w:tc>
      </w:tr>
      <w:tr>
        <w:trPr>
          <w:trHeight w:val="28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三、本期增减变动金</w:t>
            </w:r>
          </w:p>
        </w:tc>
        <w:tc>
          <w:tcPr>
            <w:tcW w:w="189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-500,326,892.00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-1,111,104,097.21</w:t>
            </w:r>
          </w:p>
        </w:tc>
        <w:tc>
          <w:tcPr>
            <w:tcW w:w="63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68,747,929.81</w:t>
            </w: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123,118,577.18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718,639,655.83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-700,924,826.39</w:t>
            </w:r>
          </w:p>
        </w:tc>
      </w:tr>
    </w:tbl>
    <w:p>
      <w:pPr>
        <w:spacing w:after="0" w:line="241" w:lineRule="exact"/>
        <w:jc w:val="right"/>
        <w:rPr>
          <w:rFonts w:ascii="宋体" w:hAnsi="宋体" w:cs="宋体" w:eastAsia="宋体" w:hint="default"/>
          <w:sz w:val="21"/>
          <w:szCs w:val="21"/>
        </w:rPr>
        <w:sectPr>
          <w:pgSz w:w="16840" w:h="11910" w:orient="landscape"/>
          <w:pgMar w:header="882" w:footer="1195" w:top="1120" w:bottom="1380" w:left="360" w:right="26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153"/>
        <w:gridCol w:w="1896"/>
        <w:gridCol w:w="425"/>
        <w:gridCol w:w="427"/>
        <w:gridCol w:w="427"/>
        <w:gridCol w:w="2002"/>
        <w:gridCol w:w="636"/>
        <w:gridCol w:w="2004"/>
        <w:gridCol w:w="427"/>
        <w:gridCol w:w="1685"/>
        <w:gridCol w:w="1896"/>
        <w:gridCol w:w="2002"/>
      </w:tblGrid>
      <w:tr>
        <w:trPr>
          <w:trHeight w:val="559"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额（减少以“－”号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68,747,929.81</w:t>
            </w: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1,231,185,771.81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1,299,933,701.62</w:t>
            </w:r>
          </w:p>
        </w:tc>
      </w:tr>
      <w:tr>
        <w:trPr>
          <w:trHeight w:val="559"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（二）所有者投入和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减少资本</w:t>
            </w:r>
          </w:p>
        </w:tc>
        <w:tc>
          <w:tcPr>
            <w:tcW w:w="189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-500,326,892.00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-1,111,104,097.21</w:t>
            </w:r>
          </w:p>
        </w:tc>
        <w:tc>
          <w:tcPr>
            <w:tcW w:w="63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40,539,638.00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-1,570,891,351.21</w:t>
            </w:r>
          </w:p>
        </w:tc>
      </w:tr>
      <w:tr>
        <w:trPr>
          <w:trHeight w:val="28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1</w:t>
            </w:r>
            <w:r>
              <w:rPr>
                <w:rFonts w:ascii="宋体" w:hAnsi="宋体" w:cs="宋体" w:eastAsia="宋体" w:hint="default"/>
                <w:spacing w:val="-7"/>
                <w:sz w:val="21"/>
                <w:szCs w:val="21"/>
              </w:rPr>
              <w:t>．股东投入的普通股</w:t>
            </w:r>
          </w:p>
        </w:tc>
        <w:tc>
          <w:tcPr>
            <w:tcW w:w="189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-500,326,892.00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-1,186,411,260.75</w:t>
            </w:r>
          </w:p>
        </w:tc>
        <w:tc>
          <w:tcPr>
            <w:tcW w:w="63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-1,686,738,152.75</w:t>
            </w:r>
          </w:p>
        </w:tc>
      </w:tr>
      <w:tr>
        <w:trPr>
          <w:trHeight w:val="559"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2</w:t>
            </w:r>
            <w:r>
              <w:rPr>
                <w:rFonts w:ascii="宋体" w:hAnsi="宋体" w:cs="宋体" w:eastAsia="宋体" w:hint="default"/>
                <w:spacing w:val="-7"/>
                <w:sz w:val="21"/>
                <w:szCs w:val="21"/>
              </w:rPr>
              <w:t>．其他权益工具持有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者投入资本</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3</w:t>
            </w:r>
            <w:r>
              <w:rPr>
                <w:rFonts w:ascii="宋体" w:hAnsi="宋体" w:cs="宋体" w:eastAsia="宋体" w:hint="default"/>
                <w:spacing w:val="-7"/>
                <w:sz w:val="21"/>
                <w:szCs w:val="21"/>
              </w:rPr>
              <w:t>．股份支付计入所有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者权益的金额</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3"/>
              <w:jc w:val="right"/>
              <w:rPr>
                <w:rFonts w:ascii="宋体" w:hAnsi="宋体" w:cs="宋体" w:eastAsia="宋体" w:hint="default"/>
                <w:sz w:val="21"/>
                <w:szCs w:val="21"/>
              </w:rPr>
            </w:pPr>
            <w:r>
              <w:rPr>
                <w:rFonts w:ascii="宋体"/>
                <w:spacing w:val="-1"/>
                <w:sz w:val="21"/>
              </w:rPr>
              <w:t>76,439,673.87</w:t>
            </w:r>
          </w:p>
        </w:tc>
        <w:tc>
          <w:tcPr>
            <w:tcW w:w="63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3"/>
              <w:jc w:val="right"/>
              <w:rPr>
                <w:rFonts w:ascii="宋体" w:hAnsi="宋体" w:cs="宋体" w:eastAsia="宋体" w:hint="default"/>
                <w:sz w:val="21"/>
                <w:szCs w:val="21"/>
              </w:rPr>
            </w:pPr>
            <w:r>
              <w:rPr>
                <w:rFonts w:ascii="宋体"/>
                <w:spacing w:val="-1"/>
                <w:sz w:val="21"/>
              </w:rPr>
              <w:t>76,439,673.87</w:t>
            </w:r>
          </w:p>
        </w:tc>
      </w:tr>
      <w:tr>
        <w:trPr>
          <w:trHeight w:val="28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-1,132,510.33</w:t>
            </w:r>
          </w:p>
        </w:tc>
        <w:tc>
          <w:tcPr>
            <w:tcW w:w="63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40,539,638.00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39,407,127.67</w:t>
            </w:r>
          </w:p>
        </w:tc>
      </w:tr>
      <w:tr>
        <w:trPr>
          <w:trHeight w:val="286"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123,118,577.18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-553,085,753.98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-429,967,176.80</w:t>
            </w:r>
          </w:p>
        </w:tc>
      </w:tr>
      <w:tr>
        <w:trPr>
          <w:trHeight w:val="28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123,118,577.18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-123,118,577.18</w:t>
            </w: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8"/>
              <w:jc w:val="left"/>
              <w:rPr>
                <w:rFonts w:ascii="宋体" w:hAnsi="宋体" w:cs="宋体" w:eastAsia="宋体" w:hint="default"/>
                <w:sz w:val="21"/>
                <w:szCs w:val="21"/>
              </w:rPr>
            </w:pPr>
            <w:r>
              <w:rPr>
                <w:rFonts w:ascii="宋体" w:hAnsi="宋体" w:cs="宋体" w:eastAsia="宋体" w:hint="default"/>
                <w:spacing w:val="-16"/>
                <w:sz w:val="21"/>
                <w:szCs w:val="21"/>
              </w:rPr>
              <w:t>2</w:t>
            </w:r>
            <w:r>
              <w:rPr>
                <w:rFonts w:ascii="宋体" w:hAnsi="宋体" w:cs="宋体" w:eastAsia="宋体" w:hint="default"/>
                <w:spacing w:val="-16"/>
                <w:sz w:val="21"/>
                <w:szCs w:val="21"/>
              </w:rPr>
              <w:t>．对所有者（或股东）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的分配</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-429,967,176.80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-429,967,176.80</w:t>
            </w:r>
          </w:p>
        </w:tc>
      </w:tr>
      <w:tr>
        <w:trPr>
          <w:trHeight w:val="28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（四）所有者权益内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部结转</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1</w:t>
            </w:r>
            <w:r>
              <w:rPr>
                <w:rFonts w:ascii="宋体" w:hAnsi="宋体" w:cs="宋体" w:eastAsia="宋体" w:hint="default"/>
                <w:spacing w:val="-7"/>
                <w:sz w:val="21"/>
                <w:szCs w:val="21"/>
              </w:rPr>
              <w:t>．资本公积转增资本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2</w:t>
            </w:r>
            <w:r>
              <w:rPr>
                <w:rFonts w:ascii="宋体" w:hAnsi="宋体" w:cs="宋体" w:eastAsia="宋体" w:hint="default"/>
                <w:spacing w:val="-7"/>
                <w:sz w:val="21"/>
                <w:szCs w:val="21"/>
              </w:rPr>
              <w:t>．盈余公积转增资本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3</w:t>
            </w:r>
            <w:r>
              <w:rPr>
                <w:rFonts w:ascii="宋体" w:hAnsi="宋体" w:cs="宋体" w:eastAsia="宋体" w:hint="default"/>
                <w:spacing w:val="-7"/>
                <w:sz w:val="21"/>
                <w:szCs w:val="21"/>
              </w:rPr>
              <w:t>．盈余公积弥补亏损</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89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89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8,599,343,536.00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8,223,779,898.56</w:t>
            </w:r>
          </w:p>
        </w:tc>
        <w:tc>
          <w:tcPr>
            <w:tcW w:w="63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-1,080,792,529.81</w:t>
            </w:r>
          </w:p>
        </w:tc>
        <w:tc>
          <w:tcPr>
            <w:tcW w:w="42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832,294,950.74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2,486,164,030.76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19,060,789,886.25</w:t>
            </w:r>
          </w:p>
        </w:tc>
      </w:tr>
    </w:tbl>
    <w:p>
      <w:pPr>
        <w:pStyle w:val="BodyText"/>
        <w:tabs>
          <w:tab w:pos="4944" w:val="left" w:leader="none"/>
          <w:tab w:pos="10405" w:val="left" w:leader="none"/>
        </w:tabs>
        <w:spacing w:line="274" w:lineRule="exact"/>
        <w:ind w:left="1164" w:right="0"/>
        <w:jc w:val="left"/>
      </w:pPr>
      <w:r>
        <w:rPr/>
        <w:t>法定代表人：林俊波</w:t>
        <w:tab/>
        <w:t>主管会计工作负责人：潘孝娜</w:t>
        <w:tab/>
        <w:t>会计机构负责人：胡倩倩</w:t>
      </w:r>
    </w:p>
    <w:p>
      <w:pPr>
        <w:spacing w:after="0" w:line="274" w:lineRule="exact"/>
        <w:jc w:val="left"/>
        <w:sectPr>
          <w:pgSz w:w="16840" w:h="11910" w:orient="landscape"/>
          <w:pgMar w:header="882" w:footer="1195" w:top="1120" w:bottom="1380" w:left="360" w:right="260"/>
        </w:sectPr>
      </w:pPr>
    </w:p>
    <w:p>
      <w:pPr>
        <w:spacing w:line="240" w:lineRule="auto" w:before="13"/>
        <w:rPr>
          <w:rFonts w:ascii="宋体" w:hAnsi="宋体" w:cs="宋体" w:eastAsia="宋体" w:hint="default"/>
          <w:sz w:val="29"/>
          <w:szCs w:val="29"/>
        </w:rPr>
      </w:pPr>
    </w:p>
    <w:p>
      <w:pPr>
        <w:pStyle w:val="Heading2"/>
        <w:tabs>
          <w:tab w:pos="977" w:val="left" w:leader="none"/>
        </w:tabs>
        <w:spacing w:line="283" w:lineRule="auto"/>
        <w:ind w:left="138" w:right="6782"/>
        <w:jc w:val="left"/>
        <w:rPr>
          <w:b w:val="0"/>
          <w:bCs w:val="0"/>
        </w:rPr>
      </w:pPr>
      <w:r>
        <w:rPr/>
        <w:t>三、</w:t>
        <w:tab/>
        <w:t>公司基本情况</w:t>
      </w:r>
      <w:r>
        <w:rPr>
          <w:w w:val="99"/>
        </w:rPr>
        <w:t> </w:t>
      </w:r>
      <w:r>
        <w:rPr>
          <w:rFonts w:ascii="宋体" w:hAnsi="宋体" w:cs="宋体" w:eastAsia="宋体" w:hint="default"/>
        </w:rPr>
        <w:t>1.</w:t>
      </w:r>
      <w:r>
        <w:rPr>
          <w:rFonts w:ascii="宋体" w:hAnsi="宋体" w:cs="宋体" w:eastAsia="宋体" w:hint="default"/>
          <w:spacing w:val="56"/>
        </w:rPr>
        <w:t> </w:t>
      </w:r>
      <w:r>
        <w:rPr/>
        <w:t>公司概况</w:t>
      </w:r>
      <w:r>
        <w:rPr>
          <w:b w:val="0"/>
          <w:bCs w:val="0"/>
        </w:rPr>
      </w:r>
    </w:p>
    <w:p>
      <w:pPr>
        <w:pStyle w:val="BodyText"/>
        <w:spacing w:line="312" w:lineRule="exact" w:before="14"/>
        <w:ind w:right="0"/>
        <w:jc w:val="both"/>
      </w:pPr>
      <w:r>
        <w:rPr/>
        <w:t>√适用</w:t>
      </w:r>
      <w:r>
        <w:rPr>
          <w:spacing w:val="119"/>
        </w:rPr>
        <w:t> </w:t>
      </w:r>
      <w:r>
        <w:rPr/>
        <w:t>□不适用</w:t>
      </w:r>
    </w:p>
    <w:p>
      <w:pPr>
        <w:pStyle w:val="BodyText"/>
        <w:spacing w:line="357" w:lineRule="auto"/>
        <w:ind w:right="119" w:firstLine="477"/>
        <w:jc w:val="left"/>
      </w:pPr>
      <w:r>
        <w:rPr/>
        <w:t>新湖中宝股份有限公司（以下简称公司或本公司）系</w:t>
      </w:r>
      <w:r>
        <w:rPr>
          <w:spacing w:val="-59"/>
        </w:rPr>
        <w:t> </w:t>
      </w:r>
      <w:r>
        <w:rPr>
          <w:rFonts w:ascii="宋体" w:hAnsi="宋体" w:cs="宋体" w:eastAsia="宋体" w:hint="default"/>
        </w:rPr>
        <w:t>1992</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月经浙江省人民 政府股份制试点工作协调小组批准、采取定向募集方式设立的股份制企业。设立时，</w:t>
      </w:r>
      <w:r>
        <w:rPr>
          <w:spacing w:val="-63"/>
        </w:rPr>
        <w:t> </w:t>
      </w:r>
      <w:r>
        <w:rPr>
          <w:spacing w:val="-63"/>
        </w:rPr>
      </w:r>
      <w:r>
        <w:rPr/>
        <w:t>公司注册资本人民币</w:t>
      </w:r>
      <w:r>
        <w:rPr>
          <w:spacing w:val="-60"/>
        </w:rPr>
        <w:t> </w:t>
      </w:r>
      <w:r>
        <w:rPr>
          <w:rFonts w:ascii="宋体" w:hAnsi="宋体" w:cs="宋体" w:eastAsia="宋体" w:hint="default"/>
        </w:rPr>
        <w:t>5,000</w:t>
      </w:r>
      <w:r>
        <w:rPr>
          <w:rFonts w:ascii="宋体" w:hAnsi="宋体" w:cs="宋体" w:eastAsia="宋体" w:hint="default"/>
          <w:spacing w:val="-60"/>
        </w:rPr>
        <w:t> </w:t>
      </w:r>
      <w:r>
        <w:rPr/>
        <w:t>万元，发行股份</w:t>
      </w:r>
      <w:r>
        <w:rPr>
          <w:spacing w:val="-60"/>
        </w:rPr>
        <w:t> </w:t>
      </w:r>
      <w:r>
        <w:rPr>
          <w:rFonts w:ascii="宋体" w:hAnsi="宋体" w:cs="宋体" w:eastAsia="宋体" w:hint="default"/>
        </w:rPr>
        <w:t>500</w:t>
      </w:r>
      <w:r>
        <w:rPr>
          <w:rFonts w:ascii="宋体" w:hAnsi="宋体" w:cs="宋体" w:eastAsia="宋体" w:hint="default"/>
          <w:spacing w:val="-60"/>
        </w:rPr>
        <w:t> </w:t>
      </w:r>
      <w:r>
        <w:rPr/>
        <w:t>万股，每股面值人民币</w:t>
      </w:r>
      <w:r>
        <w:rPr>
          <w:spacing w:val="-60"/>
        </w:rPr>
        <w:t> </w:t>
      </w:r>
      <w:r>
        <w:rPr>
          <w:rFonts w:ascii="宋体" w:hAnsi="宋体" w:cs="宋体" w:eastAsia="宋体" w:hint="default"/>
        </w:rPr>
        <w:t>10</w:t>
      </w:r>
      <w:r>
        <w:rPr>
          <w:rFonts w:ascii="宋体" w:hAnsi="宋体" w:cs="宋体" w:eastAsia="宋体" w:hint="default"/>
          <w:spacing w:val="-60"/>
        </w:rPr>
        <w:t> </w:t>
      </w:r>
      <w:r>
        <w:rPr/>
        <w:t>元。公司</w:t>
      </w:r>
    </w:p>
    <w:p>
      <w:pPr>
        <w:pStyle w:val="BodyText"/>
        <w:spacing w:line="240" w:lineRule="auto" w:before="34"/>
        <w:ind w:right="0"/>
        <w:jc w:val="both"/>
        <w:rPr>
          <w:rFonts w:ascii="宋体" w:hAnsi="宋体" w:cs="宋体" w:eastAsia="宋体" w:hint="default"/>
        </w:rPr>
      </w:pPr>
      <w:r>
        <w:rPr/>
        <w:t>现持有统一社会信用代码为</w:t>
      </w:r>
      <w:r>
        <w:rPr>
          <w:spacing w:val="-60"/>
        </w:rPr>
        <w:t> </w:t>
      </w:r>
      <w:r>
        <w:rPr>
          <w:rFonts w:ascii="宋体" w:hAnsi="宋体" w:cs="宋体" w:eastAsia="宋体" w:hint="default"/>
        </w:rPr>
        <w:t>91330000142941287T</w:t>
      </w:r>
      <w:r>
        <w:rPr>
          <w:rFonts w:ascii="宋体" w:hAnsi="宋体" w:cs="宋体" w:eastAsia="宋体" w:hint="default"/>
          <w:spacing w:val="-60"/>
        </w:rPr>
        <w:t> </w:t>
      </w:r>
      <w:r>
        <w:rPr/>
        <w:t>的营业执照。公司股票于</w:t>
      </w:r>
      <w:r>
        <w:rPr>
          <w:spacing w:val="-60"/>
        </w:rPr>
        <w:t> </w:t>
      </w:r>
      <w:r>
        <w:rPr>
          <w:rFonts w:ascii="宋体" w:hAnsi="宋体" w:cs="宋体" w:eastAsia="宋体" w:hint="default"/>
        </w:rPr>
        <w:t>1999</w:t>
      </w:r>
      <w:r>
        <w:rPr>
          <w:rFonts w:ascii="宋体" w:hAnsi="宋体" w:cs="宋体" w:eastAsia="宋体" w:hint="default"/>
          <w:spacing w:val="-60"/>
        </w:rPr>
        <w:t> </w:t>
      </w:r>
      <w:r>
        <w:rPr/>
        <w:t>年</w:t>
      </w:r>
      <w:r>
        <w:rPr>
          <w:spacing w:val="-60"/>
        </w:rPr>
        <w:t> </w:t>
      </w:r>
      <w:r>
        <w:rPr>
          <w:rFonts w:ascii="宋体" w:hAnsi="宋体" w:cs="宋体" w:eastAsia="宋体" w:hint="default"/>
        </w:rPr>
        <w:t>6</w:t>
      </w:r>
    </w:p>
    <w:p>
      <w:pPr>
        <w:pStyle w:val="BodyText"/>
        <w:spacing w:line="357" w:lineRule="auto" w:before="154"/>
        <w:ind w:right="232"/>
        <w:jc w:val="both"/>
      </w:pPr>
      <w:r>
        <w:rPr/>
        <w:t>月</w:t>
      </w:r>
      <w:r>
        <w:rPr>
          <w:spacing w:val="-61"/>
        </w:rPr>
        <w:t> </w:t>
      </w:r>
      <w:r>
        <w:rPr>
          <w:rFonts w:ascii="宋体" w:hAnsi="宋体" w:cs="宋体" w:eastAsia="宋体" w:hint="default"/>
        </w:rPr>
        <w:t>23</w:t>
      </w:r>
      <w:r>
        <w:rPr>
          <w:rFonts w:ascii="宋体" w:hAnsi="宋体" w:cs="宋体" w:eastAsia="宋体" w:hint="default"/>
          <w:spacing w:val="-60"/>
        </w:rPr>
        <w:t> </w:t>
      </w:r>
      <w:r>
        <w:rPr/>
        <w:t>日在上海证券交易所挂牌交易，股票代码：</w:t>
      </w:r>
      <w:r>
        <w:rPr>
          <w:rFonts w:ascii="宋体" w:hAnsi="宋体" w:cs="宋体" w:eastAsia="宋体" w:hint="default"/>
        </w:rPr>
        <w:t>600208</w:t>
      </w:r>
      <w:r>
        <w:rPr/>
        <w:t>。经过拆细及历年的分红送 </w:t>
      </w:r>
      <w:r>
        <w:rPr>
          <w:spacing w:val="-8"/>
        </w:rPr>
        <w:t>股、转增、增资配股、定向发行、回购以及吸收合并浙江新湖创业投资股份有限公司，</w:t>
      </w:r>
      <w:r>
        <w:rPr>
          <w:spacing w:val="-104"/>
        </w:rPr>
        <w:t> </w:t>
      </w:r>
      <w:r>
        <w:rPr>
          <w:spacing w:val="-104"/>
        </w:rPr>
      </w:r>
      <w:r>
        <w:rPr/>
        <w:t>截至</w:t>
      </w:r>
      <w:r>
        <w:rPr>
          <w:spacing w:val="-64"/>
        </w:rPr>
        <w:t> </w:t>
      </w:r>
      <w:r>
        <w:rPr>
          <w:rFonts w:ascii="宋体" w:hAnsi="宋体" w:cs="宋体" w:eastAsia="宋体" w:hint="default"/>
        </w:rPr>
        <w:t>2017</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31</w:t>
      </w:r>
      <w:r>
        <w:rPr>
          <w:rFonts w:ascii="宋体" w:hAnsi="宋体" w:cs="宋体" w:eastAsia="宋体" w:hint="default"/>
          <w:spacing w:val="-63"/>
        </w:rPr>
        <w:t> </w:t>
      </w:r>
      <w:r>
        <w:rPr/>
        <w:t>日，公司注册资本增加至人民币</w:t>
      </w:r>
      <w:r>
        <w:rPr>
          <w:spacing w:val="-63"/>
        </w:rPr>
        <w:t> </w:t>
      </w:r>
      <w:r>
        <w:rPr>
          <w:rFonts w:ascii="宋体" w:hAnsi="宋体" w:cs="宋体" w:eastAsia="宋体" w:hint="default"/>
        </w:rPr>
        <w:t>8,599,343,536.00</w:t>
      </w:r>
      <w:r>
        <w:rPr>
          <w:rFonts w:ascii="宋体" w:hAnsi="宋体" w:cs="宋体" w:eastAsia="宋体" w:hint="default"/>
          <w:spacing w:val="-63"/>
        </w:rPr>
        <w:t> </w:t>
      </w:r>
      <w:r>
        <w:rPr>
          <w:spacing w:val="-5"/>
        </w:rPr>
        <w:t>元，每股面</w:t>
      </w:r>
    </w:p>
    <w:p>
      <w:pPr>
        <w:pStyle w:val="BodyText"/>
        <w:spacing w:line="357" w:lineRule="auto" w:before="34"/>
        <w:ind w:right="216"/>
        <w:jc w:val="left"/>
      </w:pPr>
      <w:r>
        <w:rPr/>
        <w:t>值</w:t>
      </w:r>
      <w:r>
        <w:rPr>
          <w:spacing w:val="-59"/>
        </w:rPr>
        <w:t> </w:t>
      </w:r>
      <w:r>
        <w:rPr>
          <w:rFonts w:ascii="宋体" w:hAnsi="宋体" w:cs="宋体" w:eastAsia="宋体" w:hint="default"/>
        </w:rPr>
        <w:t>1</w:t>
      </w:r>
      <w:r>
        <w:rPr>
          <w:rFonts w:ascii="宋体" w:hAnsi="宋体" w:cs="宋体" w:eastAsia="宋体" w:hint="default"/>
          <w:spacing w:val="-58"/>
        </w:rPr>
        <w:t> </w:t>
      </w:r>
      <w:r>
        <w:rPr>
          <w:spacing w:val="-11"/>
        </w:rPr>
        <w:t>元，折股份总数</w:t>
      </w:r>
      <w:r>
        <w:rPr>
          <w:spacing w:val="-58"/>
        </w:rPr>
        <w:t> </w:t>
      </w:r>
      <w:r>
        <w:rPr>
          <w:rFonts w:ascii="宋体" w:hAnsi="宋体" w:cs="宋体" w:eastAsia="宋体" w:hint="default"/>
        </w:rPr>
        <w:t>8,599,343,536</w:t>
      </w:r>
      <w:r>
        <w:rPr>
          <w:rFonts w:ascii="宋体" w:hAnsi="宋体" w:cs="宋体" w:eastAsia="宋体" w:hint="default"/>
          <w:spacing w:val="-58"/>
        </w:rPr>
        <w:t> </w:t>
      </w:r>
      <w:r>
        <w:rPr>
          <w:spacing w:val="-11"/>
        </w:rPr>
        <w:t>股。其中，有限售条件的流通股份</w:t>
      </w:r>
      <w:r>
        <w:rPr>
          <w:spacing w:val="-57"/>
        </w:rPr>
        <w:t> </w:t>
      </w:r>
      <w:r>
        <w:rPr>
          <w:rFonts w:ascii="宋体" w:hAnsi="宋体" w:cs="宋体" w:eastAsia="宋体" w:hint="default"/>
        </w:rPr>
        <w:t>A</w:t>
      </w:r>
      <w:r>
        <w:rPr>
          <w:rFonts w:ascii="宋体" w:hAnsi="宋体" w:cs="宋体" w:eastAsia="宋体" w:hint="default"/>
          <w:spacing w:val="-58"/>
        </w:rPr>
        <w:t> </w:t>
      </w:r>
      <w:r>
        <w:rPr/>
        <w:t>股</w:t>
      </w:r>
      <w:r>
        <w:rPr>
          <w:spacing w:val="-58"/>
        </w:rPr>
        <w:t> </w:t>
      </w:r>
      <w:r>
        <w:rPr>
          <w:rFonts w:ascii="宋体" w:hAnsi="宋体" w:cs="宋体" w:eastAsia="宋体" w:hint="default"/>
        </w:rPr>
        <w:t>1,171,615 </w:t>
      </w:r>
      <w:r>
        <w:rPr/>
        <w:t>股；无限售条件的流通股份</w:t>
      </w:r>
      <w:r>
        <w:rPr>
          <w:spacing w:val="-60"/>
        </w:rPr>
        <w:t> </w:t>
      </w:r>
      <w:r>
        <w:rPr>
          <w:rFonts w:ascii="宋体" w:hAnsi="宋体" w:cs="宋体" w:eastAsia="宋体" w:hint="default"/>
        </w:rPr>
        <w:t>A</w:t>
      </w:r>
      <w:r>
        <w:rPr>
          <w:rFonts w:ascii="宋体" w:hAnsi="宋体" w:cs="宋体" w:eastAsia="宋体" w:hint="default"/>
          <w:spacing w:val="-60"/>
        </w:rPr>
        <w:t> </w:t>
      </w:r>
      <w:r>
        <w:rPr/>
        <w:t>股</w:t>
      </w:r>
      <w:r>
        <w:rPr>
          <w:spacing w:val="-60"/>
        </w:rPr>
        <w:t> </w:t>
      </w:r>
      <w:r>
        <w:rPr>
          <w:rFonts w:ascii="宋体" w:hAnsi="宋体" w:cs="宋体" w:eastAsia="宋体" w:hint="default"/>
        </w:rPr>
        <w:t>8,598,171,921</w:t>
      </w:r>
      <w:r>
        <w:rPr>
          <w:rFonts w:ascii="宋体" w:hAnsi="宋体" w:cs="宋体" w:eastAsia="宋体" w:hint="default"/>
          <w:spacing w:val="-60"/>
        </w:rPr>
        <w:t> </w:t>
      </w:r>
      <w:r>
        <w:rPr/>
        <w:t>股。</w:t>
      </w:r>
    </w:p>
    <w:p>
      <w:pPr>
        <w:pStyle w:val="BodyText"/>
        <w:spacing w:line="357" w:lineRule="auto" w:before="34"/>
        <w:ind w:right="119" w:firstLine="479"/>
        <w:jc w:val="left"/>
      </w:pPr>
      <w:r>
        <w:rPr>
          <w:spacing w:val="-2"/>
        </w:rPr>
        <w:t>本公司属房地产行业。主要经营活动为房地产开发、金融投资、商业贸易、矿产</w:t>
      </w:r>
      <w:r>
        <w:rPr/>
        <w:t> 勘探开采等。主要产品或提供的劳务：商品房。</w:t>
      </w:r>
    </w:p>
    <w:p>
      <w:pPr>
        <w:pStyle w:val="BodyText"/>
        <w:spacing w:line="240" w:lineRule="auto" w:before="34"/>
        <w:ind w:left="618" w:right="0"/>
        <w:jc w:val="left"/>
      </w:pPr>
      <w:r>
        <w:rPr/>
        <w:t>本财务报表业经公司</w:t>
      </w:r>
      <w:r>
        <w:rPr>
          <w:spacing w:val="-89"/>
        </w:rPr>
        <w:t> </w:t>
      </w:r>
      <w:r>
        <w:rPr>
          <w:rFonts w:ascii="宋体" w:hAnsi="宋体" w:cs="宋体" w:eastAsia="宋体" w:hint="default"/>
        </w:rPr>
        <w:t>2018</w:t>
      </w:r>
      <w:r>
        <w:rPr>
          <w:rFonts w:ascii="宋体" w:hAnsi="宋体" w:cs="宋体" w:eastAsia="宋体" w:hint="default"/>
          <w:spacing w:val="-89"/>
        </w:rPr>
        <w:t> </w:t>
      </w:r>
      <w:r>
        <w:rPr/>
        <w:t>年</w:t>
      </w:r>
      <w:r>
        <w:rPr>
          <w:spacing w:val="-89"/>
        </w:rPr>
        <w:t> </w:t>
      </w:r>
      <w:r>
        <w:rPr>
          <w:rFonts w:ascii="宋体" w:hAnsi="宋体" w:cs="宋体" w:eastAsia="宋体" w:hint="default"/>
        </w:rPr>
        <w:t>4</w:t>
      </w:r>
      <w:r>
        <w:rPr>
          <w:rFonts w:ascii="宋体" w:hAnsi="宋体" w:cs="宋体" w:eastAsia="宋体" w:hint="default"/>
          <w:spacing w:val="-87"/>
        </w:rPr>
        <w:t> </w:t>
      </w:r>
      <w:r>
        <w:rPr/>
        <w:t>月</w:t>
      </w:r>
      <w:r>
        <w:rPr>
          <w:spacing w:val="-89"/>
        </w:rPr>
        <w:t> </w:t>
      </w:r>
      <w:r>
        <w:rPr>
          <w:rFonts w:ascii="宋体" w:hAnsi="宋体" w:cs="宋体" w:eastAsia="宋体" w:hint="default"/>
        </w:rPr>
        <w:t>26</w:t>
      </w:r>
      <w:r>
        <w:rPr>
          <w:rFonts w:ascii="宋体" w:hAnsi="宋体" w:cs="宋体" w:eastAsia="宋体" w:hint="default"/>
          <w:spacing w:val="-89"/>
        </w:rPr>
        <w:t> </w:t>
      </w:r>
      <w:r>
        <w:rPr/>
        <w:t>日第九届董事会第四十次会议批准对外报出。</w:t>
      </w:r>
    </w:p>
    <w:p>
      <w:pPr>
        <w:spacing w:line="240" w:lineRule="auto" w:before="0"/>
        <w:rPr>
          <w:rFonts w:ascii="宋体" w:hAnsi="宋体" w:cs="宋体" w:eastAsia="宋体" w:hint="default"/>
          <w:sz w:val="24"/>
          <w:szCs w:val="24"/>
        </w:rPr>
      </w:pPr>
    </w:p>
    <w:p>
      <w:pPr>
        <w:pStyle w:val="Heading2"/>
        <w:spacing w:line="240" w:lineRule="auto" w:before="212"/>
        <w:ind w:left="138" w:right="0"/>
        <w:jc w:val="both"/>
        <w:rPr>
          <w:b w:val="0"/>
          <w:bCs w:val="0"/>
        </w:rPr>
      </w:pPr>
      <w:r>
        <w:rPr>
          <w:rFonts w:ascii="宋体" w:hAnsi="宋体" w:cs="宋体" w:eastAsia="宋体" w:hint="default"/>
        </w:rPr>
        <w:t>2.</w:t>
      </w:r>
      <w:r>
        <w:rPr>
          <w:rFonts w:ascii="宋体" w:hAnsi="宋体" w:cs="宋体" w:eastAsia="宋体" w:hint="default"/>
          <w:spacing w:val="54"/>
        </w:rPr>
        <w:t> </w:t>
      </w:r>
      <w:r>
        <w:rPr/>
        <w:t>合并财务报表范围</w:t>
      </w:r>
      <w:r>
        <w:rPr>
          <w:b w:val="0"/>
          <w:bCs w:val="0"/>
        </w:rPr>
      </w:r>
    </w:p>
    <w:p>
      <w:pPr>
        <w:pStyle w:val="BodyText"/>
        <w:tabs>
          <w:tab w:pos="1097" w:val="left" w:leader="none"/>
        </w:tabs>
        <w:spacing w:line="312" w:lineRule="exact" w:before="86"/>
        <w:ind w:left="618" w:right="233" w:hanging="480"/>
        <w:jc w:val="left"/>
      </w:pPr>
      <w:r>
        <w:rPr>
          <w:spacing w:val="-1"/>
        </w:rPr>
        <w:t>√适用</w:t>
        <w:tab/>
      </w:r>
      <w:r>
        <w:rPr/>
        <w:t>□不适用</w:t>
      </w:r>
      <w:r>
        <w:rPr/>
        <w:t> </w:t>
      </w:r>
      <w:r>
        <w:rPr>
          <w:spacing w:val="-2"/>
        </w:rPr>
        <w:t>本公司将沈阳新湖房地产开发有限公司、新湖地产集团有限公司（以下简称新湖</w:t>
      </w:r>
    </w:p>
    <w:p>
      <w:pPr>
        <w:pStyle w:val="BodyText"/>
        <w:spacing w:line="357" w:lineRule="auto" w:before="123"/>
        <w:ind w:right="232"/>
        <w:jc w:val="both"/>
      </w:pPr>
      <w:r>
        <w:rPr/>
        <w:t>地产）和浙江允升投资集团有限公司（以下简称允升投资）等</w:t>
      </w:r>
      <w:r>
        <w:rPr>
          <w:spacing w:val="-60"/>
        </w:rPr>
        <w:t> </w:t>
      </w:r>
      <w:r>
        <w:rPr>
          <w:rFonts w:ascii="宋体" w:hAnsi="宋体" w:cs="宋体" w:eastAsia="宋体" w:hint="default"/>
        </w:rPr>
        <w:t>84</w:t>
      </w:r>
      <w:r>
        <w:rPr>
          <w:rFonts w:ascii="宋体" w:hAnsi="宋体" w:cs="宋体" w:eastAsia="宋体" w:hint="default"/>
          <w:spacing w:val="-60"/>
        </w:rPr>
        <w:t> </w:t>
      </w:r>
      <w:r>
        <w:rPr/>
        <w:t>家子公司纳入本期 </w:t>
      </w:r>
      <w:r>
        <w:rPr>
          <w:spacing w:val="-2"/>
        </w:rPr>
        <w:t>合并财务报表范围，详见本财务报表附注八合并范围的变更和附注九在其他主体中的</w:t>
      </w:r>
      <w:r>
        <w:rPr>
          <w:spacing w:val="-94"/>
        </w:rPr>
        <w:t> </w:t>
      </w:r>
      <w:r>
        <w:rPr>
          <w:spacing w:val="-94"/>
        </w:rPr>
      </w:r>
      <w:r>
        <w:rPr/>
        <w:t>权益之说明。</w:t>
      </w:r>
    </w:p>
    <w:p>
      <w:pPr>
        <w:spacing w:line="240" w:lineRule="auto" w:before="1"/>
        <w:rPr>
          <w:rFonts w:ascii="宋体" w:hAnsi="宋体" w:cs="宋体" w:eastAsia="宋体" w:hint="default"/>
          <w:sz w:val="31"/>
          <w:szCs w:val="31"/>
        </w:rPr>
      </w:pPr>
    </w:p>
    <w:p>
      <w:pPr>
        <w:pStyle w:val="Heading2"/>
        <w:tabs>
          <w:tab w:pos="977" w:val="left" w:leader="none"/>
        </w:tabs>
        <w:spacing w:line="283" w:lineRule="auto" w:before="0"/>
        <w:ind w:left="138" w:right="6057"/>
        <w:jc w:val="left"/>
        <w:rPr>
          <w:b w:val="0"/>
          <w:bCs w:val="0"/>
        </w:rPr>
      </w:pPr>
      <w:r>
        <w:rPr/>
        <w:t>四、</w:t>
        <w:tab/>
        <w:t>财务报表的编制基础</w:t>
      </w:r>
      <w:r>
        <w:rPr>
          <w:w w:val="99"/>
        </w:rPr>
        <w:t> </w:t>
      </w:r>
      <w:r>
        <w:rPr>
          <w:rFonts w:ascii="宋体" w:hAnsi="宋体" w:cs="宋体" w:eastAsia="宋体" w:hint="default"/>
        </w:rPr>
        <w:t>1.</w:t>
      </w:r>
      <w:r>
        <w:rPr>
          <w:rFonts w:ascii="宋体" w:hAnsi="宋体" w:cs="宋体" w:eastAsia="宋体" w:hint="default"/>
          <w:spacing w:val="61"/>
        </w:rPr>
        <w:t> </w:t>
      </w:r>
      <w:r>
        <w:rPr/>
        <w:t>编制基础</w:t>
      </w:r>
      <w:r>
        <w:rPr>
          <w:b w:val="0"/>
          <w:bCs w:val="0"/>
        </w:rPr>
      </w:r>
    </w:p>
    <w:p>
      <w:pPr>
        <w:pStyle w:val="BodyText"/>
        <w:spacing w:line="240" w:lineRule="auto" w:before="14"/>
        <w:ind w:left="618" w:right="119"/>
        <w:jc w:val="left"/>
      </w:pPr>
      <w:r>
        <w:rPr/>
        <w:t>本公司财务报表以持续经营为编制基础。</w:t>
      </w:r>
    </w:p>
    <w:p>
      <w:pPr>
        <w:spacing w:line="240" w:lineRule="auto" w:before="1"/>
        <w:rPr>
          <w:rFonts w:ascii="宋体" w:hAnsi="宋体" w:cs="宋体" w:eastAsia="宋体" w:hint="default"/>
          <w:sz w:val="28"/>
          <w:szCs w:val="28"/>
        </w:rPr>
      </w:pPr>
    </w:p>
    <w:p>
      <w:pPr>
        <w:pStyle w:val="Heading2"/>
        <w:spacing w:line="240" w:lineRule="auto" w:before="0"/>
        <w:ind w:left="138" w:right="0"/>
        <w:jc w:val="both"/>
        <w:rPr>
          <w:b w:val="0"/>
          <w:bCs w:val="0"/>
        </w:rPr>
      </w:pPr>
      <w:r>
        <w:rPr>
          <w:rFonts w:ascii="宋体" w:hAnsi="宋体" w:cs="宋体" w:eastAsia="宋体" w:hint="default"/>
        </w:rPr>
        <w:t>2.</w:t>
      </w:r>
      <w:r>
        <w:rPr>
          <w:rFonts w:ascii="宋体" w:hAnsi="宋体" w:cs="宋体" w:eastAsia="宋体" w:hint="default"/>
          <w:spacing w:val="61"/>
        </w:rPr>
        <w:t> </w:t>
      </w:r>
      <w:r>
        <w:rPr/>
        <w:t>持续经营</w:t>
      </w:r>
      <w:r>
        <w:rPr>
          <w:b w:val="0"/>
          <w:bCs w:val="0"/>
        </w:rPr>
      </w:r>
    </w:p>
    <w:p>
      <w:pPr>
        <w:pStyle w:val="BodyText"/>
        <w:spacing w:line="313" w:lineRule="exact" w:before="58"/>
        <w:ind w:right="0"/>
        <w:jc w:val="both"/>
      </w:pPr>
      <w:r>
        <w:rPr/>
        <w:t>√适用</w:t>
      </w:r>
      <w:r>
        <w:rPr>
          <w:spacing w:val="119"/>
        </w:rPr>
        <w:t> </w:t>
      </w:r>
      <w:r>
        <w:rPr/>
        <w:t>□不适用</w:t>
      </w:r>
    </w:p>
    <w:p>
      <w:pPr>
        <w:pStyle w:val="BodyText"/>
        <w:spacing w:line="312" w:lineRule="exact" w:before="29"/>
        <w:ind w:right="289" w:firstLine="479"/>
        <w:jc w:val="left"/>
      </w:pPr>
      <w:r>
        <w:rPr/>
        <w:t>本公司不存在导致对报告期末起</w:t>
      </w:r>
      <w:r>
        <w:rPr>
          <w:spacing w:val="-60"/>
        </w:rPr>
        <w:t> </w:t>
      </w:r>
      <w:r>
        <w:rPr>
          <w:rFonts w:ascii="宋体" w:hAnsi="宋体" w:cs="宋体" w:eastAsia="宋体" w:hint="default"/>
        </w:rPr>
        <w:t>12</w:t>
      </w:r>
      <w:r>
        <w:rPr>
          <w:rFonts w:ascii="宋体" w:hAnsi="宋体" w:cs="宋体" w:eastAsia="宋体" w:hint="default"/>
          <w:spacing w:val="-60"/>
        </w:rPr>
        <w:t> </w:t>
      </w:r>
      <w:r>
        <w:rPr/>
        <w:t>个月内的持续经营假设产生重大疑虑的事项 或情况。</w:t>
      </w:r>
    </w:p>
    <w:p>
      <w:pPr>
        <w:spacing w:after="0" w:line="312" w:lineRule="exact"/>
        <w:jc w:val="left"/>
        <w:sectPr>
          <w:headerReference w:type="default" r:id="rId57"/>
          <w:footerReference w:type="default" r:id="rId58"/>
          <w:pgSz w:w="11910" w:h="16840"/>
          <w:pgMar w:header="882" w:footer="1195" w:top="1120" w:bottom="1380" w:left="1660" w:right="1040"/>
          <w:pgNumType w:start="95"/>
        </w:sectPr>
      </w:pPr>
    </w:p>
    <w:p>
      <w:pPr>
        <w:spacing w:line="240" w:lineRule="auto" w:before="5"/>
        <w:rPr>
          <w:rFonts w:ascii="宋体" w:hAnsi="宋体" w:cs="宋体" w:eastAsia="宋体" w:hint="default"/>
          <w:sz w:val="25"/>
          <w:szCs w:val="25"/>
        </w:rPr>
      </w:pPr>
    </w:p>
    <w:p>
      <w:pPr>
        <w:tabs>
          <w:tab w:pos="977" w:val="left" w:leader="none"/>
        </w:tabs>
        <w:spacing w:line="283" w:lineRule="auto" w:before="26"/>
        <w:ind w:left="618" w:right="113" w:hanging="480"/>
        <w:jc w:val="left"/>
        <w:rPr>
          <w:rFonts w:ascii="宋体" w:hAnsi="宋体" w:cs="宋体" w:eastAsia="宋体" w:hint="default"/>
          <w:sz w:val="24"/>
          <w:szCs w:val="24"/>
        </w:rPr>
      </w:pPr>
      <w:r>
        <w:rPr>
          <w:rFonts w:ascii="宋体" w:hAnsi="宋体" w:cs="宋体" w:eastAsia="宋体" w:hint="default"/>
          <w:b/>
          <w:bCs/>
          <w:sz w:val="24"/>
          <w:szCs w:val="24"/>
        </w:rPr>
        <w:t>五、</w:t>
        <w:tab/>
        <w:t>重要会计政策及会计估计</w:t>
      </w:r>
      <w:r>
        <w:rPr>
          <w:rFonts w:ascii="宋体" w:hAnsi="宋体" w:cs="宋体" w:eastAsia="宋体" w:hint="default"/>
          <w:b/>
          <w:bCs/>
          <w:w w:val="99"/>
          <w:sz w:val="24"/>
          <w:szCs w:val="24"/>
        </w:rPr>
        <w:t> </w:t>
      </w:r>
      <w:r>
        <w:rPr>
          <w:rFonts w:ascii="宋体" w:hAnsi="宋体" w:cs="宋体" w:eastAsia="宋体" w:hint="default"/>
          <w:spacing w:val="-2"/>
          <w:sz w:val="24"/>
          <w:szCs w:val="24"/>
        </w:rPr>
        <w:t>具体会计政策和会计估计提示：本公司根据实际生产经营特点针对应收款项坏账</w:t>
      </w:r>
    </w:p>
    <w:p>
      <w:pPr>
        <w:pStyle w:val="BodyText"/>
        <w:spacing w:line="267" w:lineRule="exact"/>
        <w:ind w:right="0"/>
        <w:jc w:val="both"/>
      </w:pPr>
      <w:r>
        <w:rPr/>
        <w:t>准备计提、固定资产折旧、无形资产摊销、收入确认等交易或事项制定了具体会计政</w:t>
      </w:r>
    </w:p>
    <w:p>
      <w:pPr>
        <w:pStyle w:val="BodyText"/>
        <w:spacing w:line="311" w:lineRule="exact"/>
        <w:ind w:right="0"/>
        <w:jc w:val="both"/>
      </w:pPr>
      <w:r>
        <w:rPr/>
        <w:t>策和会计估计。</w:t>
      </w:r>
    </w:p>
    <w:p>
      <w:pPr>
        <w:pStyle w:val="BodyText"/>
        <w:spacing w:line="313" w:lineRule="exact"/>
        <w:ind w:right="0"/>
        <w:jc w:val="both"/>
      </w:pPr>
      <w:r>
        <w:rPr/>
        <w:t>√适用</w:t>
      </w:r>
      <w:r>
        <w:rPr>
          <w:spacing w:val="-1"/>
        </w:rPr>
        <w:t> </w:t>
      </w:r>
      <w:r>
        <w:rPr/>
        <w:t>□不适用</w:t>
      </w:r>
    </w:p>
    <w:p>
      <w:pPr>
        <w:spacing w:line="240" w:lineRule="auto" w:before="4"/>
        <w:rPr>
          <w:rFonts w:ascii="宋体" w:hAnsi="宋体" w:cs="宋体" w:eastAsia="宋体" w:hint="default"/>
          <w:sz w:val="28"/>
          <w:szCs w:val="28"/>
        </w:rPr>
      </w:pPr>
    </w:p>
    <w:p>
      <w:pPr>
        <w:spacing w:line="283" w:lineRule="auto" w:before="0"/>
        <w:ind w:left="618" w:right="0" w:hanging="48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pacing w:val="60"/>
          <w:sz w:val="24"/>
          <w:szCs w:val="24"/>
        </w:rPr>
        <w:t> </w:t>
      </w:r>
      <w:r>
        <w:rPr>
          <w:rFonts w:ascii="宋体" w:hAnsi="宋体" w:cs="宋体" w:eastAsia="宋体" w:hint="default"/>
          <w:b/>
          <w:bCs/>
          <w:sz w:val="24"/>
          <w:szCs w:val="24"/>
        </w:rPr>
        <w:t>遵循企业会计准则的声明</w:t>
      </w:r>
      <w:r>
        <w:rPr>
          <w:rFonts w:ascii="宋体" w:hAnsi="宋体" w:cs="宋体" w:eastAsia="宋体" w:hint="default"/>
          <w:b/>
          <w:bCs/>
          <w:w w:val="99"/>
          <w:sz w:val="24"/>
          <w:szCs w:val="24"/>
        </w:rPr>
        <w:t> </w:t>
      </w:r>
      <w:r>
        <w:rPr>
          <w:rFonts w:ascii="宋体" w:hAnsi="宋体" w:cs="宋体" w:eastAsia="宋体" w:hint="default"/>
          <w:spacing w:val="-2"/>
          <w:sz w:val="24"/>
          <w:szCs w:val="24"/>
        </w:rPr>
        <w:t>本公司所编制的财务报表符合企业会计准则的要求，真实、完整地反映了公司的</w:t>
      </w:r>
    </w:p>
    <w:p>
      <w:pPr>
        <w:pStyle w:val="BodyText"/>
        <w:spacing w:line="269" w:lineRule="exact"/>
        <w:ind w:right="0"/>
        <w:jc w:val="both"/>
      </w:pPr>
      <w:r>
        <w:rPr/>
        <w:t>财务状况、经营成果、股东权益变动和现金流量等有关信息。</w:t>
      </w:r>
    </w:p>
    <w:p>
      <w:pPr>
        <w:spacing w:line="240" w:lineRule="auto" w:before="2"/>
        <w:rPr>
          <w:rFonts w:ascii="宋体" w:hAnsi="宋体" w:cs="宋体" w:eastAsia="宋体" w:hint="default"/>
          <w:sz w:val="28"/>
          <w:szCs w:val="28"/>
        </w:rPr>
      </w:pPr>
    </w:p>
    <w:p>
      <w:pPr>
        <w:pStyle w:val="Heading2"/>
        <w:spacing w:line="240" w:lineRule="auto" w:before="0"/>
        <w:ind w:left="138" w:right="0"/>
        <w:jc w:val="both"/>
        <w:rPr>
          <w:b w:val="0"/>
          <w:bCs w:val="0"/>
        </w:rPr>
      </w:pPr>
      <w:r>
        <w:rPr>
          <w:rFonts w:ascii="宋体" w:hAnsi="宋体" w:cs="宋体" w:eastAsia="宋体" w:hint="default"/>
        </w:rPr>
        <w:t>2.</w:t>
      </w:r>
      <w:r>
        <w:rPr>
          <w:rFonts w:ascii="宋体" w:hAnsi="宋体" w:cs="宋体" w:eastAsia="宋体" w:hint="default"/>
          <w:spacing w:val="61"/>
        </w:rPr>
        <w:t> </w:t>
      </w:r>
      <w:r>
        <w:rPr/>
        <w:t>会计期间</w:t>
      </w:r>
      <w:r>
        <w:rPr>
          <w:b w:val="0"/>
          <w:bCs w:val="0"/>
        </w:rPr>
      </w:r>
    </w:p>
    <w:p>
      <w:pPr>
        <w:pStyle w:val="BodyText"/>
        <w:spacing w:line="240" w:lineRule="auto" w:before="58"/>
        <w:ind w:left="618" w:right="0"/>
        <w:jc w:val="left"/>
      </w:pPr>
      <w:r>
        <w:rPr/>
        <w:t>本公司会计年度自公历</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日起至</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w:t>
      </w:r>
    </w:p>
    <w:p>
      <w:pPr>
        <w:spacing w:line="240" w:lineRule="auto" w:before="1"/>
        <w:rPr>
          <w:rFonts w:ascii="宋体" w:hAnsi="宋体" w:cs="宋体" w:eastAsia="宋体" w:hint="default"/>
          <w:sz w:val="28"/>
          <w:szCs w:val="28"/>
        </w:rPr>
      </w:pPr>
    </w:p>
    <w:p>
      <w:pPr>
        <w:pStyle w:val="Heading2"/>
        <w:spacing w:line="240" w:lineRule="auto" w:before="0"/>
        <w:ind w:left="138" w:right="0"/>
        <w:jc w:val="both"/>
        <w:rPr>
          <w:b w:val="0"/>
          <w:bCs w:val="0"/>
        </w:rPr>
      </w:pPr>
      <w:r>
        <w:rPr>
          <w:rFonts w:ascii="宋体" w:hAnsi="宋体" w:cs="宋体" w:eastAsia="宋体" w:hint="default"/>
        </w:rPr>
        <w:t>3.</w:t>
      </w:r>
      <w:r>
        <w:rPr>
          <w:rFonts w:ascii="宋体" w:hAnsi="宋体" w:cs="宋体" w:eastAsia="宋体" w:hint="default"/>
          <w:spacing w:val="61"/>
        </w:rPr>
        <w:t> </w:t>
      </w:r>
      <w:r>
        <w:rPr/>
        <w:t>营业周期</w:t>
      </w:r>
      <w:r>
        <w:rPr>
          <w:b w:val="0"/>
          <w:bCs w:val="0"/>
        </w:rPr>
      </w:r>
    </w:p>
    <w:p>
      <w:pPr>
        <w:pStyle w:val="BodyText"/>
        <w:spacing w:line="313" w:lineRule="exact" w:before="58"/>
        <w:ind w:right="0"/>
        <w:jc w:val="both"/>
      </w:pPr>
      <w:r>
        <w:rPr/>
        <w:t>√适用</w:t>
      </w:r>
      <w:r>
        <w:rPr>
          <w:spacing w:val="119"/>
        </w:rPr>
        <w:t> </w:t>
      </w:r>
      <w:r>
        <w:rPr/>
        <w:t>□不适用</w:t>
      </w:r>
    </w:p>
    <w:p>
      <w:pPr>
        <w:pStyle w:val="BodyText"/>
        <w:spacing w:line="311" w:lineRule="exact"/>
        <w:ind w:left="618" w:right="0"/>
        <w:jc w:val="left"/>
      </w:pPr>
      <w:r>
        <w:rPr/>
        <w:t>除房地产行业以外，公司经营业务的营业周期较短，以</w:t>
      </w:r>
      <w:r>
        <w:rPr>
          <w:spacing w:val="-59"/>
        </w:rPr>
        <w:t> </w:t>
      </w:r>
      <w:r>
        <w:rPr>
          <w:rFonts w:ascii="宋体" w:hAnsi="宋体" w:cs="宋体" w:eastAsia="宋体" w:hint="default"/>
        </w:rPr>
        <w:t>12</w:t>
      </w:r>
      <w:r>
        <w:rPr>
          <w:rFonts w:ascii="宋体" w:hAnsi="宋体" w:cs="宋体" w:eastAsia="宋体" w:hint="default"/>
          <w:spacing w:val="-60"/>
        </w:rPr>
        <w:t> </w:t>
      </w:r>
      <w:r>
        <w:rPr/>
        <w:t>个月作为资产和负债</w:t>
      </w:r>
    </w:p>
    <w:p>
      <w:pPr>
        <w:pStyle w:val="BodyText"/>
        <w:spacing w:line="312" w:lineRule="exact" w:before="28"/>
        <w:ind w:right="114"/>
        <w:jc w:val="both"/>
      </w:pPr>
      <w:r>
        <w:rPr/>
        <w:t>的流动性划分标准。房地产行业的营业周期从房产开发至销售变现，一般在</w:t>
      </w:r>
      <w:r>
        <w:rPr>
          <w:spacing w:val="-59"/>
        </w:rPr>
        <w:t> </w:t>
      </w:r>
      <w:r>
        <w:rPr>
          <w:rFonts w:ascii="宋体" w:hAnsi="宋体" w:cs="宋体" w:eastAsia="宋体" w:hint="default"/>
        </w:rPr>
        <w:t>12</w:t>
      </w:r>
      <w:r>
        <w:rPr>
          <w:rFonts w:ascii="宋体" w:hAnsi="宋体" w:cs="宋体" w:eastAsia="宋体" w:hint="default"/>
          <w:spacing w:val="-60"/>
        </w:rPr>
        <w:t> </w:t>
      </w:r>
      <w:r>
        <w:rPr/>
        <w:t>个月 </w:t>
      </w:r>
      <w:r>
        <w:rPr>
          <w:spacing w:val="-2"/>
        </w:rPr>
        <w:t>以上，具体周期根据开发项目情况确定，并以其营业周期作为资产和负债的流动性划</w:t>
      </w:r>
      <w:r>
        <w:rPr>
          <w:spacing w:val="-94"/>
        </w:rPr>
        <w:t> </w:t>
      </w:r>
      <w:r>
        <w:rPr>
          <w:spacing w:val="-94"/>
        </w:rPr>
      </w:r>
      <w:r>
        <w:rPr/>
        <w:t>分标准。</w:t>
      </w:r>
    </w:p>
    <w:p>
      <w:pPr>
        <w:spacing w:line="240" w:lineRule="auto" w:before="12"/>
        <w:rPr>
          <w:rFonts w:ascii="宋体" w:hAnsi="宋体" w:cs="宋体" w:eastAsia="宋体" w:hint="default"/>
          <w:sz w:val="25"/>
          <w:szCs w:val="25"/>
        </w:rPr>
      </w:pPr>
    </w:p>
    <w:p>
      <w:pPr>
        <w:spacing w:line="283" w:lineRule="auto" w:before="0"/>
        <w:ind w:left="138" w:right="5568" w:firstLine="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pacing w:val="60"/>
          <w:sz w:val="24"/>
          <w:szCs w:val="24"/>
        </w:rPr>
        <w:t> </w:t>
      </w:r>
      <w:r>
        <w:rPr>
          <w:rFonts w:ascii="宋体" w:hAnsi="宋体" w:cs="宋体" w:eastAsia="宋体" w:hint="default"/>
          <w:b/>
          <w:bCs/>
          <w:sz w:val="24"/>
          <w:szCs w:val="24"/>
        </w:rPr>
        <w:t>记账本位币</w:t>
      </w:r>
      <w:r>
        <w:rPr>
          <w:rFonts w:ascii="宋体" w:hAnsi="宋体" w:cs="宋体" w:eastAsia="宋体" w:hint="default"/>
          <w:b/>
          <w:bCs/>
          <w:w w:val="99"/>
          <w:sz w:val="24"/>
          <w:szCs w:val="24"/>
        </w:rPr>
        <w:t> </w:t>
      </w:r>
      <w:r>
        <w:rPr>
          <w:rFonts w:ascii="宋体" w:hAnsi="宋体" w:cs="宋体" w:eastAsia="宋体" w:hint="default"/>
          <w:sz w:val="24"/>
          <w:szCs w:val="24"/>
        </w:rPr>
        <w:t>本公司的记账本位币为人民币。</w:t>
      </w:r>
    </w:p>
    <w:p>
      <w:pPr>
        <w:spacing w:line="240" w:lineRule="auto" w:before="10"/>
        <w:rPr>
          <w:rFonts w:ascii="宋体" w:hAnsi="宋体" w:cs="宋体" w:eastAsia="宋体" w:hint="default"/>
          <w:sz w:val="24"/>
          <w:szCs w:val="24"/>
        </w:rPr>
      </w:pPr>
    </w:p>
    <w:p>
      <w:pPr>
        <w:pStyle w:val="Heading2"/>
        <w:spacing w:line="240" w:lineRule="auto" w:before="0"/>
        <w:ind w:left="138" w:right="0"/>
        <w:jc w:val="both"/>
        <w:rPr>
          <w:b w:val="0"/>
          <w:bCs w:val="0"/>
        </w:rPr>
      </w:pPr>
      <w:r>
        <w:rPr>
          <w:rFonts w:ascii="宋体" w:hAnsi="宋体" w:cs="宋体" w:eastAsia="宋体" w:hint="default"/>
        </w:rPr>
        <w:t>5.</w:t>
      </w:r>
      <w:r>
        <w:rPr>
          <w:rFonts w:ascii="宋体" w:hAnsi="宋体" w:cs="宋体" w:eastAsia="宋体" w:hint="default"/>
          <w:spacing w:val="57"/>
        </w:rPr>
        <w:t> </w:t>
      </w:r>
      <w:r>
        <w:rPr/>
        <w:t>同一控制下和非同一控制下企业合并的会计处理方法</w:t>
      </w:r>
      <w:r>
        <w:rPr>
          <w:b w:val="0"/>
          <w:bCs w:val="0"/>
        </w:rPr>
      </w:r>
    </w:p>
    <w:p>
      <w:pPr>
        <w:pStyle w:val="BodyText"/>
        <w:spacing w:line="313" w:lineRule="exact" w:before="58"/>
        <w:ind w:right="0"/>
        <w:jc w:val="both"/>
      </w:pPr>
      <w:r>
        <w:rPr/>
        <w:t>√适用</w:t>
      </w:r>
      <w:r>
        <w:rPr>
          <w:spacing w:val="119"/>
        </w:rPr>
        <w:t> </w:t>
      </w:r>
      <w:r>
        <w:rPr/>
        <w:t>□不适用</w:t>
      </w:r>
    </w:p>
    <w:p>
      <w:pPr>
        <w:pStyle w:val="BodyText"/>
        <w:spacing w:line="355" w:lineRule="auto"/>
        <w:ind w:left="558" w:right="108"/>
        <w:jc w:val="left"/>
      </w:pPr>
      <w:r>
        <w:rPr>
          <w:rFonts w:ascii="宋体" w:hAnsi="宋体" w:cs="宋体" w:eastAsia="宋体" w:hint="default"/>
        </w:rPr>
        <w:t>1. </w:t>
      </w:r>
      <w:r>
        <w:rPr/>
        <w:t>同一控制下企业合并的会计处理方法 公司在企业合并中取得的资产和负债，按照合并日被合并方在最终控制方合并财</w:t>
      </w:r>
    </w:p>
    <w:p>
      <w:pPr>
        <w:pStyle w:val="BodyText"/>
        <w:spacing w:line="357" w:lineRule="auto" w:before="38"/>
        <w:ind w:right="114"/>
        <w:jc w:val="both"/>
      </w:pPr>
      <w:r>
        <w:rPr>
          <w:spacing w:val="-2"/>
        </w:rPr>
        <w:t>务报表中的账面价值计量。公司按照被合并方所有者权益在最终控制方合并财务报表</w:t>
      </w:r>
      <w:r>
        <w:rPr>
          <w:spacing w:val="-94"/>
        </w:rPr>
        <w:t> </w:t>
      </w:r>
      <w:r>
        <w:rPr>
          <w:spacing w:val="-94"/>
        </w:rPr>
      </w:r>
      <w:r>
        <w:rPr>
          <w:spacing w:val="-2"/>
        </w:rPr>
        <w:t>中的账面价值份额与支付的合并对价账面价值或发行股份面值总额的差额，调整资本</w:t>
      </w:r>
      <w:r>
        <w:rPr>
          <w:spacing w:val="-94"/>
        </w:rPr>
        <w:t> </w:t>
      </w:r>
      <w:r>
        <w:rPr>
          <w:spacing w:val="-94"/>
        </w:rPr>
      </w:r>
      <w:r>
        <w:rPr/>
        <w:t>公积；资本公积不足冲减的，调整留存收益。</w:t>
      </w:r>
    </w:p>
    <w:p>
      <w:pPr>
        <w:pStyle w:val="BodyText"/>
        <w:spacing w:line="357" w:lineRule="auto" w:before="34"/>
        <w:ind w:left="558" w:right="108"/>
        <w:jc w:val="left"/>
      </w:pPr>
      <w:r>
        <w:rPr>
          <w:rFonts w:ascii="宋体" w:hAnsi="宋体" w:cs="宋体" w:eastAsia="宋体" w:hint="default"/>
        </w:rPr>
        <w:t>2. </w:t>
      </w:r>
      <w:r>
        <w:rPr/>
        <w:t>非同一控制下企业合并的会计处理方法 公司在购买日对合并成本大于合并中取得的被购买方可辨认净资产公允价值份额</w:t>
      </w:r>
    </w:p>
    <w:p>
      <w:pPr>
        <w:pStyle w:val="BodyText"/>
        <w:spacing w:line="357" w:lineRule="auto" w:before="34"/>
        <w:ind w:right="113"/>
        <w:jc w:val="both"/>
      </w:pPr>
      <w:r>
        <w:rPr>
          <w:spacing w:val="-2"/>
        </w:rPr>
        <w:t>的差额，确认为商誉；如果合并成本小于合并中取得的被购买方可辨认净资产公允价</w:t>
      </w:r>
      <w:r>
        <w:rPr>
          <w:spacing w:val="-94"/>
        </w:rPr>
        <w:t> </w:t>
      </w:r>
      <w:r>
        <w:rPr>
          <w:spacing w:val="-94"/>
        </w:rPr>
      </w:r>
      <w:r>
        <w:rPr>
          <w:spacing w:val="-2"/>
        </w:rPr>
        <w:t>值份额，首先对取得的被购买方各项可辨认资产、负债及或有负债的公允价值以及合</w:t>
      </w:r>
      <w:r>
        <w:rPr>
          <w:spacing w:val="-94"/>
        </w:rPr>
        <w:t> </w:t>
      </w:r>
      <w:r>
        <w:rPr>
          <w:spacing w:val="-94"/>
        </w:rPr>
      </w:r>
      <w:r>
        <w:rPr>
          <w:spacing w:val="-2"/>
        </w:rPr>
        <w:t>并成本的计量进行复核，经复核后合并成本仍小于合并中取得的被购买方可辨认净资</w:t>
      </w:r>
      <w:r>
        <w:rPr>
          <w:spacing w:val="-94"/>
        </w:rPr>
        <w:t> </w:t>
      </w:r>
      <w:r>
        <w:rPr>
          <w:spacing w:val="-94"/>
        </w:rPr>
      </w:r>
      <w:r>
        <w:rPr/>
        <w:t>产公允价值份额的，其差额计入当期损益。</w:t>
      </w:r>
    </w:p>
    <w:p>
      <w:pPr>
        <w:spacing w:after="0" w:line="357" w:lineRule="auto"/>
        <w:jc w:val="both"/>
        <w:sectPr>
          <w:pgSz w:w="11910" w:h="16840"/>
          <w:pgMar w:header="882" w:footer="1195" w:top="1120" w:bottom="1380" w:left="166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spacing w:line="240" w:lineRule="auto"/>
        <w:ind w:left="138" w:right="0"/>
        <w:jc w:val="left"/>
        <w:rPr>
          <w:b w:val="0"/>
          <w:bCs w:val="0"/>
        </w:rPr>
      </w:pPr>
      <w:r>
        <w:rPr>
          <w:rFonts w:ascii="宋体" w:hAnsi="宋体" w:cs="宋体" w:eastAsia="宋体" w:hint="default"/>
        </w:rPr>
        <w:t>6.</w:t>
      </w:r>
      <w:r>
        <w:rPr>
          <w:rFonts w:ascii="宋体" w:hAnsi="宋体" w:cs="宋体" w:eastAsia="宋体" w:hint="default"/>
          <w:spacing w:val="58"/>
        </w:rPr>
        <w:t> </w:t>
      </w:r>
      <w:r>
        <w:rPr/>
        <w:t>合并财务报表的编制方法</w:t>
      </w:r>
      <w:r>
        <w:rPr>
          <w:b w:val="0"/>
          <w:bCs w:val="0"/>
        </w:rPr>
      </w:r>
    </w:p>
    <w:p>
      <w:pPr>
        <w:pStyle w:val="BodyText"/>
        <w:tabs>
          <w:tab w:pos="1097" w:val="left" w:leader="none"/>
        </w:tabs>
        <w:spacing w:line="310" w:lineRule="exact" w:before="90"/>
        <w:ind w:left="618" w:right="214" w:hanging="480"/>
        <w:jc w:val="left"/>
      </w:pPr>
      <w:r>
        <w:rPr>
          <w:spacing w:val="-1"/>
        </w:rPr>
        <w:t>√适用</w:t>
        <w:tab/>
      </w:r>
      <w:r>
        <w:rPr/>
        <w:t>□不适用</w:t>
      </w:r>
      <w:r>
        <w:rPr/>
        <w:t> </w:t>
      </w:r>
      <w:r>
        <w:rPr>
          <w:spacing w:val="-2"/>
        </w:rPr>
        <w:t>母公司将其控制的所有子公司纳入合并财务报表的合并范围。合并财务报表以母</w:t>
      </w:r>
    </w:p>
    <w:p>
      <w:pPr>
        <w:pStyle w:val="BodyText"/>
        <w:spacing w:line="357" w:lineRule="auto" w:before="125"/>
        <w:ind w:right="0"/>
        <w:jc w:val="left"/>
      </w:pPr>
      <w:r>
        <w:rPr>
          <w:spacing w:val="-2"/>
        </w:rPr>
        <w:t>公司及其子公司的财务报表为基础，根据其他有关资料，由母公司按照《企业会计准</w:t>
      </w:r>
      <w:r>
        <w:rPr>
          <w:spacing w:val="-96"/>
        </w:rPr>
        <w:t> </w:t>
      </w:r>
      <w:r>
        <w:rPr>
          <w:spacing w:val="-96"/>
        </w:rPr>
      </w:r>
      <w:r>
        <w:rPr/>
        <w:t>则第</w:t>
      </w:r>
      <w:r>
        <w:rPr>
          <w:spacing w:val="-61"/>
        </w:rPr>
        <w:t> </w:t>
      </w:r>
      <w:r>
        <w:rPr>
          <w:rFonts w:ascii="宋体" w:hAnsi="宋体" w:cs="宋体" w:eastAsia="宋体" w:hint="default"/>
        </w:rPr>
        <w:t>33</w:t>
      </w:r>
      <w:r>
        <w:rPr>
          <w:rFonts w:ascii="宋体" w:hAnsi="宋体" w:cs="宋体" w:eastAsia="宋体" w:hint="default"/>
          <w:spacing w:val="-60"/>
        </w:rPr>
        <w:t> </w:t>
      </w:r>
      <w:r>
        <w:rPr/>
        <w:t>号——合并财务报表》编制。</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8"/>
          <w:szCs w:val="18"/>
        </w:rPr>
      </w:pPr>
    </w:p>
    <w:p>
      <w:pPr>
        <w:pStyle w:val="Heading2"/>
        <w:spacing w:line="240" w:lineRule="auto" w:before="0"/>
        <w:ind w:left="138" w:right="0"/>
        <w:jc w:val="left"/>
        <w:rPr>
          <w:b w:val="0"/>
          <w:bCs w:val="0"/>
        </w:rPr>
      </w:pPr>
      <w:r>
        <w:rPr>
          <w:rFonts w:ascii="宋体" w:hAnsi="宋体" w:cs="宋体" w:eastAsia="宋体" w:hint="default"/>
        </w:rPr>
        <w:t>7.</w:t>
      </w:r>
      <w:r>
        <w:rPr>
          <w:rFonts w:ascii="宋体" w:hAnsi="宋体" w:cs="宋体" w:eastAsia="宋体" w:hint="default"/>
          <w:spacing w:val="59"/>
        </w:rPr>
        <w:t> </w:t>
      </w:r>
      <w:r>
        <w:rPr/>
        <w:t>合营安排分类及共同经营会计处理方法</w:t>
      </w:r>
      <w:r>
        <w:rPr>
          <w:b w:val="0"/>
          <w:bCs w:val="0"/>
        </w:rPr>
      </w:r>
    </w:p>
    <w:p>
      <w:pPr>
        <w:pStyle w:val="BodyText"/>
        <w:tabs>
          <w:tab w:pos="1097" w:val="left" w:leader="none"/>
        </w:tabs>
        <w:spacing w:line="240" w:lineRule="auto" w:before="56"/>
        <w:ind w:right="0"/>
        <w:jc w:val="left"/>
      </w:pPr>
      <w:r>
        <w:rPr>
          <w:spacing w:val="-1"/>
        </w:rPr>
        <w:t>□适用</w:t>
        <w:tab/>
      </w:r>
      <w:r>
        <w:rPr/>
        <w:t>√不适用</w:t>
      </w:r>
    </w:p>
    <w:p>
      <w:pPr>
        <w:spacing w:line="240" w:lineRule="auto" w:before="4"/>
        <w:rPr>
          <w:rFonts w:ascii="宋体" w:hAnsi="宋体" w:cs="宋体" w:eastAsia="宋体" w:hint="default"/>
          <w:sz w:val="28"/>
          <w:szCs w:val="28"/>
        </w:rPr>
      </w:pPr>
    </w:p>
    <w:p>
      <w:pPr>
        <w:spacing w:line="283" w:lineRule="auto" w:before="0"/>
        <w:ind w:left="618" w:right="0" w:hanging="480"/>
        <w:jc w:val="left"/>
        <w:rPr>
          <w:rFonts w:ascii="宋体" w:hAnsi="宋体" w:cs="宋体" w:eastAsia="宋体" w:hint="default"/>
          <w:sz w:val="24"/>
          <w:szCs w:val="24"/>
        </w:rPr>
      </w:pPr>
      <w:r>
        <w:rPr>
          <w:rFonts w:ascii="宋体" w:hAnsi="宋体" w:cs="宋体" w:eastAsia="宋体" w:hint="default"/>
          <w:b/>
          <w:bCs/>
          <w:sz w:val="24"/>
          <w:szCs w:val="24"/>
        </w:rPr>
        <w:t>8.</w:t>
      </w:r>
      <w:r>
        <w:rPr>
          <w:rFonts w:ascii="宋体" w:hAnsi="宋体" w:cs="宋体" w:eastAsia="宋体" w:hint="default"/>
          <w:b/>
          <w:bCs/>
          <w:spacing w:val="60"/>
          <w:sz w:val="24"/>
          <w:szCs w:val="24"/>
        </w:rPr>
        <w:t> </w:t>
      </w:r>
      <w:r>
        <w:rPr>
          <w:rFonts w:ascii="宋体" w:hAnsi="宋体" w:cs="宋体" w:eastAsia="宋体" w:hint="default"/>
          <w:b/>
          <w:bCs/>
          <w:sz w:val="24"/>
          <w:szCs w:val="24"/>
        </w:rPr>
        <w:t>现金及现金等价物的确定标准</w:t>
      </w:r>
      <w:r>
        <w:rPr>
          <w:rFonts w:ascii="宋体" w:hAnsi="宋体" w:cs="宋体" w:eastAsia="宋体" w:hint="default"/>
          <w:b/>
          <w:bCs/>
          <w:w w:val="99"/>
          <w:sz w:val="24"/>
          <w:szCs w:val="24"/>
        </w:rPr>
        <w:t> </w:t>
      </w:r>
      <w:r>
        <w:rPr>
          <w:rFonts w:ascii="宋体" w:hAnsi="宋体" w:cs="宋体" w:eastAsia="宋体" w:hint="default"/>
          <w:spacing w:val="-2"/>
          <w:sz w:val="24"/>
          <w:szCs w:val="24"/>
        </w:rPr>
        <w:t>列示于现金流量表中的现金是指库存现金以及可以随时用于支付的存款。现金等</w:t>
      </w:r>
    </w:p>
    <w:p>
      <w:pPr>
        <w:pStyle w:val="BodyText"/>
        <w:spacing w:line="355" w:lineRule="auto" w:before="110"/>
        <w:ind w:right="0"/>
        <w:jc w:val="left"/>
      </w:pPr>
      <w:r>
        <w:rPr>
          <w:spacing w:val="-2"/>
        </w:rPr>
        <w:t>价物是指企业持有的期限短、流动性强、易于转换为已知金额现金、价值变动风险很</w:t>
      </w:r>
      <w:r>
        <w:rPr>
          <w:spacing w:val="-93"/>
        </w:rPr>
        <w:t> </w:t>
      </w:r>
      <w:r>
        <w:rPr>
          <w:spacing w:val="-93"/>
        </w:rPr>
      </w:r>
      <w:r>
        <w:rPr/>
        <w:t>小的投资。</w:t>
      </w:r>
    </w:p>
    <w:p>
      <w:pPr>
        <w:spacing w:line="240" w:lineRule="auto" w:before="5"/>
        <w:rPr>
          <w:rFonts w:ascii="宋体" w:hAnsi="宋体" w:cs="宋体" w:eastAsia="宋体" w:hint="default"/>
          <w:sz w:val="31"/>
          <w:szCs w:val="31"/>
        </w:rPr>
      </w:pPr>
    </w:p>
    <w:p>
      <w:pPr>
        <w:pStyle w:val="Heading2"/>
        <w:spacing w:line="240" w:lineRule="auto" w:before="0"/>
        <w:ind w:left="138" w:right="0"/>
        <w:jc w:val="left"/>
        <w:rPr>
          <w:b w:val="0"/>
          <w:bCs w:val="0"/>
        </w:rPr>
      </w:pPr>
      <w:r>
        <w:rPr>
          <w:rFonts w:ascii="宋体" w:hAnsi="宋体" w:cs="宋体" w:eastAsia="宋体" w:hint="default"/>
        </w:rPr>
        <w:t>9.</w:t>
      </w:r>
      <w:r>
        <w:rPr>
          <w:rFonts w:ascii="宋体" w:hAnsi="宋体" w:cs="宋体" w:eastAsia="宋体" w:hint="default"/>
          <w:spacing w:val="58"/>
        </w:rPr>
        <w:t> </w:t>
      </w:r>
      <w:r>
        <w:rPr/>
        <w:t>外币业务和外币报表折算</w:t>
      </w:r>
      <w:r>
        <w:rPr>
          <w:b w:val="0"/>
          <w:bCs w:val="0"/>
        </w:rPr>
      </w:r>
    </w:p>
    <w:p>
      <w:pPr>
        <w:pStyle w:val="BodyText"/>
        <w:tabs>
          <w:tab w:pos="1097" w:val="left" w:leader="none"/>
        </w:tabs>
        <w:spacing w:line="313" w:lineRule="exact" w:before="56"/>
        <w:ind w:right="0"/>
        <w:jc w:val="left"/>
      </w:pPr>
      <w:r>
        <w:rPr>
          <w:spacing w:val="-1"/>
        </w:rPr>
        <w:t>√适用</w:t>
        <w:tab/>
      </w:r>
      <w:r>
        <w:rPr/>
        <w:t>□不适用</w:t>
      </w:r>
    </w:p>
    <w:p>
      <w:pPr>
        <w:pStyle w:val="BodyText"/>
        <w:spacing w:line="357" w:lineRule="auto"/>
        <w:ind w:left="558" w:right="208"/>
        <w:jc w:val="left"/>
      </w:pPr>
      <w:r>
        <w:rPr>
          <w:rFonts w:ascii="宋体" w:hAnsi="宋体" w:cs="宋体" w:eastAsia="宋体" w:hint="default"/>
        </w:rPr>
        <w:t>1. </w:t>
      </w:r>
      <w:r>
        <w:rPr/>
        <w:t>外币业务折算 外币交易在初始确认时，采用交易发生日的即期汇率折算为人民币金额。资产负</w:t>
      </w:r>
    </w:p>
    <w:p>
      <w:pPr>
        <w:pStyle w:val="BodyText"/>
        <w:spacing w:line="357" w:lineRule="auto" w:before="34"/>
        <w:ind w:right="0"/>
        <w:jc w:val="left"/>
      </w:pPr>
      <w:r>
        <w:rPr/>
        <w:t>债表日，外币货币性项目采用资产负债表日即期汇率折算，因汇率不同而产生的汇兑 差额，除与购建符合资本化条件资产有关的外币专门借款本金及利息的汇兑差额外，</w:t>
      </w:r>
      <w:r>
        <w:rPr>
          <w:spacing w:val="-63"/>
        </w:rPr>
        <w:t> </w:t>
      </w:r>
      <w:r>
        <w:rPr>
          <w:spacing w:val="-63"/>
        </w:rPr>
      </w:r>
      <w:r>
        <w:rPr/>
        <w:t>计入当期损益；以历史成本计量的外币非货币性项目仍采用交易发生日的即期汇率折</w:t>
      </w:r>
      <w:r>
        <w:rPr/>
        <w:t> 算，不改变其人民币金额；以公允价值计量的外币非货币性项目，采用公允价值确定 日的即期汇率折算，差额计入当期损益或其他综合收益。</w:t>
      </w:r>
    </w:p>
    <w:p>
      <w:pPr>
        <w:pStyle w:val="BodyText"/>
        <w:spacing w:line="355" w:lineRule="auto" w:before="36"/>
        <w:ind w:left="558" w:right="208"/>
        <w:jc w:val="left"/>
      </w:pPr>
      <w:r>
        <w:rPr>
          <w:rFonts w:ascii="宋体" w:hAnsi="宋体" w:cs="宋体" w:eastAsia="宋体" w:hint="default"/>
        </w:rPr>
        <w:t>2. </w:t>
      </w:r>
      <w:r>
        <w:rPr/>
        <w:t>外币财务报表折算 资产负债表中的资产和负债项目，采用资产负债表日的即期汇率折算；所有者权</w:t>
      </w:r>
    </w:p>
    <w:p>
      <w:pPr>
        <w:pStyle w:val="BodyText"/>
        <w:spacing w:line="357" w:lineRule="auto" w:before="38"/>
        <w:ind w:right="212"/>
        <w:jc w:val="both"/>
      </w:pPr>
      <w:r>
        <w:rPr>
          <w:spacing w:val="-2"/>
        </w:rPr>
        <w:t>益项目除“未分配利润”项目外，其他项目采用交易发生日的即期汇率折算；利润表</w:t>
      </w:r>
      <w:r>
        <w:rPr>
          <w:spacing w:val="-94"/>
        </w:rPr>
        <w:t> </w:t>
      </w:r>
      <w:r>
        <w:rPr>
          <w:spacing w:val="-94"/>
        </w:rPr>
      </w:r>
      <w:r>
        <w:rPr>
          <w:spacing w:val="-2"/>
        </w:rPr>
        <w:t>中的收入和费用项目，采用交易发生日的即期汇率折算的近似汇率。按照上述折算产</w:t>
      </w:r>
      <w:r>
        <w:rPr>
          <w:spacing w:val="-95"/>
        </w:rPr>
        <w:t> </w:t>
      </w:r>
      <w:r>
        <w:rPr>
          <w:spacing w:val="-95"/>
        </w:rPr>
      </w:r>
      <w:r>
        <w:rPr/>
        <w:t>生的外币财务报表折算差额，计入其他综合收益。</w:t>
      </w:r>
    </w:p>
    <w:p>
      <w:pPr>
        <w:spacing w:line="240" w:lineRule="auto" w:before="0"/>
        <w:rPr>
          <w:rFonts w:ascii="宋体" w:hAnsi="宋体" w:cs="宋体" w:eastAsia="宋体" w:hint="default"/>
          <w:sz w:val="31"/>
          <w:szCs w:val="31"/>
        </w:rPr>
      </w:pPr>
    </w:p>
    <w:p>
      <w:pPr>
        <w:pStyle w:val="Heading2"/>
        <w:spacing w:line="240" w:lineRule="auto" w:before="0"/>
        <w:ind w:left="138" w:right="0"/>
        <w:jc w:val="left"/>
        <w:rPr>
          <w:b w:val="0"/>
          <w:bCs w:val="0"/>
        </w:rPr>
      </w:pPr>
      <w:r>
        <w:rPr>
          <w:rFonts w:ascii="宋体" w:hAnsi="宋体" w:cs="宋体" w:eastAsia="宋体" w:hint="default"/>
        </w:rPr>
        <w:t>10.</w:t>
      </w:r>
      <w:r>
        <w:rPr>
          <w:rFonts w:ascii="宋体" w:hAnsi="宋体" w:cs="宋体" w:eastAsia="宋体" w:hint="default"/>
          <w:spacing w:val="-60"/>
        </w:rPr>
        <w:t> </w:t>
      </w:r>
      <w:r>
        <w:rPr/>
        <w:t>金融工具</w:t>
      </w:r>
      <w:r>
        <w:rPr>
          <w:b w:val="0"/>
          <w:bCs w:val="0"/>
        </w:rPr>
      </w:r>
    </w:p>
    <w:p>
      <w:pPr>
        <w:pStyle w:val="BodyText"/>
        <w:tabs>
          <w:tab w:pos="1097" w:val="left" w:leader="none"/>
        </w:tabs>
        <w:spacing w:line="312" w:lineRule="exact" w:before="58"/>
        <w:ind w:right="0"/>
        <w:jc w:val="left"/>
      </w:pPr>
      <w:r>
        <w:rPr>
          <w:spacing w:val="-1"/>
        </w:rPr>
        <w:t>√适用</w:t>
        <w:tab/>
      </w:r>
      <w:r>
        <w:rPr/>
        <w:t>□不适用</w:t>
      </w:r>
    </w:p>
    <w:p>
      <w:pPr>
        <w:pStyle w:val="BodyText"/>
        <w:spacing w:line="312" w:lineRule="exact"/>
        <w:ind w:left="558" w:right="0"/>
        <w:jc w:val="left"/>
      </w:pPr>
      <w:r>
        <w:rPr>
          <w:rFonts w:ascii="宋体" w:hAnsi="宋体" w:cs="宋体" w:eastAsia="宋体" w:hint="default"/>
        </w:rPr>
        <w:t>1. </w:t>
      </w:r>
      <w:r>
        <w:rPr/>
        <w:t>金融资产和金融负债的分类</w:t>
      </w:r>
    </w:p>
    <w:p>
      <w:pPr>
        <w:spacing w:after="0" w:line="312" w:lineRule="exact"/>
        <w:jc w:val="left"/>
        <w:sectPr>
          <w:pgSz w:w="11910" w:h="16840"/>
          <w:pgMar w:header="882" w:footer="1195" w:top="1120" w:bottom="1380" w:left="1660" w:right="1060"/>
        </w:sectPr>
      </w:pPr>
    </w:p>
    <w:p>
      <w:pPr>
        <w:spacing w:line="240" w:lineRule="auto" w:before="5"/>
        <w:rPr>
          <w:rFonts w:ascii="宋体" w:hAnsi="宋体" w:cs="宋体" w:eastAsia="宋体" w:hint="default"/>
          <w:sz w:val="25"/>
          <w:szCs w:val="25"/>
        </w:rPr>
      </w:pPr>
    </w:p>
    <w:p>
      <w:pPr>
        <w:pStyle w:val="BodyText"/>
        <w:spacing w:line="357" w:lineRule="auto" w:before="26"/>
        <w:ind w:right="114" w:firstLine="419"/>
        <w:jc w:val="right"/>
      </w:pPr>
      <w:r>
        <w:rPr/>
        <w:t>金融资产在初始确认时划分为以下四类：以公允价值计量且其变动计入当期损益 </w:t>
      </w:r>
      <w:r>
        <w:rPr>
          <w:spacing w:val="-2"/>
        </w:rPr>
        <w:t>的金融资产（包括交易性金融资产和在初始确认时指定为以公允价值计量且其变动计</w:t>
      </w:r>
      <w:r>
        <w:rPr>
          <w:spacing w:val="-100"/>
        </w:rPr>
        <w:t> </w:t>
      </w:r>
      <w:r>
        <w:rPr>
          <w:spacing w:val="-100"/>
        </w:rPr>
      </w:r>
      <w:r>
        <w:rPr>
          <w:spacing w:val="-4"/>
        </w:rPr>
        <w:t>入当期损益的金融资产）、持有至到期投资、贷款和应收款项、可供出售金融资产。</w:t>
      </w:r>
      <w:r>
        <w:rPr/>
        <w:t> 金融负债在初始确认时划分为以下两类：以公允价值计量且其变动计入当期损益 </w:t>
      </w:r>
      <w:r>
        <w:rPr>
          <w:spacing w:val="-2"/>
        </w:rPr>
        <w:t>的金融负债（包括交易性金融负债和在初始确认时指定为以公允价值计量且其变动计</w:t>
      </w:r>
    </w:p>
    <w:p>
      <w:pPr>
        <w:pStyle w:val="BodyText"/>
        <w:spacing w:line="240" w:lineRule="auto" w:before="34"/>
        <w:ind w:right="0"/>
        <w:jc w:val="both"/>
      </w:pPr>
      <w:r>
        <w:rPr/>
        <w:t>入当期损益的金融负债</w:t>
      </w:r>
      <w:r>
        <w:rPr>
          <w:spacing w:val="-120"/>
        </w:rPr>
        <w:t>）</w:t>
      </w:r>
      <w:r>
        <w:rPr/>
        <w:t>、其他金融负债。</w:t>
      </w:r>
    </w:p>
    <w:p>
      <w:pPr>
        <w:pStyle w:val="BodyText"/>
        <w:spacing w:line="355" w:lineRule="auto" w:before="154"/>
        <w:ind w:left="558" w:right="108"/>
        <w:jc w:val="left"/>
      </w:pPr>
      <w:r>
        <w:rPr>
          <w:rFonts w:ascii="宋体" w:hAnsi="宋体" w:cs="宋体" w:eastAsia="宋体" w:hint="default"/>
        </w:rPr>
        <w:t>2. </w:t>
      </w:r>
      <w:r>
        <w:rPr/>
        <w:t>金融资产和金融负债的确认依据、计量方法和终止确认条件 公司成为金融工具合同的一方时，确认一项金融资产或金融负债。初始确认金融</w:t>
      </w:r>
    </w:p>
    <w:p>
      <w:pPr>
        <w:pStyle w:val="BodyText"/>
        <w:spacing w:line="357" w:lineRule="auto" w:before="38"/>
        <w:ind w:right="114"/>
        <w:jc w:val="both"/>
      </w:pPr>
      <w:r>
        <w:rPr>
          <w:spacing w:val="-2"/>
        </w:rPr>
        <w:t>资产或金融负债时，按照公允价值计量；对于以公允价值计量且其变动计入当期损益</w:t>
      </w:r>
      <w:r>
        <w:rPr>
          <w:spacing w:val="-94"/>
        </w:rPr>
        <w:t> </w:t>
      </w:r>
      <w:r>
        <w:rPr>
          <w:spacing w:val="-94"/>
        </w:rPr>
      </w:r>
      <w:r>
        <w:rPr>
          <w:spacing w:val="-2"/>
        </w:rPr>
        <w:t>的金融资产和金融负债，相关交易费用直接计入当期损益；对于其他类别的金融资产</w:t>
      </w:r>
      <w:r>
        <w:rPr>
          <w:spacing w:val="-94"/>
        </w:rPr>
        <w:t> </w:t>
      </w:r>
      <w:r>
        <w:rPr>
          <w:spacing w:val="-94"/>
        </w:rPr>
      </w:r>
      <w:r>
        <w:rPr/>
        <w:t>或金融负债，相关交易费用计入初始确认金额。</w:t>
      </w:r>
    </w:p>
    <w:p>
      <w:pPr>
        <w:pStyle w:val="BodyText"/>
        <w:spacing w:line="357" w:lineRule="auto" w:before="34"/>
        <w:ind w:right="113" w:firstLine="419"/>
        <w:jc w:val="both"/>
      </w:pPr>
      <w:r>
        <w:rPr/>
        <w:t>公司按照公允价值对金融资产进行后续计量，且不扣除将来处置该金融资产时可 </w:t>
      </w:r>
      <w:r>
        <w:rPr>
          <w:spacing w:val="-3"/>
        </w:rPr>
        <w:t>能发生的交易费用，但下列情况除外：</w:t>
      </w:r>
      <w:r>
        <w:rPr>
          <w:rFonts w:ascii="宋体" w:hAnsi="宋体" w:cs="宋体" w:eastAsia="宋体" w:hint="default"/>
          <w:spacing w:val="-3"/>
        </w:rPr>
        <w:t>(1)</w:t>
      </w:r>
      <w:r>
        <w:rPr>
          <w:rFonts w:ascii="宋体" w:hAnsi="宋体" w:cs="宋体" w:eastAsia="宋体" w:hint="default"/>
          <w:spacing w:val="11"/>
        </w:rPr>
        <w:t> </w:t>
      </w:r>
      <w:r>
        <w:rPr/>
        <w:t>持有至到期投资以及贷款和应收款项采用 </w:t>
      </w:r>
      <w:r>
        <w:rPr>
          <w:spacing w:val="-3"/>
        </w:rPr>
        <w:t>实际利率法，按摊余成本计量；</w:t>
      </w:r>
      <w:r>
        <w:rPr>
          <w:rFonts w:ascii="宋体" w:hAnsi="宋体" w:cs="宋体" w:eastAsia="宋体" w:hint="default"/>
          <w:spacing w:val="-3"/>
        </w:rPr>
        <w:t>(2)</w:t>
      </w:r>
      <w:r>
        <w:rPr>
          <w:rFonts w:ascii="宋体" w:hAnsi="宋体" w:cs="宋体" w:eastAsia="宋体" w:hint="default"/>
          <w:spacing w:val="2"/>
        </w:rPr>
        <w:t> </w:t>
      </w:r>
      <w:r>
        <w:rPr/>
        <w:t>在活跃市场中没有报价且其公允价值不能可靠计 </w:t>
      </w:r>
      <w:r>
        <w:rPr>
          <w:spacing w:val="-2"/>
        </w:rPr>
        <w:t>量的权益工具投资，以及与该权益工具挂钩并须通过交付该权益工具结算的衍生金融</w:t>
      </w:r>
      <w:r>
        <w:rPr>
          <w:spacing w:val="-94"/>
        </w:rPr>
        <w:t> </w:t>
      </w:r>
      <w:r>
        <w:rPr>
          <w:spacing w:val="-94"/>
        </w:rPr>
      </w:r>
      <w:r>
        <w:rPr/>
        <w:t>资产，按照成本计量。</w:t>
      </w:r>
    </w:p>
    <w:p>
      <w:pPr>
        <w:pStyle w:val="BodyText"/>
        <w:spacing w:line="357" w:lineRule="auto" w:before="36"/>
        <w:ind w:right="111" w:firstLine="419"/>
        <w:jc w:val="both"/>
      </w:pPr>
      <w:r>
        <w:rPr/>
        <w:t>公司采用实际利率法，按摊余成本对金融负债进行后续计量，但下列情况除外： </w:t>
      </w:r>
      <w:r>
        <w:rPr>
          <w:rFonts w:ascii="宋体" w:hAnsi="宋体" w:cs="宋体" w:eastAsia="宋体" w:hint="default"/>
        </w:rPr>
        <w:t>(1)</w:t>
      </w:r>
      <w:r>
        <w:rPr>
          <w:rFonts w:ascii="宋体" w:hAnsi="宋体" w:cs="宋体" w:eastAsia="宋体" w:hint="default"/>
          <w:spacing w:val="-46"/>
        </w:rPr>
        <w:t> </w:t>
      </w:r>
      <w:r>
        <w:rPr/>
        <w:t>以公允价值计量且其变动计入当期损益的金融负债，按照公允价值计量，且不扣 除将来结清金融负债时可能发生的交易费用；</w:t>
      </w:r>
      <w:r>
        <w:rPr>
          <w:rFonts w:ascii="宋体" w:hAnsi="宋体" w:cs="宋体" w:eastAsia="宋体" w:hint="default"/>
        </w:rPr>
        <w:t>(2)</w:t>
      </w:r>
      <w:r>
        <w:rPr>
          <w:rFonts w:ascii="宋体" w:hAnsi="宋体" w:cs="宋体" w:eastAsia="宋体" w:hint="default"/>
          <w:spacing w:val="-45"/>
        </w:rPr>
        <w:t> </w:t>
      </w:r>
      <w:r>
        <w:rPr/>
        <w:t>与在活跃市场中没有报价、公允价 </w:t>
      </w:r>
      <w:r>
        <w:rPr>
          <w:spacing w:val="-2"/>
        </w:rPr>
        <w:t>值不能可靠计量的权益工具挂钩并须通过交付该权益工具结算的衍生金融负债，按照</w:t>
      </w:r>
      <w:r>
        <w:rPr>
          <w:spacing w:val="-94"/>
        </w:rPr>
        <w:t> </w:t>
      </w:r>
      <w:r>
        <w:rPr>
          <w:spacing w:val="-94"/>
        </w:rPr>
      </w:r>
      <w:r>
        <w:rPr>
          <w:spacing w:val="-7"/>
        </w:rPr>
        <w:t>成本计量；</w:t>
      </w:r>
      <w:r>
        <w:rPr>
          <w:rFonts w:ascii="宋体" w:hAnsi="宋体" w:cs="宋体" w:eastAsia="宋体" w:hint="default"/>
          <w:spacing w:val="-7"/>
        </w:rPr>
        <w:t>(3)</w:t>
      </w:r>
      <w:r>
        <w:rPr>
          <w:rFonts w:ascii="宋体" w:hAnsi="宋体" w:cs="宋体" w:eastAsia="宋体" w:hint="default"/>
          <w:spacing w:val="7"/>
        </w:rPr>
        <w:t> </w:t>
      </w:r>
      <w:r>
        <w:rPr/>
        <w:t>不属于指定为以公允价值计量且其变动计入当期损益的金融负债的财 </w:t>
      </w:r>
      <w:r>
        <w:rPr>
          <w:spacing w:val="-2"/>
        </w:rPr>
        <w:t>务担保合同，或没有指定为以公允价值计量且其变动计入当期损益并将以低于市场利</w:t>
      </w:r>
      <w:r>
        <w:rPr>
          <w:spacing w:val="-94"/>
        </w:rPr>
        <w:t> </w:t>
      </w:r>
      <w:r>
        <w:rPr>
          <w:spacing w:val="-94"/>
        </w:rPr>
      </w:r>
      <w:r>
        <w:rPr>
          <w:spacing w:val="-2"/>
        </w:rPr>
        <w:t>率贷款的贷款承诺，在初始确认后按照下列两项金额之中的较高者进行后续计量：</w:t>
      </w:r>
      <w:r>
        <w:rPr>
          <w:rFonts w:ascii="宋体" w:hAnsi="宋体" w:cs="宋体" w:eastAsia="宋体" w:hint="default"/>
          <w:spacing w:val="-2"/>
        </w:rPr>
        <w:t>1)</w:t>
      </w:r>
      <w:r>
        <w:rPr>
          <w:rFonts w:ascii="宋体" w:hAnsi="宋体" w:cs="宋体" w:eastAsia="宋体" w:hint="default"/>
          <w:spacing w:val="-91"/>
        </w:rPr>
        <w:t> </w:t>
      </w:r>
      <w:r>
        <w:rPr/>
        <w:t>按照《企业会计准则第</w:t>
      </w:r>
      <w:r>
        <w:rPr>
          <w:spacing w:val="-71"/>
        </w:rPr>
        <w:t> </w:t>
      </w:r>
      <w:r>
        <w:rPr>
          <w:rFonts w:ascii="宋体" w:hAnsi="宋体" w:cs="宋体" w:eastAsia="宋体" w:hint="default"/>
        </w:rPr>
        <w:t>13</w:t>
      </w:r>
      <w:r>
        <w:rPr>
          <w:rFonts w:ascii="宋体" w:hAnsi="宋体" w:cs="宋体" w:eastAsia="宋体" w:hint="default"/>
          <w:spacing w:val="-73"/>
        </w:rPr>
        <w:t> </w:t>
      </w:r>
      <w:r>
        <w:rPr/>
        <w:t>号——或有事项》确定的金额；</w:t>
      </w:r>
      <w:r>
        <w:rPr>
          <w:rFonts w:ascii="宋体" w:hAnsi="宋体" w:cs="宋体" w:eastAsia="宋体" w:hint="default"/>
        </w:rPr>
        <w:t>2)</w:t>
      </w:r>
      <w:r>
        <w:rPr>
          <w:rFonts w:ascii="宋体" w:hAnsi="宋体" w:cs="宋体" w:eastAsia="宋体" w:hint="default"/>
          <w:spacing w:val="-25"/>
        </w:rPr>
        <w:t> </w:t>
      </w:r>
      <w:r>
        <w:rPr/>
        <w:t>初始确认金额扣除按照</w:t>
      </w:r>
    </w:p>
    <w:p>
      <w:pPr>
        <w:pStyle w:val="BodyText"/>
        <w:spacing w:line="357" w:lineRule="auto" w:before="34"/>
        <w:ind w:left="558" w:right="108" w:hanging="420"/>
        <w:jc w:val="left"/>
      </w:pPr>
      <w:r>
        <w:rPr/>
        <w:t>《企业会计准则第</w:t>
      </w:r>
      <w:r>
        <w:rPr>
          <w:spacing w:val="-61"/>
        </w:rPr>
        <w:t> </w:t>
      </w:r>
      <w:r>
        <w:rPr>
          <w:rFonts w:ascii="宋体" w:hAnsi="宋体" w:cs="宋体" w:eastAsia="宋体" w:hint="default"/>
        </w:rPr>
        <w:t>14</w:t>
      </w:r>
      <w:r>
        <w:rPr>
          <w:rFonts w:ascii="宋体" w:hAnsi="宋体" w:cs="宋体" w:eastAsia="宋体" w:hint="default"/>
          <w:spacing w:val="-60"/>
        </w:rPr>
        <w:t> </w:t>
      </w:r>
      <w:r>
        <w:rPr/>
        <w:t>号——收入》的原则确定的累积摊销额后的余额。 金融资产或金融负债公允价值变动形成的利得或损失，除与套期保值有关外，按</w:t>
      </w:r>
    </w:p>
    <w:p>
      <w:pPr>
        <w:pStyle w:val="BodyText"/>
        <w:spacing w:line="357" w:lineRule="auto" w:before="34"/>
        <w:ind w:right="112"/>
        <w:jc w:val="both"/>
      </w:pPr>
      <w:r>
        <w:rPr>
          <w:spacing w:val="-5"/>
        </w:rPr>
        <w:t>照如下方法处理：</w:t>
      </w:r>
      <w:r>
        <w:rPr>
          <w:rFonts w:ascii="宋体" w:hAnsi="宋体" w:cs="宋体" w:eastAsia="宋体" w:hint="default"/>
          <w:spacing w:val="-5"/>
        </w:rPr>
        <w:t>(1)</w:t>
      </w:r>
      <w:r>
        <w:rPr>
          <w:rFonts w:ascii="宋体" w:hAnsi="宋体" w:cs="宋体" w:eastAsia="宋体" w:hint="default"/>
          <w:spacing w:val="5"/>
        </w:rPr>
        <w:t> </w:t>
      </w:r>
      <w:r>
        <w:rPr/>
        <w:t>以公允价值计量且其变动计入当期损益的金融资产或金融负债 </w:t>
      </w:r>
      <w:r>
        <w:rPr>
          <w:spacing w:val="-2"/>
        </w:rPr>
        <w:t>公允价值变动形成的利得或损失，计入公允价值变动收益；在资产持有期间所取得的</w:t>
      </w:r>
      <w:r>
        <w:rPr>
          <w:spacing w:val="-93"/>
        </w:rPr>
        <w:t> </w:t>
      </w:r>
      <w:r>
        <w:rPr>
          <w:spacing w:val="-93"/>
        </w:rPr>
      </w:r>
      <w:r>
        <w:rPr>
          <w:spacing w:val="-2"/>
        </w:rPr>
        <w:t>利息或现金股利，确认为投资收益；处置时，将实际收到的金额与初始入账金额之间</w:t>
      </w:r>
    </w:p>
    <w:p>
      <w:pPr>
        <w:pStyle w:val="BodyText"/>
        <w:spacing w:line="240" w:lineRule="auto" w:before="36"/>
        <w:ind w:right="0"/>
        <w:jc w:val="both"/>
      </w:pPr>
      <w:r>
        <w:rPr/>
        <w:t>的差额确认为投资收益，同时调整公允价值变动收益。</w:t>
      </w:r>
      <w:r>
        <w:rPr>
          <w:rFonts w:ascii="宋体" w:hAnsi="宋体" w:cs="宋体" w:eastAsia="宋体" w:hint="default"/>
        </w:rPr>
        <w:t>(2)</w:t>
      </w:r>
      <w:r>
        <w:rPr>
          <w:rFonts w:ascii="宋体" w:hAnsi="宋体" w:cs="宋体" w:eastAsia="宋体" w:hint="default"/>
          <w:spacing w:val="-48"/>
        </w:rPr>
        <w:t> </w:t>
      </w:r>
      <w:r>
        <w:rPr/>
        <w:t>可供出售金融资产的公允</w:t>
      </w:r>
    </w:p>
    <w:p>
      <w:pPr>
        <w:spacing w:after="0" w:line="240" w:lineRule="auto"/>
        <w:jc w:val="both"/>
        <w:sectPr>
          <w:pgSz w:w="11910" w:h="16840"/>
          <w:pgMar w:header="882" w:footer="1195" w:top="1120" w:bottom="1380" w:left="1660" w:right="1160"/>
        </w:sectPr>
      </w:pPr>
    </w:p>
    <w:p>
      <w:pPr>
        <w:spacing w:line="240" w:lineRule="auto" w:before="5"/>
        <w:rPr>
          <w:rFonts w:ascii="宋体" w:hAnsi="宋体" w:cs="宋体" w:eastAsia="宋体" w:hint="default"/>
          <w:sz w:val="25"/>
          <w:szCs w:val="25"/>
        </w:rPr>
      </w:pPr>
    </w:p>
    <w:p>
      <w:pPr>
        <w:pStyle w:val="BodyText"/>
        <w:spacing w:line="357" w:lineRule="auto" w:before="26"/>
        <w:ind w:right="354"/>
        <w:jc w:val="both"/>
      </w:pPr>
      <w:r>
        <w:rPr>
          <w:spacing w:val="-2"/>
        </w:rPr>
        <w:t>价值变动计入其他综合收益；持有期间按实际利率法计算的利息，计入投资收益；可</w:t>
      </w:r>
      <w:r>
        <w:rPr>
          <w:spacing w:val="-96"/>
        </w:rPr>
        <w:t> </w:t>
      </w:r>
      <w:r>
        <w:rPr>
          <w:spacing w:val="-96"/>
        </w:rPr>
      </w:r>
      <w:r>
        <w:rPr>
          <w:spacing w:val="-2"/>
        </w:rPr>
        <w:t>供出售权益工具投资的现金股利，于被投资单位宣告发放股利时计入投资收益；处置</w:t>
      </w:r>
      <w:r>
        <w:rPr>
          <w:spacing w:val="-94"/>
        </w:rPr>
        <w:t> </w:t>
      </w:r>
      <w:r>
        <w:rPr>
          <w:spacing w:val="-94"/>
        </w:rPr>
      </w:r>
      <w:r>
        <w:rPr>
          <w:spacing w:val="-2"/>
        </w:rPr>
        <w:t>时，将实际收到的金额与账面价值扣除原直接计入其他综合收益的公允价值变动累计</w:t>
      </w:r>
      <w:r>
        <w:rPr>
          <w:spacing w:val="-94"/>
        </w:rPr>
        <w:t> </w:t>
      </w:r>
      <w:r>
        <w:rPr>
          <w:spacing w:val="-94"/>
        </w:rPr>
      </w:r>
      <w:r>
        <w:rPr/>
        <w:t>额之后的差额确认为投资收益。</w:t>
      </w:r>
    </w:p>
    <w:p>
      <w:pPr>
        <w:pStyle w:val="BodyText"/>
        <w:spacing w:line="357" w:lineRule="auto" w:before="36"/>
        <w:ind w:right="353" w:firstLine="419"/>
        <w:jc w:val="both"/>
      </w:pPr>
      <w:r>
        <w:rPr/>
        <w:t>当收取某项金融资产现金流量的合同权利已终止或该金融资产所有权上几乎所有 </w:t>
      </w:r>
      <w:r>
        <w:rPr>
          <w:spacing w:val="-2"/>
        </w:rPr>
        <w:t>的风险和报酬已转移时，终止确认该金融资产；当金融负债的现时义务全部或部分解</w:t>
      </w:r>
      <w:r>
        <w:rPr>
          <w:spacing w:val="-94"/>
        </w:rPr>
        <w:t> </w:t>
      </w:r>
      <w:r>
        <w:rPr>
          <w:spacing w:val="-94"/>
        </w:rPr>
      </w:r>
      <w:r>
        <w:rPr/>
        <w:t>除时，相应终止确认该金融负债或其一部分。</w:t>
      </w:r>
    </w:p>
    <w:p>
      <w:pPr>
        <w:pStyle w:val="BodyText"/>
        <w:spacing w:line="357" w:lineRule="auto" w:before="34"/>
        <w:ind w:left="558" w:right="348"/>
        <w:jc w:val="left"/>
      </w:pPr>
      <w:r>
        <w:rPr>
          <w:rFonts w:ascii="宋体" w:hAnsi="宋体" w:cs="宋体" w:eastAsia="宋体" w:hint="default"/>
        </w:rPr>
        <w:t>3. </w:t>
      </w:r>
      <w:r>
        <w:rPr/>
        <w:t>金融资产转移的确认依据和计量方法 公司已将金融资产所有权上几乎所有的风险和报酬转移给了转入方的，终止确认</w:t>
      </w:r>
    </w:p>
    <w:p>
      <w:pPr>
        <w:pStyle w:val="BodyText"/>
        <w:spacing w:line="357" w:lineRule="auto" w:before="34"/>
        <w:ind w:right="351"/>
        <w:jc w:val="both"/>
      </w:pPr>
      <w:r>
        <w:rPr>
          <w:spacing w:val="-2"/>
        </w:rPr>
        <w:t>该金融资产；保留了金融资产所有权上几乎所有的风险和报酬的，继续确认所转移的</w:t>
      </w:r>
      <w:r>
        <w:rPr>
          <w:spacing w:val="-94"/>
        </w:rPr>
        <w:t> </w:t>
      </w:r>
      <w:r>
        <w:rPr>
          <w:spacing w:val="-94"/>
        </w:rPr>
      </w:r>
      <w:r>
        <w:rPr>
          <w:spacing w:val="-2"/>
        </w:rPr>
        <w:t>金融资产，并将收到的对价确认为一项金融负债。公司既没有转移也没有保留金融资</w:t>
      </w:r>
      <w:r>
        <w:rPr>
          <w:spacing w:val="-94"/>
        </w:rPr>
        <w:t> </w:t>
      </w:r>
      <w:r>
        <w:rPr>
          <w:spacing w:val="-94"/>
        </w:rPr>
      </w:r>
      <w:r>
        <w:rPr/>
        <w:t>产所有权上几乎所有的风险和报酬的，分别下列情况处理：</w:t>
      </w:r>
      <w:r>
        <w:rPr>
          <w:rFonts w:ascii="宋体" w:hAnsi="宋体" w:cs="宋体" w:eastAsia="宋体" w:hint="default"/>
        </w:rPr>
        <w:t>(1)</w:t>
      </w:r>
      <w:r>
        <w:rPr>
          <w:rFonts w:ascii="宋体" w:hAnsi="宋体" w:cs="宋体" w:eastAsia="宋体" w:hint="default"/>
          <w:spacing w:val="-45"/>
        </w:rPr>
        <w:t> </w:t>
      </w:r>
      <w:r>
        <w:rPr/>
        <w:t>放弃了对该金融资产 控制的，终止确认该金融资产；</w:t>
      </w:r>
      <w:r>
        <w:rPr>
          <w:rFonts w:ascii="宋体" w:hAnsi="宋体" w:cs="宋体" w:eastAsia="宋体" w:hint="default"/>
        </w:rPr>
        <w:t>(2)</w:t>
      </w:r>
      <w:r>
        <w:rPr>
          <w:rFonts w:ascii="宋体" w:hAnsi="宋体" w:cs="宋体" w:eastAsia="宋体" w:hint="default"/>
          <w:spacing w:val="-45"/>
        </w:rPr>
        <w:t> </w:t>
      </w:r>
      <w:r>
        <w:rPr/>
        <w:t>未放弃对该金融资产控制的，按照继续涉入所转 移金融资产的程度确认有关金融资产，并相应确认有关负债。</w:t>
      </w:r>
    </w:p>
    <w:p>
      <w:pPr>
        <w:pStyle w:val="BodyText"/>
        <w:spacing w:line="357" w:lineRule="auto" w:before="36"/>
        <w:ind w:right="353" w:firstLine="419"/>
        <w:jc w:val="both"/>
      </w:pPr>
      <w:r>
        <w:rPr/>
        <w:t>金融资产整体转移满足终止确认条件的，将下列两项金额的差额计入当期损益： </w:t>
      </w:r>
      <w:r>
        <w:rPr>
          <w:rFonts w:ascii="宋体" w:hAnsi="宋体" w:cs="宋体" w:eastAsia="宋体" w:hint="default"/>
        </w:rPr>
        <w:t>(1) </w:t>
      </w:r>
      <w:r>
        <w:rPr/>
        <w:t>所转移金融资产的账面价值；</w:t>
      </w:r>
      <w:r>
        <w:rPr>
          <w:rFonts w:ascii="宋体" w:hAnsi="宋体" w:cs="宋体" w:eastAsia="宋体" w:hint="default"/>
        </w:rPr>
        <w:t>(2)</w:t>
      </w:r>
      <w:r>
        <w:rPr>
          <w:rFonts w:ascii="宋体" w:hAnsi="宋体" w:cs="宋体" w:eastAsia="宋体" w:hint="default"/>
          <w:spacing w:val="-48"/>
        </w:rPr>
        <w:t> </w:t>
      </w:r>
      <w:r>
        <w:rPr/>
        <w:t>因转移而收到的对价，与原直接计入所有者权 </w:t>
      </w:r>
      <w:r>
        <w:rPr>
          <w:spacing w:val="-2"/>
        </w:rPr>
        <w:t>益的公允价值变动累计额之和。金融资产部分转移满足终止确认条件的，将所转移金</w:t>
      </w:r>
      <w:r>
        <w:rPr>
          <w:spacing w:val="-94"/>
        </w:rPr>
        <w:t> </w:t>
      </w:r>
      <w:r>
        <w:rPr>
          <w:spacing w:val="-94"/>
        </w:rPr>
      </w:r>
      <w:r>
        <w:rPr>
          <w:spacing w:val="-2"/>
        </w:rPr>
        <w:t>融资产整体的账面价值，在终止确认部分和未终止确认部分之间，按照各自的相对公</w:t>
      </w:r>
      <w:r>
        <w:rPr>
          <w:spacing w:val="-94"/>
        </w:rPr>
        <w:t> </w:t>
      </w:r>
      <w:r>
        <w:rPr>
          <w:spacing w:val="-94"/>
        </w:rPr>
      </w:r>
      <w:r>
        <w:rPr/>
        <w:t>允价值进行分摊，并将下列两项金额的差额计入当期损益：</w:t>
      </w:r>
      <w:r>
        <w:rPr>
          <w:rFonts w:ascii="宋体" w:hAnsi="宋体" w:cs="宋体" w:eastAsia="宋体" w:hint="default"/>
        </w:rPr>
        <w:t>(1)</w:t>
      </w:r>
      <w:r>
        <w:rPr>
          <w:rFonts w:ascii="宋体" w:hAnsi="宋体" w:cs="宋体" w:eastAsia="宋体" w:hint="default"/>
          <w:spacing w:val="-46"/>
        </w:rPr>
        <w:t> </w:t>
      </w:r>
      <w:r>
        <w:rPr/>
        <w:t>终止确认部分的账面 </w:t>
      </w:r>
      <w:r>
        <w:rPr>
          <w:spacing w:val="-5"/>
        </w:rPr>
        <w:t>价值；</w:t>
      </w:r>
      <w:r>
        <w:rPr>
          <w:rFonts w:ascii="宋体" w:hAnsi="宋体" w:cs="宋体" w:eastAsia="宋体" w:hint="default"/>
          <w:spacing w:val="-5"/>
        </w:rPr>
        <w:t>(2)</w:t>
      </w:r>
      <w:r>
        <w:rPr>
          <w:rFonts w:ascii="宋体" w:hAnsi="宋体" w:cs="宋体" w:eastAsia="宋体" w:hint="default"/>
          <w:spacing w:val="-18"/>
        </w:rPr>
        <w:t> </w:t>
      </w:r>
      <w:r>
        <w:rPr/>
        <w:t>终止确认部分的对价，与原直接计入所有者权益的公允价值变动累计额中 对应终止确认部分的金额之和。</w:t>
      </w:r>
    </w:p>
    <w:p>
      <w:pPr>
        <w:pStyle w:val="BodyText"/>
        <w:spacing w:line="355" w:lineRule="auto" w:before="37"/>
        <w:ind w:left="618" w:right="528" w:hanging="60"/>
        <w:jc w:val="left"/>
      </w:pPr>
      <w:r>
        <w:rPr>
          <w:rFonts w:ascii="宋体" w:hAnsi="宋体" w:cs="宋体" w:eastAsia="宋体" w:hint="default"/>
        </w:rPr>
        <w:t>4. </w:t>
      </w:r>
      <w:r>
        <w:rPr/>
        <w:t>金融资产和金融负债的公允价值确定方法 公司采用在当前情况下适用并且有足够可利用数据和其他信息支持的估值技术</w:t>
      </w:r>
    </w:p>
    <w:p>
      <w:pPr>
        <w:pStyle w:val="BodyText"/>
        <w:spacing w:line="355" w:lineRule="auto" w:before="38"/>
        <w:ind w:right="102"/>
        <w:jc w:val="left"/>
      </w:pPr>
      <w:r>
        <w:rPr>
          <w:spacing w:val="-2"/>
        </w:rPr>
        <w:t>确定相关金融资产和金融负债的公允价值。公司将估值技术使用的输入值分以下层级，</w:t>
      </w:r>
      <w:r>
        <w:rPr>
          <w:spacing w:val="-92"/>
        </w:rPr>
        <w:t> </w:t>
      </w:r>
      <w:r>
        <w:rPr>
          <w:spacing w:val="-92"/>
        </w:rPr>
      </w:r>
      <w:r>
        <w:rPr/>
        <w:t>并依次使用：</w:t>
      </w:r>
    </w:p>
    <w:p>
      <w:pPr>
        <w:pStyle w:val="BodyText"/>
        <w:spacing w:line="355" w:lineRule="auto" w:before="38"/>
        <w:ind w:right="529" w:firstLine="479"/>
        <w:jc w:val="left"/>
      </w:pPr>
      <w:r>
        <w:rPr>
          <w:rFonts w:ascii="宋体" w:hAnsi="宋体" w:cs="宋体" w:eastAsia="宋体" w:hint="default"/>
        </w:rPr>
        <w:t>(1) </w:t>
      </w:r>
      <w:r>
        <w:rPr/>
        <w:t>第一层次输入值是在计量日能够取得的相同资产或负债在活跃市场上未经 调整的报价；</w:t>
      </w:r>
    </w:p>
    <w:p>
      <w:pPr>
        <w:pStyle w:val="BodyText"/>
        <w:spacing w:line="355" w:lineRule="auto" w:before="38"/>
        <w:ind w:right="352" w:firstLine="479"/>
        <w:jc w:val="both"/>
      </w:pPr>
      <w:r>
        <w:rPr>
          <w:rFonts w:ascii="宋体" w:hAnsi="宋体" w:cs="宋体" w:eastAsia="宋体" w:hint="default"/>
        </w:rPr>
        <w:t>(2) </w:t>
      </w:r>
      <w:r>
        <w:rPr/>
        <w:t>第二层次输入值是除第一层次输入值外相关资产或负债直接或间接可观察 </w:t>
      </w:r>
      <w:r>
        <w:rPr>
          <w:spacing w:val="-2"/>
        </w:rPr>
        <w:t>的输入值，包括：活跃市场中类似资产或负债的报价；非活跃市场中相同或类似资产</w:t>
      </w:r>
    </w:p>
    <w:p>
      <w:pPr>
        <w:spacing w:after="0" w:line="355" w:lineRule="auto"/>
        <w:jc w:val="both"/>
        <w:sectPr>
          <w:pgSz w:w="11910" w:h="16840"/>
          <w:pgMar w:header="882" w:footer="1195" w:top="1120" w:bottom="1380" w:left="1660" w:right="920"/>
        </w:sectPr>
      </w:pPr>
    </w:p>
    <w:p>
      <w:pPr>
        <w:spacing w:line="240" w:lineRule="auto" w:before="5"/>
        <w:rPr>
          <w:rFonts w:ascii="宋体" w:hAnsi="宋体" w:cs="宋体" w:eastAsia="宋体" w:hint="default"/>
          <w:sz w:val="25"/>
          <w:szCs w:val="25"/>
        </w:rPr>
      </w:pPr>
    </w:p>
    <w:p>
      <w:pPr>
        <w:pStyle w:val="BodyText"/>
        <w:spacing w:line="357" w:lineRule="auto" w:before="26"/>
        <w:ind w:right="119"/>
        <w:jc w:val="left"/>
      </w:pPr>
      <w:r>
        <w:rPr>
          <w:spacing w:val="-2"/>
        </w:rPr>
        <w:t>或负债的报价；除报价以外的其他可观察输入值，如在正常报价间隔期间可观察的利</w:t>
      </w:r>
      <w:r>
        <w:rPr>
          <w:spacing w:val="-94"/>
        </w:rPr>
        <w:t> </w:t>
      </w:r>
      <w:r>
        <w:rPr>
          <w:spacing w:val="-94"/>
        </w:rPr>
      </w:r>
      <w:r>
        <w:rPr/>
        <w:t>率和收益率曲线等；市场验证的输入值等；</w:t>
      </w:r>
    </w:p>
    <w:p>
      <w:pPr>
        <w:pStyle w:val="BodyText"/>
        <w:spacing w:line="357" w:lineRule="auto" w:before="34"/>
        <w:ind w:right="234" w:firstLine="479"/>
        <w:jc w:val="both"/>
      </w:pPr>
      <w:r>
        <w:rPr>
          <w:rFonts w:ascii="宋体" w:hAnsi="宋体" w:cs="宋体" w:eastAsia="宋体" w:hint="default"/>
        </w:rPr>
        <w:t>(3)</w:t>
      </w:r>
      <w:r>
        <w:rPr>
          <w:rFonts w:ascii="宋体" w:hAnsi="宋体" w:cs="宋体" w:eastAsia="宋体" w:hint="default"/>
          <w:spacing w:val="-46"/>
        </w:rPr>
        <w:t> </w:t>
      </w:r>
      <w:r>
        <w:rPr/>
        <w:t>第三层次输入值是相关资产或负债的不可观察输入值，包括不能直接观察或 </w:t>
      </w:r>
      <w:r>
        <w:rPr>
          <w:spacing w:val="-2"/>
        </w:rPr>
        <w:t>无法由可观察市场数据验证的利率、股票波动率、企业合并中承担的弃置义务的未来</w:t>
      </w:r>
      <w:r>
        <w:rPr>
          <w:spacing w:val="-94"/>
        </w:rPr>
        <w:t> </w:t>
      </w:r>
      <w:r>
        <w:rPr>
          <w:spacing w:val="-94"/>
        </w:rPr>
      </w:r>
      <w:r>
        <w:rPr/>
        <w:t>现金流量、使用自身数据作出的财务预测等。</w:t>
      </w:r>
    </w:p>
    <w:p>
      <w:pPr>
        <w:pStyle w:val="BodyText"/>
        <w:spacing w:line="240" w:lineRule="auto" w:before="34"/>
        <w:ind w:left="618" w:right="119"/>
        <w:jc w:val="left"/>
      </w:pPr>
      <w:r>
        <w:rPr>
          <w:rFonts w:ascii="宋体" w:hAnsi="宋体" w:cs="宋体" w:eastAsia="宋体" w:hint="default"/>
        </w:rPr>
        <w:t>5. </w:t>
      </w:r>
      <w:r>
        <w:rPr/>
        <w:t>金融资产的减值测试和减值准备计提方法</w:t>
      </w:r>
    </w:p>
    <w:p>
      <w:pPr>
        <w:pStyle w:val="BodyText"/>
        <w:spacing w:line="357" w:lineRule="auto" w:before="154"/>
        <w:ind w:right="234" w:firstLine="419"/>
        <w:jc w:val="both"/>
      </w:pPr>
      <w:r>
        <w:rPr>
          <w:rFonts w:ascii="宋体" w:hAnsi="宋体" w:cs="宋体" w:eastAsia="宋体" w:hint="default"/>
        </w:rPr>
        <w:t>(1) </w:t>
      </w:r>
      <w:r>
        <w:rPr/>
        <w:t>资产负债表日对以公允价值计量且其变动计入当期损益的金融资产以外的金 </w:t>
      </w:r>
      <w:r>
        <w:rPr>
          <w:spacing w:val="-2"/>
        </w:rPr>
        <w:t>融资产的账面价值进行检查，如有客观证据表明该金融资产发生减值的，计提减值准</w:t>
      </w:r>
      <w:r>
        <w:rPr>
          <w:spacing w:val="-94"/>
        </w:rPr>
        <w:t> </w:t>
      </w:r>
      <w:r>
        <w:rPr>
          <w:spacing w:val="-94"/>
        </w:rPr>
      </w:r>
      <w:r>
        <w:rPr/>
        <w:t>备。</w:t>
      </w:r>
    </w:p>
    <w:p>
      <w:pPr>
        <w:pStyle w:val="BodyText"/>
        <w:spacing w:line="357" w:lineRule="auto" w:before="34"/>
        <w:ind w:right="232" w:firstLine="419"/>
        <w:jc w:val="both"/>
      </w:pPr>
      <w:r>
        <w:rPr>
          <w:rFonts w:ascii="宋体" w:hAnsi="宋体" w:cs="宋体" w:eastAsia="宋体" w:hint="default"/>
        </w:rPr>
        <w:t>(2) </w:t>
      </w:r>
      <w:r>
        <w:rPr/>
        <w:t>对于持有至到期投资、贷款和应收款，先将单项金额重大的金融资产区分开 </w:t>
      </w:r>
      <w:r>
        <w:rPr>
          <w:spacing w:val="-2"/>
        </w:rPr>
        <w:t>来，单独进行减值测试；对单项金额不重大的金融资产，可以单独进行减值测试，或</w:t>
      </w:r>
      <w:r>
        <w:rPr>
          <w:spacing w:val="-94"/>
        </w:rPr>
        <w:t> </w:t>
      </w:r>
      <w:r>
        <w:rPr>
          <w:spacing w:val="-94"/>
        </w:rPr>
      </w:r>
      <w:r>
        <w:rPr>
          <w:spacing w:val="-2"/>
        </w:rPr>
        <w:t>包括在具有类似信用风险特征的金融资产组合中进行减值测试；单独测试未发生减值</w:t>
      </w:r>
      <w:r>
        <w:rPr>
          <w:spacing w:val="-94"/>
        </w:rPr>
        <w:t> </w:t>
      </w:r>
      <w:r>
        <w:rPr>
          <w:spacing w:val="-94"/>
        </w:rPr>
      </w:r>
      <w:r>
        <w:rPr>
          <w:spacing w:val="-2"/>
        </w:rPr>
        <w:t>的金融资产（包括单项金额重大和不重大的金融资产），包括在具有类似信用风险特</w:t>
      </w:r>
      <w:r>
        <w:rPr>
          <w:spacing w:val="-93"/>
        </w:rPr>
        <w:t> </w:t>
      </w:r>
      <w:r>
        <w:rPr>
          <w:spacing w:val="-93"/>
        </w:rPr>
      </w:r>
      <w:r>
        <w:rPr>
          <w:spacing w:val="-2"/>
        </w:rPr>
        <w:t>征的金融资产组合中再进行减值测试。测试结果表明其发生了减值的，根据其账面价</w:t>
      </w:r>
      <w:r>
        <w:rPr>
          <w:spacing w:val="-94"/>
        </w:rPr>
        <w:t> </w:t>
      </w:r>
      <w:r>
        <w:rPr>
          <w:spacing w:val="-94"/>
        </w:rPr>
      </w:r>
      <w:r>
        <w:rPr/>
        <w:t>值高于预计未来现金流量现值的差额确认减值损失。</w:t>
      </w:r>
    </w:p>
    <w:p>
      <w:pPr>
        <w:pStyle w:val="BodyText"/>
        <w:spacing w:line="240" w:lineRule="auto" w:before="34"/>
        <w:ind w:left="558" w:right="119"/>
        <w:jc w:val="left"/>
      </w:pPr>
      <w:r>
        <w:rPr>
          <w:rFonts w:ascii="宋体" w:hAnsi="宋体" w:cs="宋体" w:eastAsia="宋体" w:hint="default"/>
        </w:rPr>
        <w:t>(3) </w:t>
      </w:r>
      <w:r>
        <w:rPr/>
        <w:t>可供出售金融资产</w:t>
      </w:r>
    </w:p>
    <w:p>
      <w:pPr>
        <w:pStyle w:val="BodyText"/>
        <w:spacing w:line="240" w:lineRule="auto" w:before="154"/>
        <w:ind w:left="558" w:right="119"/>
        <w:jc w:val="left"/>
      </w:pPr>
      <w:r>
        <w:rPr>
          <w:rFonts w:ascii="宋体" w:hAnsi="宋体" w:cs="宋体" w:eastAsia="宋体" w:hint="default"/>
        </w:rPr>
        <w:t>1) </w:t>
      </w:r>
      <w:r>
        <w:rPr/>
        <w:t>表明可供出售债务工具投资发生减值的客观证据包括：</w:t>
      </w:r>
    </w:p>
    <w:p>
      <w:pPr>
        <w:pStyle w:val="BodyText"/>
        <w:spacing w:line="240" w:lineRule="auto" w:before="151"/>
        <w:ind w:left="558" w:right="119"/>
        <w:jc w:val="left"/>
      </w:pPr>
      <w:r>
        <w:rPr/>
        <w:t>① 债务人发生严重财务困难；</w:t>
      </w:r>
    </w:p>
    <w:p>
      <w:pPr>
        <w:pStyle w:val="BodyText"/>
        <w:spacing w:line="240" w:lineRule="auto" w:before="154"/>
        <w:ind w:left="558" w:right="119"/>
        <w:jc w:val="left"/>
      </w:pPr>
      <w:r>
        <w:rPr/>
        <w:t>②</w:t>
      </w:r>
      <w:r>
        <w:rPr>
          <w:spacing w:val="1"/>
        </w:rPr>
        <w:t> </w:t>
      </w:r>
      <w:r>
        <w:rPr/>
        <w:t>债务人违反了合同条款，如偿付利息或本金发生违约或逾期；</w:t>
      </w:r>
    </w:p>
    <w:p>
      <w:pPr>
        <w:pStyle w:val="BodyText"/>
        <w:spacing w:line="240" w:lineRule="auto" w:before="154"/>
        <w:ind w:left="558" w:right="0"/>
        <w:jc w:val="left"/>
      </w:pPr>
      <w:r>
        <w:rPr/>
        <w:t>③</w:t>
      </w:r>
      <w:r>
        <w:rPr>
          <w:spacing w:val="7"/>
        </w:rPr>
        <w:t> </w:t>
      </w:r>
      <w:r>
        <w:rPr/>
        <w:t>公司出于经济或法律等方面因素的考虑，对发生财务困难的债务人作出让步；</w:t>
      </w:r>
    </w:p>
    <w:p>
      <w:pPr>
        <w:pStyle w:val="BodyText"/>
        <w:spacing w:line="240" w:lineRule="auto" w:before="151"/>
        <w:ind w:left="558" w:right="119"/>
        <w:jc w:val="left"/>
      </w:pPr>
      <w:r>
        <w:rPr/>
        <w:t>④ 债务人很可能倒闭或进行其他财务重组；</w:t>
      </w:r>
    </w:p>
    <w:p>
      <w:pPr>
        <w:pStyle w:val="BodyText"/>
        <w:spacing w:line="240" w:lineRule="auto" w:before="154"/>
        <w:ind w:left="558" w:right="119"/>
        <w:jc w:val="left"/>
      </w:pPr>
      <w:r>
        <w:rPr/>
        <w:t>⑤ 因债务人发生重大财务困难，该债务工具无法在活跃市场继续交易；</w:t>
      </w:r>
    </w:p>
    <w:p>
      <w:pPr>
        <w:pStyle w:val="BodyText"/>
        <w:spacing w:line="240" w:lineRule="auto" w:before="151"/>
        <w:ind w:left="558" w:right="119"/>
        <w:jc w:val="left"/>
      </w:pPr>
      <w:r>
        <w:rPr/>
        <w:t>⑥ 其他表明可供出售债务工具已经发生减值的情况。</w:t>
      </w:r>
    </w:p>
    <w:p>
      <w:pPr>
        <w:pStyle w:val="BodyText"/>
        <w:spacing w:line="357" w:lineRule="auto" w:before="154"/>
        <w:ind w:right="233" w:firstLine="479"/>
        <w:jc w:val="both"/>
      </w:pPr>
      <w:r>
        <w:rPr>
          <w:rFonts w:ascii="宋体" w:hAnsi="宋体" w:cs="宋体" w:eastAsia="宋体" w:hint="default"/>
        </w:rPr>
        <w:t>2)</w:t>
      </w:r>
      <w:r>
        <w:rPr>
          <w:rFonts w:ascii="宋体" w:hAnsi="宋体" w:cs="宋体" w:eastAsia="宋体" w:hint="default"/>
          <w:spacing w:val="54"/>
        </w:rPr>
        <w:t> </w:t>
      </w:r>
      <w:r>
        <w:rPr/>
        <w:t>表明可供出售权益工具投资发生减值的客观证据包括权益工具投资的公允价</w:t>
      </w:r>
      <w:r>
        <w:rPr>
          <w:spacing w:val="2"/>
        </w:rPr>
        <w:t> </w:t>
      </w:r>
      <w:r>
        <w:rPr>
          <w:spacing w:val="-2"/>
        </w:rPr>
        <w:t>值发生严重或非暂时性下跌，以及被投资单位经营所处的技术、市场、经济或法律环</w:t>
      </w:r>
      <w:r>
        <w:rPr>
          <w:spacing w:val="-96"/>
        </w:rPr>
        <w:t> </w:t>
      </w:r>
      <w:r>
        <w:rPr>
          <w:spacing w:val="-96"/>
        </w:rPr>
      </w:r>
      <w:r>
        <w:rPr/>
        <w:t>境等发生重大不利变化使公司可能无法收回投资成本。</w:t>
      </w:r>
    </w:p>
    <w:p>
      <w:pPr>
        <w:pStyle w:val="BodyText"/>
        <w:spacing w:line="357" w:lineRule="auto" w:before="34"/>
        <w:ind w:right="232" w:firstLine="419"/>
        <w:jc w:val="both"/>
      </w:pPr>
      <w:r>
        <w:rPr/>
        <w:t>本公司于资产负债表日对各项可供出售权益工具投资单独进行检查。对于以公允 价值计量的权益工具投资，若其于资产负债表日的公允价值低于其成本超过</w:t>
      </w:r>
      <w:r>
        <w:rPr>
          <w:spacing w:val="-59"/>
        </w:rPr>
        <w:t> </w:t>
      </w:r>
      <w:r>
        <w:rPr>
          <w:rFonts w:ascii="宋体" w:hAnsi="宋体" w:cs="宋体" w:eastAsia="宋体" w:hint="default"/>
        </w:rPr>
        <w:t>50%</w:t>
      </w:r>
      <w:r>
        <w:rPr/>
        <w:t>（含 </w:t>
      </w:r>
      <w:r>
        <w:rPr>
          <w:rFonts w:ascii="宋体" w:hAnsi="宋体" w:cs="宋体" w:eastAsia="宋体" w:hint="default"/>
        </w:rPr>
        <w:t>50%</w:t>
      </w:r>
      <w:r>
        <w:rPr/>
        <w:t>）或低于其成本持续时间超过</w:t>
      </w:r>
      <w:r>
        <w:rPr>
          <w:spacing w:val="-61"/>
        </w:rPr>
        <w:t> </w:t>
      </w:r>
      <w:r>
        <w:rPr>
          <w:rFonts w:ascii="宋体" w:hAnsi="宋体" w:cs="宋体" w:eastAsia="宋体" w:hint="default"/>
        </w:rPr>
        <w:t>12</w:t>
      </w:r>
      <w:r>
        <w:rPr>
          <w:rFonts w:ascii="宋体" w:hAnsi="宋体" w:cs="宋体" w:eastAsia="宋体" w:hint="default"/>
          <w:spacing w:val="-61"/>
        </w:rPr>
        <w:t> </w:t>
      </w:r>
      <w:r>
        <w:rPr/>
        <w:t>个月（含</w:t>
      </w:r>
      <w:r>
        <w:rPr>
          <w:spacing w:val="-61"/>
        </w:rPr>
        <w:t> </w:t>
      </w:r>
      <w:r>
        <w:rPr>
          <w:rFonts w:ascii="宋体" w:hAnsi="宋体" w:cs="宋体" w:eastAsia="宋体" w:hint="default"/>
        </w:rPr>
        <w:t>12</w:t>
      </w:r>
      <w:r>
        <w:rPr>
          <w:rFonts w:ascii="宋体" w:hAnsi="宋体" w:cs="宋体" w:eastAsia="宋体" w:hint="default"/>
          <w:spacing w:val="-61"/>
        </w:rPr>
        <w:t> </w:t>
      </w:r>
      <w:r>
        <w:rPr/>
        <w:t>个月）的，则表明其发生减值；若</w:t>
      </w:r>
    </w:p>
    <w:p>
      <w:pPr>
        <w:pStyle w:val="BodyText"/>
        <w:spacing w:line="240" w:lineRule="auto" w:before="36"/>
        <w:ind w:right="119"/>
        <w:jc w:val="left"/>
      </w:pPr>
      <w:r>
        <w:rPr/>
        <w:t>其于资产负债表日的公允价值低于其成本超过</w:t>
      </w:r>
      <w:r>
        <w:rPr>
          <w:spacing w:val="-57"/>
        </w:rPr>
        <w:t> </w:t>
      </w:r>
      <w:r>
        <w:rPr>
          <w:rFonts w:ascii="宋体" w:hAnsi="宋体" w:cs="宋体" w:eastAsia="宋体" w:hint="default"/>
          <w:spacing w:val="-8"/>
        </w:rPr>
        <w:t>20%</w:t>
      </w:r>
      <w:r>
        <w:rPr>
          <w:spacing w:val="-8"/>
        </w:rPr>
        <w:t>（含</w:t>
      </w:r>
      <w:r>
        <w:rPr>
          <w:spacing w:val="-57"/>
        </w:rPr>
        <w:t> </w:t>
      </w:r>
      <w:r>
        <w:rPr>
          <w:rFonts w:ascii="宋体" w:hAnsi="宋体" w:cs="宋体" w:eastAsia="宋体" w:hint="default"/>
          <w:spacing w:val="-4"/>
        </w:rPr>
        <w:t>20%</w:t>
      </w:r>
      <w:r>
        <w:rPr>
          <w:spacing w:val="-4"/>
        </w:rPr>
        <w:t>）但尚未达到</w:t>
      </w:r>
      <w:r>
        <w:rPr>
          <w:spacing w:val="-57"/>
        </w:rPr>
        <w:t> </w:t>
      </w:r>
      <w:r>
        <w:rPr>
          <w:rFonts w:ascii="宋体" w:hAnsi="宋体" w:cs="宋体" w:eastAsia="宋体" w:hint="default"/>
          <w:spacing w:val="-6"/>
        </w:rPr>
        <w:t>50%</w:t>
      </w:r>
      <w:r>
        <w:rPr>
          <w:spacing w:val="-6"/>
        </w:rPr>
        <w:t>的，或低</w:t>
      </w:r>
    </w:p>
    <w:p>
      <w:pPr>
        <w:spacing w:after="0" w:line="240" w:lineRule="auto"/>
        <w:jc w:val="left"/>
        <w:sectPr>
          <w:footerReference w:type="default" r:id="rId59"/>
          <w:pgSz w:w="11910" w:h="16840"/>
          <w:pgMar w:footer="1195" w:header="882" w:top="1120" w:bottom="1380" w:left="1660" w:right="1040"/>
        </w:sectPr>
      </w:pPr>
    </w:p>
    <w:p>
      <w:pPr>
        <w:spacing w:line="240" w:lineRule="auto" w:before="5"/>
        <w:rPr>
          <w:rFonts w:ascii="宋体" w:hAnsi="宋体" w:cs="宋体" w:eastAsia="宋体" w:hint="default"/>
          <w:sz w:val="25"/>
          <w:szCs w:val="25"/>
        </w:rPr>
      </w:pPr>
    </w:p>
    <w:p>
      <w:pPr>
        <w:pStyle w:val="BodyText"/>
        <w:spacing w:line="357" w:lineRule="auto" w:before="26"/>
        <w:ind w:left="218" w:right="234"/>
        <w:jc w:val="both"/>
      </w:pPr>
      <w:r>
        <w:rPr/>
        <w:t>于其成本持续时间超过</w:t>
      </w:r>
      <w:r>
        <w:rPr>
          <w:spacing w:val="-60"/>
        </w:rPr>
        <w:t> </w:t>
      </w:r>
      <w:r>
        <w:rPr>
          <w:rFonts w:ascii="宋体" w:hAnsi="宋体" w:cs="宋体" w:eastAsia="宋体" w:hint="default"/>
        </w:rPr>
        <w:t>6</w:t>
      </w:r>
      <w:r>
        <w:rPr>
          <w:rFonts w:ascii="宋体" w:hAnsi="宋体" w:cs="宋体" w:eastAsia="宋体" w:hint="default"/>
          <w:spacing w:val="-60"/>
        </w:rPr>
        <w:t> </w:t>
      </w:r>
      <w:r>
        <w:rPr/>
        <w:t>个月（含</w:t>
      </w:r>
      <w:r>
        <w:rPr>
          <w:spacing w:val="-60"/>
        </w:rPr>
        <w:t> </w:t>
      </w:r>
      <w:r>
        <w:rPr>
          <w:rFonts w:ascii="宋体" w:hAnsi="宋体" w:cs="宋体" w:eastAsia="宋体" w:hint="default"/>
        </w:rPr>
        <w:t>6</w:t>
      </w:r>
      <w:r>
        <w:rPr>
          <w:rFonts w:ascii="宋体" w:hAnsi="宋体" w:cs="宋体" w:eastAsia="宋体" w:hint="default"/>
          <w:spacing w:val="-60"/>
        </w:rPr>
        <w:t> </w:t>
      </w:r>
      <w:r>
        <w:rPr/>
        <w:t>个月）但未超过</w:t>
      </w:r>
      <w:r>
        <w:rPr>
          <w:spacing w:val="-60"/>
        </w:rPr>
        <w:t> </w:t>
      </w:r>
      <w:r>
        <w:rPr>
          <w:rFonts w:ascii="宋体" w:hAnsi="宋体" w:cs="宋体" w:eastAsia="宋体" w:hint="default"/>
        </w:rPr>
        <w:t>12</w:t>
      </w:r>
      <w:r>
        <w:rPr>
          <w:rFonts w:ascii="宋体" w:hAnsi="宋体" w:cs="宋体" w:eastAsia="宋体" w:hint="default"/>
          <w:spacing w:val="-60"/>
        </w:rPr>
        <w:t> </w:t>
      </w:r>
      <w:r>
        <w:rPr/>
        <w:t>个月的，本公司会综合考虑 </w:t>
      </w:r>
      <w:r>
        <w:rPr>
          <w:spacing w:val="-2"/>
        </w:rPr>
        <w:t>其他相关因素，诸如价格波动率等，判断该权益工具投资是否发生减值。对于以成本</w:t>
      </w:r>
      <w:r>
        <w:rPr>
          <w:spacing w:val="-96"/>
        </w:rPr>
        <w:t> </w:t>
      </w:r>
      <w:r>
        <w:rPr>
          <w:spacing w:val="-96"/>
        </w:rPr>
      </w:r>
      <w:r>
        <w:rPr>
          <w:spacing w:val="-2"/>
        </w:rPr>
        <w:t>计量的权益工具投资，公司综合考虑被投资单位经营所处的技术、市场、经济或法律</w:t>
      </w:r>
      <w:r>
        <w:rPr>
          <w:spacing w:val="-96"/>
        </w:rPr>
        <w:t> </w:t>
      </w:r>
      <w:r>
        <w:rPr>
          <w:spacing w:val="-96"/>
        </w:rPr>
      </w:r>
      <w:r>
        <w:rPr/>
        <w:t>环境等是否发生重大不利变化，判断该权益工具是否发生减值。</w:t>
      </w:r>
    </w:p>
    <w:p>
      <w:pPr>
        <w:pStyle w:val="BodyText"/>
        <w:spacing w:line="357" w:lineRule="auto" w:before="36"/>
        <w:ind w:left="218" w:right="234" w:firstLine="419"/>
        <w:jc w:val="both"/>
      </w:pPr>
      <w:r>
        <w:rPr/>
        <w:t>以公允价值计量的可供出售金融资产发生减值时，原直接计入其他综合收益的因 </w:t>
      </w:r>
      <w:r>
        <w:rPr>
          <w:spacing w:val="-2"/>
        </w:rPr>
        <w:t>公允价值下降形成的累计损失予以转出并计入减值损失。对已确认减值损失的可供出</w:t>
      </w:r>
      <w:r>
        <w:rPr>
          <w:spacing w:val="-94"/>
        </w:rPr>
        <w:t> </w:t>
      </w:r>
      <w:r>
        <w:rPr>
          <w:spacing w:val="-94"/>
        </w:rPr>
      </w:r>
      <w:r>
        <w:rPr>
          <w:spacing w:val="-2"/>
        </w:rPr>
        <w:t>售债务工具投资，在期后公允价值回升且客观上与确认原减值损失后发生的事项有关</w:t>
      </w:r>
      <w:r>
        <w:rPr>
          <w:spacing w:val="-94"/>
        </w:rPr>
        <w:t> </w:t>
      </w:r>
      <w:r>
        <w:rPr>
          <w:spacing w:val="-94"/>
        </w:rPr>
      </w:r>
      <w:r>
        <w:rPr>
          <w:spacing w:val="-2"/>
        </w:rPr>
        <w:t>的，原确认的减值损失予以转回并计入当期损益。对已确认减值损失的可供出售权益</w:t>
      </w:r>
      <w:r>
        <w:rPr>
          <w:spacing w:val="-94"/>
        </w:rPr>
        <w:t> </w:t>
      </w:r>
      <w:r>
        <w:rPr>
          <w:spacing w:val="-94"/>
        </w:rPr>
      </w:r>
      <w:r>
        <w:rPr/>
        <w:t>工具投资，期后公允价值回升直接计入其他综合收益。</w:t>
      </w:r>
    </w:p>
    <w:p>
      <w:pPr>
        <w:pStyle w:val="BodyText"/>
        <w:spacing w:line="357" w:lineRule="auto" w:before="34"/>
        <w:ind w:left="218" w:right="232" w:firstLine="479"/>
        <w:jc w:val="both"/>
      </w:pPr>
      <w:r>
        <w:rPr>
          <w:spacing w:val="-2"/>
        </w:rPr>
        <w:t>以成本计量的可供出售权益工具发生减值时，将该权益工具投资的账面价值，与</w:t>
      </w:r>
      <w:r>
        <w:rPr/>
        <w:t> </w:t>
      </w:r>
      <w:r>
        <w:rPr>
          <w:spacing w:val="-2"/>
        </w:rPr>
        <w:t>按照类似金融资产当时市场收益率对未来现金流量折现确定的现值之间的差额，确认</w:t>
      </w:r>
      <w:r>
        <w:rPr>
          <w:spacing w:val="-94"/>
        </w:rPr>
        <w:t> </w:t>
      </w:r>
      <w:r>
        <w:rPr>
          <w:spacing w:val="-94"/>
        </w:rPr>
      </w:r>
      <w:r>
        <w:rPr/>
        <w:t>为减值损失，计入当期损益，发生的减值损失一经确认，不予转回。</w:t>
      </w:r>
    </w:p>
    <w:p>
      <w:pPr>
        <w:spacing w:line="240" w:lineRule="auto" w:before="0"/>
        <w:rPr>
          <w:rFonts w:ascii="宋体" w:hAnsi="宋体" w:cs="宋体" w:eastAsia="宋体" w:hint="default"/>
          <w:sz w:val="31"/>
          <w:szCs w:val="31"/>
        </w:rPr>
      </w:pPr>
    </w:p>
    <w:p>
      <w:pPr>
        <w:pStyle w:val="Heading2"/>
        <w:spacing w:line="240" w:lineRule="auto" w:before="0"/>
        <w:ind w:right="0"/>
        <w:jc w:val="both"/>
        <w:rPr>
          <w:b w:val="0"/>
          <w:bCs w:val="0"/>
        </w:rPr>
      </w:pPr>
      <w:r>
        <w:rPr>
          <w:rFonts w:ascii="宋体" w:hAnsi="宋体" w:cs="宋体" w:eastAsia="宋体" w:hint="default"/>
        </w:rPr>
        <w:t>11.</w:t>
      </w:r>
      <w:r>
        <w:rPr>
          <w:rFonts w:ascii="宋体" w:hAnsi="宋体" w:cs="宋体" w:eastAsia="宋体" w:hint="default"/>
          <w:spacing w:val="-60"/>
        </w:rPr>
        <w:t> </w:t>
      </w:r>
      <w:r>
        <w:rPr/>
        <w:t>应收款项</w:t>
      </w:r>
      <w:r>
        <w:rPr>
          <w:b w:val="0"/>
          <w:bCs w:val="0"/>
        </w:rPr>
      </w:r>
    </w:p>
    <w:p>
      <w:pPr>
        <w:pStyle w:val="Heading2"/>
        <w:spacing w:line="240" w:lineRule="auto" w:before="58"/>
        <w:ind w:right="0"/>
        <w:jc w:val="both"/>
        <w:rPr>
          <w:b w:val="0"/>
          <w:bCs w:val="0"/>
        </w:rPr>
      </w:pPr>
      <w:r>
        <w:rPr>
          <w:rFonts w:ascii="宋体" w:hAnsi="宋体" w:cs="宋体" w:eastAsia="宋体" w:hint="default"/>
        </w:rPr>
        <w:t>(1). </w:t>
      </w:r>
      <w:r>
        <w:rPr>
          <w:rFonts w:ascii="宋体" w:hAnsi="宋体" w:cs="宋体" w:eastAsia="宋体" w:hint="default"/>
          <w:spacing w:val="111"/>
        </w:rPr>
        <w:t> </w:t>
      </w:r>
      <w:r>
        <w:rPr/>
        <w:t>单项金额重大并单独计提坏账准备的应收款项</w:t>
      </w:r>
      <w:r>
        <w:rPr>
          <w:b w:val="0"/>
          <w:bCs w:val="0"/>
        </w:rPr>
      </w:r>
    </w:p>
    <w:p>
      <w:pPr>
        <w:pStyle w:val="BodyText"/>
        <w:spacing w:line="240" w:lineRule="auto" w:before="58"/>
        <w:ind w:left="218" w:right="0"/>
        <w:jc w:val="both"/>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631"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单项金额前五名或占应收款项账面余额</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10%</w:t>
            </w:r>
            <w:r>
              <w:rPr>
                <w:rFonts w:ascii="宋体" w:hAnsi="宋体" w:cs="宋体" w:eastAsia="宋体" w:hint="default"/>
                <w:sz w:val="24"/>
                <w:szCs w:val="24"/>
              </w:rPr>
              <w:t>以上的款项</w:t>
            </w:r>
          </w:p>
        </w:tc>
      </w:tr>
      <w:tr>
        <w:trPr>
          <w:trHeight w:val="94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单项金额重大并单项计提坏账准备的计提</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单独进行减值测试，根据其未来现金流量</w:t>
            </w:r>
          </w:p>
          <w:p>
            <w:pPr>
              <w:pStyle w:val="TableParagraph"/>
              <w:spacing w:line="312" w:lineRule="exact" w:before="29"/>
              <w:ind w:left="103" w:right="272"/>
              <w:jc w:val="left"/>
              <w:rPr>
                <w:rFonts w:ascii="宋体" w:hAnsi="宋体" w:cs="宋体" w:eastAsia="宋体" w:hint="default"/>
                <w:sz w:val="24"/>
                <w:szCs w:val="24"/>
              </w:rPr>
            </w:pPr>
            <w:r>
              <w:rPr>
                <w:rFonts w:ascii="宋体" w:hAnsi="宋体" w:cs="宋体" w:eastAsia="宋体" w:hint="default"/>
                <w:sz w:val="24"/>
                <w:szCs w:val="24"/>
              </w:rPr>
              <w:t>现值低于其账面价值的差额计提坏账准 备</w:t>
            </w:r>
          </w:p>
        </w:tc>
      </w:tr>
    </w:tbl>
    <w:p>
      <w:pPr>
        <w:spacing w:line="240" w:lineRule="auto" w:before="5"/>
        <w:rPr>
          <w:rFonts w:ascii="宋体" w:hAnsi="宋体" w:cs="宋体" w:eastAsia="宋体" w:hint="default"/>
          <w:sz w:val="23"/>
          <w:szCs w:val="23"/>
        </w:rPr>
      </w:pPr>
    </w:p>
    <w:p>
      <w:pPr>
        <w:pStyle w:val="Heading2"/>
        <w:tabs>
          <w:tab w:pos="1057" w:val="left" w:leader="none"/>
        </w:tabs>
        <w:spacing w:line="240" w:lineRule="auto"/>
        <w:ind w:right="233"/>
        <w:jc w:val="left"/>
        <w:rPr>
          <w:b w:val="0"/>
          <w:bCs w:val="0"/>
        </w:rPr>
      </w:pPr>
      <w:r>
        <w:rPr>
          <w:rFonts w:ascii="宋体" w:hAnsi="宋体" w:cs="宋体" w:eastAsia="宋体" w:hint="default"/>
        </w:rPr>
        <w:t>(2).</w:t>
        <w:tab/>
      </w:r>
      <w:r>
        <w:rPr/>
        <w:t>按信用风险特征组合计提坏账准备的应收款项：</w:t>
      </w:r>
      <w:r>
        <w:rPr>
          <w:b w:val="0"/>
          <w:bCs w:val="0"/>
        </w:rPr>
      </w:r>
    </w:p>
    <w:p>
      <w:pPr>
        <w:pStyle w:val="BodyText"/>
        <w:spacing w:line="240" w:lineRule="auto" w:before="58"/>
        <w:ind w:left="218" w:right="233"/>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63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按信用风险特征组合计提坏账准备的计提方法（账龄分析法、余额百分比法、其他方</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法）</w:t>
            </w:r>
          </w:p>
        </w:tc>
      </w:tr>
      <w:tr>
        <w:trPr>
          <w:trHeight w:val="32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账龄分析法</w:t>
            </w:r>
          </w:p>
        </w:tc>
      </w:tr>
      <w:tr>
        <w:trPr>
          <w:trHeight w:val="63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合并范围内关联往来组合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按其预计未来现金流量现值低于其账面</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价值的差额计提坏账准备</w:t>
            </w:r>
          </w:p>
        </w:tc>
      </w:tr>
    </w:tbl>
    <w:p>
      <w:pPr>
        <w:spacing w:line="240" w:lineRule="auto" w:before="8"/>
        <w:rPr>
          <w:rFonts w:ascii="宋体" w:hAnsi="宋体" w:cs="宋体" w:eastAsia="宋体" w:hint="default"/>
          <w:sz w:val="18"/>
          <w:szCs w:val="18"/>
        </w:rPr>
      </w:pPr>
    </w:p>
    <w:p>
      <w:pPr>
        <w:pStyle w:val="BodyText"/>
        <w:spacing w:line="313" w:lineRule="exact" w:before="26"/>
        <w:ind w:left="218" w:right="233"/>
        <w:jc w:val="left"/>
      </w:pPr>
      <w:r>
        <w:rPr/>
        <w:t>组合中，采用账龄分析法计提坏账准备的</w:t>
      </w:r>
    </w:p>
    <w:p>
      <w:pPr>
        <w:pStyle w:val="BodyText"/>
        <w:spacing w:line="313" w:lineRule="exact"/>
        <w:ind w:left="218" w:right="233"/>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6" w:right="0"/>
              <w:jc w:val="left"/>
              <w:rPr>
                <w:rFonts w:ascii="宋体" w:hAnsi="宋体" w:cs="宋体" w:eastAsia="宋体" w:hint="default"/>
                <w:sz w:val="24"/>
                <w:szCs w:val="24"/>
              </w:rPr>
            </w:pPr>
            <w:r>
              <w:rPr>
                <w:rFonts w:ascii="宋体" w:hAnsi="宋体" w:cs="宋体" w:eastAsia="宋体" w:hint="default"/>
                <w:sz w:val="24"/>
                <w:szCs w:val="24"/>
              </w:rPr>
              <w:t>应收账款计提比例</w:t>
            </w:r>
            <w:r>
              <w:rPr>
                <w:rFonts w:ascii="宋体" w:hAnsi="宋体" w:cs="宋体" w:eastAsia="宋体" w:hint="default"/>
                <w:sz w:val="24"/>
                <w:szCs w:val="24"/>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5" w:right="0"/>
              <w:jc w:val="left"/>
              <w:rPr>
                <w:rFonts w:ascii="宋体" w:hAnsi="宋体" w:cs="宋体" w:eastAsia="宋体" w:hint="default"/>
                <w:sz w:val="24"/>
                <w:szCs w:val="24"/>
              </w:rPr>
            </w:pPr>
            <w:r>
              <w:rPr>
                <w:rFonts w:ascii="宋体" w:hAnsi="宋体" w:cs="宋体" w:eastAsia="宋体" w:hint="default"/>
                <w:sz w:val="24"/>
                <w:szCs w:val="24"/>
              </w:rPr>
              <w:t>其他应收款计提比例</w:t>
            </w:r>
            <w:r>
              <w:rPr>
                <w:rFonts w:ascii="宋体" w:hAnsi="宋体" w:cs="宋体" w:eastAsia="宋体" w:hint="default"/>
                <w:sz w:val="24"/>
                <w:szCs w:val="24"/>
              </w:rPr>
              <w:t>(%)</w:t>
            </w:r>
          </w:p>
        </w:tc>
      </w:tr>
      <w:tr>
        <w:trPr>
          <w:trHeight w:val="31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年以内（含</w:t>
            </w:r>
            <w:r>
              <w:rPr>
                <w:rFonts w:ascii="宋体" w:hAnsi="宋体" w:cs="宋体" w:eastAsia="宋体" w:hint="default"/>
                <w:spacing w:val="-61"/>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w:t>
            </w:r>
          </w:p>
        </w:tc>
      </w:tr>
      <w:tr>
        <w:trPr>
          <w:trHeight w:val="32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年以内分项，可添加行</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w:t>
            </w:r>
          </w:p>
        </w:tc>
      </w:tr>
    </w:tbl>
    <w:p>
      <w:pPr>
        <w:spacing w:after="0" w:line="274" w:lineRule="exact"/>
        <w:jc w:val="right"/>
        <w:rPr>
          <w:rFonts w:ascii="宋体" w:hAnsi="宋体" w:cs="宋体" w:eastAsia="宋体" w:hint="default"/>
          <w:sz w:val="24"/>
          <w:szCs w:val="24"/>
        </w:rPr>
        <w:sectPr>
          <w:footerReference w:type="default" r:id="rId60"/>
          <w:pgSz w:w="11910" w:h="16840"/>
          <w:pgMar w:footer="1195" w:header="882" w:top="1120" w:bottom="1380" w:left="1580" w:right="1040"/>
          <w:pgNumType w:start="10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20</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50</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50</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50</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w:t>
            </w:r>
          </w:p>
        </w:tc>
      </w:tr>
    </w:tbl>
    <w:p>
      <w:pPr>
        <w:spacing w:line="240" w:lineRule="auto" w:before="10"/>
        <w:rPr>
          <w:rFonts w:ascii="宋体" w:hAnsi="宋体" w:cs="宋体" w:eastAsia="宋体" w:hint="default"/>
          <w:sz w:val="18"/>
          <w:szCs w:val="18"/>
        </w:rPr>
      </w:pPr>
    </w:p>
    <w:p>
      <w:pPr>
        <w:pStyle w:val="BodyText"/>
        <w:spacing w:line="312" w:lineRule="exact" w:before="26"/>
        <w:ind w:left="218" w:right="233"/>
        <w:jc w:val="left"/>
      </w:pPr>
      <w:r>
        <w:rPr/>
        <w:t>组合中，采用余额百分比法计提坏账准备的</w:t>
      </w:r>
    </w:p>
    <w:p>
      <w:pPr>
        <w:pStyle w:val="BodyText"/>
        <w:spacing w:line="312" w:lineRule="exact" w:before="28"/>
        <w:ind w:left="218" w:right="4968"/>
        <w:jc w:val="left"/>
      </w:pPr>
      <w:r>
        <w:rPr/>
        <w:t>□适用</w:t>
      </w:r>
      <w:r>
        <w:rPr>
          <w:spacing w:val="-1"/>
        </w:rPr>
        <w:t> </w:t>
      </w:r>
      <w:r>
        <w:rPr/>
        <w:t>√不适用</w:t>
      </w:r>
      <w:r>
        <w:rPr/>
        <w:t> 组合中，采用其他方法计提坏账准备的</w:t>
      </w:r>
    </w:p>
    <w:p>
      <w:pPr>
        <w:pStyle w:val="BodyText"/>
        <w:spacing w:line="283" w:lineRule="exact"/>
        <w:ind w:left="218" w:right="233"/>
        <w:jc w:val="left"/>
      </w:pPr>
      <w:r>
        <w:rPr/>
        <w:t>□适用</w:t>
      </w:r>
      <w:r>
        <w:rPr>
          <w:spacing w:val="-1"/>
        </w:rPr>
        <w:t> </w:t>
      </w:r>
      <w:r>
        <w:rPr/>
        <w:t>√不适用</w:t>
      </w:r>
    </w:p>
    <w:p>
      <w:pPr>
        <w:pStyle w:val="Heading2"/>
        <w:tabs>
          <w:tab w:pos="1057" w:val="left" w:leader="none"/>
        </w:tabs>
        <w:spacing w:line="240" w:lineRule="auto" w:before="56"/>
        <w:ind w:right="233"/>
        <w:jc w:val="left"/>
        <w:rPr>
          <w:b w:val="0"/>
          <w:bCs w:val="0"/>
        </w:rPr>
      </w:pPr>
      <w:r>
        <w:rPr>
          <w:rFonts w:ascii="宋体" w:hAnsi="宋体" w:cs="宋体" w:eastAsia="宋体" w:hint="default"/>
        </w:rPr>
        <w:t>(3).</w:t>
        <w:tab/>
      </w:r>
      <w:r>
        <w:rPr/>
        <w:t>单项金额不重大但单独计提坏账准备的应收款项：</w:t>
      </w:r>
      <w:r>
        <w:rPr>
          <w:b w:val="0"/>
          <w:bCs w:val="0"/>
        </w:rPr>
      </w:r>
    </w:p>
    <w:p>
      <w:pPr>
        <w:pStyle w:val="BodyText"/>
        <w:spacing w:line="240" w:lineRule="auto" w:before="58"/>
        <w:ind w:left="218" w:right="233"/>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94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应收款项的未来现金流量现值与以账龄和</w:t>
            </w:r>
          </w:p>
          <w:p>
            <w:pPr>
              <w:pStyle w:val="TableParagraph"/>
              <w:spacing w:line="310" w:lineRule="exact" w:before="31"/>
              <w:ind w:left="100" w:right="277"/>
              <w:jc w:val="left"/>
              <w:rPr>
                <w:rFonts w:ascii="宋体" w:hAnsi="宋体" w:cs="宋体" w:eastAsia="宋体" w:hint="default"/>
                <w:sz w:val="24"/>
                <w:szCs w:val="24"/>
              </w:rPr>
            </w:pPr>
            <w:r>
              <w:rPr>
                <w:rFonts w:ascii="宋体" w:hAnsi="宋体" w:cs="宋体" w:eastAsia="宋体" w:hint="default"/>
                <w:sz w:val="24"/>
                <w:szCs w:val="24"/>
              </w:rPr>
              <w:t>合并范围为信用风险特征的应收款项组合 的未来现金流量现值存在显著差异</w:t>
            </w:r>
          </w:p>
        </w:tc>
      </w:tr>
      <w:tr>
        <w:trPr>
          <w:trHeight w:val="63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单独进行减值测试，根据其未来现金流量现</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值低于其账面价值的差额计提坏账准备</w:t>
            </w:r>
          </w:p>
        </w:tc>
      </w:tr>
    </w:tbl>
    <w:p>
      <w:pPr>
        <w:pStyle w:val="BodyText"/>
        <w:spacing w:line="272" w:lineRule="exact"/>
        <w:ind w:left="698" w:right="0"/>
        <w:jc w:val="left"/>
      </w:pPr>
      <w:r>
        <w:rPr/>
        <w:t>对应收票据、应收利息、长期应收款等其他应收款项，根据其未来现金流量现值</w:t>
      </w:r>
    </w:p>
    <w:p>
      <w:pPr>
        <w:pStyle w:val="BodyText"/>
        <w:spacing w:line="312" w:lineRule="exact"/>
        <w:ind w:left="218" w:right="233"/>
        <w:jc w:val="left"/>
      </w:pPr>
      <w:r>
        <w:rPr/>
        <w:t>低于其账面价值的差额计提坏账准备。</w:t>
      </w:r>
    </w:p>
    <w:p>
      <w:pPr>
        <w:spacing w:line="240" w:lineRule="auto" w:before="4"/>
        <w:rPr>
          <w:rFonts w:ascii="宋体" w:hAnsi="宋体" w:cs="宋体" w:eastAsia="宋体" w:hint="default"/>
          <w:sz w:val="28"/>
          <w:szCs w:val="28"/>
        </w:rPr>
      </w:pPr>
    </w:p>
    <w:p>
      <w:pPr>
        <w:pStyle w:val="Heading2"/>
        <w:spacing w:line="240" w:lineRule="auto" w:before="0"/>
        <w:ind w:right="233"/>
        <w:jc w:val="left"/>
        <w:rPr>
          <w:b w:val="0"/>
          <w:bCs w:val="0"/>
        </w:rPr>
      </w:pPr>
      <w:r>
        <w:rPr>
          <w:rFonts w:ascii="宋体" w:hAnsi="宋体" w:cs="宋体" w:eastAsia="宋体" w:hint="default"/>
        </w:rPr>
        <w:t>12.</w:t>
      </w:r>
      <w:r>
        <w:rPr>
          <w:rFonts w:ascii="宋体" w:hAnsi="宋体" w:cs="宋体" w:eastAsia="宋体" w:hint="default"/>
          <w:spacing w:val="-58"/>
        </w:rPr>
        <w:t> </w:t>
      </w:r>
      <w:r>
        <w:rPr/>
        <w:t>存货</w:t>
      </w:r>
      <w:r>
        <w:rPr>
          <w:b w:val="0"/>
          <w:bCs w:val="0"/>
        </w:rPr>
      </w:r>
    </w:p>
    <w:p>
      <w:pPr>
        <w:pStyle w:val="BodyText"/>
        <w:tabs>
          <w:tab w:pos="1177" w:val="left" w:leader="none"/>
        </w:tabs>
        <w:spacing w:line="312" w:lineRule="exact" w:before="86"/>
        <w:ind w:left="638" w:right="7086" w:hanging="420"/>
        <w:jc w:val="left"/>
      </w:pPr>
      <w:r>
        <w:rPr>
          <w:spacing w:val="-1"/>
        </w:rPr>
        <w:t>√适用</w:t>
        <w:tab/>
      </w:r>
      <w:r>
        <w:rPr/>
        <w:t>□不适用</w:t>
      </w:r>
      <w:r>
        <w:rPr/>
        <w:t> </w:t>
      </w:r>
      <w:r>
        <w:rPr>
          <w:rFonts w:ascii="宋体" w:hAnsi="宋体" w:cs="宋体" w:eastAsia="宋体" w:hint="default"/>
        </w:rPr>
        <w:t>1. </w:t>
      </w:r>
      <w:r>
        <w:rPr/>
        <w:t>存货的分类</w:t>
      </w:r>
    </w:p>
    <w:p>
      <w:pPr>
        <w:pStyle w:val="BodyText"/>
        <w:spacing w:line="357" w:lineRule="auto" w:before="125"/>
        <w:ind w:left="218" w:right="232" w:firstLine="465"/>
        <w:jc w:val="both"/>
      </w:pPr>
      <w:r>
        <w:rPr>
          <w:spacing w:val="-1"/>
        </w:rPr>
        <w:t>存货包括在开发经营过程中为出售或耗用而持有的开发用土地、开发产品、意图</w:t>
      </w:r>
      <w:r>
        <w:rPr/>
        <w:t> </w:t>
      </w:r>
      <w:r>
        <w:rPr>
          <w:spacing w:val="-2"/>
        </w:rPr>
        <w:t>出售而暂时出租的开发产品、周转房、库存材料、库存设备、在拍影视剧、完成拍摄</w:t>
      </w:r>
      <w:r>
        <w:rPr>
          <w:spacing w:val="-95"/>
        </w:rPr>
        <w:t> </w:t>
      </w:r>
      <w:r>
        <w:rPr>
          <w:spacing w:val="-95"/>
        </w:rPr>
      </w:r>
      <w:r>
        <w:rPr/>
        <w:t>影视剧和低值易耗品等，以及在开发过程中的开发成本。</w:t>
      </w:r>
    </w:p>
    <w:p>
      <w:pPr>
        <w:pStyle w:val="BodyText"/>
        <w:spacing w:line="240" w:lineRule="auto" w:before="34"/>
        <w:ind w:left="638" w:right="233"/>
        <w:jc w:val="left"/>
      </w:pPr>
      <w:r>
        <w:rPr>
          <w:rFonts w:ascii="宋体" w:hAnsi="宋体" w:cs="宋体" w:eastAsia="宋体" w:hint="default"/>
        </w:rPr>
        <w:t>2. </w:t>
      </w:r>
      <w:r>
        <w:rPr/>
        <w:t>发出存货的计价方法</w:t>
      </w:r>
    </w:p>
    <w:p>
      <w:pPr>
        <w:pStyle w:val="BodyText"/>
        <w:spacing w:line="240" w:lineRule="auto" w:before="154"/>
        <w:ind w:left="638" w:right="233"/>
        <w:jc w:val="left"/>
      </w:pPr>
      <w:r>
        <w:rPr>
          <w:rFonts w:ascii="宋体" w:hAnsi="宋体" w:cs="宋体" w:eastAsia="宋体" w:hint="default"/>
        </w:rPr>
        <w:t>(1) </w:t>
      </w:r>
      <w:r>
        <w:rPr/>
        <w:t>发出存货采用月末一次加权平均法。</w:t>
      </w:r>
    </w:p>
    <w:p>
      <w:pPr>
        <w:pStyle w:val="BodyText"/>
        <w:spacing w:line="357" w:lineRule="auto" w:before="152"/>
        <w:ind w:left="218" w:right="232" w:firstLine="479"/>
        <w:jc w:val="both"/>
      </w:pPr>
      <w:r>
        <w:rPr>
          <w:rFonts w:ascii="宋体" w:hAnsi="宋体" w:cs="宋体" w:eastAsia="宋体" w:hint="default"/>
        </w:rPr>
        <w:t>(2)</w:t>
      </w:r>
      <w:r>
        <w:rPr>
          <w:rFonts w:ascii="宋体" w:hAnsi="宋体" w:cs="宋体" w:eastAsia="宋体" w:hint="default"/>
          <w:spacing w:val="-45"/>
        </w:rPr>
        <w:t> </w:t>
      </w:r>
      <w:r>
        <w:rPr/>
        <w:t>项目开发时，开发用土地分摊计入项目的开发成本的方法如下：开发用土地 </w:t>
      </w:r>
      <w:r>
        <w:rPr>
          <w:spacing w:val="-2"/>
        </w:rPr>
        <w:t>按开发产品占地面积计算分摊计入项目的开发成本，如果各种开发产品类型的容积率</w:t>
      </w:r>
      <w:r>
        <w:rPr>
          <w:spacing w:val="-94"/>
        </w:rPr>
        <w:t> </w:t>
      </w:r>
      <w:r>
        <w:rPr>
          <w:spacing w:val="-94"/>
        </w:rPr>
      </w:r>
      <w:r>
        <w:rPr/>
        <w:t>差异较大导致按占地面积计算分摊不合理的，则按开发产品建筑面积计算分摊。</w:t>
      </w:r>
    </w:p>
    <w:p>
      <w:pPr>
        <w:pStyle w:val="BodyText"/>
        <w:spacing w:line="240" w:lineRule="auto" w:before="36"/>
        <w:ind w:left="698" w:right="233"/>
        <w:jc w:val="left"/>
      </w:pPr>
      <w:r>
        <w:rPr>
          <w:rFonts w:ascii="宋体" w:hAnsi="宋体" w:cs="宋体" w:eastAsia="宋体" w:hint="default"/>
        </w:rPr>
        <w:t>(3) </w:t>
      </w:r>
      <w:r>
        <w:rPr/>
        <w:t>发出开发产品按建筑面积平均分摊法核算。</w:t>
      </w:r>
    </w:p>
    <w:p>
      <w:pPr>
        <w:pStyle w:val="BodyText"/>
        <w:spacing w:line="357" w:lineRule="auto" w:before="151"/>
        <w:ind w:left="218" w:right="237" w:firstLine="479"/>
        <w:jc w:val="both"/>
      </w:pPr>
      <w:r>
        <w:rPr>
          <w:rFonts w:ascii="宋体" w:hAnsi="宋体" w:cs="宋体" w:eastAsia="宋体" w:hint="default"/>
        </w:rPr>
        <w:t>(4)</w:t>
      </w:r>
      <w:r>
        <w:rPr>
          <w:rFonts w:ascii="宋体" w:hAnsi="宋体" w:cs="宋体" w:eastAsia="宋体" w:hint="default"/>
          <w:spacing w:val="30"/>
        </w:rPr>
        <w:t> </w:t>
      </w:r>
      <w:r>
        <w:rPr>
          <w:spacing w:val="4"/>
        </w:rPr>
        <w:t>意图出售而暂时出租的开发产品和周转房按公司同类固定资产的预计使用</w:t>
      </w:r>
      <w:r>
        <w:rPr/>
        <w:t> 年限分期平均摊销。</w:t>
      </w:r>
    </w:p>
    <w:p>
      <w:pPr>
        <w:pStyle w:val="BodyText"/>
        <w:spacing w:line="357" w:lineRule="auto" w:before="34"/>
        <w:ind w:left="218" w:right="0" w:firstLine="479"/>
        <w:jc w:val="left"/>
      </w:pPr>
      <w:r>
        <w:rPr>
          <w:rFonts w:ascii="宋体" w:hAnsi="宋体" w:cs="宋体" w:eastAsia="宋体" w:hint="default"/>
        </w:rPr>
        <w:t>(5)</w:t>
      </w:r>
      <w:r>
        <w:rPr>
          <w:rFonts w:ascii="宋体" w:hAnsi="宋体" w:cs="宋体" w:eastAsia="宋体" w:hint="default"/>
          <w:spacing w:val="54"/>
        </w:rPr>
        <w:t> </w:t>
      </w:r>
      <w:r>
        <w:rPr/>
        <w:t>如果公共配套设施早于有关开发产品完工的，在公共配套设施完工决算后，</w:t>
      </w:r>
      <w:r>
        <w:rPr>
          <w:spacing w:val="2"/>
        </w:rPr>
        <w:t> </w:t>
      </w:r>
      <w:r>
        <w:rPr/>
        <w:t>按有关开发项目的建筑面积分配计入有关开发项目的开发成本；如果公共配套设施晚</w:t>
      </w:r>
    </w:p>
    <w:p>
      <w:pPr>
        <w:spacing w:after="0" w:line="357" w:lineRule="auto"/>
        <w:jc w:val="left"/>
        <w:sectPr>
          <w:pgSz w:w="11910" w:h="16840"/>
          <w:pgMar w:header="882" w:footer="1195" w:top="1120" w:bottom="1380" w:left="1580" w:right="1040"/>
        </w:sectPr>
      </w:pPr>
    </w:p>
    <w:p>
      <w:pPr>
        <w:spacing w:line="240" w:lineRule="auto" w:before="5"/>
        <w:rPr>
          <w:rFonts w:ascii="宋体" w:hAnsi="宋体" w:cs="宋体" w:eastAsia="宋体" w:hint="default"/>
          <w:sz w:val="25"/>
          <w:szCs w:val="25"/>
        </w:rPr>
      </w:pPr>
    </w:p>
    <w:p>
      <w:pPr>
        <w:pStyle w:val="BodyText"/>
        <w:spacing w:line="357" w:lineRule="auto" w:before="26"/>
        <w:ind w:right="234"/>
        <w:jc w:val="both"/>
      </w:pPr>
      <w:r>
        <w:rPr>
          <w:spacing w:val="-2"/>
        </w:rPr>
        <w:t>于有关开发产品完工的，则先由有关开发产品预提公共配套设施费，待公共配套设施</w:t>
      </w:r>
      <w:r>
        <w:rPr>
          <w:spacing w:val="-94"/>
        </w:rPr>
        <w:t> </w:t>
      </w:r>
      <w:r>
        <w:rPr>
          <w:spacing w:val="-94"/>
        </w:rPr>
      </w:r>
      <w:r>
        <w:rPr/>
        <w:t>完工决算后再按实际发生数与预提数之间的差额调整有关开发产品成本。</w:t>
      </w:r>
    </w:p>
    <w:p>
      <w:pPr>
        <w:pStyle w:val="BodyText"/>
        <w:spacing w:line="357" w:lineRule="auto" w:before="34"/>
        <w:ind w:left="558" w:right="228"/>
        <w:jc w:val="left"/>
      </w:pPr>
      <w:r>
        <w:rPr>
          <w:rFonts w:ascii="宋体" w:hAnsi="宋体" w:cs="宋体" w:eastAsia="宋体" w:hint="default"/>
        </w:rPr>
        <w:t>3. </w:t>
      </w:r>
      <w:r>
        <w:rPr/>
        <w:t>存货可变现净值的确定依据 资产负债表日，存货采用成本与可变现净值孰低计量，按照单个存货成本高于可</w:t>
      </w:r>
    </w:p>
    <w:p>
      <w:pPr>
        <w:pStyle w:val="BodyText"/>
        <w:spacing w:line="357" w:lineRule="auto" w:before="36"/>
        <w:ind w:right="233"/>
        <w:jc w:val="both"/>
      </w:pPr>
      <w:r>
        <w:rPr>
          <w:spacing w:val="-2"/>
        </w:rPr>
        <w:t>变现净值的差额计提存货跌价准备。直接用于出售的存货，在正常生产经营过程中以</w:t>
      </w:r>
      <w:r>
        <w:rPr>
          <w:spacing w:val="-94"/>
        </w:rPr>
        <w:t> </w:t>
      </w:r>
      <w:r>
        <w:rPr>
          <w:spacing w:val="-94"/>
        </w:rPr>
      </w:r>
      <w:r>
        <w:rPr>
          <w:spacing w:val="-2"/>
        </w:rPr>
        <w:t>该存货的估计售价减去估计的销售费用和相关税费后的金额确定其可变现净值；需要</w:t>
      </w:r>
      <w:r>
        <w:rPr>
          <w:spacing w:val="-94"/>
        </w:rPr>
        <w:t> </w:t>
      </w:r>
      <w:r>
        <w:rPr>
          <w:spacing w:val="-94"/>
        </w:rPr>
      </w:r>
      <w:r>
        <w:rPr>
          <w:spacing w:val="-2"/>
        </w:rPr>
        <w:t>经过加工的存货，在正常生产经营过程中以所生产的产成品的估计售价减去至完工时</w:t>
      </w:r>
      <w:r>
        <w:rPr>
          <w:spacing w:val="-94"/>
        </w:rPr>
        <w:t> </w:t>
      </w:r>
      <w:r>
        <w:rPr>
          <w:spacing w:val="-94"/>
        </w:rPr>
      </w:r>
      <w:r>
        <w:rPr>
          <w:spacing w:val="-2"/>
        </w:rPr>
        <w:t>估计将要发生的成本、估计的销售费用和相关税费后的金额确定其可变现净值；资产</w:t>
      </w:r>
      <w:r>
        <w:rPr>
          <w:spacing w:val="-94"/>
        </w:rPr>
        <w:t> </w:t>
      </w:r>
      <w:r>
        <w:rPr>
          <w:spacing w:val="-94"/>
        </w:rPr>
      </w:r>
      <w:r>
        <w:rPr>
          <w:spacing w:val="-2"/>
        </w:rPr>
        <w:t>负债表日，同一项存货中一部分有合同价格约定、其他部分不存在合同价格的，分别</w:t>
      </w:r>
      <w:r>
        <w:rPr>
          <w:spacing w:val="-96"/>
        </w:rPr>
        <w:t> </w:t>
      </w:r>
      <w:r>
        <w:rPr>
          <w:spacing w:val="-96"/>
        </w:rPr>
      </w:r>
      <w:r>
        <w:rPr>
          <w:spacing w:val="-2"/>
        </w:rPr>
        <w:t>确定其可变现净值，并与其对应的成本进行比较，分别确定存货跌价准备的计提或转</w:t>
      </w:r>
      <w:r>
        <w:rPr>
          <w:spacing w:val="-94"/>
        </w:rPr>
        <w:t> </w:t>
      </w:r>
      <w:r>
        <w:rPr>
          <w:spacing w:val="-94"/>
        </w:rPr>
      </w:r>
      <w:r>
        <w:rPr/>
        <w:t>回的金额。</w:t>
      </w:r>
    </w:p>
    <w:p>
      <w:pPr>
        <w:pStyle w:val="BodyText"/>
        <w:spacing w:line="357" w:lineRule="auto" w:before="34"/>
        <w:ind w:left="558" w:right="5268"/>
        <w:jc w:val="left"/>
      </w:pPr>
      <w:r>
        <w:rPr>
          <w:rFonts w:ascii="宋体" w:hAnsi="宋体" w:cs="宋体" w:eastAsia="宋体" w:hint="default"/>
        </w:rPr>
        <w:t>4. </w:t>
      </w:r>
      <w:r>
        <w:rPr/>
        <w:t>存货的盘存制度 存货的盘存制度为永续盘存制。</w:t>
      </w:r>
    </w:p>
    <w:p>
      <w:pPr>
        <w:pStyle w:val="BodyText"/>
        <w:spacing w:line="240" w:lineRule="auto" w:before="34"/>
        <w:ind w:left="558" w:right="119"/>
        <w:jc w:val="left"/>
      </w:pPr>
      <w:r>
        <w:rPr>
          <w:rFonts w:ascii="宋体" w:hAnsi="宋体" w:cs="宋体" w:eastAsia="宋体" w:hint="default"/>
        </w:rPr>
        <w:t>5. </w:t>
      </w:r>
      <w:r>
        <w:rPr/>
        <w:t>低值易耗品和包装物的摊销方法</w:t>
      </w:r>
    </w:p>
    <w:p>
      <w:pPr>
        <w:pStyle w:val="BodyText"/>
        <w:spacing w:line="357" w:lineRule="auto" w:before="154"/>
        <w:ind w:left="558" w:right="5748"/>
        <w:jc w:val="left"/>
      </w:pPr>
      <w:r>
        <w:rPr>
          <w:rFonts w:ascii="宋体" w:hAnsi="宋体" w:cs="宋体" w:eastAsia="宋体" w:hint="default"/>
        </w:rPr>
        <w:t>(1) </w:t>
      </w:r>
      <w:r>
        <w:rPr/>
        <w:t>低值易耗品 按照一次转销法进行摊销。 </w:t>
      </w:r>
      <w:r>
        <w:rPr>
          <w:rFonts w:ascii="宋体" w:hAnsi="宋体" w:cs="宋体" w:eastAsia="宋体" w:hint="default"/>
        </w:rPr>
        <w:t>(2) </w:t>
      </w:r>
      <w:r>
        <w:rPr/>
        <w:t>包装物 按照一次转销法进行摊销。</w:t>
      </w:r>
    </w:p>
    <w:p>
      <w:pPr>
        <w:spacing w:line="240" w:lineRule="auto" w:before="3"/>
        <w:rPr>
          <w:rFonts w:ascii="宋体" w:hAnsi="宋体" w:cs="宋体" w:eastAsia="宋体" w:hint="default"/>
          <w:sz w:val="31"/>
          <w:szCs w:val="31"/>
        </w:rPr>
      </w:pPr>
    </w:p>
    <w:p>
      <w:pPr>
        <w:pStyle w:val="Heading2"/>
        <w:spacing w:line="240" w:lineRule="auto" w:before="0"/>
        <w:ind w:left="138" w:right="0"/>
        <w:jc w:val="both"/>
        <w:rPr>
          <w:b w:val="0"/>
          <w:bCs w:val="0"/>
        </w:rPr>
      </w:pPr>
      <w:r>
        <w:rPr>
          <w:rFonts w:ascii="宋体" w:hAnsi="宋体" w:cs="宋体" w:eastAsia="宋体" w:hint="default"/>
        </w:rPr>
        <w:t>13.</w:t>
      </w:r>
      <w:r>
        <w:rPr>
          <w:rFonts w:ascii="宋体" w:hAnsi="宋体" w:cs="宋体" w:eastAsia="宋体" w:hint="default"/>
          <w:spacing w:val="-62"/>
        </w:rPr>
        <w:t> </w:t>
      </w:r>
      <w:r>
        <w:rPr/>
        <w:t>持有待售资产</w:t>
      </w:r>
      <w:r>
        <w:rPr>
          <w:b w:val="0"/>
          <w:bCs w:val="0"/>
        </w:rPr>
      </w:r>
    </w:p>
    <w:p>
      <w:pPr>
        <w:pStyle w:val="BodyText"/>
        <w:spacing w:line="313" w:lineRule="exact" w:before="55"/>
        <w:ind w:right="0"/>
        <w:jc w:val="both"/>
      </w:pPr>
      <w:r>
        <w:rPr/>
        <w:t>√适用</w:t>
      </w:r>
      <w:r>
        <w:rPr>
          <w:spacing w:val="119"/>
        </w:rPr>
        <w:t> </w:t>
      </w:r>
      <w:r>
        <w:rPr/>
        <w:t>□不适用</w:t>
      </w:r>
    </w:p>
    <w:p>
      <w:pPr>
        <w:pStyle w:val="BodyText"/>
        <w:spacing w:line="357" w:lineRule="auto"/>
        <w:ind w:left="558" w:right="119"/>
        <w:jc w:val="left"/>
      </w:pPr>
      <w:r>
        <w:rPr>
          <w:rFonts w:ascii="宋体" w:hAnsi="宋体" w:cs="宋体" w:eastAsia="宋体" w:hint="default"/>
        </w:rPr>
        <w:t>1. </w:t>
      </w:r>
      <w:r>
        <w:rPr/>
        <w:t>持有待售的非流动资产或处置组的分类 </w:t>
      </w:r>
      <w:r>
        <w:rPr>
          <w:spacing w:val="-4"/>
        </w:rPr>
        <w:t>公司将同时满足下列条件的非流动资产或处置组划分为持有待售类别：（</w:t>
      </w:r>
      <w:r>
        <w:rPr>
          <w:rFonts w:ascii="宋体" w:hAnsi="宋体" w:cs="宋体" w:eastAsia="宋体" w:hint="default"/>
          <w:spacing w:val="-4"/>
        </w:rPr>
        <w:t>1</w:t>
      </w:r>
      <w:r>
        <w:rPr>
          <w:spacing w:val="-4"/>
        </w:rPr>
        <w:t>）根据</w:t>
      </w:r>
    </w:p>
    <w:p>
      <w:pPr>
        <w:pStyle w:val="BodyText"/>
        <w:spacing w:line="357" w:lineRule="auto" w:before="34"/>
        <w:ind w:right="232"/>
        <w:jc w:val="both"/>
      </w:pPr>
      <w:r>
        <w:rPr>
          <w:spacing w:val="-5"/>
        </w:rPr>
        <w:t>类似交易中出售此类资产或处置组的惯例，在当前状况下即可立即出售；（</w:t>
      </w:r>
      <w:r>
        <w:rPr>
          <w:rFonts w:ascii="宋体" w:hAnsi="宋体" w:cs="宋体" w:eastAsia="宋体" w:hint="default"/>
          <w:spacing w:val="-5"/>
        </w:rPr>
        <w:t>2</w:t>
      </w:r>
      <w:r>
        <w:rPr>
          <w:spacing w:val="-5"/>
        </w:rPr>
        <w:t>）出售极</w:t>
      </w:r>
      <w:r>
        <w:rPr>
          <w:spacing w:val="-98"/>
        </w:rPr>
        <w:t> </w:t>
      </w:r>
      <w:r>
        <w:rPr>
          <w:spacing w:val="-98"/>
        </w:rPr>
      </w:r>
      <w:r>
        <w:rPr>
          <w:spacing w:val="-2"/>
        </w:rPr>
        <w:t>可能发生，即公司已经就出售计划作出决议且获得确定的购买承诺，预计出售将在一</w:t>
      </w:r>
      <w:r>
        <w:rPr>
          <w:spacing w:val="-95"/>
        </w:rPr>
        <w:t> </w:t>
      </w:r>
      <w:r>
        <w:rPr>
          <w:spacing w:val="-95"/>
        </w:rPr>
      </w:r>
      <w:r>
        <w:rPr/>
        <w:t>年内完成。</w:t>
      </w:r>
    </w:p>
    <w:p>
      <w:pPr>
        <w:pStyle w:val="BodyText"/>
        <w:spacing w:line="357" w:lineRule="auto" w:before="36"/>
        <w:ind w:right="233" w:firstLine="479"/>
        <w:jc w:val="both"/>
      </w:pPr>
      <w:r>
        <w:rPr>
          <w:spacing w:val="-2"/>
        </w:rPr>
        <w:t>公司专为转售而取得的非流动资产或处置组，在取得日满足“预计出售将在一年</w:t>
      </w:r>
      <w:r>
        <w:rPr/>
        <w:t> </w:t>
      </w:r>
      <w:r>
        <w:rPr>
          <w:spacing w:val="-3"/>
        </w:rPr>
        <w:t>内完成”的条件，且短期（通常为</w:t>
      </w:r>
      <w:r>
        <w:rPr>
          <w:spacing w:val="-62"/>
        </w:rPr>
        <w:t> </w:t>
      </w:r>
      <w:r>
        <w:rPr>
          <w:rFonts w:ascii="宋体" w:hAnsi="宋体" w:cs="宋体" w:eastAsia="宋体" w:hint="default"/>
        </w:rPr>
        <w:t>3</w:t>
      </w:r>
      <w:r>
        <w:rPr>
          <w:rFonts w:ascii="宋体" w:hAnsi="宋体" w:cs="宋体" w:eastAsia="宋体" w:hint="default"/>
          <w:spacing w:val="-62"/>
        </w:rPr>
        <w:t> </w:t>
      </w:r>
      <w:r>
        <w:rPr/>
        <w:t>个月）内很可能满足持有待售类别的其他划分条 件的，在取得日将其划分为持有待售类别。</w:t>
      </w:r>
    </w:p>
    <w:p>
      <w:pPr>
        <w:pStyle w:val="BodyText"/>
        <w:spacing w:line="240" w:lineRule="auto" w:before="34"/>
        <w:ind w:left="618" w:right="119"/>
        <w:jc w:val="left"/>
      </w:pPr>
      <w:r>
        <w:rPr/>
        <w:t>因公司无法控制的下列原因之一，导致非关联方之间的交易未能在一年内完成，</w:t>
      </w:r>
    </w:p>
    <w:p>
      <w:pPr>
        <w:spacing w:after="0" w:line="240" w:lineRule="auto"/>
        <w:jc w:val="left"/>
        <w:sectPr>
          <w:pgSz w:w="11910" w:h="16840"/>
          <w:pgMar w:header="882" w:footer="1195" w:top="1120" w:bottom="1380" w:left="1660" w:right="1040"/>
        </w:sectPr>
      </w:pPr>
    </w:p>
    <w:p>
      <w:pPr>
        <w:spacing w:line="240" w:lineRule="auto" w:before="5"/>
        <w:rPr>
          <w:rFonts w:ascii="宋体" w:hAnsi="宋体" w:cs="宋体" w:eastAsia="宋体" w:hint="default"/>
          <w:sz w:val="25"/>
          <w:szCs w:val="25"/>
        </w:rPr>
      </w:pPr>
    </w:p>
    <w:p>
      <w:pPr>
        <w:pStyle w:val="BodyText"/>
        <w:spacing w:line="357" w:lineRule="auto" w:before="26"/>
        <w:ind w:right="352"/>
        <w:jc w:val="both"/>
      </w:pPr>
      <w:r>
        <w:rPr>
          <w:spacing w:val="-2"/>
        </w:rPr>
        <w:t>且公司仍然承诺出售非流动资产或处置组的，继续将非流动资产或处置组划分为持有</w:t>
      </w:r>
      <w:r>
        <w:rPr>
          <w:spacing w:val="-94"/>
        </w:rPr>
        <w:t> </w:t>
      </w:r>
      <w:r>
        <w:rPr>
          <w:spacing w:val="-94"/>
        </w:rPr>
      </w:r>
      <w:r>
        <w:rPr>
          <w:spacing w:val="-5"/>
        </w:rPr>
        <w:t>待售类别：（</w:t>
      </w:r>
      <w:r>
        <w:rPr>
          <w:rFonts w:ascii="宋体" w:hAnsi="宋体" w:cs="宋体" w:eastAsia="宋体" w:hint="default"/>
          <w:spacing w:val="-5"/>
        </w:rPr>
        <w:t>1</w:t>
      </w:r>
      <w:r>
        <w:rPr>
          <w:spacing w:val="-5"/>
        </w:rPr>
        <w:t>）买方或其他方意外设定导致出售延期的条件，公司针对这些条件已经</w:t>
      </w:r>
    </w:p>
    <w:p>
      <w:pPr>
        <w:pStyle w:val="BodyText"/>
        <w:spacing w:line="240" w:lineRule="auto" w:before="34"/>
        <w:ind w:right="0"/>
        <w:jc w:val="both"/>
      </w:pPr>
      <w:r>
        <w:rPr/>
        <w:t>及时采取行动，且预计能够自设定导致出售延期的条件起一年内顺利化解延期因素；</w:t>
      </w:r>
    </w:p>
    <w:p>
      <w:pPr>
        <w:pStyle w:val="BodyText"/>
        <w:spacing w:line="357" w:lineRule="auto" w:before="154"/>
        <w:ind w:right="354"/>
        <w:jc w:val="both"/>
      </w:pPr>
      <w:r>
        <w:rPr>
          <w:spacing w:val="-5"/>
        </w:rPr>
        <w:t>（</w:t>
      </w:r>
      <w:r>
        <w:rPr>
          <w:rFonts w:ascii="宋体" w:hAnsi="宋体" w:cs="宋体" w:eastAsia="宋体" w:hint="default"/>
          <w:spacing w:val="-5"/>
        </w:rPr>
        <w:t>2</w:t>
      </w:r>
      <w:r>
        <w:rPr>
          <w:spacing w:val="-5"/>
        </w:rPr>
        <w:t>）因发生罕见情况，导致持有待售的非流动资产或处置组未能在一年内完成出售，</w:t>
      </w:r>
      <w:r>
        <w:rPr>
          <w:spacing w:val="-99"/>
        </w:rPr>
        <w:t> </w:t>
      </w:r>
      <w:r>
        <w:rPr>
          <w:spacing w:val="-99"/>
        </w:rPr>
      </w:r>
      <w:r>
        <w:rPr>
          <w:spacing w:val="4"/>
        </w:rPr>
        <w:t>公司在最初一年内已经针对这些新情况采取必要措施且重新满足了持有待售类别的</w:t>
      </w:r>
      <w:r>
        <w:rPr>
          <w:spacing w:val="-105"/>
        </w:rPr>
        <w:t> </w:t>
      </w:r>
      <w:r>
        <w:rPr>
          <w:spacing w:val="-105"/>
        </w:rPr>
      </w:r>
      <w:r>
        <w:rPr/>
        <w:t>划分条件。</w:t>
      </w:r>
    </w:p>
    <w:p>
      <w:pPr>
        <w:pStyle w:val="BodyText"/>
        <w:spacing w:line="240" w:lineRule="auto" w:before="36"/>
        <w:ind w:left="558" w:right="102"/>
        <w:jc w:val="left"/>
      </w:pPr>
      <w:r>
        <w:rPr>
          <w:rFonts w:ascii="宋体" w:hAnsi="宋体" w:cs="宋体" w:eastAsia="宋体" w:hint="default"/>
        </w:rPr>
        <w:t>2. </w:t>
      </w:r>
      <w:r>
        <w:rPr/>
        <w:t>持有待售的非流动资产或处置组的计量</w:t>
      </w:r>
    </w:p>
    <w:p>
      <w:pPr>
        <w:pStyle w:val="BodyText"/>
        <w:spacing w:line="357" w:lineRule="auto" w:before="152"/>
        <w:ind w:left="618" w:right="102"/>
        <w:jc w:val="left"/>
      </w:pPr>
      <w:r>
        <w:rPr>
          <w:rFonts w:ascii="宋体" w:hAnsi="宋体" w:cs="宋体" w:eastAsia="宋体" w:hint="default"/>
        </w:rPr>
        <w:t>(1) </w:t>
      </w:r>
      <w:r>
        <w:rPr/>
        <w:t>初始计量和后续计量 </w:t>
      </w:r>
      <w:r>
        <w:rPr>
          <w:spacing w:val="-2"/>
        </w:rPr>
        <w:t>初始计量和在资产负债表日重新计量持有待售的非流动资产或处置组时，其账面</w:t>
      </w:r>
    </w:p>
    <w:p>
      <w:pPr>
        <w:pStyle w:val="BodyText"/>
        <w:spacing w:line="357" w:lineRule="auto" w:before="34"/>
        <w:ind w:right="352"/>
        <w:jc w:val="both"/>
      </w:pPr>
      <w:r>
        <w:rPr>
          <w:spacing w:val="-2"/>
        </w:rPr>
        <w:t>价值高于公允价值减去出售费用后的净额的，将账面价值减记至公允价值减去出售费</w:t>
      </w:r>
      <w:r>
        <w:rPr>
          <w:spacing w:val="-94"/>
        </w:rPr>
        <w:t> </w:t>
      </w:r>
      <w:r>
        <w:rPr>
          <w:spacing w:val="-94"/>
        </w:rPr>
      </w:r>
      <w:r>
        <w:rPr>
          <w:spacing w:val="-2"/>
        </w:rPr>
        <w:t>用后的净额，减记的金额确认为资产减值损失，计入当期损益，同时计提持有待售资</w:t>
      </w:r>
      <w:r>
        <w:rPr>
          <w:spacing w:val="-93"/>
        </w:rPr>
        <w:t> </w:t>
      </w:r>
      <w:r>
        <w:rPr>
          <w:spacing w:val="-93"/>
        </w:rPr>
      </w:r>
      <w:r>
        <w:rPr/>
        <w:t>产减值准备。</w:t>
      </w:r>
    </w:p>
    <w:p>
      <w:pPr>
        <w:pStyle w:val="BodyText"/>
        <w:spacing w:line="240" w:lineRule="auto" w:before="36"/>
        <w:ind w:left="558" w:right="102"/>
        <w:jc w:val="left"/>
      </w:pPr>
      <w:r>
        <w:rPr/>
        <w:t>对于取得日划分为持有待售类别的非流动资产或处置组，在初始计量时比较假定</w:t>
      </w:r>
    </w:p>
    <w:p>
      <w:pPr>
        <w:pStyle w:val="BodyText"/>
        <w:spacing w:line="357" w:lineRule="auto" w:before="151"/>
        <w:ind w:right="102"/>
        <w:jc w:val="left"/>
      </w:pPr>
      <w:r>
        <w:rPr/>
        <w:t>其不划分为持有待售类别情况下的初始计量金额和公允价值减去出售费用后的净额，</w:t>
      </w:r>
      <w:r>
        <w:rPr>
          <w:spacing w:val="-57"/>
        </w:rPr>
        <w:t> </w:t>
      </w:r>
      <w:r>
        <w:rPr>
          <w:spacing w:val="-57"/>
        </w:rPr>
      </w:r>
      <w:r>
        <w:rPr/>
        <w:t>以两者孰低计量。除企业合并中取得的非流动资产或处置组外，由非流动资产或处置</w:t>
      </w:r>
      <w:r>
        <w:rPr/>
        <w:t> </w:t>
      </w:r>
      <w:r>
        <w:rPr>
          <w:spacing w:val="-2"/>
        </w:rPr>
        <w:t>组以公允价值减去出售费用后的净额作为初始计量金额而产生的差额，计入当期损益。</w:t>
      </w:r>
    </w:p>
    <w:p>
      <w:pPr>
        <w:pStyle w:val="BodyText"/>
        <w:spacing w:line="355" w:lineRule="auto" w:before="36"/>
        <w:ind w:right="102" w:firstLine="419"/>
        <w:jc w:val="left"/>
      </w:pPr>
      <w:r>
        <w:rPr/>
        <w:t>对于持有待售的处置组确认的资产减值损失金额，先抵减处置组中商誉的账面价 值，再根据处置组中的各项非流动资产账面价值所占比重，按比例抵减其账面价值。</w:t>
      </w:r>
    </w:p>
    <w:p>
      <w:pPr>
        <w:pStyle w:val="BodyText"/>
        <w:spacing w:line="357" w:lineRule="auto" w:before="38"/>
        <w:ind w:right="102" w:firstLine="479"/>
        <w:jc w:val="left"/>
      </w:pPr>
      <w:r>
        <w:rPr>
          <w:spacing w:val="-2"/>
        </w:rPr>
        <w:t>持有待售的非流动资产或处置组中的非流动资产不计提折旧或摊销，持有待售的</w:t>
      </w:r>
      <w:r>
        <w:rPr/>
        <w:t> 处置组中负债的利息和其他费用继续予以确认。</w:t>
      </w:r>
    </w:p>
    <w:p>
      <w:pPr>
        <w:pStyle w:val="BodyText"/>
        <w:spacing w:line="357" w:lineRule="auto" w:before="34"/>
        <w:ind w:left="558" w:right="108"/>
        <w:jc w:val="left"/>
      </w:pPr>
      <w:r>
        <w:rPr>
          <w:rFonts w:ascii="宋体" w:hAnsi="宋体" w:cs="宋体" w:eastAsia="宋体" w:hint="default"/>
        </w:rPr>
        <w:t>(2) </w:t>
      </w:r>
      <w:r>
        <w:rPr/>
        <w:t>资产减值损失转回的会计处理 后续资产负债表日持有待售的非流动资产公允价值减去出售费用后的净额增加的，</w:t>
      </w:r>
    </w:p>
    <w:p>
      <w:pPr>
        <w:pStyle w:val="BodyText"/>
        <w:spacing w:line="357" w:lineRule="auto" w:before="34"/>
        <w:ind w:right="354"/>
        <w:jc w:val="both"/>
      </w:pPr>
      <w:r>
        <w:rPr>
          <w:spacing w:val="-2"/>
        </w:rPr>
        <w:t>以前减记的金额予以恢复，并在划分为持有待售类别后确认的资产减值损失金额内转</w:t>
      </w:r>
      <w:r>
        <w:rPr>
          <w:spacing w:val="-95"/>
        </w:rPr>
        <w:t> </w:t>
      </w:r>
      <w:r>
        <w:rPr>
          <w:spacing w:val="-95"/>
        </w:rPr>
      </w:r>
      <w:r>
        <w:rPr/>
        <w:t>回，转回金额计入当期损益。划分为持有待售类别前确认的资产减值损失不转回。</w:t>
      </w:r>
    </w:p>
    <w:p>
      <w:pPr>
        <w:pStyle w:val="BodyText"/>
        <w:spacing w:line="357" w:lineRule="auto" w:before="34"/>
        <w:ind w:right="352" w:firstLine="419"/>
        <w:jc w:val="both"/>
      </w:pPr>
      <w:r>
        <w:rPr/>
        <w:t>后续资产负债表日持有待售的处置组公允价值减去出售费用后的净额增加的，以 </w:t>
      </w:r>
      <w:r>
        <w:rPr>
          <w:spacing w:val="-2"/>
        </w:rPr>
        <w:t>前减记的金额予以恢复，并在划分为持有待售类别后非流动资产确认的资产减值损失</w:t>
      </w:r>
      <w:r>
        <w:rPr>
          <w:spacing w:val="-94"/>
        </w:rPr>
        <w:t> </w:t>
      </w:r>
      <w:r>
        <w:rPr>
          <w:spacing w:val="-94"/>
        </w:rPr>
      </w:r>
      <w:r>
        <w:rPr>
          <w:spacing w:val="-2"/>
        </w:rPr>
        <w:t>金额内转回，转回金额计入当期损益。已抵减的商誉账面价值，以及非流动资产在划</w:t>
      </w:r>
      <w:r>
        <w:rPr>
          <w:spacing w:val="-94"/>
        </w:rPr>
        <w:t> </w:t>
      </w:r>
      <w:r>
        <w:rPr>
          <w:spacing w:val="-94"/>
        </w:rPr>
      </w:r>
      <w:r>
        <w:rPr/>
        <w:t>分为持有待售类别前确认的资产减值损失不转回。</w:t>
      </w:r>
    </w:p>
    <w:p>
      <w:pPr>
        <w:pStyle w:val="BodyText"/>
        <w:spacing w:line="240" w:lineRule="auto" w:before="34"/>
        <w:ind w:left="558" w:right="102"/>
        <w:jc w:val="left"/>
      </w:pPr>
      <w:r>
        <w:rPr/>
        <w:t>持有待售的处置组确认的资产减值损失后续转回金额，根据处置组中除商誉外各</w:t>
      </w:r>
    </w:p>
    <w:p>
      <w:pPr>
        <w:pStyle w:val="BodyText"/>
        <w:spacing w:line="240" w:lineRule="auto" w:before="154"/>
        <w:ind w:right="0"/>
        <w:jc w:val="both"/>
      </w:pPr>
      <w:r>
        <w:rPr/>
        <w:t>项非流动资产账面价值所占比重，按比例增加其账面价值。</w:t>
      </w:r>
    </w:p>
    <w:p>
      <w:pPr>
        <w:spacing w:after="0" w:line="240" w:lineRule="auto"/>
        <w:jc w:val="both"/>
        <w:sectPr>
          <w:pgSz w:w="11910" w:h="16840"/>
          <w:pgMar w:header="882" w:footer="1195" w:top="1120" w:bottom="1380" w:left="1660" w:right="920"/>
        </w:sectPr>
      </w:pPr>
    </w:p>
    <w:p>
      <w:pPr>
        <w:spacing w:line="240" w:lineRule="auto" w:before="5"/>
        <w:rPr>
          <w:rFonts w:ascii="宋体" w:hAnsi="宋体" w:cs="宋体" w:eastAsia="宋体" w:hint="default"/>
          <w:sz w:val="25"/>
          <w:szCs w:val="25"/>
        </w:rPr>
      </w:pPr>
    </w:p>
    <w:p>
      <w:pPr>
        <w:pStyle w:val="BodyText"/>
        <w:spacing w:line="357" w:lineRule="auto" w:before="26"/>
        <w:ind w:left="618" w:right="102" w:hanging="60"/>
        <w:jc w:val="left"/>
      </w:pPr>
      <w:r>
        <w:rPr>
          <w:rFonts w:ascii="宋体" w:hAnsi="宋体" w:cs="宋体" w:eastAsia="宋体" w:hint="default"/>
        </w:rPr>
        <w:t>(3) </w:t>
      </w:r>
      <w:r>
        <w:rPr/>
        <w:t>不再继续划分为持有待售类别以及终止确认的会计处理 </w:t>
      </w:r>
      <w:r>
        <w:rPr>
          <w:spacing w:val="4"/>
        </w:rPr>
        <w:t>非流动资产或处置组因不再满足持有待售类别的划分条件而不再继续划分为持</w:t>
      </w:r>
    </w:p>
    <w:p>
      <w:pPr>
        <w:pStyle w:val="BodyText"/>
        <w:spacing w:line="357" w:lineRule="auto" w:before="34"/>
        <w:ind w:right="352"/>
        <w:jc w:val="both"/>
      </w:pPr>
      <w:r>
        <w:rPr>
          <w:spacing w:val="-2"/>
        </w:rPr>
        <w:t>有待售类别或非流动资产从持有待售的处置组中移除时，按照以下两者孰低计量：</w:t>
      </w:r>
      <w:r>
        <w:rPr>
          <w:rFonts w:ascii="宋体" w:hAnsi="宋体" w:cs="宋体" w:eastAsia="宋体" w:hint="default"/>
          <w:spacing w:val="-2"/>
        </w:rPr>
        <w:t>1)</w:t>
      </w:r>
      <w:r>
        <w:rPr>
          <w:rFonts w:ascii="宋体" w:hAnsi="宋体" w:cs="宋体" w:eastAsia="宋体" w:hint="default"/>
          <w:spacing w:val="-92"/>
        </w:rPr>
        <w:t> </w:t>
      </w:r>
      <w:r>
        <w:rPr>
          <w:spacing w:val="-2"/>
        </w:rPr>
        <w:t>划分为持有待售类别前的账面价值，按照假定不划分为持有待售类别情况下本应确认</w:t>
      </w:r>
      <w:r>
        <w:rPr>
          <w:spacing w:val="-94"/>
        </w:rPr>
        <w:t> </w:t>
      </w:r>
      <w:r>
        <w:rPr>
          <w:spacing w:val="-94"/>
        </w:rPr>
      </w:r>
      <w:r>
        <w:rPr/>
        <w:t>的折旧、摊销或减值等进行调整后的金额；</w:t>
      </w:r>
      <w:r>
        <w:rPr>
          <w:rFonts w:ascii="宋体" w:hAnsi="宋体" w:cs="宋体" w:eastAsia="宋体" w:hint="default"/>
        </w:rPr>
        <w:t>2) </w:t>
      </w:r>
      <w:r>
        <w:rPr/>
        <w:t>可收回金额。</w:t>
      </w:r>
    </w:p>
    <w:p>
      <w:pPr>
        <w:pStyle w:val="BodyText"/>
        <w:spacing w:line="357" w:lineRule="auto" w:before="34"/>
        <w:ind w:right="353" w:firstLine="479"/>
        <w:jc w:val="both"/>
      </w:pPr>
      <w:r>
        <w:rPr>
          <w:spacing w:val="-2"/>
        </w:rPr>
        <w:t>终止确认持有待售的非流动资产或处置组时，将尚未确认的利得或损失计入当期</w:t>
      </w:r>
      <w:r>
        <w:rPr/>
        <w:t> 损益。</w:t>
      </w:r>
    </w:p>
    <w:p>
      <w:pPr>
        <w:spacing w:line="240" w:lineRule="auto" w:before="1"/>
        <w:rPr>
          <w:rFonts w:ascii="宋体" w:hAnsi="宋体" w:cs="宋体" w:eastAsia="宋体" w:hint="default"/>
          <w:sz w:val="31"/>
          <w:szCs w:val="31"/>
        </w:rPr>
      </w:pPr>
    </w:p>
    <w:p>
      <w:pPr>
        <w:pStyle w:val="Heading2"/>
        <w:spacing w:line="240" w:lineRule="auto" w:before="0"/>
        <w:ind w:left="138" w:right="102"/>
        <w:jc w:val="left"/>
        <w:rPr>
          <w:b w:val="0"/>
          <w:bCs w:val="0"/>
        </w:rPr>
      </w:pPr>
      <w:r>
        <w:rPr>
          <w:rFonts w:ascii="宋体" w:hAnsi="宋体" w:cs="宋体" w:eastAsia="宋体" w:hint="default"/>
        </w:rPr>
        <w:t>14.</w:t>
      </w:r>
      <w:r>
        <w:rPr>
          <w:rFonts w:ascii="宋体" w:hAnsi="宋体" w:cs="宋体" w:eastAsia="宋体" w:hint="default"/>
          <w:spacing w:val="-62"/>
        </w:rPr>
        <w:t> </w:t>
      </w:r>
      <w:r>
        <w:rPr/>
        <w:t>长期股权投资</w:t>
      </w:r>
      <w:r>
        <w:rPr>
          <w:b w:val="0"/>
          <w:bCs w:val="0"/>
        </w:rPr>
      </w:r>
    </w:p>
    <w:p>
      <w:pPr>
        <w:pStyle w:val="BodyText"/>
        <w:tabs>
          <w:tab w:pos="1097" w:val="left" w:leader="none"/>
        </w:tabs>
        <w:spacing w:line="312" w:lineRule="exact" w:before="58"/>
        <w:ind w:right="102"/>
        <w:jc w:val="left"/>
      </w:pPr>
      <w:r>
        <w:rPr>
          <w:spacing w:val="-1"/>
        </w:rPr>
        <w:t>√适用</w:t>
        <w:tab/>
      </w:r>
      <w:r>
        <w:rPr/>
        <w:t>□不适用</w:t>
      </w:r>
    </w:p>
    <w:p>
      <w:pPr>
        <w:pStyle w:val="BodyText"/>
        <w:spacing w:line="357" w:lineRule="auto"/>
        <w:ind w:left="558" w:right="348"/>
        <w:jc w:val="left"/>
      </w:pPr>
      <w:r>
        <w:rPr>
          <w:rFonts w:ascii="宋体" w:hAnsi="宋体" w:cs="宋体" w:eastAsia="宋体" w:hint="default"/>
        </w:rPr>
        <w:t>1. </w:t>
      </w:r>
      <w:r>
        <w:rPr/>
        <w:t>共同控制、重要影响的判断 按照相关约定对某项安排存在共有的控制，并且该安排的相关活动必须经过分享</w:t>
      </w:r>
    </w:p>
    <w:p>
      <w:pPr>
        <w:pStyle w:val="BodyText"/>
        <w:spacing w:line="357" w:lineRule="auto" w:before="34"/>
        <w:ind w:right="102"/>
        <w:jc w:val="left"/>
      </w:pPr>
      <w:r>
        <w:rPr/>
        <w:t>控制权的参与方一致同意后才能决策，认定为共同控制。对被投资单位的财务和经营 </w:t>
      </w:r>
      <w:r>
        <w:rPr>
          <w:spacing w:val="-2"/>
        </w:rPr>
        <w:t>政策有参与决策的权力，但并不能够控制或者与其他方一起共同控制这些政策的制定，</w:t>
      </w:r>
      <w:r>
        <w:rPr>
          <w:spacing w:val="-92"/>
        </w:rPr>
        <w:t> </w:t>
      </w:r>
      <w:r>
        <w:rPr>
          <w:spacing w:val="-92"/>
        </w:rPr>
      </w:r>
      <w:r>
        <w:rPr/>
        <w:t>认定为重大影响。</w:t>
      </w:r>
    </w:p>
    <w:p>
      <w:pPr>
        <w:pStyle w:val="BodyText"/>
        <w:spacing w:line="240" w:lineRule="auto" w:before="36"/>
        <w:ind w:left="558" w:right="102"/>
        <w:jc w:val="left"/>
      </w:pPr>
      <w:r>
        <w:rPr>
          <w:rFonts w:ascii="宋体" w:hAnsi="宋体" w:cs="宋体" w:eastAsia="宋体" w:hint="default"/>
        </w:rPr>
        <w:t>2. </w:t>
      </w:r>
      <w:r>
        <w:rPr/>
        <w:t>投资成本的确定</w:t>
      </w:r>
    </w:p>
    <w:p>
      <w:pPr>
        <w:pStyle w:val="BodyText"/>
        <w:spacing w:line="357" w:lineRule="auto" w:before="151"/>
        <w:ind w:right="353" w:firstLine="419"/>
        <w:jc w:val="both"/>
      </w:pPr>
      <w:r>
        <w:rPr>
          <w:rFonts w:ascii="宋体" w:hAnsi="宋体" w:cs="宋体" w:eastAsia="宋体" w:hint="default"/>
        </w:rPr>
        <w:t>(1)</w:t>
      </w:r>
      <w:r>
        <w:rPr>
          <w:rFonts w:ascii="宋体" w:hAnsi="宋体" w:cs="宋体" w:eastAsia="宋体" w:hint="default"/>
          <w:spacing w:val="9"/>
        </w:rPr>
        <w:t> </w:t>
      </w:r>
      <w:r>
        <w:rPr/>
        <w:t>同一控制下的企业合并形成的，合并方以支付现金、转让非现金资产、承担 </w:t>
      </w:r>
      <w:r>
        <w:rPr>
          <w:spacing w:val="-2"/>
        </w:rPr>
        <w:t>债务或发行权益性证券作为合并对价的，在合并日按照取得被合并方所有者权益在最</w:t>
      </w:r>
      <w:r>
        <w:rPr>
          <w:spacing w:val="-94"/>
        </w:rPr>
        <w:t> </w:t>
      </w:r>
      <w:r>
        <w:rPr>
          <w:spacing w:val="-94"/>
        </w:rPr>
      </w:r>
      <w:r>
        <w:rPr>
          <w:spacing w:val="-2"/>
        </w:rPr>
        <w:t>终控制方合并财务报表中的账面价值的份额作为其初始投资成本。长期股权投资初始</w:t>
      </w:r>
      <w:r>
        <w:rPr>
          <w:spacing w:val="-94"/>
        </w:rPr>
        <w:t> </w:t>
      </w:r>
      <w:r>
        <w:rPr>
          <w:spacing w:val="-94"/>
        </w:rPr>
      </w:r>
      <w:r>
        <w:rPr>
          <w:spacing w:val="4"/>
        </w:rPr>
        <w:t>投资成本与支付的合并对价的账面价值或发行股份的面值总额之间的差额调整资本</w:t>
      </w:r>
      <w:r>
        <w:rPr>
          <w:spacing w:val="-105"/>
        </w:rPr>
        <w:t> </w:t>
      </w:r>
      <w:r>
        <w:rPr>
          <w:spacing w:val="-105"/>
        </w:rPr>
      </w:r>
      <w:r>
        <w:rPr/>
        <w:t>公积；资本公积不足冲减的，调整留存收益。</w:t>
      </w:r>
    </w:p>
    <w:p>
      <w:pPr>
        <w:pStyle w:val="BodyText"/>
        <w:spacing w:line="357" w:lineRule="auto" w:before="34"/>
        <w:ind w:right="353" w:firstLine="419"/>
        <w:jc w:val="both"/>
      </w:pPr>
      <w:r>
        <w:rPr/>
        <w:t>公司通过多次交易分步实现同一控制下企业合并形成的长期股权投资，判断是否 </w:t>
      </w:r>
      <w:r>
        <w:rPr>
          <w:spacing w:val="-2"/>
        </w:rPr>
        <w:t>属于“一揽子交易”。属于“一揽子交易”的，把各项交易作为一项取得控制权的交</w:t>
      </w:r>
      <w:r>
        <w:rPr>
          <w:spacing w:val="-103"/>
        </w:rPr>
        <w:t> </w:t>
      </w:r>
      <w:r>
        <w:rPr>
          <w:spacing w:val="-103"/>
        </w:rPr>
      </w:r>
      <w:r>
        <w:rPr>
          <w:spacing w:val="-2"/>
        </w:rPr>
        <w:t>易进行会计处理。不属于“一揽子交易”的，在合并日，根据合并后应享有被合并方</w:t>
      </w:r>
      <w:r>
        <w:rPr>
          <w:spacing w:val="-95"/>
        </w:rPr>
        <w:t> </w:t>
      </w:r>
      <w:r>
        <w:rPr>
          <w:spacing w:val="-95"/>
        </w:rPr>
      </w:r>
      <w:r>
        <w:rPr>
          <w:spacing w:val="-2"/>
        </w:rPr>
        <w:t>净资产在最终控制方合并财务报表中的账面价值的份额确定初始投资成本。合并日长</w:t>
      </w:r>
      <w:r>
        <w:rPr>
          <w:spacing w:val="-95"/>
        </w:rPr>
        <w:t> </w:t>
      </w:r>
      <w:r>
        <w:rPr>
          <w:spacing w:val="-95"/>
        </w:rPr>
      </w:r>
      <w:r>
        <w:rPr>
          <w:spacing w:val="-2"/>
        </w:rPr>
        <w:t>期股权投资的初始投资成本，与达到合并前的长期股权投资账面价值加上合并日进一</w:t>
      </w:r>
    </w:p>
    <w:p>
      <w:pPr>
        <w:pStyle w:val="BodyText"/>
        <w:spacing w:line="355" w:lineRule="auto" w:before="36"/>
        <w:ind w:right="102"/>
        <w:jc w:val="left"/>
      </w:pPr>
      <w:r>
        <w:rPr>
          <w:spacing w:val="-5"/>
        </w:rPr>
        <w:t>步取得股份新支付对价的账面价值之和的差额，调整资本公积；资本公积不足冲减的，</w:t>
      </w:r>
      <w:r>
        <w:rPr>
          <w:spacing w:val="-98"/>
        </w:rPr>
        <w:t> </w:t>
      </w:r>
      <w:r>
        <w:rPr>
          <w:spacing w:val="-98"/>
        </w:rPr>
      </w:r>
      <w:r>
        <w:rPr/>
        <w:t>调整留存收益。</w:t>
      </w:r>
    </w:p>
    <w:p>
      <w:pPr>
        <w:pStyle w:val="BodyText"/>
        <w:spacing w:line="355" w:lineRule="auto" w:before="38"/>
        <w:ind w:right="355" w:firstLine="419"/>
        <w:jc w:val="both"/>
      </w:pPr>
      <w:r>
        <w:rPr>
          <w:rFonts w:ascii="宋体" w:hAnsi="宋体" w:cs="宋体" w:eastAsia="宋体" w:hint="default"/>
        </w:rPr>
        <w:t>(2)</w:t>
      </w:r>
      <w:r>
        <w:rPr>
          <w:rFonts w:ascii="宋体" w:hAnsi="宋体" w:cs="宋体" w:eastAsia="宋体" w:hint="default"/>
          <w:spacing w:val="8"/>
        </w:rPr>
        <w:t> </w:t>
      </w:r>
      <w:r>
        <w:rPr/>
        <w:t>非同一控制下的企业合并形成的，在购买日按照支付的合并对价的公允价值 作为其初始投资成本。</w:t>
      </w:r>
    </w:p>
    <w:p>
      <w:pPr>
        <w:spacing w:after="0" w:line="355" w:lineRule="auto"/>
        <w:jc w:val="both"/>
        <w:sectPr>
          <w:pgSz w:w="11910" w:h="16840"/>
          <w:pgMar w:header="882" w:footer="1195" w:top="1120" w:bottom="1380" w:left="1660" w:right="920"/>
        </w:sectPr>
      </w:pPr>
    </w:p>
    <w:p>
      <w:pPr>
        <w:spacing w:line="240" w:lineRule="auto" w:before="1"/>
        <w:rPr>
          <w:rFonts w:ascii="宋体" w:hAnsi="宋体" w:cs="宋体" w:eastAsia="宋体" w:hint="default"/>
          <w:sz w:val="25"/>
          <w:szCs w:val="25"/>
        </w:rPr>
      </w:pPr>
    </w:p>
    <w:p>
      <w:pPr>
        <w:spacing w:line="357" w:lineRule="auto" w:before="36"/>
        <w:ind w:left="138" w:right="102" w:firstLine="419"/>
        <w:jc w:val="left"/>
        <w:rPr>
          <w:rFonts w:ascii="宋体" w:hAnsi="宋体" w:cs="宋体" w:eastAsia="宋体" w:hint="default"/>
          <w:sz w:val="21"/>
          <w:szCs w:val="21"/>
        </w:rPr>
      </w:pPr>
      <w:r>
        <w:rPr>
          <w:rFonts w:ascii="宋体" w:hAnsi="宋体" w:cs="宋体" w:eastAsia="宋体" w:hint="default"/>
          <w:spacing w:val="-2"/>
          <w:sz w:val="21"/>
          <w:szCs w:val="21"/>
        </w:rPr>
        <w:t>公司通过多次交易分步实现非同一控制下企业合并形成的长期股权投资，区分个别财务报表</w:t>
      </w:r>
      <w:r>
        <w:rPr>
          <w:rFonts w:ascii="宋体" w:hAnsi="宋体" w:cs="宋体" w:eastAsia="宋体" w:hint="default"/>
          <w:w w:val="100"/>
          <w:sz w:val="21"/>
          <w:szCs w:val="21"/>
        </w:rPr>
        <w:t> </w:t>
      </w:r>
      <w:r>
        <w:rPr>
          <w:rFonts w:ascii="宋体" w:hAnsi="宋体" w:cs="宋体" w:eastAsia="宋体" w:hint="default"/>
          <w:sz w:val="21"/>
          <w:szCs w:val="21"/>
        </w:rPr>
        <w:t>和合并财务报表进行相关会计处理：</w:t>
      </w:r>
    </w:p>
    <w:p>
      <w:pPr>
        <w:pStyle w:val="BodyText"/>
        <w:spacing w:line="355" w:lineRule="auto" w:before="24"/>
        <w:ind w:right="99" w:firstLine="419"/>
        <w:jc w:val="left"/>
      </w:pPr>
      <w:r>
        <w:rPr>
          <w:rFonts w:ascii="宋体" w:hAnsi="宋体" w:cs="宋体" w:eastAsia="宋体" w:hint="default"/>
        </w:rPr>
        <w:t>1)</w:t>
      </w:r>
      <w:r>
        <w:rPr>
          <w:rFonts w:ascii="宋体" w:hAnsi="宋体" w:cs="宋体" w:eastAsia="宋体" w:hint="default"/>
          <w:spacing w:val="30"/>
        </w:rPr>
        <w:t> </w:t>
      </w:r>
      <w:r>
        <w:rPr>
          <w:spacing w:val="-4"/>
        </w:rPr>
        <w:t>在个别财务报表中，按照原持有的股权投资的账面价值加上新增投资成本之和，</w:t>
      </w:r>
      <w:r>
        <w:rPr/>
        <w:t> 作为改按成本法核算的初始投资成本。</w:t>
      </w:r>
    </w:p>
    <w:p>
      <w:pPr>
        <w:pStyle w:val="BodyText"/>
        <w:spacing w:line="357" w:lineRule="auto" w:before="38"/>
        <w:ind w:right="102" w:firstLine="419"/>
        <w:jc w:val="left"/>
      </w:pPr>
      <w:r>
        <w:rPr>
          <w:rFonts w:ascii="宋体" w:hAnsi="宋体" w:cs="宋体" w:eastAsia="宋体" w:hint="default"/>
        </w:rPr>
        <w:t>2)</w:t>
      </w:r>
      <w:r>
        <w:rPr>
          <w:rFonts w:ascii="宋体" w:hAnsi="宋体" w:cs="宋体" w:eastAsia="宋体" w:hint="default"/>
          <w:spacing w:val="5"/>
        </w:rPr>
        <w:t> </w:t>
      </w:r>
      <w:r>
        <w:rPr/>
        <w:t>在合并财务报表中，判断是否属于“一揽子交易”。属于“一揽子交易”的， 把各项交易作为一项取得控制权的交易进行会计处理。不属于“一揽子交易”的，对 </w:t>
      </w:r>
      <w:r>
        <w:rPr>
          <w:spacing w:val="-2"/>
        </w:rPr>
        <w:t>于购买日之前持有的被购买方的股权，按照该股权在购买日的公允价值进行重新计量，</w:t>
      </w:r>
      <w:r>
        <w:rPr>
          <w:spacing w:val="-92"/>
        </w:rPr>
        <w:t> </w:t>
      </w:r>
      <w:r>
        <w:rPr>
          <w:spacing w:val="-92"/>
        </w:rPr>
      </w:r>
      <w:r>
        <w:rPr/>
        <w:t>公允价值与其账面价值的差额计入当期投资收益；购买日之前持有的被购买方的股权</w:t>
      </w:r>
      <w:r>
        <w:rPr/>
        <w:t> 涉及权益法核算下的其他综合收益等的，与其相关的其他综合收益等转为购买日所属 当期收益。但由于被投资方重新计量设定受益计划净负债或净资产变动而产生的其他 综合收益除外。</w:t>
      </w:r>
    </w:p>
    <w:p>
      <w:pPr>
        <w:pStyle w:val="BodyText"/>
        <w:spacing w:line="357" w:lineRule="auto" w:before="36"/>
        <w:ind w:right="352" w:firstLine="419"/>
        <w:jc w:val="both"/>
      </w:pPr>
      <w:r>
        <w:rPr>
          <w:rFonts w:ascii="宋体" w:hAnsi="宋体" w:cs="宋体" w:eastAsia="宋体" w:hint="default"/>
        </w:rPr>
        <w:t>(3)</w:t>
      </w:r>
      <w:r>
        <w:rPr>
          <w:rFonts w:ascii="宋体" w:hAnsi="宋体" w:cs="宋体" w:eastAsia="宋体" w:hint="default"/>
          <w:spacing w:val="8"/>
        </w:rPr>
        <w:t> </w:t>
      </w:r>
      <w:r>
        <w:rPr/>
        <w:t>除企业合并形成以外的：以支付现金取得的，按照实际支付的购买价款作为 </w:t>
      </w:r>
      <w:r>
        <w:rPr>
          <w:spacing w:val="-2"/>
        </w:rPr>
        <w:t>其初始投资成本；以发行权益性证券取得的，按照发行权益性证券的公允价值作为其</w:t>
      </w:r>
      <w:r>
        <w:rPr>
          <w:spacing w:val="-94"/>
        </w:rPr>
        <w:t> </w:t>
      </w:r>
      <w:r>
        <w:rPr>
          <w:spacing w:val="-94"/>
        </w:rPr>
      </w:r>
      <w:r>
        <w:rPr/>
        <w:t>初始投资成本；以债务重组方式取得的，按《企业会计准则第 </w:t>
      </w:r>
      <w:r>
        <w:rPr>
          <w:rFonts w:ascii="宋体" w:hAnsi="宋体" w:cs="宋体" w:eastAsia="宋体" w:hint="default"/>
        </w:rPr>
        <w:t>12</w:t>
      </w:r>
      <w:r>
        <w:rPr>
          <w:rFonts w:ascii="宋体" w:hAnsi="宋体" w:cs="宋体" w:eastAsia="宋体" w:hint="default"/>
          <w:spacing w:val="-48"/>
        </w:rPr>
        <w:t> </w:t>
      </w:r>
      <w:r>
        <w:rPr/>
        <w:t>号——债务重组》</w:t>
      </w:r>
    </w:p>
    <w:p>
      <w:pPr>
        <w:pStyle w:val="BodyText"/>
        <w:spacing w:line="357" w:lineRule="auto" w:before="34"/>
        <w:ind w:right="332"/>
        <w:jc w:val="left"/>
      </w:pPr>
      <w:r>
        <w:rPr/>
        <w:t>确定其初始投资成本；以非货币性资产交换取得的，按《企业会计准则第</w:t>
      </w:r>
      <w:r>
        <w:rPr>
          <w:spacing w:val="-82"/>
        </w:rPr>
        <w:t> </w:t>
      </w:r>
      <w:r>
        <w:rPr>
          <w:rFonts w:ascii="宋体" w:hAnsi="宋体" w:cs="宋体" w:eastAsia="宋体" w:hint="default"/>
        </w:rPr>
        <w:t>7</w:t>
      </w:r>
      <w:r>
        <w:rPr>
          <w:rFonts w:ascii="宋体" w:hAnsi="宋体" w:cs="宋体" w:eastAsia="宋体" w:hint="default"/>
          <w:spacing w:val="-82"/>
        </w:rPr>
        <w:t> </w:t>
      </w:r>
      <w:r>
        <w:rPr/>
        <w:t>号——非 货币性资产交换》确定其初始投资成本。</w:t>
      </w:r>
    </w:p>
    <w:p>
      <w:pPr>
        <w:pStyle w:val="BodyText"/>
        <w:spacing w:line="357" w:lineRule="auto" w:before="34"/>
        <w:ind w:left="558" w:right="348"/>
        <w:jc w:val="left"/>
      </w:pPr>
      <w:r>
        <w:rPr>
          <w:rFonts w:ascii="宋体" w:hAnsi="宋体" w:cs="宋体" w:eastAsia="宋体" w:hint="default"/>
        </w:rPr>
        <w:t>3. </w:t>
      </w:r>
      <w:r>
        <w:rPr/>
        <w:t>后续计量及损益确认方法 对被投资单位实施控制的长期股权投资采用成本法核算；对联营企业和合营企业</w:t>
      </w:r>
    </w:p>
    <w:p>
      <w:pPr>
        <w:pStyle w:val="BodyText"/>
        <w:spacing w:line="240" w:lineRule="auto" w:before="34"/>
        <w:ind w:right="102"/>
        <w:jc w:val="left"/>
      </w:pPr>
      <w:r>
        <w:rPr/>
        <w:t>的长期股权投资，采用权益法核算。</w:t>
      </w:r>
    </w:p>
    <w:p>
      <w:pPr>
        <w:pStyle w:val="BodyText"/>
        <w:spacing w:line="240" w:lineRule="auto" w:before="154"/>
        <w:ind w:left="558" w:right="102"/>
        <w:jc w:val="left"/>
      </w:pPr>
      <w:r>
        <w:rPr>
          <w:rFonts w:ascii="宋体" w:hAnsi="宋体" w:cs="宋体" w:eastAsia="宋体" w:hint="default"/>
        </w:rPr>
        <w:t>4. </w:t>
      </w:r>
      <w:r>
        <w:rPr/>
        <w:t>通过多次交易分步处置对子公司投资至丧失控制权的处理方法</w:t>
      </w:r>
    </w:p>
    <w:p>
      <w:pPr>
        <w:pStyle w:val="BodyText"/>
        <w:spacing w:line="357" w:lineRule="auto" w:before="151"/>
        <w:ind w:left="558" w:right="348"/>
        <w:jc w:val="left"/>
      </w:pPr>
      <w:r>
        <w:rPr>
          <w:rFonts w:ascii="宋体" w:hAnsi="宋体" w:cs="宋体" w:eastAsia="宋体" w:hint="default"/>
        </w:rPr>
        <w:t>(1) </w:t>
      </w:r>
      <w:r>
        <w:rPr/>
        <w:t>个别财务报表 对处置的股权，其账面价值与实际取得价款之间的差额，计入当期损益。对于剩</w:t>
      </w:r>
    </w:p>
    <w:p>
      <w:pPr>
        <w:pStyle w:val="BodyText"/>
        <w:spacing w:line="240" w:lineRule="auto" w:before="34"/>
        <w:ind w:right="102"/>
        <w:jc w:val="left"/>
      </w:pPr>
      <w:r>
        <w:rPr/>
        <w:t>余股权，对被投资单位仍具有重大影响或者与其他方一起实施共同控制的，转为权益</w:t>
      </w:r>
    </w:p>
    <w:p>
      <w:pPr>
        <w:pStyle w:val="BodyText"/>
        <w:spacing w:line="357" w:lineRule="auto" w:before="154"/>
        <w:ind w:right="102"/>
        <w:jc w:val="left"/>
      </w:pPr>
      <w:r>
        <w:rPr/>
        <w:t>法核算；不能再对被投资单位实施控制、共同控制或重大影响的，确认为金融资产，</w:t>
      </w:r>
      <w:r>
        <w:rPr>
          <w:spacing w:val="-57"/>
        </w:rPr>
        <w:t> </w:t>
      </w:r>
      <w:r>
        <w:rPr>
          <w:spacing w:val="-57"/>
        </w:rPr>
      </w:r>
      <w:r>
        <w:rPr/>
        <w:t>按照《企业会计准则第</w:t>
      </w:r>
      <w:r>
        <w:rPr>
          <w:spacing w:val="-60"/>
        </w:rPr>
        <w:t> </w:t>
      </w:r>
      <w:r>
        <w:rPr>
          <w:rFonts w:ascii="宋体" w:hAnsi="宋体" w:cs="宋体" w:eastAsia="宋体" w:hint="default"/>
        </w:rPr>
        <w:t>22</w:t>
      </w:r>
      <w:r>
        <w:rPr>
          <w:rFonts w:ascii="宋体" w:hAnsi="宋体" w:cs="宋体" w:eastAsia="宋体" w:hint="default"/>
          <w:spacing w:val="-60"/>
        </w:rPr>
        <w:t> </w:t>
      </w:r>
      <w:r>
        <w:rPr/>
        <w:t>号——金融工具确认和计量》的相关规定进行核算。</w:t>
      </w:r>
    </w:p>
    <w:p>
      <w:pPr>
        <w:pStyle w:val="BodyText"/>
        <w:spacing w:line="240" w:lineRule="auto" w:before="34"/>
        <w:ind w:left="558" w:right="102"/>
        <w:jc w:val="left"/>
      </w:pPr>
      <w:r>
        <w:rPr>
          <w:rFonts w:ascii="宋体" w:hAnsi="宋体" w:cs="宋体" w:eastAsia="宋体" w:hint="default"/>
        </w:rPr>
        <w:t>(2) </w:t>
      </w:r>
      <w:r>
        <w:rPr/>
        <w:t>合并财务报表</w:t>
      </w:r>
    </w:p>
    <w:p>
      <w:pPr>
        <w:pStyle w:val="BodyText"/>
        <w:spacing w:line="240" w:lineRule="auto" w:before="154"/>
        <w:ind w:left="558" w:right="102"/>
        <w:jc w:val="left"/>
      </w:pPr>
      <w:r>
        <w:rPr>
          <w:rFonts w:ascii="宋体" w:hAnsi="宋体" w:cs="宋体" w:eastAsia="宋体" w:hint="default"/>
        </w:rPr>
        <w:t>1)</w:t>
      </w:r>
      <w:r>
        <w:rPr>
          <w:rFonts w:ascii="宋体" w:hAnsi="宋体" w:cs="宋体" w:eastAsia="宋体" w:hint="default"/>
          <w:spacing w:val="10"/>
        </w:rPr>
        <w:t> </w:t>
      </w:r>
      <w:r>
        <w:rPr/>
        <w:t>通过多次交易分步处置对子公司投资至丧失控制权，且不属于“一揽子交易”</w:t>
      </w:r>
    </w:p>
    <w:p>
      <w:pPr>
        <w:spacing w:line="240" w:lineRule="auto" w:before="8"/>
        <w:rPr>
          <w:rFonts w:ascii="宋体" w:hAnsi="宋体" w:cs="宋体" w:eastAsia="宋体" w:hint="default"/>
          <w:sz w:val="9"/>
          <w:szCs w:val="9"/>
        </w:rPr>
      </w:pPr>
    </w:p>
    <w:p>
      <w:pPr>
        <w:pStyle w:val="BodyText"/>
        <w:spacing w:line="240" w:lineRule="auto" w:before="26"/>
        <w:ind w:right="102"/>
        <w:jc w:val="left"/>
      </w:pPr>
      <w:r>
        <w:rPr/>
        <w:t>的</w:t>
      </w:r>
    </w:p>
    <w:p>
      <w:pPr>
        <w:pStyle w:val="BodyText"/>
        <w:spacing w:line="240" w:lineRule="auto" w:before="154"/>
        <w:ind w:left="558" w:right="102"/>
        <w:jc w:val="left"/>
      </w:pPr>
      <w:r>
        <w:rPr/>
        <w:t>在丧失控制权之前，处置价款与处置长期股权投资相对应享有子公司自购买日或</w:t>
      </w:r>
    </w:p>
    <w:p>
      <w:pPr>
        <w:spacing w:line="240" w:lineRule="auto" w:before="8"/>
        <w:rPr>
          <w:rFonts w:ascii="宋体" w:hAnsi="宋体" w:cs="宋体" w:eastAsia="宋体" w:hint="default"/>
          <w:sz w:val="9"/>
          <w:szCs w:val="9"/>
        </w:rPr>
      </w:pPr>
    </w:p>
    <w:p>
      <w:pPr>
        <w:pStyle w:val="BodyText"/>
        <w:spacing w:line="240" w:lineRule="auto" w:before="26"/>
        <w:ind w:right="102"/>
        <w:jc w:val="left"/>
      </w:pPr>
      <w:r>
        <w:rPr>
          <w:spacing w:val="2"/>
        </w:rPr>
        <w:t>合并日开始持续计算</w:t>
      </w:r>
      <w:r>
        <w:rPr/>
        <w:t>的</w:t>
      </w:r>
      <w:r>
        <w:rPr>
          <w:spacing w:val="2"/>
        </w:rPr>
        <w:t>净资产份额之间的差</w:t>
      </w:r>
      <w:r>
        <w:rPr/>
        <w:t>额</w:t>
      </w:r>
      <w:r>
        <w:rPr>
          <w:spacing w:val="2"/>
        </w:rPr>
        <w:t>，调整资本公积（资</w:t>
      </w:r>
      <w:r>
        <w:rPr/>
        <w:t>本</w:t>
      </w:r>
      <w:r>
        <w:rPr>
          <w:spacing w:val="2"/>
        </w:rPr>
        <w:t>溢价</w:t>
      </w:r>
      <w:r>
        <w:rPr>
          <w:spacing w:val="-118"/>
        </w:rPr>
        <w:t>）</w:t>
      </w:r>
      <w:r>
        <w:rPr>
          <w:spacing w:val="2"/>
        </w:rPr>
        <w:t>，资</w:t>
      </w:r>
      <w:r>
        <w:rPr/>
        <w:t>本溢</w:t>
      </w:r>
    </w:p>
    <w:p>
      <w:pPr>
        <w:spacing w:after="0" w:line="240" w:lineRule="auto"/>
        <w:jc w:val="left"/>
        <w:sectPr>
          <w:pgSz w:w="11910" w:h="16840"/>
          <w:pgMar w:header="882" w:footer="1195" w:top="1120" w:bottom="1380" w:left="1660" w:right="920"/>
        </w:sectPr>
      </w:pPr>
    </w:p>
    <w:p>
      <w:pPr>
        <w:spacing w:line="240" w:lineRule="auto" w:before="5"/>
        <w:rPr>
          <w:rFonts w:ascii="宋体" w:hAnsi="宋体" w:cs="宋体" w:eastAsia="宋体" w:hint="default"/>
          <w:sz w:val="25"/>
          <w:szCs w:val="25"/>
        </w:rPr>
      </w:pPr>
    </w:p>
    <w:p>
      <w:pPr>
        <w:pStyle w:val="BodyText"/>
        <w:spacing w:line="357" w:lineRule="auto" w:before="26"/>
        <w:ind w:left="638" w:right="228" w:hanging="420"/>
        <w:jc w:val="left"/>
      </w:pPr>
      <w:r>
        <w:rPr/>
        <w:t>价不足冲减的，冲减留存收益。 丧失对原子公司控制权时，对于剩余股权，按照其在丧失控制权日的公允价值进</w:t>
      </w:r>
    </w:p>
    <w:p>
      <w:pPr>
        <w:pStyle w:val="BodyText"/>
        <w:spacing w:line="357" w:lineRule="auto" w:before="34"/>
        <w:ind w:left="218" w:right="234"/>
        <w:jc w:val="both"/>
      </w:pPr>
      <w:r>
        <w:rPr>
          <w:spacing w:val="-2"/>
        </w:rPr>
        <w:t>行重新计量。处置股权取得的对价与剩余股权公允价值之和，减去按原持股比例计算</w:t>
      </w:r>
      <w:r>
        <w:rPr>
          <w:spacing w:val="-94"/>
        </w:rPr>
        <w:t> </w:t>
      </w:r>
      <w:r>
        <w:rPr>
          <w:spacing w:val="-94"/>
        </w:rPr>
      </w:r>
      <w:r>
        <w:rPr>
          <w:spacing w:val="-2"/>
        </w:rPr>
        <w:t>应享有原有子公司自购买日或合并日开始持续计算的净资产的份额之间的差额，计入</w:t>
      </w:r>
      <w:r>
        <w:rPr>
          <w:spacing w:val="-94"/>
        </w:rPr>
        <w:t> </w:t>
      </w:r>
      <w:r>
        <w:rPr>
          <w:spacing w:val="-94"/>
        </w:rPr>
      </w:r>
      <w:r>
        <w:rPr>
          <w:spacing w:val="-2"/>
        </w:rPr>
        <w:t>丧失控制权当期的投资收益，同时冲减商誉。与原有子公司股权投资相关的其他综合</w:t>
      </w:r>
      <w:r>
        <w:rPr>
          <w:spacing w:val="-94"/>
        </w:rPr>
        <w:t> </w:t>
      </w:r>
      <w:r>
        <w:rPr>
          <w:spacing w:val="-94"/>
        </w:rPr>
      </w:r>
      <w:r>
        <w:rPr/>
        <w:t>收益等，应当在丧失控制权时转为当期投资收益。</w:t>
      </w:r>
    </w:p>
    <w:p>
      <w:pPr>
        <w:pStyle w:val="BodyText"/>
        <w:spacing w:line="357" w:lineRule="auto" w:before="36"/>
        <w:ind w:left="218" w:right="232" w:firstLine="419"/>
        <w:jc w:val="right"/>
      </w:pPr>
      <w:r>
        <w:rPr>
          <w:rFonts w:ascii="宋体" w:hAnsi="宋体" w:cs="宋体" w:eastAsia="宋体" w:hint="default"/>
        </w:rPr>
        <w:t>2)</w:t>
      </w:r>
      <w:r>
        <w:rPr>
          <w:rFonts w:ascii="宋体" w:hAnsi="宋体" w:cs="宋体" w:eastAsia="宋体" w:hint="default"/>
          <w:spacing w:val="29"/>
        </w:rPr>
        <w:t> </w:t>
      </w:r>
      <w:r>
        <w:rPr>
          <w:spacing w:val="-4"/>
        </w:rPr>
        <w:t>通过多次交易分步处置对子公司投资至丧失控制权，且属于“一揽子交易”的</w:t>
      </w:r>
      <w:r>
        <w:rPr/>
        <w:t> 将各项交易作为一项处置子公司并丧失控制权的交易进行会计处理。但是，在丧 </w:t>
      </w:r>
      <w:r>
        <w:rPr>
          <w:spacing w:val="-2"/>
        </w:rPr>
        <w:t>失控制权之前每一次处置价款与处置投资对应的享有该子公司净资产份额的差额，在</w:t>
      </w:r>
      <w:r>
        <w:rPr>
          <w:spacing w:val="-102"/>
        </w:rPr>
        <w:t> </w:t>
      </w:r>
      <w:r>
        <w:rPr>
          <w:spacing w:val="-102"/>
        </w:rPr>
      </w:r>
      <w:r>
        <w:rPr>
          <w:spacing w:val="-2"/>
        </w:rPr>
        <w:t>合并财务报表中确认为其他综合收益，在丧失控制权时一并转入丧失控制权当期的损</w:t>
      </w:r>
    </w:p>
    <w:p>
      <w:pPr>
        <w:pStyle w:val="BodyText"/>
        <w:spacing w:line="240" w:lineRule="auto" w:before="36"/>
        <w:ind w:left="218" w:right="233"/>
        <w:jc w:val="left"/>
      </w:pPr>
      <w:r>
        <w:rPr/>
        <w:t>益。</w:t>
      </w:r>
    </w:p>
    <w:p>
      <w:pPr>
        <w:spacing w:line="240" w:lineRule="auto" w:before="0"/>
        <w:rPr>
          <w:rFonts w:ascii="宋体" w:hAnsi="宋体" w:cs="宋体" w:eastAsia="宋体" w:hint="default"/>
          <w:sz w:val="24"/>
          <w:szCs w:val="24"/>
        </w:rPr>
      </w:pPr>
    </w:p>
    <w:p>
      <w:pPr>
        <w:spacing w:line="283" w:lineRule="auto" w:before="209"/>
        <w:ind w:left="218" w:right="7181" w:firstLine="0"/>
        <w:jc w:val="left"/>
        <w:rPr>
          <w:rFonts w:ascii="宋体" w:hAnsi="宋体" w:cs="宋体" w:eastAsia="宋体" w:hint="default"/>
          <w:sz w:val="24"/>
          <w:szCs w:val="24"/>
        </w:rPr>
      </w:pPr>
      <w:r>
        <w:rPr>
          <w:rFonts w:ascii="宋体" w:hAnsi="宋体" w:cs="宋体" w:eastAsia="宋体" w:hint="default"/>
          <w:b/>
          <w:bCs/>
          <w:sz w:val="24"/>
          <w:szCs w:val="24"/>
        </w:rPr>
        <w:t>15.</w:t>
      </w:r>
      <w:r>
        <w:rPr>
          <w:rFonts w:ascii="宋体" w:hAnsi="宋体" w:cs="宋体" w:eastAsia="宋体" w:hint="default"/>
          <w:b/>
          <w:bCs/>
          <w:spacing w:val="-62"/>
          <w:sz w:val="24"/>
          <w:szCs w:val="24"/>
        </w:rPr>
        <w:t> </w:t>
      </w:r>
      <w:r>
        <w:rPr>
          <w:rFonts w:ascii="宋体" w:hAnsi="宋体" w:cs="宋体" w:eastAsia="宋体" w:hint="default"/>
          <w:b/>
          <w:bCs/>
          <w:sz w:val="24"/>
          <w:szCs w:val="24"/>
        </w:rPr>
        <w:t>投资性房地产</w:t>
      </w:r>
      <w:r>
        <w:rPr>
          <w:rFonts w:ascii="宋体" w:hAnsi="宋体" w:cs="宋体" w:eastAsia="宋体" w:hint="default"/>
          <w:b/>
          <w:bCs/>
          <w:w w:val="99"/>
          <w:sz w:val="24"/>
          <w:szCs w:val="24"/>
        </w:rPr>
        <w:t> </w:t>
      </w:r>
      <w:r>
        <w:rPr>
          <w:rFonts w:ascii="宋体" w:hAnsi="宋体" w:cs="宋体" w:eastAsia="宋体" w:hint="default"/>
          <w:sz w:val="24"/>
          <w:szCs w:val="24"/>
        </w:rPr>
        <w:t>折旧或摊销方法</w:t>
      </w:r>
    </w:p>
    <w:p>
      <w:pPr>
        <w:pStyle w:val="BodyText"/>
        <w:spacing w:line="357" w:lineRule="auto" w:before="12"/>
        <w:ind w:left="218" w:right="219" w:firstLine="419"/>
        <w:jc w:val="left"/>
      </w:pPr>
      <w:r>
        <w:rPr>
          <w:rFonts w:ascii="宋体" w:hAnsi="宋体" w:cs="宋体" w:eastAsia="宋体" w:hint="default"/>
        </w:rPr>
        <w:t>1.</w:t>
      </w:r>
      <w:r>
        <w:rPr>
          <w:rFonts w:ascii="宋体" w:hAnsi="宋体" w:cs="宋体" w:eastAsia="宋体" w:hint="default"/>
          <w:spacing w:val="26"/>
        </w:rPr>
        <w:t> </w:t>
      </w:r>
      <w:r>
        <w:rPr>
          <w:spacing w:val="-4"/>
        </w:rPr>
        <w:t>投资性房地产包括已出租的土地使用权、持有并准备增值后转让的土地使用权</w:t>
      </w:r>
      <w:r>
        <w:rPr/>
        <w:t> 和已出租的建筑物。</w:t>
      </w:r>
    </w:p>
    <w:p>
      <w:pPr>
        <w:pStyle w:val="BodyText"/>
        <w:spacing w:line="357" w:lineRule="auto" w:before="34"/>
        <w:ind w:left="218" w:right="217" w:firstLine="419"/>
        <w:jc w:val="left"/>
      </w:pPr>
      <w:r>
        <w:rPr>
          <w:rFonts w:ascii="宋体" w:hAnsi="宋体" w:cs="宋体" w:eastAsia="宋体" w:hint="default"/>
        </w:rPr>
        <w:t>2.</w:t>
      </w:r>
      <w:r>
        <w:rPr>
          <w:rFonts w:ascii="宋体" w:hAnsi="宋体" w:cs="宋体" w:eastAsia="宋体" w:hint="default"/>
          <w:spacing w:val="28"/>
        </w:rPr>
        <w:t> </w:t>
      </w:r>
      <w:r>
        <w:rPr>
          <w:spacing w:val="-4"/>
        </w:rPr>
        <w:t>投资性房地产按照成本进行初始计量，采用成本模式进行后续计量，并采用与</w:t>
      </w:r>
      <w:r>
        <w:rPr/>
        <w:t> 固定资产和无形资产相同的方法计提折旧或进行摊销。</w:t>
      </w:r>
    </w:p>
    <w:p>
      <w:pPr>
        <w:spacing w:line="240" w:lineRule="auto" w:before="0"/>
        <w:rPr>
          <w:rFonts w:ascii="宋体" w:hAnsi="宋体" w:cs="宋体" w:eastAsia="宋体" w:hint="default"/>
          <w:sz w:val="31"/>
          <w:szCs w:val="31"/>
        </w:rPr>
      </w:pPr>
    </w:p>
    <w:p>
      <w:pPr>
        <w:pStyle w:val="Heading2"/>
        <w:spacing w:line="240" w:lineRule="auto" w:before="0"/>
        <w:ind w:right="233"/>
        <w:jc w:val="left"/>
        <w:rPr>
          <w:b w:val="0"/>
          <w:bCs w:val="0"/>
        </w:rPr>
      </w:pPr>
      <w:r>
        <w:rPr>
          <w:rFonts w:ascii="宋体" w:hAnsi="宋体" w:cs="宋体" w:eastAsia="宋体" w:hint="default"/>
        </w:rPr>
        <w:t>16.</w:t>
      </w:r>
      <w:r>
        <w:rPr>
          <w:rFonts w:ascii="宋体" w:hAnsi="宋体" w:cs="宋体" w:eastAsia="宋体" w:hint="default"/>
          <w:spacing w:val="-60"/>
        </w:rPr>
        <w:t> </w:t>
      </w:r>
      <w:r>
        <w:rPr/>
        <w:t>固定资产</w:t>
      </w:r>
      <w:r>
        <w:rPr>
          <w:b w:val="0"/>
          <w:bCs w:val="0"/>
        </w:rPr>
      </w:r>
    </w:p>
    <w:p>
      <w:pPr>
        <w:pStyle w:val="Heading2"/>
        <w:tabs>
          <w:tab w:pos="1057" w:val="left" w:leader="none"/>
        </w:tabs>
        <w:spacing w:line="240" w:lineRule="auto" w:before="58"/>
        <w:ind w:right="233"/>
        <w:jc w:val="left"/>
        <w:rPr>
          <w:b w:val="0"/>
          <w:bCs w:val="0"/>
        </w:rPr>
      </w:pPr>
      <w:r>
        <w:rPr>
          <w:rFonts w:ascii="宋体" w:hAnsi="宋体" w:cs="宋体" w:eastAsia="宋体" w:hint="default"/>
        </w:rPr>
        <w:t>(1).</w:t>
        <w:tab/>
      </w:r>
      <w:r>
        <w:rPr/>
        <w:t>确认条件</w:t>
      </w:r>
      <w:r>
        <w:rPr>
          <w:b w:val="0"/>
          <w:bCs w:val="0"/>
        </w:rPr>
      </w:r>
    </w:p>
    <w:p>
      <w:pPr>
        <w:pStyle w:val="BodyText"/>
        <w:spacing w:line="310" w:lineRule="exact" w:before="90"/>
        <w:ind w:left="638" w:right="228" w:hanging="420"/>
        <w:jc w:val="left"/>
      </w:pPr>
      <w:r>
        <w:rPr/>
        <w:t>√适用 □不适用 固定资产是指为生产商品、提供劳务、出租或经营管理而持有的，使用年限超过</w:t>
      </w:r>
    </w:p>
    <w:p>
      <w:pPr>
        <w:pStyle w:val="BodyText"/>
        <w:spacing w:line="355" w:lineRule="auto" w:before="126"/>
        <w:ind w:left="218" w:right="233"/>
        <w:jc w:val="left"/>
      </w:pPr>
      <w:r>
        <w:rPr>
          <w:spacing w:val="-2"/>
        </w:rPr>
        <w:t>一个会计年度的有形资产。固定资产在同时满足经济利益很可能流入、成本能够可靠</w:t>
      </w:r>
      <w:r>
        <w:rPr>
          <w:spacing w:val="-94"/>
        </w:rPr>
        <w:t> </w:t>
      </w:r>
      <w:r>
        <w:rPr>
          <w:spacing w:val="-94"/>
        </w:rPr>
      </w:r>
      <w:r>
        <w:rPr/>
        <w:t>计量时予以确认。</w:t>
      </w:r>
    </w:p>
    <w:p>
      <w:pPr>
        <w:spacing w:line="240" w:lineRule="auto" w:before="3"/>
        <w:rPr>
          <w:rFonts w:ascii="宋体" w:hAnsi="宋体" w:cs="宋体" w:eastAsia="宋体" w:hint="default"/>
          <w:sz w:val="31"/>
          <w:szCs w:val="31"/>
        </w:rPr>
      </w:pPr>
    </w:p>
    <w:p>
      <w:pPr>
        <w:pStyle w:val="Heading2"/>
        <w:tabs>
          <w:tab w:pos="1057" w:val="left" w:leader="none"/>
        </w:tabs>
        <w:spacing w:line="240" w:lineRule="auto" w:before="0"/>
        <w:ind w:right="233"/>
        <w:jc w:val="left"/>
        <w:rPr>
          <w:b w:val="0"/>
          <w:bCs w:val="0"/>
        </w:rPr>
      </w:pPr>
      <w:r>
        <w:rPr>
          <w:rFonts w:ascii="宋体" w:hAnsi="宋体" w:cs="宋体" w:eastAsia="宋体" w:hint="default"/>
        </w:rPr>
        <w:t>(2).</w:t>
        <w:tab/>
      </w:r>
      <w:r>
        <w:rPr/>
        <w:t>折旧方法</w:t>
      </w:r>
      <w:r>
        <w:rPr>
          <w:b w:val="0"/>
          <w:bCs w:val="0"/>
        </w:rPr>
      </w:r>
    </w:p>
    <w:p>
      <w:pPr>
        <w:pStyle w:val="BodyText"/>
        <w:spacing w:line="240" w:lineRule="auto" w:before="58"/>
        <w:ind w:left="218" w:right="233"/>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0" w:right="0"/>
              <w:jc w:val="left"/>
              <w:rPr>
                <w:rFonts w:ascii="宋体" w:hAnsi="宋体" w:cs="宋体" w:eastAsia="宋体" w:hint="default"/>
                <w:sz w:val="24"/>
                <w:szCs w:val="24"/>
              </w:rPr>
            </w:pPr>
            <w:r>
              <w:rPr>
                <w:rFonts w:ascii="宋体" w:hAnsi="宋体" w:cs="宋体" w:eastAsia="宋体" w:hint="default"/>
                <w:sz w:val="24"/>
                <w:szCs w:val="24"/>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52" w:right="0"/>
              <w:jc w:val="left"/>
              <w:rPr>
                <w:rFonts w:ascii="宋体" w:hAnsi="宋体" w:cs="宋体" w:eastAsia="宋体" w:hint="default"/>
                <w:sz w:val="24"/>
                <w:szCs w:val="24"/>
              </w:rPr>
            </w:pPr>
            <w:r>
              <w:rPr>
                <w:rFonts w:ascii="宋体" w:hAnsi="宋体" w:cs="宋体" w:eastAsia="宋体" w:hint="default"/>
                <w:sz w:val="24"/>
                <w:szCs w:val="24"/>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9" w:right="0"/>
              <w:jc w:val="left"/>
              <w:rPr>
                <w:rFonts w:ascii="宋体" w:hAnsi="宋体" w:cs="宋体" w:eastAsia="宋体" w:hint="default"/>
                <w:sz w:val="24"/>
                <w:szCs w:val="24"/>
              </w:rPr>
            </w:pPr>
            <w:r>
              <w:rPr>
                <w:rFonts w:ascii="宋体" w:hAnsi="宋体" w:cs="宋体" w:eastAsia="宋体" w:hint="default"/>
                <w:sz w:val="24"/>
                <w:szCs w:val="24"/>
              </w:rPr>
              <w:t>年折旧率（</w:t>
            </w:r>
            <w:r>
              <w:rPr>
                <w:rFonts w:ascii="宋体" w:hAnsi="宋体" w:cs="宋体" w:eastAsia="宋体" w:hint="default"/>
                <w:sz w:val="24"/>
                <w:szCs w:val="24"/>
              </w:rPr>
              <w:t>%</w:t>
            </w:r>
            <w:r>
              <w:rPr>
                <w:rFonts w:ascii="宋体" w:hAnsi="宋体" w:cs="宋体" w:eastAsia="宋体" w:hint="default"/>
                <w:sz w:val="24"/>
                <w:szCs w:val="24"/>
              </w:rPr>
              <w:t>）</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20-45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2.11-4.85</w:t>
            </w:r>
          </w:p>
        </w:tc>
      </w:tr>
      <w:tr>
        <w:trPr>
          <w:trHeight w:val="319"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通用设备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3-20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4.75-32.33</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专用设备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6-15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sz w:val="24"/>
              </w:rPr>
              <w:t>6.33-16.17</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5-12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7.92-19.40</w:t>
            </w:r>
          </w:p>
        </w:tc>
      </w:tr>
    </w:tbl>
    <w:p>
      <w:pPr>
        <w:spacing w:after="0" w:line="274" w:lineRule="exact"/>
        <w:jc w:val="left"/>
        <w:rPr>
          <w:rFonts w:ascii="宋体" w:hAnsi="宋体" w:cs="宋体" w:eastAsia="宋体" w:hint="default"/>
          <w:sz w:val="24"/>
          <w:szCs w:val="24"/>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5-15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sz w:val="24"/>
              </w:rPr>
              <w:t>6.33-19.40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2"/>
        <w:tabs>
          <w:tab w:pos="1057" w:val="left" w:leader="none"/>
        </w:tabs>
        <w:spacing w:line="240" w:lineRule="auto"/>
        <w:ind w:right="233"/>
        <w:jc w:val="left"/>
        <w:rPr>
          <w:b w:val="0"/>
          <w:bCs w:val="0"/>
        </w:rPr>
      </w:pPr>
      <w:r>
        <w:rPr>
          <w:rFonts w:ascii="宋体" w:hAnsi="宋体" w:cs="宋体" w:eastAsia="宋体" w:hint="default"/>
        </w:rPr>
        <w:t>(3).</w:t>
        <w:tab/>
      </w:r>
      <w:r>
        <w:rPr/>
        <w:t>融资租入固定资产的认定依据、计价和折旧方法</w:t>
      </w:r>
      <w:r>
        <w:rPr>
          <w:b w:val="0"/>
          <w:bCs w:val="0"/>
        </w:rPr>
      </w:r>
    </w:p>
    <w:p>
      <w:pPr>
        <w:pStyle w:val="BodyText"/>
        <w:tabs>
          <w:tab w:pos="1177" w:val="left" w:leader="none"/>
        </w:tabs>
        <w:spacing w:line="240" w:lineRule="auto" w:before="58"/>
        <w:ind w:left="218" w:right="233"/>
        <w:jc w:val="left"/>
      </w:pPr>
      <w:r>
        <w:rPr>
          <w:spacing w:val="-1"/>
        </w:rPr>
        <w:t>□适用</w:t>
        <w:tab/>
      </w:r>
      <w:r>
        <w:rPr/>
        <w:t>√不适用</w:t>
      </w:r>
    </w:p>
    <w:p>
      <w:pPr>
        <w:spacing w:line="240" w:lineRule="auto" w:before="1"/>
        <w:rPr>
          <w:rFonts w:ascii="宋体" w:hAnsi="宋体" w:cs="宋体" w:eastAsia="宋体" w:hint="default"/>
          <w:sz w:val="28"/>
          <w:szCs w:val="28"/>
        </w:rPr>
      </w:pPr>
    </w:p>
    <w:p>
      <w:pPr>
        <w:pStyle w:val="Heading2"/>
        <w:spacing w:line="240" w:lineRule="auto" w:before="0"/>
        <w:ind w:right="233"/>
        <w:jc w:val="left"/>
        <w:rPr>
          <w:b w:val="0"/>
          <w:bCs w:val="0"/>
        </w:rPr>
      </w:pPr>
      <w:r>
        <w:rPr>
          <w:rFonts w:ascii="宋体" w:hAnsi="宋体" w:cs="宋体" w:eastAsia="宋体" w:hint="default"/>
        </w:rPr>
        <w:t>17.</w:t>
      </w:r>
      <w:r>
        <w:rPr>
          <w:rFonts w:ascii="宋体" w:hAnsi="宋体" w:cs="宋体" w:eastAsia="宋体" w:hint="default"/>
          <w:spacing w:val="-60"/>
        </w:rPr>
        <w:t> </w:t>
      </w:r>
      <w:r>
        <w:rPr/>
        <w:t>在建工程</w:t>
      </w:r>
      <w:r>
        <w:rPr>
          <w:b w:val="0"/>
          <w:bCs w:val="0"/>
        </w:rPr>
      </w:r>
    </w:p>
    <w:p>
      <w:pPr>
        <w:pStyle w:val="BodyText"/>
        <w:tabs>
          <w:tab w:pos="1177" w:val="left" w:leader="none"/>
        </w:tabs>
        <w:spacing w:line="312" w:lineRule="exact" w:before="58"/>
        <w:ind w:left="218" w:right="233"/>
        <w:jc w:val="left"/>
      </w:pPr>
      <w:r>
        <w:rPr>
          <w:spacing w:val="-1"/>
        </w:rPr>
        <w:t>√适用</w:t>
        <w:tab/>
      </w:r>
      <w:r>
        <w:rPr/>
        <w:t>□不适用</w:t>
      </w:r>
    </w:p>
    <w:p>
      <w:pPr>
        <w:pStyle w:val="BodyText"/>
        <w:spacing w:line="357" w:lineRule="auto"/>
        <w:ind w:left="218" w:right="233" w:firstLine="419"/>
        <w:jc w:val="both"/>
      </w:pPr>
      <w:r>
        <w:rPr>
          <w:rFonts w:ascii="宋体" w:hAnsi="宋体" w:cs="宋体" w:eastAsia="宋体" w:hint="default"/>
        </w:rPr>
        <w:t>1.</w:t>
      </w:r>
      <w:r>
        <w:rPr>
          <w:rFonts w:ascii="宋体" w:hAnsi="宋体" w:cs="宋体" w:eastAsia="宋体" w:hint="default"/>
          <w:spacing w:val="28"/>
        </w:rPr>
        <w:t> </w:t>
      </w:r>
      <w:r>
        <w:rPr>
          <w:spacing w:val="-4"/>
        </w:rPr>
        <w:t>在建工程同时满足经济利益很可能流入、成本能够可靠计量则予以确认。在建</w:t>
      </w:r>
      <w:r>
        <w:rPr/>
        <w:t> 工程按建造该项资产达到预定可使用状态前所发生的实际成本计量。</w:t>
      </w:r>
    </w:p>
    <w:p>
      <w:pPr>
        <w:pStyle w:val="BodyText"/>
        <w:spacing w:line="357" w:lineRule="auto" w:before="34"/>
        <w:ind w:left="218" w:right="233" w:firstLine="419"/>
        <w:jc w:val="both"/>
      </w:pPr>
      <w:r>
        <w:rPr>
          <w:rFonts w:ascii="宋体" w:hAnsi="宋体" w:cs="宋体" w:eastAsia="宋体" w:hint="default"/>
        </w:rPr>
        <w:t>2.</w:t>
      </w:r>
      <w:r>
        <w:rPr>
          <w:rFonts w:ascii="宋体" w:hAnsi="宋体" w:cs="宋体" w:eastAsia="宋体" w:hint="default"/>
          <w:spacing w:val="28"/>
        </w:rPr>
        <w:t> </w:t>
      </w:r>
      <w:r>
        <w:rPr>
          <w:spacing w:val="-4"/>
        </w:rPr>
        <w:t>在建工程达到预定可使用状态时，按工程实际成本转入固定资产。已达到预定</w:t>
      </w:r>
      <w:r>
        <w:rPr/>
        <w:t> </w:t>
      </w:r>
      <w:r>
        <w:rPr>
          <w:spacing w:val="-2"/>
        </w:rPr>
        <w:t>可使用状态但尚未办理竣工决算的，先按估计价值转入固定资产，待办理竣工决算后</w:t>
      </w:r>
      <w:r>
        <w:rPr>
          <w:spacing w:val="-94"/>
        </w:rPr>
        <w:t> </w:t>
      </w:r>
      <w:r>
        <w:rPr>
          <w:spacing w:val="-94"/>
        </w:rPr>
      </w:r>
      <w:r>
        <w:rPr/>
        <w:t>再按实际成本调整原暂估价值，但不再调整原已计提的折旧。</w:t>
      </w:r>
    </w:p>
    <w:p>
      <w:pPr>
        <w:spacing w:line="240" w:lineRule="auto" w:before="3"/>
        <w:rPr>
          <w:rFonts w:ascii="宋体" w:hAnsi="宋体" w:cs="宋体" w:eastAsia="宋体" w:hint="default"/>
          <w:sz w:val="31"/>
          <w:szCs w:val="31"/>
        </w:rPr>
      </w:pPr>
    </w:p>
    <w:p>
      <w:pPr>
        <w:pStyle w:val="Heading2"/>
        <w:spacing w:line="240" w:lineRule="auto" w:before="0"/>
        <w:ind w:right="233"/>
        <w:jc w:val="left"/>
        <w:rPr>
          <w:b w:val="0"/>
          <w:bCs w:val="0"/>
        </w:rPr>
      </w:pPr>
      <w:r>
        <w:rPr>
          <w:rFonts w:ascii="宋体" w:hAnsi="宋体" w:cs="宋体" w:eastAsia="宋体" w:hint="default"/>
        </w:rPr>
        <w:t>18.</w:t>
      </w:r>
      <w:r>
        <w:rPr>
          <w:rFonts w:ascii="宋体" w:hAnsi="宋体" w:cs="宋体" w:eastAsia="宋体" w:hint="default"/>
          <w:spacing w:val="-60"/>
        </w:rPr>
        <w:t> </w:t>
      </w:r>
      <w:r>
        <w:rPr/>
        <w:t>借款费用</w:t>
      </w:r>
      <w:r>
        <w:rPr>
          <w:b w:val="0"/>
          <w:bCs w:val="0"/>
        </w:rPr>
      </w:r>
    </w:p>
    <w:p>
      <w:pPr>
        <w:pStyle w:val="BodyText"/>
        <w:tabs>
          <w:tab w:pos="1177" w:val="left" w:leader="none"/>
        </w:tabs>
        <w:spacing w:line="313" w:lineRule="exact" w:before="55"/>
        <w:ind w:left="218" w:right="233"/>
        <w:jc w:val="left"/>
      </w:pPr>
      <w:r>
        <w:rPr>
          <w:spacing w:val="-1"/>
        </w:rPr>
        <w:t>√适用</w:t>
        <w:tab/>
      </w:r>
      <w:r>
        <w:rPr/>
        <w:t>□不适用</w:t>
      </w:r>
    </w:p>
    <w:p>
      <w:pPr>
        <w:pStyle w:val="BodyText"/>
        <w:spacing w:line="357" w:lineRule="auto"/>
        <w:ind w:left="638" w:right="228"/>
        <w:jc w:val="left"/>
      </w:pPr>
      <w:r>
        <w:rPr>
          <w:rFonts w:ascii="宋体" w:hAnsi="宋体" w:cs="宋体" w:eastAsia="宋体" w:hint="default"/>
        </w:rPr>
        <w:t>1. </w:t>
      </w:r>
      <w:r>
        <w:rPr/>
        <w:t>借款费用资本化的确认原则 公司发生的借款费用，可直接归属于符合资本化条件的资产的购建或者生产的，</w:t>
      </w:r>
    </w:p>
    <w:p>
      <w:pPr>
        <w:pStyle w:val="BodyText"/>
        <w:spacing w:line="357" w:lineRule="auto" w:before="34"/>
        <w:ind w:left="218" w:right="233"/>
        <w:jc w:val="left"/>
      </w:pPr>
      <w:r>
        <w:rPr>
          <w:spacing w:val="-2"/>
        </w:rPr>
        <w:t>予以资本化，计入相关资产成本；其他借款费用，在发生时确认为费用，计入当期损</w:t>
      </w:r>
      <w:r>
        <w:rPr>
          <w:spacing w:val="-94"/>
        </w:rPr>
        <w:t> </w:t>
      </w:r>
      <w:r>
        <w:rPr>
          <w:spacing w:val="-94"/>
        </w:rPr>
      </w:r>
      <w:r>
        <w:rPr/>
        <w:t>益。</w:t>
      </w:r>
    </w:p>
    <w:p>
      <w:pPr>
        <w:pStyle w:val="BodyText"/>
        <w:spacing w:line="240" w:lineRule="auto" w:before="34"/>
        <w:ind w:left="638" w:right="233"/>
        <w:jc w:val="left"/>
      </w:pPr>
      <w:r>
        <w:rPr>
          <w:rFonts w:ascii="宋体" w:hAnsi="宋体" w:cs="宋体" w:eastAsia="宋体" w:hint="default"/>
        </w:rPr>
        <w:t>2. </w:t>
      </w:r>
      <w:r>
        <w:rPr/>
        <w:t>借款费用资本化期间</w:t>
      </w:r>
    </w:p>
    <w:p>
      <w:pPr>
        <w:pStyle w:val="BodyText"/>
        <w:spacing w:line="357" w:lineRule="auto" w:before="154"/>
        <w:ind w:left="218" w:right="226" w:firstLine="419"/>
        <w:jc w:val="both"/>
      </w:pPr>
      <w:r>
        <w:rPr>
          <w:rFonts w:ascii="宋体" w:hAnsi="宋体" w:cs="宋体" w:eastAsia="宋体" w:hint="default"/>
        </w:rPr>
        <w:t>(1) </w:t>
      </w:r>
      <w:r>
        <w:rPr>
          <w:spacing w:val="-7"/>
        </w:rPr>
        <w:t>当借款费用同时满足下列条件时，开始资本化：</w:t>
      </w:r>
      <w:r>
        <w:rPr>
          <w:rFonts w:ascii="宋体" w:hAnsi="宋体" w:cs="宋体" w:eastAsia="宋体" w:hint="default"/>
          <w:spacing w:val="-7"/>
        </w:rPr>
        <w:t>1) </w:t>
      </w:r>
      <w:r>
        <w:rPr>
          <w:spacing w:val="-7"/>
        </w:rPr>
        <w:t>资产支出已经发生；</w:t>
      </w:r>
      <w:r>
        <w:rPr>
          <w:rFonts w:ascii="宋体" w:hAnsi="宋体" w:cs="宋体" w:eastAsia="宋体" w:hint="default"/>
          <w:spacing w:val="-7"/>
        </w:rPr>
        <w:t>2)</w:t>
      </w:r>
      <w:r>
        <w:rPr>
          <w:rFonts w:ascii="宋体" w:hAnsi="宋体" w:cs="宋体" w:eastAsia="宋体" w:hint="default"/>
          <w:spacing w:val="16"/>
        </w:rPr>
        <w:t> </w:t>
      </w:r>
      <w:r>
        <w:rPr/>
        <w:t>借 款费用已经发生；</w:t>
      </w:r>
      <w:r>
        <w:rPr>
          <w:rFonts w:ascii="宋体" w:hAnsi="宋体" w:cs="宋体" w:eastAsia="宋体" w:hint="default"/>
        </w:rPr>
        <w:t>3)</w:t>
      </w:r>
      <w:r>
        <w:rPr>
          <w:rFonts w:ascii="宋体" w:hAnsi="宋体" w:cs="宋体" w:eastAsia="宋体" w:hint="default"/>
          <w:spacing w:val="56"/>
        </w:rPr>
        <w:t> </w:t>
      </w:r>
      <w:r>
        <w:rPr/>
        <w:t>为使资产达到预定可使用或可销售状态所必要的购建或者生产</w:t>
      </w:r>
      <w:r>
        <w:rPr>
          <w:spacing w:val="-111"/>
        </w:rPr>
        <w:t> </w:t>
      </w:r>
      <w:r>
        <w:rPr>
          <w:spacing w:val="-111"/>
        </w:rPr>
      </w:r>
      <w:r>
        <w:rPr/>
        <w:t>活动已经开始。</w:t>
      </w:r>
    </w:p>
    <w:p>
      <w:pPr>
        <w:pStyle w:val="BodyText"/>
        <w:spacing w:line="240" w:lineRule="auto" w:before="34"/>
        <w:ind w:left="638" w:right="0"/>
        <w:jc w:val="left"/>
      </w:pPr>
      <w:r>
        <w:rPr>
          <w:rFonts w:ascii="宋体" w:hAnsi="宋体" w:cs="宋体" w:eastAsia="宋体" w:hint="default"/>
        </w:rPr>
        <w:t>(2)</w:t>
      </w:r>
      <w:r>
        <w:rPr>
          <w:rFonts w:ascii="宋体" w:hAnsi="宋体" w:cs="宋体" w:eastAsia="宋体" w:hint="default"/>
          <w:spacing w:val="8"/>
        </w:rPr>
        <w:t> </w:t>
      </w:r>
      <w:r>
        <w:rPr/>
        <w:t>若符合资本化条件的资产在购建或者生产过程中发生非正常中断，并且中断</w:t>
      </w:r>
    </w:p>
    <w:p>
      <w:pPr>
        <w:pStyle w:val="BodyText"/>
        <w:spacing w:line="355" w:lineRule="auto" w:before="154"/>
        <w:ind w:left="218" w:right="215"/>
        <w:jc w:val="left"/>
      </w:pPr>
      <w:r>
        <w:rPr/>
        <w:t>时间连续超过</w:t>
      </w:r>
      <w:r>
        <w:rPr>
          <w:spacing w:val="-84"/>
        </w:rPr>
        <w:t> </w:t>
      </w:r>
      <w:r>
        <w:rPr>
          <w:rFonts w:ascii="宋体" w:hAnsi="宋体" w:cs="宋体" w:eastAsia="宋体" w:hint="default"/>
        </w:rPr>
        <w:t>3</w:t>
      </w:r>
      <w:r>
        <w:rPr>
          <w:rFonts w:ascii="宋体" w:hAnsi="宋体" w:cs="宋体" w:eastAsia="宋体" w:hint="default"/>
          <w:spacing w:val="-83"/>
        </w:rPr>
        <w:t> </w:t>
      </w:r>
      <w:r>
        <w:rPr/>
        <w:t>个月，暂停借款费用的资本化；中断期间发生的借款费用确认为当期 费用，直至资产的购建或者生产活动重新开始。</w:t>
      </w:r>
    </w:p>
    <w:p>
      <w:pPr>
        <w:pStyle w:val="BodyText"/>
        <w:spacing w:line="355" w:lineRule="auto" w:before="38"/>
        <w:ind w:left="218" w:right="235" w:firstLine="419"/>
        <w:jc w:val="both"/>
      </w:pPr>
      <w:r>
        <w:rPr>
          <w:rFonts w:ascii="宋体" w:hAnsi="宋体" w:cs="宋体" w:eastAsia="宋体" w:hint="default"/>
        </w:rPr>
        <w:t>(3)</w:t>
      </w:r>
      <w:r>
        <w:rPr>
          <w:rFonts w:ascii="宋体" w:hAnsi="宋体" w:cs="宋体" w:eastAsia="宋体" w:hint="default"/>
          <w:spacing w:val="8"/>
        </w:rPr>
        <w:t> </w:t>
      </w:r>
      <w:r>
        <w:rPr/>
        <w:t>当所购建或者生产符合资本化条件的资产达到预定可使用或可销售状态时， 借款费用停止资本化。</w:t>
      </w:r>
    </w:p>
    <w:p>
      <w:pPr>
        <w:pStyle w:val="BodyText"/>
        <w:spacing w:line="355" w:lineRule="auto" w:before="38"/>
        <w:ind w:left="638" w:right="228"/>
        <w:jc w:val="left"/>
      </w:pPr>
      <w:r>
        <w:rPr>
          <w:rFonts w:ascii="宋体" w:hAnsi="宋体" w:cs="宋体" w:eastAsia="宋体" w:hint="default"/>
        </w:rPr>
        <w:t>3. </w:t>
      </w:r>
      <w:r>
        <w:rPr/>
        <w:t>借款费用资本化率以及资本化金额 为购建或者生产符合资本化条件的资产而借入专门借款的，以专门借款当期实际</w:t>
      </w:r>
    </w:p>
    <w:p>
      <w:pPr>
        <w:pStyle w:val="BodyText"/>
        <w:spacing w:line="240" w:lineRule="auto" w:before="39"/>
        <w:ind w:left="218" w:right="0"/>
        <w:jc w:val="left"/>
      </w:pPr>
      <w:r>
        <w:rPr>
          <w:spacing w:val="2"/>
        </w:rPr>
        <w:t>发生的利息费用（包</w:t>
      </w:r>
      <w:r>
        <w:rPr/>
        <w:t>括</w:t>
      </w:r>
      <w:r>
        <w:rPr>
          <w:spacing w:val="2"/>
        </w:rPr>
        <w:t>按照实际利率法确定</w:t>
      </w:r>
      <w:r>
        <w:rPr/>
        <w:t>的</w:t>
      </w:r>
      <w:r>
        <w:rPr>
          <w:spacing w:val="2"/>
        </w:rPr>
        <w:t>折价或溢价的摊销</w:t>
      </w:r>
      <w:r>
        <w:rPr>
          <w:spacing w:val="-118"/>
        </w:rPr>
        <w:t>）</w:t>
      </w:r>
      <w:r>
        <w:rPr/>
        <w:t>，</w:t>
      </w:r>
      <w:r>
        <w:rPr>
          <w:spacing w:val="2"/>
        </w:rPr>
        <w:t>减去将尚未</w:t>
      </w:r>
      <w:r>
        <w:rPr/>
        <w:t>动用</w:t>
      </w:r>
    </w:p>
    <w:p>
      <w:pPr>
        <w:spacing w:after="0" w:line="240" w:lineRule="auto"/>
        <w:jc w:val="left"/>
        <w:sectPr>
          <w:pgSz w:w="11910" w:h="16840"/>
          <w:pgMar w:header="882" w:footer="1195" w:top="1120" w:bottom="1380" w:left="1580" w:right="1040"/>
        </w:sectPr>
      </w:pPr>
    </w:p>
    <w:p>
      <w:pPr>
        <w:spacing w:line="240" w:lineRule="auto" w:before="5"/>
        <w:rPr>
          <w:rFonts w:ascii="宋体" w:hAnsi="宋体" w:cs="宋体" w:eastAsia="宋体" w:hint="default"/>
          <w:sz w:val="25"/>
          <w:szCs w:val="25"/>
        </w:rPr>
      </w:pPr>
    </w:p>
    <w:p>
      <w:pPr>
        <w:pStyle w:val="BodyText"/>
        <w:spacing w:line="357" w:lineRule="auto" w:before="26"/>
        <w:ind w:left="218" w:right="97"/>
        <w:jc w:val="left"/>
      </w:pPr>
      <w:r>
        <w:rPr/>
        <w:t>的借款资金存入银行取得的利息收入或进行暂时性投资取得的投资收益后的金额，确 </w:t>
      </w:r>
      <w:r>
        <w:rPr>
          <w:spacing w:val="-2"/>
        </w:rPr>
        <w:t>定应予资本化的利息金额；为购建或者生产符合资本化条件的资产占用了一般借款的，</w:t>
      </w:r>
      <w:r>
        <w:rPr>
          <w:spacing w:val="-92"/>
        </w:rPr>
        <w:t> </w:t>
      </w:r>
      <w:r>
        <w:rPr>
          <w:spacing w:val="-92"/>
        </w:rPr>
      </w:r>
      <w:r>
        <w:rPr>
          <w:spacing w:val="4"/>
        </w:rPr>
        <w:t>根据累计资产支出超过专门借款的资产支出加权平均数乘以占用一般借款的资本化</w:t>
      </w:r>
      <w:r>
        <w:rPr>
          <w:spacing w:val="-105"/>
        </w:rPr>
        <w:t> </w:t>
      </w:r>
      <w:r>
        <w:rPr>
          <w:spacing w:val="-105"/>
        </w:rPr>
      </w:r>
      <w:r>
        <w:rPr/>
        <w:t>率，计算确定一般借款应予资本化的利息金额。</w:t>
      </w:r>
    </w:p>
    <w:p>
      <w:pPr>
        <w:spacing w:line="240" w:lineRule="auto" w:before="0"/>
        <w:rPr>
          <w:rFonts w:ascii="宋体" w:hAnsi="宋体" w:cs="宋体" w:eastAsia="宋体" w:hint="default"/>
          <w:sz w:val="31"/>
          <w:szCs w:val="31"/>
        </w:rPr>
      </w:pPr>
    </w:p>
    <w:p>
      <w:pPr>
        <w:pStyle w:val="Heading2"/>
        <w:spacing w:line="240" w:lineRule="auto" w:before="0"/>
        <w:ind w:right="97"/>
        <w:jc w:val="left"/>
        <w:rPr>
          <w:b w:val="0"/>
          <w:bCs w:val="0"/>
        </w:rPr>
      </w:pPr>
      <w:r>
        <w:rPr>
          <w:rFonts w:ascii="宋体" w:hAnsi="宋体" w:cs="宋体" w:eastAsia="宋体" w:hint="default"/>
        </w:rPr>
        <w:t>19.</w:t>
      </w:r>
      <w:r>
        <w:rPr>
          <w:rFonts w:ascii="宋体" w:hAnsi="宋体" w:cs="宋体" w:eastAsia="宋体" w:hint="default"/>
          <w:spacing w:val="-60"/>
        </w:rPr>
        <w:t> </w:t>
      </w:r>
      <w:r>
        <w:rPr/>
        <w:t>生物资产</w:t>
      </w:r>
      <w:r>
        <w:rPr>
          <w:b w:val="0"/>
          <w:bCs w:val="0"/>
        </w:rPr>
      </w:r>
    </w:p>
    <w:p>
      <w:pPr>
        <w:pStyle w:val="BodyText"/>
        <w:tabs>
          <w:tab w:pos="1177" w:val="left" w:leader="none"/>
        </w:tabs>
        <w:spacing w:line="240" w:lineRule="auto" w:before="58"/>
        <w:ind w:left="218" w:right="97"/>
        <w:jc w:val="left"/>
      </w:pPr>
      <w:r>
        <w:rPr>
          <w:spacing w:val="-1"/>
        </w:rPr>
        <w:t>□适用</w:t>
        <w:tab/>
      </w:r>
      <w:r>
        <w:rPr/>
        <w:t>√不适用</w:t>
      </w:r>
    </w:p>
    <w:p>
      <w:pPr>
        <w:spacing w:line="240" w:lineRule="auto" w:before="2"/>
        <w:rPr>
          <w:rFonts w:ascii="宋体" w:hAnsi="宋体" w:cs="宋体" w:eastAsia="宋体" w:hint="default"/>
          <w:sz w:val="28"/>
          <w:szCs w:val="28"/>
        </w:rPr>
      </w:pPr>
    </w:p>
    <w:p>
      <w:pPr>
        <w:pStyle w:val="Heading2"/>
        <w:spacing w:line="240" w:lineRule="auto" w:before="0"/>
        <w:ind w:right="97"/>
        <w:jc w:val="left"/>
        <w:rPr>
          <w:b w:val="0"/>
          <w:bCs w:val="0"/>
        </w:rPr>
      </w:pPr>
      <w:r>
        <w:rPr>
          <w:rFonts w:ascii="宋体" w:hAnsi="宋体" w:cs="宋体" w:eastAsia="宋体" w:hint="default"/>
        </w:rPr>
        <w:t>20.</w:t>
      </w:r>
      <w:r>
        <w:rPr>
          <w:rFonts w:ascii="宋体" w:hAnsi="宋体" w:cs="宋体" w:eastAsia="宋体" w:hint="default"/>
          <w:spacing w:val="-60"/>
        </w:rPr>
        <w:t> </w:t>
      </w:r>
      <w:r>
        <w:rPr/>
        <w:t>油气资产</w:t>
      </w:r>
      <w:r>
        <w:rPr>
          <w:b w:val="0"/>
          <w:bCs w:val="0"/>
        </w:rPr>
      </w:r>
    </w:p>
    <w:p>
      <w:pPr>
        <w:pStyle w:val="BodyText"/>
        <w:tabs>
          <w:tab w:pos="1177" w:val="left" w:leader="none"/>
        </w:tabs>
        <w:spacing w:line="240" w:lineRule="auto" w:before="58"/>
        <w:ind w:left="218" w:right="97"/>
        <w:jc w:val="left"/>
      </w:pPr>
      <w:r>
        <w:rPr>
          <w:spacing w:val="-1"/>
        </w:rPr>
        <w:t>□适用</w:t>
        <w:tab/>
      </w:r>
      <w:r>
        <w:rPr/>
        <w:t>√不适用</w:t>
      </w:r>
    </w:p>
    <w:p>
      <w:pPr>
        <w:spacing w:line="240" w:lineRule="auto" w:before="1"/>
        <w:rPr>
          <w:rFonts w:ascii="宋体" w:hAnsi="宋体" w:cs="宋体" w:eastAsia="宋体" w:hint="default"/>
          <w:sz w:val="28"/>
          <w:szCs w:val="28"/>
        </w:rPr>
      </w:pPr>
    </w:p>
    <w:p>
      <w:pPr>
        <w:pStyle w:val="Heading2"/>
        <w:spacing w:line="240" w:lineRule="auto" w:before="0"/>
        <w:ind w:right="97"/>
        <w:jc w:val="left"/>
        <w:rPr>
          <w:b w:val="0"/>
          <w:bCs w:val="0"/>
        </w:rPr>
      </w:pPr>
      <w:r>
        <w:rPr>
          <w:rFonts w:ascii="宋体" w:hAnsi="宋体" w:cs="宋体" w:eastAsia="宋体" w:hint="default"/>
        </w:rPr>
        <w:t>21.</w:t>
      </w:r>
      <w:r>
        <w:rPr>
          <w:rFonts w:ascii="宋体" w:hAnsi="宋体" w:cs="宋体" w:eastAsia="宋体" w:hint="default"/>
          <w:spacing w:val="-60"/>
        </w:rPr>
        <w:t> </w:t>
      </w:r>
      <w:r>
        <w:rPr/>
        <w:t>无形资产</w:t>
      </w:r>
      <w:r>
        <w:rPr>
          <w:b w:val="0"/>
          <w:bCs w:val="0"/>
        </w:rPr>
      </w:r>
    </w:p>
    <w:p>
      <w:pPr>
        <w:pStyle w:val="Heading2"/>
        <w:tabs>
          <w:tab w:pos="1069" w:val="left" w:leader="none"/>
        </w:tabs>
        <w:spacing w:line="240" w:lineRule="auto" w:before="58"/>
        <w:ind w:right="97"/>
        <w:jc w:val="left"/>
        <w:rPr>
          <w:b w:val="0"/>
          <w:bCs w:val="0"/>
        </w:rPr>
      </w:pPr>
      <w:r>
        <w:rPr>
          <w:rFonts w:ascii="宋体" w:hAnsi="宋体" w:cs="宋体" w:eastAsia="宋体" w:hint="default"/>
        </w:rPr>
        <w:t>(1).</w:t>
        <w:tab/>
      </w:r>
      <w:r>
        <w:rPr/>
        <w:t>计价方法、使用寿命、减值测试</w:t>
      </w:r>
      <w:r>
        <w:rPr>
          <w:b w:val="0"/>
          <w:bCs w:val="0"/>
        </w:rPr>
      </w:r>
    </w:p>
    <w:p>
      <w:pPr>
        <w:pStyle w:val="BodyText"/>
        <w:spacing w:line="312" w:lineRule="exact" w:before="58"/>
        <w:ind w:left="218" w:right="97"/>
        <w:jc w:val="left"/>
      </w:pPr>
      <w:r>
        <w:rPr/>
        <w:t>√适用</w:t>
      </w:r>
      <w:r>
        <w:rPr>
          <w:spacing w:val="-1"/>
        </w:rPr>
        <w:t> </w:t>
      </w:r>
      <w:r>
        <w:rPr/>
        <w:t>□不适用</w:t>
      </w:r>
    </w:p>
    <w:p>
      <w:pPr>
        <w:pStyle w:val="BodyText"/>
        <w:spacing w:line="312" w:lineRule="exact"/>
        <w:ind w:left="638" w:right="97"/>
        <w:jc w:val="left"/>
      </w:pPr>
      <w:r>
        <w:rPr>
          <w:rFonts w:ascii="宋体" w:hAnsi="宋体" w:cs="宋体" w:eastAsia="宋体" w:hint="default"/>
        </w:rPr>
        <w:t>1. </w:t>
      </w:r>
      <w:r>
        <w:rPr/>
        <w:t>无形资产包括土地使用权、专利权及非专利技术等，按成本进行初始计量。</w:t>
      </w:r>
    </w:p>
    <w:p>
      <w:pPr>
        <w:pStyle w:val="BodyText"/>
        <w:spacing w:line="357" w:lineRule="auto" w:before="154"/>
        <w:ind w:left="218" w:right="353" w:firstLine="419"/>
        <w:jc w:val="both"/>
      </w:pPr>
      <w:r>
        <w:rPr>
          <w:rFonts w:ascii="宋体" w:hAnsi="宋体" w:cs="宋体" w:eastAsia="宋体" w:hint="default"/>
        </w:rPr>
        <w:t>2.</w:t>
      </w:r>
      <w:r>
        <w:rPr>
          <w:rFonts w:ascii="宋体" w:hAnsi="宋体" w:cs="宋体" w:eastAsia="宋体" w:hint="default"/>
          <w:spacing w:val="28"/>
        </w:rPr>
        <w:t> </w:t>
      </w:r>
      <w:r>
        <w:rPr>
          <w:spacing w:val="-4"/>
        </w:rPr>
        <w:t>采矿权的摊销采用产量法。探矿权在没有开采之前不进行摊销，转入采矿权开</w:t>
      </w:r>
      <w:r>
        <w:rPr/>
        <w:t> </w:t>
      </w:r>
      <w:r>
        <w:rPr>
          <w:spacing w:val="-2"/>
        </w:rPr>
        <w:t>采后按照产量法进行摊销。使用寿命有限的其他无形资产，在使用寿命内按照与该项</w:t>
      </w:r>
      <w:r>
        <w:rPr>
          <w:spacing w:val="-94"/>
        </w:rPr>
        <w:t> </w:t>
      </w:r>
      <w:r>
        <w:rPr>
          <w:spacing w:val="-94"/>
        </w:rPr>
      </w:r>
      <w:r>
        <w:rPr>
          <w:spacing w:val="-2"/>
        </w:rPr>
        <w:t>无形资产有关的经济利益的预期实现方式系统合理地摊销，无法可靠确定预期实现方</w:t>
      </w:r>
      <w:r>
        <w:rPr>
          <w:spacing w:val="-94"/>
        </w:rPr>
        <w:t> </w:t>
      </w:r>
      <w:r>
        <w:rPr>
          <w:spacing w:val="-94"/>
        </w:rPr>
      </w:r>
      <w:r>
        <w:rPr/>
        <w:t>式的，采用直线法摊销。具体年限如下：</w:t>
      </w:r>
    </w:p>
    <w:p>
      <w:pPr>
        <w:spacing w:line="240" w:lineRule="auto" w:before="9"/>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874"/>
        <w:gridCol w:w="4679"/>
        <w:gridCol w:w="2497"/>
      </w:tblGrid>
      <w:tr>
        <w:trPr>
          <w:trHeight w:val="478"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tabs>
                <w:tab w:pos="823" w:val="left" w:leader="none"/>
              </w:tabs>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项</w:t>
              <w:tab/>
              <w:t>目</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摊销方法</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摊销年限</w:t>
            </w:r>
            <w:r>
              <w:rPr>
                <w:rFonts w:ascii="宋体" w:hAnsi="宋体" w:cs="宋体" w:eastAsia="宋体" w:hint="default"/>
                <w:sz w:val="24"/>
                <w:szCs w:val="24"/>
              </w:rPr>
              <w:t>(</w:t>
            </w:r>
            <w:r>
              <w:rPr>
                <w:rFonts w:ascii="宋体" w:hAnsi="宋体" w:cs="宋体" w:eastAsia="宋体" w:hint="default"/>
                <w:sz w:val="24"/>
                <w:szCs w:val="24"/>
              </w:rPr>
              <w:t>年</w:t>
            </w:r>
            <w:r>
              <w:rPr>
                <w:rFonts w:ascii="宋体" w:hAnsi="宋体" w:cs="宋体" w:eastAsia="宋体" w:hint="default"/>
                <w:sz w:val="24"/>
                <w:szCs w:val="24"/>
              </w:rPr>
              <w:t>)</w:t>
            </w:r>
          </w:p>
        </w:tc>
      </w:tr>
      <w:tr>
        <w:trPr>
          <w:trHeight w:val="475"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土地使用权</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按土地使用权许可使用年限摊销</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土地证使用年限</w:t>
            </w:r>
          </w:p>
        </w:tc>
      </w:tr>
      <w:tr>
        <w:trPr>
          <w:trHeight w:val="478"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特许权</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按特许年限摊销</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hAnsi="宋体" w:cs="宋体" w:eastAsia="宋体" w:hint="default"/>
                <w:sz w:val="24"/>
                <w:szCs w:val="24"/>
              </w:rPr>
              <w:t>特许年限</w:t>
            </w:r>
          </w:p>
        </w:tc>
      </w:tr>
      <w:tr>
        <w:trPr>
          <w:trHeight w:val="478"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软件</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按预计可使用年限摊销</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5</w:t>
            </w:r>
          </w:p>
        </w:tc>
      </w:tr>
      <w:tr>
        <w:trPr>
          <w:trHeight w:val="478"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车位使用权</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按车位使用权可使用年限摊销</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30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2"/>
        <w:spacing w:line="240" w:lineRule="auto"/>
        <w:ind w:right="0"/>
        <w:jc w:val="both"/>
        <w:rPr>
          <w:b w:val="0"/>
          <w:bCs w:val="0"/>
        </w:rPr>
      </w:pPr>
      <w:r>
        <w:rPr>
          <w:rFonts w:ascii="宋体" w:hAnsi="宋体" w:cs="宋体" w:eastAsia="宋体" w:hint="default"/>
        </w:rPr>
        <w:t>(2).  </w:t>
      </w:r>
      <w:r>
        <w:rPr>
          <w:rFonts w:ascii="宋体" w:hAnsi="宋体" w:cs="宋体" w:eastAsia="宋体" w:hint="default"/>
          <w:spacing w:val="2"/>
        </w:rPr>
        <w:t> </w:t>
      </w:r>
      <w:r>
        <w:rPr/>
        <w:t>内部研究开发支出会计政策</w:t>
      </w:r>
      <w:r>
        <w:rPr>
          <w:b w:val="0"/>
          <w:bCs w:val="0"/>
        </w:rPr>
      </w:r>
    </w:p>
    <w:p>
      <w:pPr>
        <w:pStyle w:val="BodyText"/>
        <w:spacing w:line="310" w:lineRule="exact" w:before="90"/>
        <w:ind w:left="698" w:right="97" w:hanging="480"/>
        <w:jc w:val="left"/>
      </w:pPr>
      <w:r>
        <w:rPr/>
        <w:t>√适用 □不适用 </w:t>
      </w:r>
      <w:r>
        <w:rPr>
          <w:spacing w:val="-2"/>
        </w:rPr>
        <w:t>内部研究开发项目研究阶段的支出，于发生时计入当期损益。内部研究开发项目</w:t>
      </w:r>
    </w:p>
    <w:p>
      <w:pPr>
        <w:pStyle w:val="BodyText"/>
        <w:spacing w:line="357" w:lineRule="auto" w:before="125"/>
        <w:ind w:left="218" w:right="351"/>
        <w:jc w:val="both"/>
      </w:pPr>
      <w:r>
        <w:rPr/>
        <w:t>开发阶段的支出，同时满足下列条件的，确认为无形资产：</w:t>
      </w:r>
      <w:r>
        <w:rPr>
          <w:rFonts w:ascii="宋体" w:hAnsi="宋体" w:cs="宋体" w:eastAsia="宋体" w:hint="default"/>
        </w:rPr>
        <w:t>(1)</w:t>
      </w:r>
      <w:r>
        <w:rPr>
          <w:rFonts w:ascii="宋体" w:hAnsi="宋体" w:cs="宋体" w:eastAsia="宋体" w:hint="default"/>
          <w:spacing w:val="-45"/>
        </w:rPr>
        <w:t> </w:t>
      </w:r>
      <w:r>
        <w:rPr/>
        <w:t>完成该无形资产以使 </w:t>
      </w:r>
      <w:r>
        <w:rPr>
          <w:spacing w:val="-3"/>
        </w:rPr>
        <w:t>其能够使用或出售在技术上具有可行性；</w:t>
      </w:r>
      <w:r>
        <w:rPr>
          <w:rFonts w:ascii="宋体" w:hAnsi="宋体" w:cs="宋体" w:eastAsia="宋体" w:hint="default"/>
          <w:spacing w:val="-3"/>
        </w:rPr>
        <w:t>(2)</w:t>
      </w:r>
      <w:r>
        <w:rPr>
          <w:rFonts w:ascii="宋体" w:hAnsi="宋体" w:cs="宋体" w:eastAsia="宋体" w:hint="default"/>
          <w:spacing w:val="13"/>
        </w:rPr>
        <w:t> </w:t>
      </w:r>
      <w:r>
        <w:rPr/>
        <w:t>具有完成该无形资产并使用或出售的意 </w:t>
      </w:r>
      <w:r>
        <w:rPr>
          <w:spacing w:val="-5"/>
        </w:rPr>
        <w:t>图；</w:t>
      </w:r>
      <w:r>
        <w:rPr>
          <w:rFonts w:ascii="宋体" w:hAnsi="宋体" w:cs="宋体" w:eastAsia="宋体" w:hint="default"/>
          <w:spacing w:val="-5"/>
        </w:rPr>
        <w:t>(3)</w:t>
      </w:r>
      <w:r>
        <w:rPr>
          <w:rFonts w:ascii="宋体" w:hAnsi="宋体" w:cs="宋体" w:eastAsia="宋体" w:hint="default"/>
          <w:spacing w:val="-23"/>
        </w:rPr>
        <w:t> </w:t>
      </w:r>
      <w:r>
        <w:rPr/>
        <w:t>无形资产产生经济利益的方式，包括能够证明运用该无形资产生产的产品存 </w:t>
      </w:r>
      <w:r>
        <w:rPr>
          <w:spacing w:val="-8"/>
        </w:rPr>
        <w:t>在市场或无形资产自身存在市场，无形资产将在内部使用的，能证明其有用性；</w:t>
      </w:r>
      <w:r>
        <w:rPr>
          <w:rFonts w:ascii="宋体" w:hAnsi="宋体" w:cs="宋体" w:eastAsia="宋体" w:hint="default"/>
          <w:spacing w:val="-8"/>
        </w:rPr>
        <w:t>(4)</w:t>
      </w:r>
      <w:r>
        <w:rPr>
          <w:rFonts w:ascii="宋体" w:hAnsi="宋体" w:cs="宋体" w:eastAsia="宋体" w:hint="default"/>
          <w:spacing w:val="16"/>
        </w:rPr>
        <w:t> </w:t>
      </w:r>
      <w:r>
        <w:rPr/>
        <w:t>有</w:t>
      </w:r>
    </w:p>
    <w:p>
      <w:pPr>
        <w:spacing w:after="0" w:line="357" w:lineRule="auto"/>
        <w:jc w:val="both"/>
        <w:sectPr>
          <w:pgSz w:w="11910" w:h="16840"/>
          <w:pgMar w:header="882" w:footer="1195" w:top="1120" w:bottom="1380" w:left="1580" w:right="920"/>
        </w:sectPr>
      </w:pPr>
    </w:p>
    <w:p>
      <w:pPr>
        <w:spacing w:line="240" w:lineRule="auto" w:before="5"/>
        <w:rPr>
          <w:rFonts w:ascii="宋体" w:hAnsi="宋体" w:cs="宋体" w:eastAsia="宋体" w:hint="default"/>
          <w:sz w:val="25"/>
          <w:szCs w:val="25"/>
        </w:rPr>
      </w:pPr>
    </w:p>
    <w:p>
      <w:pPr>
        <w:pStyle w:val="BodyText"/>
        <w:spacing w:line="357" w:lineRule="auto" w:before="26"/>
        <w:ind w:right="0"/>
        <w:jc w:val="left"/>
      </w:pPr>
      <w:r>
        <w:rPr>
          <w:spacing w:val="-2"/>
        </w:rPr>
        <w:t>足够的技术、财务资源和其他资源支持，以完成该无形资产的开发，并有能力使用或</w:t>
      </w:r>
      <w:r>
        <w:rPr>
          <w:spacing w:val="-94"/>
        </w:rPr>
        <w:t> </w:t>
      </w:r>
      <w:r>
        <w:rPr>
          <w:spacing w:val="-94"/>
        </w:rPr>
      </w:r>
      <w:r>
        <w:rPr/>
        <w:t>出售该无形资产；</w:t>
      </w:r>
      <w:r>
        <w:rPr>
          <w:rFonts w:ascii="宋体" w:hAnsi="宋体" w:cs="宋体" w:eastAsia="宋体" w:hint="default"/>
        </w:rPr>
        <w:t>(5)</w:t>
      </w:r>
      <w:r>
        <w:rPr>
          <w:rFonts w:ascii="宋体" w:hAnsi="宋体" w:cs="宋体" w:eastAsia="宋体" w:hint="default"/>
          <w:spacing w:val="-1"/>
        </w:rPr>
        <w:t> </w:t>
      </w:r>
      <w:r>
        <w:rPr/>
        <w:t>归属于该无形资产开发阶段的支出能够可靠地计量。</w:t>
      </w:r>
    </w:p>
    <w:p>
      <w:pPr>
        <w:spacing w:line="240" w:lineRule="auto" w:before="0"/>
        <w:rPr>
          <w:rFonts w:ascii="宋体" w:hAnsi="宋体" w:cs="宋体" w:eastAsia="宋体" w:hint="default"/>
          <w:sz w:val="31"/>
          <w:szCs w:val="31"/>
        </w:rPr>
      </w:pPr>
    </w:p>
    <w:p>
      <w:pPr>
        <w:pStyle w:val="Heading2"/>
        <w:spacing w:line="240" w:lineRule="auto" w:before="0"/>
        <w:ind w:left="138" w:right="0"/>
        <w:jc w:val="left"/>
        <w:rPr>
          <w:b w:val="0"/>
          <w:bCs w:val="0"/>
        </w:rPr>
      </w:pPr>
      <w:r>
        <w:rPr>
          <w:rFonts w:ascii="宋体" w:hAnsi="宋体" w:cs="宋体" w:eastAsia="宋体" w:hint="default"/>
        </w:rPr>
        <w:t>22.</w:t>
      </w:r>
      <w:r>
        <w:rPr>
          <w:rFonts w:ascii="宋体" w:hAnsi="宋体" w:cs="宋体" w:eastAsia="宋体" w:hint="default"/>
          <w:spacing w:val="-62"/>
        </w:rPr>
        <w:t> </w:t>
      </w:r>
      <w:r>
        <w:rPr/>
        <w:t>长期资产减值</w:t>
      </w:r>
      <w:r>
        <w:rPr>
          <w:b w:val="0"/>
          <w:bCs w:val="0"/>
        </w:rPr>
      </w:r>
    </w:p>
    <w:p>
      <w:pPr>
        <w:pStyle w:val="BodyText"/>
        <w:tabs>
          <w:tab w:pos="1097" w:val="left" w:leader="none"/>
        </w:tabs>
        <w:spacing w:line="312" w:lineRule="exact" w:before="88"/>
        <w:ind w:left="558" w:right="112" w:hanging="420"/>
        <w:jc w:val="left"/>
      </w:pPr>
      <w:r>
        <w:rPr>
          <w:spacing w:val="-1"/>
        </w:rPr>
        <w:t>√适用</w:t>
        <w:tab/>
      </w:r>
      <w:r>
        <w:rPr/>
        <w:t>□不适用</w:t>
      </w:r>
      <w:r>
        <w:rPr/>
        <w:t> 对长期股权投资、采用成本模式计量的投资性房地产、固定资产、在建工程、使</w:t>
      </w:r>
    </w:p>
    <w:p>
      <w:pPr>
        <w:pStyle w:val="BodyText"/>
        <w:spacing w:line="357" w:lineRule="auto" w:before="123"/>
        <w:ind w:right="113"/>
        <w:jc w:val="both"/>
      </w:pPr>
      <w:r>
        <w:rPr>
          <w:spacing w:val="-2"/>
        </w:rPr>
        <w:t>用寿命有限的无形资产等长期资产，在资产负债表日有迹象表明发生减值的，估计其</w:t>
      </w:r>
      <w:r>
        <w:rPr>
          <w:spacing w:val="-95"/>
        </w:rPr>
        <w:t> </w:t>
      </w:r>
      <w:r>
        <w:rPr>
          <w:spacing w:val="-95"/>
        </w:rPr>
      </w:r>
      <w:r>
        <w:rPr>
          <w:spacing w:val="-2"/>
        </w:rPr>
        <w:t>可收回金额。对因企业合并所形成的商誉和使用寿命不确定的无形资产，无论是否存</w:t>
      </w:r>
      <w:r>
        <w:rPr>
          <w:spacing w:val="-95"/>
        </w:rPr>
        <w:t> </w:t>
      </w:r>
      <w:r>
        <w:rPr>
          <w:spacing w:val="-95"/>
        </w:rPr>
      </w:r>
      <w:r>
        <w:rPr>
          <w:spacing w:val="-2"/>
        </w:rPr>
        <w:t>在减值迹象，每年都进行减值测试。商誉结合与其相关的资产组或者资产组组合进行</w:t>
      </w:r>
      <w:r>
        <w:rPr>
          <w:spacing w:val="-94"/>
        </w:rPr>
        <w:t> </w:t>
      </w:r>
      <w:r>
        <w:rPr>
          <w:spacing w:val="-94"/>
        </w:rPr>
      </w:r>
      <w:r>
        <w:rPr/>
        <w:t>减值测试。</w:t>
      </w:r>
    </w:p>
    <w:p>
      <w:pPr>
        <w:pStyle w:val="BodyText"/>
        <w:spacing w:line="357" w:lineRule="auto" w:before="34"/>
        <w:ind w:right="109" w:firstLine="419"/>
        <w:jc w:val="left"/>
      </w:pPr>
      <w:r>
        <w:rPr/>
        <w:t>若上述长期资产的可收回金额低于其账面价值的，按其差额确认资产减值准备并 计入当期损益。</w:t>
      </w:r>
    </w:p>
    <w:p>
      <w:pPr>
        <w:spacing w:line="240" w:lineRule="auto" w:before="0"/>
        <w:rPr>
          <w:rFonts w:ascii="宋体" w:hAnsi="宋体" w:cs="宋体" w:eastAsia="宋体" w:hint="default"/>
          <w:sz w:val="31"/>
          <w:szCs w:val="31"/>
        </w:rPr>
      </w:pPr>
    </w:p>
    <w:p>
      <w:pPr>
        <w:pStyle w:val="Heading2"/>
        <w:spacing w:line="240" w:lineRule="auto" w:before="0"/>
        <w:ind w:left="138" w:right="0"/>
        <w:jc w:val="left"/>
        <w:rPr>
          <w:b w:val="0"/>
          <w:bCs w:val="0"/>
        </w:rPr>
      </w:pPr>
      <w:r>
        <w:rPr>
          <w:rFonts w:ascii="宋体" w:hAnsi="宋体" w:cs="宋体" w:eastAsia="宋体" w:hint="default"/>
        </w:rPr>
        <w:t>23.</w:t>
      </w:r>
      <w:r>
        <w:rPr>
          <w:rFonts w:ascii="宋体" w:hAnsi="宋体" w:cs="宋体" w:eastAsia="宋体" w:hint="default"/>
          <w:spacing w:val="-62"/>
        </w:rPr>
        <w:t> </w:t>
      </w:r>
      <w:r>
        <w:rPr/>
        <w:t>长期待摊费用</w:t>
      </w:r>
      <w:r>
        <w:rPr>
          <w:b w:val="0"/>
          <w:bCs w:val="0"/>
        </w:rPr>
      </w:r>
    </w:p>
    <w:p>
      <w:pPr>
        <w:pStyle w:val="BodyText"/>
        <w:tabs>
          <w:tab w:pos="1097" w:val="left" w:leader="none"/>
        </w:tabs>
        <w:spacing w:line="312" w:lineRule="exact" w:before="58"/>
        <w:ind w:right="0"/>
        <w:jc w:val="left"/>
      </w:pPr>
      <w:r>
        <w:rPr>
          <w:spacing w:val="-1"/>
        </w:rPr>
        <w:t>√适用</w:t>
        <w:tab/>
      </w:r>
      <w:r>
        <w:rPr/>
        <w:t>□不适用</w:t>
      </w:r>
    </w:p>
    <w:p>
      <w:pPr>
        <w:pStyle w:val="BodyText"/>
        <w:spacing w:line="357" w:lineRule="auto"/>
        <w:ind w:right="110" w:firstLine="419"/>
        <w:jc w:val="both"/>
      </w:pPr>
      <w:r>
        <w:rPr/>
        <w:t>长期待摊费用核算已经支出，摊销期限在</w:t>
      </w:r>
      <w:r>
        <w:rPr>
          <w:spacing w:val="-58"/>
        </w:rPr>
        <w:t> </w:t>
      </w:r>
      <w:r>
        <w:rPr>
          <w:rFonts w:ascii="宋体" w:hAnsi="宋体" w:cs="宋体" w:eastAsia="宋体" w:hint="default"/>
        </w:rPr>
        <w:t>1</w:t>
      </w:r>
      <w:r>
        <w:rPr>
          <w:rFonts w:ascii="宋体" w:hAnsi="宋体" w:cs="宋体" w:eastAsia="宋体" w:hint="default"/>
          <w:spacing w:val="-58"/>
        </w:rPr>
        <w:t> </w:t>
      </w:r>
      <w:r>
        <w:rPr/>
        <w:t>年以上（不含</w:t>
      </w:r>
      <w:r>
        <w:rPr>
          <w:spacing w:val="-58"/>
        </w:rPr>
        <w:t> </w:t>
      </w:r>
      <w:r>
        <w:rPr>
          <w:rFonts w:ascii="宋体" w:hAnsi="宋体" w:cs="宋体" w:eastAsia="宋体" w:hint="default"/>
        </w:rPr>
        <w:t>1</w:t>
      </w:r>
      <w:r>
        <w:rPr>
          <w:rFonts w:ascii="宋体" w:hAnsi="宋体" w:cs="宋体" w:eastAsia="宋体" w:hint="default"/>
          <w:spacing w:val="-58"/>
        </w:rPr>
        <w:t> </w:t>
      </w:r>
      <w:r>
        <w:rPr/>
        <w:t>年）的各项费用。长 </w:t>
      </w:r>
      <w:r>
        <w:rPr>
          <w:spacing w:val="-2"/>
        </w:rPr>
        <w:t>期待摊费用按实际发生额入账，在受益期或规定的期限内分期平均摊销。如果长期待</w:t>
      </w:r>
      <w:r>
        <w:rPr>
          <w:spacing w:val="-94"/>
        </w:rPr>
        <w:t> </w:t>
      </w:r>
      <w:r>
        <w:rPr>
          <w:spacing w:val="-94"/>
        </w:rPr>
      </w:r>
      <w:r>
        <w:rPr>
          <w:spacing w:val="4"/>
        </w:rPr>
        <w:t>摊的费用项目不能使以后会计期间受益则将尚未摊销的该项目的摊余价值全部转入</w:t>
      </w:r>
      <w:r>
        <w:rPr>
          <w:spacing w:val="-105"/>
        </w:rPr>
        <w:t> </w:t>
      </w:r>
      <w:r>
        <w:rPr>
          <w:spacing w:val="-105"/>
        </w:rPr>
      </w:r>
      <w:r>
        <w:rPr/>
        <w:t>当期损益。</w:t>
      </w:r>
    </w:p>
    <w:p>
      <w:pPr>
        <w:spacing w:line="240" w:lineRule="auto" w:before="0"/>
        <w:rPr>
          <w:rFonts w:ascii="宋体" w:hAnsi="宋体" w:cs="宋体" w:eastAsia="宋体" w:hint="default"/>
          <w:sz w:val="31"/>
          <w:szCs w:val="31"/>
        </w:rPr>
      </w:pPr>
    </w:p>
    <w:p>
      <w:pPr>
        <w:pStyle w:val="Heading2"/>
        <w:spacing w:line="240" w:lineRule="auto" w:before="0"/>
        <w:ind w:left="138" w:right="0"/>
        <w:jc w:val="left"/>
        <w:rPr>
          <w:b w:val="0"/>
          <w:bCs w:val="0"/>
        </w:rPr>
      </w:pPr>
      <w:r>
        <w:rPr>
          <w:rFonts w:ascii="宋体" w:hAnsi="宋体" w:cs="宋体" w:eastAsia="宋体" w:hint="default"/>
        </w:rPr>
        <w:t>24.</w:t>
      </w:r>
      <w:r>
        <w:rPr>
          <w:rFonts w:ascii="宋体" w:hAnsi="宋体" w:cs="宋体" w:eastAsia="宋体" w:hint="default"/>
          <w:spacing w:val="-60"/>
        </w:rPr>
        <w:t> </w:t>
      </w:r>
      <w:r>
        <w:rPr/>
        <w:t>职工薪酬</w:t>
      </w:r>
      <w:r>
        <w:rPr>
          <w:b w:val="0"/>
          <w:bCs w:val="0"/>
        </w:rPr>
      </w:r>
    </w:p>
    <w:p>
      <w:pPr>
        <w:spacing w:line="283" w:lineRule="auto" w:before="58"/>
        <w:ind w:left="138" w:right="1009" w:firstLine="479"/>
        <w:jc w:val="left"/>
        <w:rPr>
          <w:rFonts w:ascii="宋体" w:hAnsi="宋体" w:cs="宋体" w:eastAsia="宋体" w:hint="default"/>
          <w:sz w:val="24"/>
          <w:szCs w:val="24"/>
        </w:rPr>
      </w:pPr>
      <w:r>
        <w:rPr>
          <w:rFonts w:ascii="宋体" w:hAnsi="宋体" w:cs="宋体" w:eastAsia="宋体" w:hint="default"/>
          <w:sz w:val="24"/>
          <w:szCs w:val="24"/>
        </w:rPr>
        <w:t>职工薪酬包括短期薪酬、离职后福利、辞退福利和其他长期职工福利。 </w:t>
      </w:r>
      <w:r>
        <w:rPr>
          <w:rFonts w:ascii="宋体" w:hAnsi="宋体" w:cs="宋体" w:eastAsia="宋体" w:hint="default"/>
          <w:b/>
          <w:bCs/>
          <w:sz w:val="24"/>
          <w:szCs w:val="24"/>
        </w:rPr>
        <w:t>(1)</w:t>
      </w:r>
      <w:r>
        <w:rPr>
          <w:rFonts w:ascii="宋体" w:hAnsi="宋体" w:cs="宋体" w:eastAsia="宋体" w:hint="default"/>
          <w:b/>
          <w:bCs/>
          <w:sz w:val="24"/>
          <w:szCs w:val="24"/>
        </w:rPr>
        <w:t>、短期薪酬的会计处理方法</w:t>
      </w:r>
      <w:r>
        <w:rPr>
          <w:rFonts w:ascii="宋体" w:hAnsi="宋体" w:cs="宋体" w:eastAsia="宋体" w:hint="default"/>
          <w:sz w:val="24"/>
          <w:szCs w:val="24"/>
        </w:rPr>
      </w:r>
    </w:p>
    <w:p>
      <w:pPr>
        <w:pStyle w:val="BodyText"/>
        <w:tabs>
          <w:tab w:pos="1097" w:val="left" w:leader="none"/>
        </w:tabs>
        <w:spacing w:line="312" w:lineRule="exact" w:before="43"/>
        <w:ind w:left="558" w:right="115" w:hanging="420"/>
        <w:jc w:val="left"/>
      </w:pPr>
      <w:r>
        <w:rPr>
          <w:spacing w:val="-1"/>
        </w:rPr>
        <w:t>√适用</w:t>
        <w:tab/>
      </w:r>
      <w:r>
        <w:rPr/>
        <w:t>□不适用</w:t>
      </w:r>
      <w:r>
        <w:rPr/>
        <w:t> 在职工为公司提供服务的会计期间，将实际发生的短期薪酬确认为负债，并计入</w:t>
      </w:r>
    </w:p>
    <w:p>
      <w:pPr>
        <w:pStyle w:val="BodyText"/>
        <w:spacing w:line="240" w:lineRule="auto" w:before="123"/>
        <w:ind w:right="0"/>
        <w:jc w:val="left"/>
      </w:pPr>
      <w:r>
        <w:rPr/>
        <w:t>当期损益或相关资产成本。</w:t>
      </w:r>
    </w:p>
    <w:p>
      <w:pPr>
        <w:pStyle w:val="Heading2"/>
        <w:spacing w:line="240" w:lineRule="auto" w:before="214"/>
        <w:ind w:left="138" w:right="0"/>
        <w:jc w:val="left"/>
        <w:rPr>
          <w:b w:val="0"/>
          <w:bCs w:val="0"/>
        </w:rPr>
      </w:pPr>
      <w:r>
        <w:rPr>
          <w:rFonts w:ascii="宋体" w:hAnsi="宋体" w:cs="宋体" w:eastAsia="宋体" w:hint="default"/>
        </w:rPr>
        <w:t>(2)</w:t>
      </w:r>
      <w:r>
        <w:rPr/>
        <w:t>、离职后福利的会计处理方法</w:t>
      </w:r>
      <w:r>
        <w:rPr>
          <w:b w:val="0"/>
          <w:bCs w:val="0"/>
        </w:rPr>
      </w:r>
    </w:p>
    <w:p>
      <w:pPr>
        <w:pStyle w:val="BodyText"/>
        <w:tabs>
          <w:tab w:pos="1097" w:val="left" w:leader="none"/>
        </w:tabs>
        <w:spacing w:line="310" w:lineRule="exact" w:before="90"/>
        <w:ind w:left="558" w:right="3486" w:hanging="420"/>
        <w:jc w:val="left"/>
      </w:pPr>
      <w:r>
        <w:rPr>
          <w:spacing w:val="-1"/>
        </w:rPr>
        <w:t>√适用</w:t>
        <w:tab/>
      </w:r>
      <w:r>
        <w:rPr/>
        <w:t>□不适用</w:t>
      </w:r>
      <w:r>
        <w:rPr/>
        <w:t> 离职后福利分为设定提存计划和设定受益计划。</w:t>
      </w:r>
    </w:p>
    <w:p>
      <w:pPr>
        <w:pStyle w:val="BodyText"/>
        <w:spacing w:line="355" w:lineRule="auto" w:before="125"/>
        <w:ind w:right="101" w:firstLine="419"/>
        <w:jc w:val="left"/>
      </w:pPr>
      <w:r>
        <w:rPr>
          <w:rFonts w:ascii="宋体" w:hAnsi="宋体" w:cs="宋体" w:eastAsia="宋体" w:hint="default"/>
        </w:rPr>
        <w:t>(1)</w:t>
      </w:r>
      <w:r>
        <w:rPr>
          <w:rFonts w:ascii="宋体" w:hAnsi="宋体" w:cs="宋体" w:eastAsia="宋体" w:hint="default"/>
          <w:spacing w:val="8"/>
        </w:rPr>
        <w:t> </w:t>
      </w:r>
      <w:r>
        <w:rPr/>
        <w:t>在职工为公司提供服务的会计期间，根据设定提存计划计算的应缴存金额确 认为负债，并计入当期损益或相关资产成本。</w:t>
      </w:r>
    </w:p>
    <w:p>
      <w:pPr>
        <w:pStyle w:val="BodyText"/>
        <w:spacing w:line="240" w:lineRule="auto" w:before="39"/>
        <w:ind w:left="558" w:right="0"/>
        <w:jc w:val="left"/>
      </w:pPr>
      <w:r>
        <w:rPr>
          <w:rFonts w:ascii="宋体" w:hAnsi="宋体" w:cs="宋体" w:eastAsia="宋体" w:hint="default"/>
        </w:rPr>
        <w:t>(2) </w:t>
      </w:r>
      <w:r>
        <w:rPr/>
        <w:t>对设定受益计划的会计处理通常包括下列步骤：</w:t>
      </w:r>
    </w:p>
    <w:p>
      <w:pPr>
        <w:pStyle w:val="BodyText"/>
        <w:spacing w:line="240" w:lineRule="auto" w:before="151"/>
        <w:ind w:left="558" w:right="0"/>
        <w:jc w:val="left"/>
      </w:pPr>
      <w:r>
        <w:rPr>
          <w:rFonts w:ascii="宋体" w:hAnsi="宋体" w:cs="宋体" w:eastAsia="宋体" w:hint="default"/>
        </w:rPr>
        <w:t>1) </w:t>
      </w:r>
      <w:r>
        <w:rPr/>
        <w:t>根据预期累计福利单位法</w:t>
      </w:r>
      <w:r>
        <w:rPr>
          <w:spacing w:val="-108"/>
        </w:rPr>
        <w:t>，</w:t>
      </w:r>
      <w:r>
        <w:rPr/>
        <w:t>采用无偏且相互一致的精算假设对有关人口统计变</w:t>
      </w:r>
    </w:p>
    <w:p>
      <w:pPr>
        <w:spacing w:after="0" w:line="240" w:lineRule="auto"/>
        <w:jc w:val="left"/>
        <w:sectPr>
          <w:footerReference w:type="default" r:id="rId61"/>
          <w:pgSz w:w="11910" w:h="16840"/>
          <w:pgMar w:footer="1195" w:header="882" w:top="1120" w:bottom="1380" w:left="1660" w:right="1160"/>
          <w:pgNumType w:start="110"/>
        </w:sectPr>
      </w:pPr>
    </w:p>
    <w:p>
      <w:pPr>
        <w:spacing w:line="240" w:lineRule="auto" w:before="5"/>
        <w:rPr>
          <w:rFonts w:ascii="宋体" w:hAnsi="宋体" w:cs="宋体" w:eastAsia="宋体" w:hint="default"/>
          <w:sz w:val="25"/>
          <w:szCs w:val="25"/>
        </w:rPr>
      </w:pPr>
    </w:p>
    <w:p>
      <w:pPr>
        <w:pStyle w:val="BodyText"/>
        <w:spacing w:line="357" w:lineRule="auto" w:before="26"/>
        <w:ind w:right="112"/>
        <w:jc w:val="both"/>
      </w:pPr>
      <w:r>
        <w:rPr>
          <w:spacing w:val="-2"/>
        </w:rPr>
        <w:t>量和财务变量等作出估计，计量设定受益计划所产生的义务，并确定相关义务的所属</w:t>
      </w:r>
      <w:r>
        <w:rPr>
          <w:spacing w:val="-94"/>
        </w:rPr>
        <w:t> </w:t>
      </w:r>
      <w:r>
        <w:rPr>
          <w:spacing w:val="-94"/>
        </w:rPr>
      </w:r>
      <w:r>
        <w:rPr>
          <w:spacing w:val="-2"/>
        </w:rPr>
        <w:t>期间。同时，对设定受益计划所产生的义务予以折现，以确定设定受益计划义务的现</w:t>
      </w:r>
      <w:r>
        <w:rPr>
          <w:spacing w:val="-93"/>
        </w:rPr>
        <w:t> </w:t>
      </w:r>
      <w:r>
        <w:rPr>
          <w:spacing w:val="-93"/>
        </w:rPr>
      </w:r>
      <w:r>
        <w:rPr/>
        <w:t>值和当期服务成本；</w:t>
      </w:r>
    </w:p>
    <w:p>
      <w:pPr>
        <w:pStyle w:val="BodyText"/>
        <w:spacing w:line="357" w:lineRule="auto" w:before="36"/>
        <w:ind w:right="114" w:firstLine="419"/>
        <w:jc w:val="both"/>
      </w:pPr>
      <w:r>
        <w:rPr>
          <w:rFonts w:ascii="宋体" w:hAnsi="宋体" w:cs="宋体" w:eastAsia="宋体" w:hint="default"/>
        </w:rPr>
        <w:t>2)</w:t>
      </w:r>
      <w:r>
        <w:rPr>
          <w:rFonts w:ascii="宋体" w:hAnsi="宋体" w:cs="宋体" w:eastAsia="宋体" w:hint="default"/>
          <w:spacing w:val="26"/>
        </w:rPr>
        <w:t> </w:t>
      </w:r>
      <w:r>
        <w:rPr>
          <w:spacing w:val="-4"/>
        </w:rPr>
        <w:t>设定受益计划存在资产的，将设定受益计划义务现值减去设定受益计划资产公</w:t>
      </w:r>
      <w:r>
        <w:rPr/>
        <w:t> </w:t>
      </w:r>
      <w:r>
        <w:rPr>
          <w:spacing w:val="-2"/>
        </w:rPr>
        <w:t>允价值所形成的赤字或盈余确认为一项设定受益计划净负债或净资产。设定受益计划</w:t>
      </w:r>
      <w:r>
        <w:rPr>
          <w:spacing w:val="-94"/>
        </w:rPr>
        <w:t> </w:t>
      </w:r>
      <w:r>
        <w:rPr>
          <w:spacing w:val="-94"/>
        </w:rPr>
      </w:r>
      <w:r>
        <w:rPr>
          <w:spacing w:val="-2"/>
        </w:rPr>
        <w:t>存在盈余的，以设定受益计划的盈余和资产上限两项的孰低者计量设定受益计划净资</w:t>
      </w:r>
      <w:r>
        <w:rPr>
          <w:spacing w:val="-94"/>
        </w:rPr>
        <w:t> </w:t>
      </w:r>
      <w:r>
        <w:rPr>
          <w:spacing w:val="-94"/>
        </w:rPr>
      </w:r>
      <w:r>
        <w:rPr/>
        <w:t>产；</w:t>
      </w:r>
    </w:p>
    <w:p>
      <w:pPr>
        <w:pStyle w:val="BodyText"/>
        <w:spacing w:line="357" w:lineRule="auto" w:before="34"/>
        <w:ind w:right="113" w:firstLine="419"/>
        <w:jc w:val="both"/>
      </w:pPr>
      <w:r>
        <w:rPr>
          <w:rFonts w:ascii="宋体" w:hAnsi="宋体" w:cs="宋体" w:eastAsia="宋体" w:hint="default"/>
        </w:rPr>
        <w:t>3)</w:t>
      </w:r>
      <w:r>
        <w:rPr>
          <w:rFonts w:ascii="宋体" w:hAnsi="宋体" w:cs="宋体" w:eastAsia="宋体" w:hint="default"/>
          <w:spacing w:val="28"/>
        </w:rPr>
        <w:t> </w:t>
      </w:r>
      <w:r>
        <w:rPr>
          <w:spacing w:val="-4"/>
        </w:rPr>
        <w:t>期末，将设定受益计划产生的职工薪酬成本确认为服务成本、设定受益计划净</w:t>
      </w:r>
      <w:r>
        <w:rPr/>
        <w:t> </w:t>
      </w:r>
      <w:r>
        <w:rPr>
          <w:spacing w:val="4"/>
        </w:rPr>
        <w:t>负债或净资产的利息净额以及重新计量设定受益计划净负债或净资产所产生的变动</w:t>
      </w:r>
      <w:r>
        <w:rPr>
          <w:spacing w:val="-105"/>
        </w:rPr>
        <w:t> </w:t>
      </w:r>
      <w:r>
        <w:rPr>
          <w:spacing w:val="-105"/>
        </w:rPr>
      </w:r>
      <w:r>
        <w:rPr>
          <w:spacing w:val="-2"/>
        </w:rPr>
        <w:t>等三部分，其中服务成本和设定受益计划净负债或净资产的利息净额计入当期损益或</w:t>
      </w:r>
      <w:r>
        <w:rPr>
          <w:spacing w:val="-94"/>
        </w:rPr>
        <w:t> </w:t>
      </w:r>
      <w:r>
        <w:rPr>
          <w:spacing w:val="-94"/>
        </w:rPr>
      </w:r>
      <w:r>
        <w:rPr>
          <w:spacing w:val="-2"/>
        </w:rPr>
        <w:t>相关资产成本，重新计量设定受益计划净负债或净资产所产生的变动计入其他综合收</w:t>
      </w:r>
      <w:r>
        <w:rPr>
          <w:spacing w:val="-93"/>
        </w:rPr>
        <w:t> </w:t>
      </w:r>
      <w:r>
        <w:rPr>
          <w:spacing w:val="-93"/>
        </w:rPr>
      </w:r>
      <w:r>
        <w:rPr>
          <w:spacing w:val="-2"/>
        </w:rPr>
        <w:t>益，并且在后续会计期间不允许转回至损益，但可以在权益范围内转移这些在其他综</w:t>
      </w:r>
      <w:r>
        <w:rPr>
          <w:spacing w:val="-94"/>
        </w:rPr>
        <w:t> </w:t>
      </w:r>
      <w:r>
        <w:rPr>
          <w:spacing w:val="-94"/>
        </w:rPr>
      </w:r>
      <w:r>
        <w:rPr/>
        <w:t>合收益确认的金额。</w:t>
      </w:r>
    </w:p>
    <w:p>
      <w:pPr>
        <w:pStyle w:val="Heading2"/>
        <w:spacing w:line="240" w:lineRule="auto" w:before="94"/>
        <w:ind w:left="138" w:right="0"/>
        <w:jc w:val="left"/>
        <w:rPr>
          <w:b w:val="0"/>
          <w:bCs w:val="0"/>
        </w:rPr>
      </w:pPr>
      <w:r>
        <w:rPr>
          <w:rFonts w:ascii="宋体" w:hAnsi="宋体" w:cs="宋体" w:eastAsia="宋体" w:hint="default"/>
        </w:rPr>
        <w:t>(3)</w:t>
      </w:r>
      <w:r>
        <w:rPr/>
        <w:t>、辞退福利的会计处理方法</w:t>
      </w:r>
      <w:r>
        <w:rPr>
          <w:b w:val="0"/>
          <w:bCs w:val="0"/>
        </w:rPr>
      </w:r>
    </w:p>
    <w:p>
      <w:pPr>
        <w:pStyle w:val="BodyText"/>
        <w:tabs>
          <w:tab w:pos="1097" w:val="left" w:leader="none"/>
        </w:tabs>
        <w:spacing w:line="312" w:lineRule="exact" w:before="89"/>
        <w:ind w:left="558" w:right="115" w:hanging="420"/>
        <w:jc w:val="left"/>
      </w:pPr>
      <w:r>
        <w:rPr>
          <w:spacing w:val="-1"/>
        </w:rPr>
        <w:t>√适用</w:t>
        <w:tab/>
      </w:r>
      <w:r>
        <w:rPr/>
        <w:t>□不适用</w:t>
      </w:r>
      <w:r>
        <w:rPr/>
        <w:t> 向职工提供的辞退福利，在下列两者孰早日确认辞退福利产生的职工薪酬负债，</w:t>
      </w:r>
    </w:p>
    <w:p>
      <w:pPr>
        <w:pStyle w:val="BodyText"/>
        <w:spacing w:line="379" w:lineRule="auto" w:before="123"/>
        <w:ind w:right="98"/>
        <w:jc w:val="left"/>
        <w:rPr>
          <w:rFonts w:ascii="宋体" w:hAnsi="宋体" w:cs="宋体" w:eastAsia="宋体" w:hint="default"/>
        </w:rPr>
      </w:pPr>
      <w:r>
        <w:rPr>
          <w:spacing w:val="-5"/>
        </w:rPr>
        <w:t>并计入当期损益：</w:t>
      </w:r>
      <w:r>
        <w:rPr>
          <w:rFonts w:ascii="宋体" w:hAnsi="宋体" w:cs="宋体" w:eastAsia="宋体" w:hint="default"/>
          <w:spacing w:val="-5"/>
        </w:rPr>
        <w:t>(1)</w:t>
      </w:r>
      <w:r>
        <w:rPr>
          <w:rFonts w:ascii="宋体" w:hAnsi="宋体" w:cs="宋体" w:eastAsia="宋体" w:hint="default"/>
          <w:spacing w:val="5"/>
        </w:rPr>
        <w:t> </w:t>
      </w:r>
      <w:r>
        <w:rPr/>
        <w:t>公司不能单方面撤回因解除劳动关系计划或裁减建议所提供的 辞退福利时；</w:t>
      </w:r>
      <w:r>
        <w:rPr>
          <w:rFonts w:ascii="宋体" w:hAnsi="宋体" w:cs="宋体" w:eastAsia="宋体" w:hint="default"/>
        </w:rPr>
        <w:t>(2)</w:t>
      </w:r>
      <w:r>
        <w:rPr>
          <w:rFonts w:ascii="宋体" w:hAnsi="宋体" w:cs="宋体" w:eastAsia="宋体" w:hint="default"/>
          <w:spacing w:val="-1"/>
        </w:rPr>
        <w:t> </w:t>
      </w:r>
      <w:r>
        <w:rPr/>
        <w:t>公司确认与涉及支付辞退福利的重组相关的成本或费用时。 </w:t>
      </w:r>
      <w:r>
        <w:rPr>
          <w:rFonts w:ascii="宋体" w:hAnsi="宋体" w:cs="宋体" w:eastAsia="宋体" w:hint="default"/>
          <w:b/>
          <w:bCs/>
        </w:rPr>
        <w:t>(4)</w:t>
      </w:r>
      <w:r>
        <w:rPr>
          <w:rFonts w:ascii="宋体" w:hAnsi="宋体" w:cs="宋体" w:eastAsia="宋体" w:hint="default"/>
          <w:b/>
          <w:bCs/>
        </w:rPr>
        <w:t>、其他长期职工福利的会计处理方法</w:t>
      </w:r>
      <w:r>
        <w:rPr>
          <w:rFonts w:ascii="宋体" w:hAnsi="宋体" w:cs="宋体" w:eastAsia="宋体" w:hint="default"/>
        </w:rPr>
      </w:r>
    </w:p>
    <w:p>
      <w:pPr>
        <w:pStyle w:val="BodyText"/>
        <w:tabs>
          <w:tab w:pos="1097" w:val="left" w:leader="none"/>
        </w:tabs>
        <w:spacing w:line="232" w:lineRule="exact"/>
        <w:ind w:right="0"/>
        <w:jc w:val="left"/>
      </w:pPr>
      <w:r>
        <w:rPr>
          <w:spacing w:val="-1"/>
        </w:rPr>
        <w:t>√适用</w:t>
        <w:tab/>
      </w:r>
      <w:r>
        <w:rPr/>
        <w:t>□不适用</w:t>
      </w:r>
    </w:p>
    <w:p>
      <w:pPr>
        <w:pStyle w:val="BodyText"/>
        <w:spacing w:line="357" w:lineRule="auto"/>
        <w:ind w:right="114" w:firstLine="419"/>
        <w:jc w:val="both"/>
      </w:pPr>
      <w:r>
        <w:rPr/>
        <w:t>向职工提供的其他长期福利，符合设定提存计划条件的，按照设定提存计划的有 </w:t>
      </w:r>
      <w:r>
        <w:rPr>
          <w:spacing w:val="-2"/>
        </w:rPr>
        <w:t>关规定进行会计处理；除此之外的其他长期福利，按照设定受益计划的有关规定进行</w:t>
      </w:r>
      <w:r>
        <w:rPr>
          <w:spacing w:val="-94"/>
        </w:rPr>
        <w:t> </w:t>
      </w:r>
      <w:r>
        <w:rPr>
          <w:spacing w:val="-94"/>
        </w:rPr>
      </w:r>
      <w:r>
        <w:rPr>
          <w:spacing w:val="-2"/>
        </w:rPr>
        <w:t>会计处理，为简化相关会计处理，将其产生的职工薪酬成本确认为服务成本、其他长</w:t>
      </w:r>
      <w:r>
        <w:rPr>
          <w:spacing w:val="-96"/>
        </w:rPr>
        <w:t> </w:t>
      </w:r>
      <w:r>
        <w:rPr>
          <w:spacing w:val="-96"/>
        </w:rPr>
      </w:r>
      <w:r>
        <w:rPr>
          <w:spacing w:val="4"/>
        </w:rPr>
        <w:t>期职工福利净负债或净资产的利息净额以及重新计量其他长期职工福利净负债或净</w:t>
      </w:r>
      <w:r>
        <w:rPr>
          <w:spacing w:val="-105"/>
        </w:rPr>
        <w:t> </w:t>
      </w:r>
      <w:r>
        <w:rPr>
          <w:spacing w:val="-105"/>
        </w:rPr>
      </w:r>
      <w:r>
        <w:rPr/>
        <w:t>资产所产生的变动等组成项目的总净额计入当期损益或相关资产成本。</w:t>
      </w:r>
    </w:p>
    <w:p>
      <w:pPr>
        <w:spacing w:line="240" w:lineRule="auto" w:before="0"/>
        <w:rPr>
          <w:rFonts w:ascii="宋体" w:hAnsi="宋体" w:cs="宋体" w:eastAsia="宋体" w:hint="default"/>
          <w:sz w:val="31"/>
          <w:szCs w:val="31"/>
        </w:rPr>
      </w:pPr>
    </w:p>
    <w:p>
      <w:pPr>
        <w:pStyle w:val="Heading2"/>
        <w:spacing w:line="240" w:lineRule="auto" w:before="0"/>
        <w:ind w:left="138" w:right="0"/>
        <w:jc w:val="left"/>
        <w:rPr>
          <w:b w:val="0"/>
          <w:bCs w:val="0"/>
        </w:rPr>
      </w:pPr>
      <w:r>
        <w:rPr>
          <w:rFonts w:ascii="宋体" w:hAnsi="宋体" w:cs="宋体" w:eastAsia="宋体" w:hint="default"/>
        </w:rPr>
        <w:t>25.</w:t>
      </w:r>
      <w:r>
        <w:rPr>
          <w:rFonts w:ascii="宋体" w:hAnsi="宋体" w:cs="宋体" w:eastAsia="宋体" w:hint="default"/>
          <w:spacing w:val="-60"/>
        </w:rPr>
        <w:t> </w:t>
      </w:r>
      <w:r>
        <w:rPr/>
        <w:t>预计负债</w:t>
      </w:r>
      <w:r>
        <w:rPr>
          <w:b w:val="0"/>
          <w:bCs w:val="0"/>
        </w:rPr>
      </w:r>
    </w:p>
    <w:p>
      <w:pPr>
        <w:pStyle w:val="BodyText"/>
        <w:tabs>
          <w:tab w:pos="1097" w:val="left" w:leader="none"/>
        </w:tabs>
        <w:spacing w:line="312" w:lineRule="exact" w:before="58"/>
        <w:ind w:right="0"/>
        <w:jc w:val="left"/>
      </w:pPr>
      <w:r>
        <w:rPr>
          <w:spacing w:val="-1"/>
        </w:rPr>
        <w:t>√适用</w:t>
        <w:tab/>
      </w:r>
      <w:r>
        <w:rPr/>
        <w:t>□不适用</w:t>
      </w:r>
    </w:p>
    <w:p>
      <w:pPr>
        <w:pStyle w:val="BodyText"/>
        <w:spacing w:line="357" w:lineRule="auto"/>
        <w:ind w:right="114" w:firstLine="419"/>
        <w:jc w:val="both"/>
      </w:pPr>
      <w:r>
        <w:rPr>
          <w:rFonts w:ascii="宋体" w:hAnsi="宋体" w:cs="宋体" w:eastAsia="宋体" w:hint="default"/>
        </w:rPr>
        <w:t>1.</w:t>
      </w:r>
      <w:r>
        <w:rPr>
          <w:rFonts w:ascii="宋体" w:hAnsi="宋体" w:cs="宋体" w:eastAsia="宋体" w:hint="default"/>
          <w:spacing w:val="26"/>
        </w:rPr>
        <w:t> </w:t>
      </w:r>
      <w:r>
        <w:rPr>
          <w:spacing w:val="-4"/>
        </w:rPr>
        <w:t>因对外提供担保、诉讼事项、产品质量保证、亏损合同等或有事项形成的义务</w:t>
      </w:r>
      <w:r>
        <w:rPr/>
        <w:t> </w:t>
      </w:r>
      <w:r>
        <w:rPr>
          <w:spacing w:val="-2"/>
        </w:rPr>
        <w:t>成为公司承担的现时义务，履行该义务很可能导致经济利益流出公司，且该义务的金</w:t>
      </w:r>
      <w:r>
        <w:rPr>
          <w:spacing w:val="-94"/>
        </w:rPr>
        <w:t> </w:t>
      </w:r>
      <w:r>
        <w:rPr>
          <w:spacing w:val="-94"/>
        </w:rPr>
      </w:r>
      <w:r>
        <w:rPr/>
        <w:t>额能够可靠的计量时，公司将该项义务确认为预计负债。</w:t>
      </w:r>
    </w:p>
    <w:p>
      <w:pPr>
        <w:spacing w:after="0" w:line="357" w:lineRule="auto"/>
        <w:jc w:val="both"/>
        <w:sectPr>
          <w:pgSz w:w="11910" w:h="16840"/>
          <w:pgMar w:header="882" w:footer="1195" w:top="1120" w:bottom="1380" w:left="1660" w:right="1160"/>
        </w:sectPr>
      </w:pPr>
    </w:p>
    <w:p>
      <w:pPr>
        <w:spacing w:line="240" w:lineRule="auto" w:before="5"/>
        <w:rPr>
          <w:rFonts w:ascii="宋体" w:hAnsi="宋体" w:cs="宋体" w:eastAsia="宋体" w:hint="default"/>
          <w:sz w:val="25"/>
          <w:szCs w:val="25"/>
        </w:rPr>
      </w:pPr>
    </w:p>
    <w:p>
      <w:pPr>
        <w:pStyle w:val="BodyText"/>
        <w:spacing w:line="357" w:lineRule="auto" w:before="26"/>
        <w:ind w:right="101" w:firstLine="419"/>
        <w:jc w:val="left"/>
      </w:pPr>
      <w:r>
        <w:rPr>
          <w:rFonts w:ascii="宋体" w:hAnsi="宋体" w:cs="宋体" w:eastAsia="宋体" w:hint="default"/>
        </w:rPr>
        <w:t>2.</w:t>
      </w:r>
      <w:r>
        <w:rPr>
          <w:rFonts w:ascii="宋体" w:hAnsi="宋体" w:cs="宋体" w:eastAsia="宋体" w:hint="default"/>
          <w:spacing w:val="8"/>
        </w:rPr>
        <w:t> </w:t>
      </w:r>
      <w:r>
        <w:rPr/>
        <w:t>公司按照履行相关现时义务所需支出的最佳估计数对预计负债进行初始计量， 并在资产负债表日对预计负债的账面价值进行复核。</w:t>
      </w:r>
    </w:p>
    <w:p>
      <w:pPr>
        <w:pStyle w:val="Heading2"/>
        <w:spacing w:line="240" w:lineRule="auto" w:before="94"/>
        <w:ind w:left="138" w:right="0"/>
        <w:jc w:val="both"/>
        <w:rPr>
          <w:b w:val="0"/>
          <w:bCs w:val="0"/>
        </w:rPr>
      </w:pPr>
      <w:r>
        <w:rPr>
          <w:rFonts w:ascii="宋体" w:hAnsi="宋体" w:cs="宋体" w:eastAsia="宋体" w:hint="default"/>
        </w:rPr>
        <w:t>26.</w:t>
      </w:r>
      <w:r>
        <w:rPr>
          <w:rFonts w:ascii="宋体" w:hAnsi="宋体" w:cs="宋体" w:eastAsia="宋体" w:hint="default"/>
          <w:spacing w:val="-60"/>
        </w:rPr>
        <w:t> </w:t>
      </w:r>
      <w:r>
        <w:rPr/>
        <w:t>股份支付</w:t>
      </w:r>
      <w:r>
        <w:rPr>
          <w:b w:val="0"/>
          <w:bCs w:val="0"/>
        </w:rPr>
      </w:r>
    </w:p>
    <w:p>
      <w:pPr>
        <w:pStyle w:val="BodyText"/>
        <w:spacing w:line="313" w:lineRule="exact" w:before="58"/>
        <w:ind w:right="0"/>
        <w:jc w:val="both"/>
      </w:pPr>
      <w:r>
        <w:rPr/>
        <w:t>√适用</w:t>
      </w:r>
      <w:r>
        <w:rPr>
          <w:spacing w:val="119"/>
        </w:rPr>
        <w:t> </w:t>
      </w:r>
      <w:r>
        <w:rPr/>
        <w:t>□不适用</w:t>
      </w:r>
    </w:p>
    <w:p>
      <w:pPr>
        <w:pStyle w:val="BodyText"/>
        <w:spacing w:line="357" w:lineRule="auto"/>
        <w:ind w:left="558" w:right="2868"/>
        <w:jc w:val="left"/>
      </w:pPr>
      <w:r>
        <w:rPr>
          <w:rFonts w:ascii="宋体" w:hAnsi="宋体" w:cs="宋体" w:eastAsia="宋体" w:hint="default"/>
        </w:rPr>
        <w:t>1. </w:t>
      </w:r>
      <w:r>
        <w:rPr/>
        <w:t>股份支付的种类 包括以权益结算的股份支付和以现金结算的股份支付。 </w:t>
      </w:r>
      <w:r>
        <w:rPr>
          <w:rFonts w:ascii="宋体" w:hAnsi="宋体" w:cs="宋体" w:eastAsia="宋体" w:hint="default"/>
        </w:rPr>
        <w:t>2. </w:t>
      </w:r>
      <w:r>
        <w:rPr/>
        <w:t>实施、修改、终止股份支付计划的相关会计处理</w:t>
      </w:r>
    </w:p>
    <w:p>
      <w:pPr>
        <w:pStyle w:val="BodyText"/>
        <w:spacing w:line="357" w:lineRule="auto" w:before="34"/>
        <w:ind w:left="558" w:right="228" w:firstLine="60"/>
        <w:jc w:val="left"/>
      </w:pPr>
      <w:r>
        <w:rPr>
          <w:rFonts w:ascii="宋体" w:hAnsi="宋体" w:cs="宋体" w:eastAsia="宋体" w:hint="default"/>
        </w:rPr>
        <w:t>(1) </w:t>
      </w:r>
      <w:r>
        <w:rPr/>
        <w:t>以权益结算的股份支付 授予后立即可行权的换取职工服务的以权益结算的股份支付，在授予日按照权益</w:t>
      </w:r>
    </w:p>
    <w:p>
      <w:pPr>
        <w:pStyle w:val="BodyText"/>
        <w:spacing w:line="357" w:lineRule="auto" w:before="36"/>
        <w:ind w:right="233"/>
        <w:jc w:val="both"/>
      </w:pPr>
      <w:r>
        <w:rPr>
          <w:spacing w:val="-2"/>
        </w:rPr>
        <w:t>工具的公允价值计入相关成本或费用，相应调整资本公积。完成等待期内的服务或达</w:t>
      </w:r>
      <w:r>
        <w:rPr>
          <w:spacing w:val="-94"/>
        </w:rPr>
        <w:t> </w:t>
      </w:r>
      <w:r>
        <w:rPr>
          <w:spacing w:val="-94"/>
        </w:rPr>
      </w:r>
      <w:r>
        <w:rPr>
          <w:spacing w:val="-2"/>
        </w:rPr>
        <w:t>到规定业绩条件才可行权的换取职工服务的以权益结算的股份支付，在等待期内的每</w:t>
      </w:r>
      <w:r>
        <w:rPr>
          <w:spacing w:val="-94"/>
        </w:rPr>
        <w:t> </w:t>
      </w:r>
      <w:r>
        <w:rPr>
          <w:spacing w:val="-94"/>
        </w:rPr>
      </w:r>
      <w:r>
        <w:rPr>
          <w:spacing w:val="-2"/>
        </w:rPr>
        <w:t>个资产负债表日，以对可行权权益工具数量的最佳估计为基础，按权益工具授予日的</w:t>
      </w:r>
      <w:r>
        <w:rPr>
          <w:spacing w:val="-94"/>
        </w:rPr>
        <w:t> </w:t>
      </w:r>
      <w:r>
        <w:rPr>
          <w:spacing w:val="-94"/>
        </w:rPr>
      </w:r>
      <w:r>
        <w:rPr/>
        <w:t>公允价值，将当期取得的服务计入相关成本或费用，相应调整资本公积。</w:t>
      </w:r>
    </w:p>
    <w:p>
      <w:pPr>
        <w:pStyle w:val="BodyText"/>
        <w:spacing w:line="357" w:lineRule="auto" w:before="36"/>
        <w:ind w:right="234" w:firstLine="479"/>
        <w:jc w:val="both"/>
      </w:pPr>
      <w:r>
        <w:rPr>
          <w:spacing w:val="-2"/>
        </w:rPr>
        <w:t>换取其他方服务的权益结算的股份支付，如果其他方服务的公允价值能够可靠计</w:t>
      </w:r>
      <w:r>
        <w:rPr/>
        <w:t> </w:t>
      </w:r>
      <w:r>
        <w:rPr>
          <w:spacing w:val="-2"/>
        </w:rPr>
        <w:t>量的，按照其他方服务在取得日的公允价值计量；如果其他方服务的公允价值不能可</w:t>
      </w:r>
      <w:r>
        <w:rPr>
          <w:spacing w:val="-94"/>
        </w:rPr>
        <w:t> </w:t>
      </w:r>
      <w:r>
        <w:rPr>
          <w:spacing w:val="-94"/>
        </w:rPr>
      </w:r>
      <w:r>
        <w:rPr>
          <w:spacing w:val="-2"/>
        </w:rPr>
        <w:t>靠计量，但权益工具的公允价值能够可靠计量的，按照权益工具在服务取得日的公允</w:t>
      </w:r>
      <w:r>
        <w:rPr>
          <w:spacing w:val="-94"/>
        </w:rPr>
        <w:t> </w:t>
      </w:r>
      <w:r>
        <w:rPr>
          <w:spacing w:val="-94"/>
        </w:rPr>
      </w:r>
      <w:r>
        <w:rPr/>
        <w:t>价值计量，计入相关成本或费用，相应增加所有者权益。</w:t>
      </w:r>
    </w:p>
    <w:p>
      <w:pPr>
        <w:pStyle w:val="BodyText"/>
        <w:spacing w:line="355" w:lineRule="auto" w:before="36"/>
        <w:ind w:left="618" w:right="119"/>
        <w:jc w:val="left"/>
      </w:pPr>
      <w:r>
        <w:rPr>
          <w:rFonts w:ascii="宋体" w:hAnsi="宋体" w:cs="宋体" w:eastAsia="宋体" w:hint="default"/>
        </w:rPr>
        <w:t>(2) </w:t>
      </w:r>
      <w:r>
        <w:rPr/>
        <w:t>以现金结算的股份支付 </w:t>
      </w:r>
      <w:r>
        <w:rPr>
          <w:spacing w:val="-2"/>
        </w:rPr>
        <w:t>授予后立即可行权的换取职工服务的以现金结算的股份支付，在授予日按公司承</w:t>
      </w:r>
    </w:p>
    <w:p>
      <w:pPr>
        <w:pStyle w:val="BodyText"/>
        <w:spacing w:line="357" w:lineRule="auto" w:before="38"/>
        <w:ind w:right="234"/>
        <w:jc w:val="both"/>
      </w:pPr>
      <w:r>
        <w:rPr>
          <w:spacing w:val="-2"/>
        </w:rPr>
        <w:t>担负债的公允价值计入相关成本或费用，相应增加负债。完成等待期内的服务或达到</w:t>
      </w:r>
      <w:r>
        <w:rPr>
          <w:spacing w:val="-94"/>
        </w:rPr>
        <w:t> </w:t>
      </w:r>
      <w:r>
        <w:rPr>
          <w:spacing w:val="-94"/>
        </w:rPr>
      </w:r>
      <w:r>
        <w:rPr>
          <w:spacing w:val="-2"/>
        </w:rPr>
        <w:t>规定业绩条件才可行权的换取职工服务的以现金结算的股份支付，在等待期内的每个</w:t>
      </w:r>
      <w:r>
        <w:rPr>
          <w:spacing w:val="-94"/>
        </w:rPr>
        <w:t> </w:t>
      </w:r>
      <w:r>
        <w:rPr>
          <w:spacing w:val="-94"/>
        </w:rPr>
      </w:r>
      <w:r>
        <w:rPr>
          <w:spacing w:val="-2"/>
        </w:rPr>
        <w:t>资产负债表日，以对可行权情况的最佳估计为基础，按公司承担负债的公允价值，将</w:t>
      </w:r>
      <w:r>
        <w:rPr>
          <w:spacing w:val="-96"/>
        </w:rPr>
        <w:t> </w:t>
      </w:r>
      <w:r>
        <w:rPr>
          <w:spacing w:val="-96"/>
        </w:rPr>
      </w:r>
      <w:r>
        <w:rPr/>
        <w:t>当期取得的服务计入相关成本或费用和相应的负债。</w:t>
      </w:r>
    </w:p>
    <w:p>
      <w:pPr>
        <w:pStyle w:val="BodyText"/>
        <w:spacing w:line="355" w:lineRule="auto" w:before="36"/>
        <w:ind w:left="618" w:right="119"/>
        <w:jc w:val="left"/>
      </w:pPr>
      <w:r>
        <w:rPr>
          <w:rFonts w:ascii="宋体" w:hAnsi="宋体" w:cs="宋体" w:eastAsia="宋体" w:hint="default"/>
        </w:rPr>
        <w:t>(3) </w:t>
      </w:r>
      <w:r>
        <w:rPr/>
        <w:t>修改、终止股份支付计划 </w:t>
      </w:r>
      <w:r>
        <w:rPr>
          <w:spacing w:val="-2"/>
        </w:rPr>
        <w:t>如果修改增加了所授予的权益工具的公允价值，公司按照权益工具公允价值的增</w:t>
      </w:r>
    </w:p>
    <w:p>
      <w:pPr>
        <w:pStyle w:val="BodyText"/>
        <w:spacing w:line="357" w:lineRule="auto" w:before="38"/>
        <w:ind w:right="232"/>
        <w:jc w:val="both"/>
      </w:pPr>
      <w:r>
        <w:rPr>
          <w:spacing w:val="-2"/>
        </w:rPr>
        <w:t>加相应地确认取得服务的增加；如果修改增加了所授予的权益工具的数量，公司将增</w:t>
      </w:r>
      <w:r>
        <w:rPr>
          <w:spacing w:val="-93"/>
        </w:rPr>
        <w:t> </w:t>
      </w:r>
      <w:r>
        <w:rPr>
          <w:spacing w:val="-93"/>
        </w:rPr>
      </w:r>
      <w:r>
        <w:rPr>
          <w:spacing w:val="-2"/>
        </w:rPr>
        <w:t>加的权益工具的公允价值相应地确认为取得服务的增加；如果公司按照有利于职工的</w:t>
      </w:r>
      <w:r>
        <w:rPr>
          <w:spacing w:val="-94"/>
        </w:rPr>
        <w:t> </w:t>
      </w:r>
      <w:r>
        <w:rPr>
          <w:spacing w:val="-94"/>
        </w:rPr>
      </w:r>
      <w:r>
        <w:rPr/>
        <w:t>方式修改可行权条件，公司在处理可行权条件时，考虑修改后的可行权条件。</w:t>
      </w:r>
    </w:p>
    <w:p>
      <w:pPr>
        <w:pStyle w:val="BodyText"/>
        <w:spacing w:line="355" w:lineRule="auto" w:before="36"/>
        <w:ind w:right="234" w:firstLine="479"/>
        <w:jc w:val="both"/>
      </w:pPr>
      <w:r>
        <w:rPr>
          <w:spacing w:val="-2"/>
        </w:rPr>
        <w:t>如果修改减少了授予的权益工具的公允价值，公司继续以权益工具在授予日的公</w:t>
      </w:r>
      <w:r>
        <w:rPr/>
        <w:t> </w:t>
      </w:r>
      <w:r>
        <w:rPr>
          <w:spacing w:val="-2"/>
        </w:rPr>
        <w:t>允价值为基础，确认取得服务的金额，而不考虑权益工具公允价值的减少；如果修改</w:t>
      </w:r>
    </w:p>
    <w:p>
      <w:pPr>
        <w:spacing w:after="0" w:line="355" w:lineRule="auto"/>
        <w:jc w:val="both"/>
        <w:sectPr>
          <w:footerReference w:type="default" r:id="rId62"/>
          <w:pgSz w:w="11910" w:h="16840"/>
          <w:pgMar w:footer="1195" w:header="882" w:top="1120" w:bottom="1380" w:left="1660" w:right="1040"/>
          <w:pgNumType w:start="112"/>
        </w:sectPr>
      </w:pPr>
    </w:p>
    <w:p>
      <w:pPr>
        <w:spacing w:line="240" w:lineRule="auto" w:before="5"/>
        <w:rPr>
          <w:rFonts w:ascii="宋体" w:hAnsi="宋体" w:cs="宋体" w:eastAsia="宋体" w:hint="default"/>
          <w:sz w:val="25"/>
          <w:szCs w:val="25"/>
        </w:rPr>
      </w:pPr>
    </w:p>
    <w:p>
      <w:pPr>
        <w:pStyle w:val="BodyText"/>
        <w:spacing w:line="357" w:lineRule="auto" w:before="26"/>
        <w:ind w:right="214"/>
        <w:jc w:val="both"/>
      </w:pPr>
      <w:r>
        <w:rPr>
          <w:spacing w:val="-2"/>
        </w:rPr>
        <w:t>减少了授予的权益工具的数量，公司将减少部分作为已授予的权益工具的取消来进行</w:t>
      </w:r>
      <w:r>
        <w:rPr>
          <w:spacing w:val="-94"/>
        </w:rPr>
        <w:t> </w:t>
      </w:r>
      <w:r>
        <w:rPr>
          <w:spacing w:val="-94"/>
        </w:rPr>
      </w:r>
      <w:r>
        <w:rPr>
          <w:spacing w:val="-2"/>
        </w:rPr>
        <w:t>处理；如果以不利于职工的方式修改了可行权条件，在处理可行权条件时，不考虑修</w:t>
      </w:r>
      <w:r>
        <w:rPr>
          <w:spacing w:val="-96"/>
        </w:rPr>
        <w:t> </w:t>
      </w:r>
      <w:r>
        <w:rPr>
          <w:spacing w:val="-96"/>
        </w:rPr>
      </w:r>
      <w:r>
        <w:rPr/>
        <w:t>改后的可行权条件。</w:t>
      </w:r>
    </w:p>
    <w:p>
      <w:pPr>
        <w:pStyle w:val="BodyText"/>
        <w:spacing w:line="357" w:lineRule="auto" w:before="36"/>
        <w:ind w:right="209" w:firstLine="479"/>
        <w:jc w:val="both"/>
      </w:pPr>
      <w:r>
        <w:rPr>
          <w:spacing w:val="-2"/>
        </w:rPr>
        <w:t>如果公司在等待期内取消了所授予的权益工具或结算了所授予的权益工具（因未</w:t>
      </w:r>
      <w:r>
        <w:rPr/>
        <w:t> </w:t>
      </w:r>
      <w:r>
        <w:rPr>
          <w:spacing w:val="-2"/>
        </w:rPr>
        <w:t>满足可行权条件而被取消的除外），则将取消或结算作为加速可行权处理，立即确认</w:t>
      </w:r>
      <w:r>
        <w:rPr>
          <w:spacing w:val="-103"/>
        </w:rPr>
        <w:t> </w:t>
      </w:r>
      <w:r>
        <w:rPr>
          <w:spacing w:val="-103"/>
        </w:rPr>
      </w:r>
      <w:r>
        <w:rPr/>
        <w:t>原本在剩余等待期内确认的金额。</w:t>
      </w:r>
    </w:p>
    <w:p>
      <w:pPr>
        <w:spacing w:line="240" w:lineRule="auto" w:before="1"/>
        <w:rPr>
          <w:rFonts w:ascii="宋体" w:hAnsi="宋体" w:cs="宋体" w:eastAsia="宋体" w:hint="default"/>
          <w:sz w:val="31"/>
          <w:szCs w:val="31"/>
        </w:rPr>
      </w:pPr>
    </w:p>
    <w:p>
      <w:pPr>
        <w:spacing w:line="283" w:lineRule="auto" w:before="0"/>
        <w:ind w:left="618" w:right="0" w:hanging="480"/>
        <w:jc w:val="left"/>
        <w:rPr>
          <w:rFonts w:ascii="宋体" w:hAnsi="宋体" w:cs="宋体" w:eastAsia="宋体" w:hint="default"/>
          <w:sz w:val="24"/>
          <w:szCs w:val="24"/>
        </w:rPr>
      </w:pPr>
      <w:r>
        <w:rPr>
          <w:rFonts w:ascii="宋体" w:hAnsi="宋体" w:cs="宋体" w:eastAsia="宋体" w:hint="default"/>
          <w:b/>
          <w:bCs/>
          <w:sz w:val="24"/>
          <w:szCs w:val="24"/>
        </w:rPr>
        <w:t>27.</w:t>
      </w:r>
      <w:r>
        <w:rPr>
          <w:rFonts w:ascii="宋体" w:hAnsi="宋体" w:cs="宋体" w:eastAsia="宋体" w:hint="default"/>
          <w:b/>
          <w:bCs/>
          <w:spacing w:val="-59"/>
          <w:sz w:val="24"/>
          <w:szCs w:val="24"/>
        </w:rPr>
        <w:t> </w:t>
      </w:r>
      <w:r>
        <w:rPr>
          <w:rFonts w:ascii="宋体" w:hAnsi="宋体" w:cs="宋体" w:eastAsia="宋体" w:hint="default"/>
          <w:b/>
          <w:bCs/>
          <w:sz w:val="24"/>
          <w:szCs w:val="24"/>
        </w:rPr>
        <w:t>维修基金的核算方法</w:t>
      </w:r>
      <w:r>
        <w:rPr>
          <w:rFonts w:ascii="宋体" w:hAnsi="宋体" w:cs="宋体" w:eastAsia="宋体" w:hint="default"/>
          <w:b/>
          <w:bCs/>
          <w:w w:val="99"/>
          <w:sz w:val="24"/>
          <w:szCs w:val="24"/>
        </w:rPr>
        <w:t> </w:t>
      </w:r>
      <w:r>
        <w:rPr>
          <w:rFonts w:ascii="宋体" w:hAnsi="宋体" w:cs="宋体" w:eastAsia="宋体" w:hint="default"/>
          <w:spacing w:val="-2"/>
          <w:sz w:val="24"/>
          <w:szCs w:val="24"/>
        </w:rPr>
        <w:t>根据开发项目所在地的有关规定，维修基金在开发产品销售（预售）时，向购房</w:t>
      </w:r>
    </w:p>
    <w:p>
      <w:pPr>
        <w:pStyle w:val="BodyText"/>
        <w:spacing w:line="240" w:lineRule="auto" w:before="110"/>
        <w:ind w:right="0"/>
        <w:jc w:val="left"/>
      </w:pPr>
      <w:r>
        <w:rPr/>
        <w:t>人收取或由公司计提计入有关开发产品的开发成本，并统一上缴维修基金管理部门。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spacing w:line="283" w:lineRule="auto" w:before="0"/>
        <w:ind w:left="618" w:right="0" w:hanging="480"/>
        <w:jc w:val="left"/>
        <w:rPr>
          <w:rFonts w:ascii="宋体" w:hAnsi="宋体" w:cs="宋体" w:eastAsia="宋体" w:hint="default"/>
          <w:sz w:val="24"/>
          <w:szCs w:val="24"/>
        </w:rPr>
      </w:pPr>
      <w:r>
        <w:rPr>
          <w:rFonts w:ascii="宋体" w:hAnsi="宋体" w:cs="宋体" w:eastAsia="宋体" w:hint="default"/>
          <w:b/>
          <w:bCs/>
          <w:sz w:val="24"/>
          <w:szCs w:val="24"/>
        </w:rPr>
        <w:t>28.</w:t>
      </w:r>
      <w:r>
        <w:rPr>
          <w:rFonts w:ascii="宋体" w:hAnsi="宋体" w:cs="宋体" w:eastAsia="宋体" w:hint="default"/>
          <w:b/>
          <w:bCs/>
          <w:spacing w:val="-59"/>
          <w:sz w:val="24"/>
          <w:szCs w:val="24"/>
        </w:rPr>
        <w:t> </w:t>
      </w:r>
      <w:r>
        <w:rPr>
          <w:rFonts w:ascii="宋体" w:hAnsi="宋体" w:cs="宋体" w:eastAsia="宋体" w:hint="default"/>
          <w:b/>
          <w:bCs/>
          <w:sz w:val="24"/>
          <w:szCs w:val="24"/>
        </w:rPr>
        <w:t>质量保证金的核算方法</w:t>
      </w:r>
      <w:r>
        <w:rPr>
          <w:rFonts w:ascii="宋体" w:hAnsi="宋体" w:cs="宋体" w:eastAsia="宋体" w:hint="default"/>
          <w:b/>
          <w:bCs/>
          <w:w w:val="99"/>
          <w:sz w:val="24"/>
          <w:szCs w:val="24"/>
        </w:rPr>
        <w:t> </w:t>
      </w:r>
      <w:r>
        <w:rPr>
          <w:rFonts w:ascii="宋体" w:hAnsi="宋体" w:cs="宋体" w:eastAsia="宋体" w:hint="default"/>
          <w:spacing w:val="-2"/>
          <w:sz w:val="24"/>
          <w:szCs w:val="24"/>
        </w:rPr>
        <w:t>质量保证金根据施工合同规定从施工单位工程款中预留。在开发产品保修期内发</w:t>
      </w:r>
    </w:p>
    <w:p>
      <w:pPr>
        <w:pStyle w:val="BodyText"/>
        <w:spacing w:line="355" w:lineRule="auto" w:before="110"/>
        <w:ind w:right="0"/>
        <w:jc w:val="left"/>
      </w:pPr>
      <w:r>
        <w:rPr>
          <w:spacing w:val="-2"/>
        </w:rPr>
        <w:t>生的维修费，冲减质量保证金；在开发产品约定的保修期届满，质量保证金余额退还</w:t>
      </w:r>
      <w:r>
        <w:rPr>
          <w:spacing w:val="-93"/>
        </w:rPr>
        <w:t> </w:t>
      </w:r>
      <w:r>
        <w:rPr>
          <w:spacing w:val="-93"/>
        </w:rPr>
      </w:r>
      <w:r>
        <w:rPr/>
        <w:t>施工单位。</w:t>
      </w:r>
    </w:p>
    <w:p>
      <w:pPr>
        <w:spacing w:line="240" w:lineRule="auto" w:before="5"/>
        <w:rPr>
          <w:rFonts w:ascii="宋体" w:hAnsi="宋体" w:cs="宋体" w:eastAsia="宋体" w:hint="default"/>
          <w:sz w:val="31"/>
          <w:szCs w:val="31"/>
        </w:rPr>
      </w:pPr>
    </w:p>
    <w:p>
      <w:pPr>
        <w:pStyle w:val="Heading2"/>
        <w:spacing w:line="240" w:lineRule="auto" w:before="0"/>
        <w:ind w:left="138" w:right="0"/>
        <w:jc w:val="left"/>
        <w:rPr>
          <w:b w:val="0"/>
          <w:bCs w:val="0"/>
        </w:rPr>
      </w:pPr>
      <w:r>
        <w:rPr>
          <w:rFonts w:ascii="宋体" w:hAnsi="宋体" w:cs="宋体" w:eastAsia="宋体" w:hint="default"/>
        </w:rPr>
        <w:t>29.</w:t>
      </w:r>
      <w:r>
        <w:rPr>
          <w:rFonts w:ascii="宋体" w:hAnsi="宋体" w:cs="宋体" w:eastAsia="宋体" w:hint="default"/>
          <w:spacing w:val="-61"/>
        </w:rPr>
        <w:t> </w:t>
      </w:r>
      <w:r>
        <w:rPr/>
        <w:t>优先股、永续债等其他金融工具</w:t>
      </w:r>
      <w:r>
        <w:rPr>
          <w:b w:val="0"/>
          <w:bCs w:val="0"/>
        </w:rPr>
      </w:r>
    </w:p>
    <w:p>
      <w:pPr>
        <w:pStyle w:val="BodyText"/>
        <w:tabs>
          <w:tab w:pos="1097" w:val="left" w:leader="none"/>
        </w:tabs>
        <w:spacing w:line="240" w:lineRule="auto" w:before="55"/>
        <w:ind w:right="0"/>
        <w:jc w:val="left"/>
      </w:pPr>
      <w:r>
        <w:rPr>
          <w:spacing w:val="-1"/>
        </w:rPr>
        <w:t>□适用</w:t>
        <w:tab/>
      </w:r>
      <w:r>
        <w:rPr/>
        <w:t>√不适用</w:t>
      </w:r>
    </w:p>
    <w:p>
      <w:pPr>
        <w:spacing w:line="240" w:lineRule="auto" w:before="4"/>
        <w:rPr>
          <w:rFonts w:ascii="宋体" w:hAnsi="宋体" w:cs="宋体" w:eastAsia="宋体" w:hint="default"/>
          <w:sz w:val="28"/>
          <w:szCs w:val="28"/>
        </w:rPr>
      </w:pPr>
    </w:p>
    <w:p>
      <w:pPr>
        <w:pStyle w:val="Heading2"/>
        <w:spacing w:line="240" w:lineRule="auto" w:before="0"/>
        <w:ind w:left="138" w:right="0"/>
        <w:jc w:val="left"/>
        <w:rPr>
          <w:b w:val="0"/>
          <w:bCs w:val="0"/>
        </w:rPr>
      </w:pPr>
      <w:r>
        <w:rPr>
          <w:rFonts w:ascii="宋体" w:hAnsi="宋体" w:cs="宋体" w:eastAsia="宋体" w:hint="default"/>
        </w:rPr>
        <w:t>30.</w:t>
      </w:r>
      <w:r>
        <w:rPr>
          <w:rFonts w:ascii="宋体" w:hAnsi="宋体" w:cs="宋体" w:eastAsia="宋体" w:hint="default"/>
          <w:spacing w:val="-58"/>
        </w:rPr>
        <w:t> </w:t>
      </w:r>
      <w:r>
        <w:rPr/>
        <w:t>收入</w:t>
      </w:r>
      <w:r>
        <w:rPr>
          <w:b w:val="0"/>
          <w:bCs w:val="0"/>
        </w:rPr>
      </w:r>
    </w:p>
    <w:p>
      <w:pPr>
        <w:pStyle w:val="BodyText"/>
        <w:tabs>
          <w:tab w:pos="1097" w:val="left" w:leader="none"/>
        </w:tabs>
        <w:spacing w:line="312" w:lineRule="exact" w:before="86"/>
        <w:ind w:left="618" w:right="6886" w:hanging="480"/>
        <w:jc w:val="left"/>
      </w:pPr>
      <w:r>
        <w:rPr>
          <w:spacing w:val="-1"/>
        </w:rPr>
        <w:t>√适用</w:t>
        <w:tab/>
      </w:r>
      <w:r>
        <w:rPr/>
        <w:t>□不适用</w:t>
      </w:r>
      <w:r>
        <w:rPr/>
        <w:t> </w:t>
      </w:r>
      <w:r>
        <w:rPr>
          <w:rFonts w:ascii="宋体" w:hAnsi="宋体" w:cs="宋体" w:eastAsia="宋体" w:hint="default"/>
        </w:rPr>
        <w:t>1.</w:t>
      </w:r>
      <w:r>
        <w:rPr/>
        <w:t>收入确认原则</w:t>
      </w:r>
    </w:p>
    <w:p>
      <w:pPr>
        <w:pStyle w:val="BodyText"/>
        <w:spacing w:line="240" w:lineRule="auto" w:before="125"/>
        <w:ind w:left="618" w:right="0"/>
        <w:jc w:val="left"/>
      </w:pPr>
      <w:r>
        <w:rPr>
          <w:rFonts w:ascii="宋体" w:hAnsi="宋体" w:cs="宋体" w:eastAsia="宋体" w:hint="default"/>
        </w:rPr>
        <w:t>(1) </w:t>
      </w:r>
      <w:r>
        <w:rPr/>
        <w:t>销售商品</w:t>
      </w:r>
    </w:p>
    <w:p>
      <w:pPr>
        <w:pStyle w:val="BodyText"/>
        <w:spacing w:line="357" w:lineRule="auto" w:before="152"/>
        <w:ind w:right="206" w:firstLine="479"/>
        <w:jc w:val="both"/>
      </w:pPr>
      <w:r>
        <w:rPr/>
        <w:t>销售商品收入在同时满足下列条件时予以确认：</w:t>
      </w:r>
      <w:r>
        <w:rPr>
          <w:rFonts w:ascii="宋体" w:hAnsi="宋体" w:cs="宋体" w:eastAsia="宋体" w:hint="default"/>
        </w:rPr>
        <w:t>1)</w:t>
      </w:r>
      <w:r>
        <w:rPr>
          <w:rFonts w:ascii="宋体" w:hAnsi="宋体" w:cs="宋体" w:eastAsia="宋体" w:hint="default"/>
          <w:spacing w:val="50"/>
        </w:rPr>
        <w:t> </w:t>
      </w:r>
      <w:r>
        <w:rPr/>
        <w:t>将商品所有权上的主要风险 和报酬转移给购货方；</w:t>
      </w:r>
      <w:r>
        <w:rPr>
          <w:rFonts w:ascii="宋体" w:hAnsi="宋体" w:cs="宋体" w:eastAsia="宋体" w:hint="default"/>
        </w:rPr>
        <w:t>2)</w:t>
      </w:r>
      <w:r>
        <w:rPr>
          <w:rFonts w:ascii="宋体" w:hAnsi="宋体" w:cs="宋体" w:eastAsia="宋体" w:hint="default"/>
          <w:spacing w:val="56"/>
        </w:rPr>
        <w:t> </w:t>
      </w:r>
      <w:r>
        <w:rPr/>
        <w:t>公司不再保留通常与所有权相联系的继续管理权，也不再</w:t>
      </w:r>
      <w:r>
        <w:rPr>
          <w:spacing w:val="-111"/>
        </w:rPr>
        <w:t> </w:t>
      </w:r>
      <w:r>
        <w:rPr>
          <w:spacing w:val="-111"/>
        </w:rPr>
      </w:r>
      <w:r>
        <w:rPr/>
        <w:t>对已售出的商品实施有效控制；</w:t>
      </w:r>
      <w:r>
        <w:rPr>
          <w:rFonts w:ascii="宋体" w:hAnsi="宋体" w:cs="宋体" w:eastAsia="宋体" w:hint="default"/>
        </w:rPr>
        <w:t>3) </w:t>
      </w:r>
      <w:r>
        <w:rPr/>
        <w:t>收入的金额能够可靠地计量；</w:t>
      </w:r>
      <w:r>
        <w:rPr>
          <w:rFonts w:ascii="宋体" w:hAnsi="宋体" w:cs="宋体" w:eastAsia="宋体" w:hint="default"/>
        </w:rPr>
        <w:t>4)</w:t>
      </w:r>
      <w:r>
        <w:rPr>
          <w:rFonts w:ascii="宋体" w:hAnsi="宋体" w:cs="宋体" w:eastAsia="宋体" w:hint="default"/>
          <w:spacing w:val="-46"/>
        </w:rPr>
        <w:t> </w:t>
      </w:r>
      <w:r>
        <w:rPr/>
        <w:t>相关的经济利益 很可能流入；</w:t>
      </w:r>
      <w:r>
        <w:rPr>
          <w:rFonts w:ascii="宋体" w:hAnsi="宋体" w:cs="宋体" w:eastAsia="宋体" w:hint="default"/>
        </w:rPr>
        <w:t>5)</w:t>
      </w:r>
      <w:r>
        <w:rPr>
          <w:rFonts w:ascii="宋体" w:hAnsi="宋体" w:cs="宋体" w:eastAsia="宋体" w:hint="default"/>
          <w:spacing w:val="-1"/>
        </w:rPr>
        <w:t> </w:t>
      </w:r>
      <w:r>
        <w:rPr/>
        <w:t>相关的已发生或将发生的成本能够可靠地计量。</w:t>
      </w:r>
    </w:p>
    <w:p>
      <w:pPr>
        <w:pStyle w:val="BodyText"/>
        <w:spacing w:line="357" w:lineRule="auto" w:before="34"/>
        <w:ind w:left="558" w:right="208" w:firstLine="60"/>
        <w:jc w:val="left"/>
      </w:pPr>
      <w:r>
        <w:rPr>
          <w:rFonts w:ascii="宋体" w:hAnsi="宋体" w:cs="宋体" w:eastAsia="宋体" w:hint="default"/>
        </w:rPr>
        <w:t>(2) </w:t>
      </w:r>
      <w:r>
        <w:rPr/>
        <w:t>提供劳务 提供劳务交易的结果在资产负债表日能够可靠估计的（同时满足收入的金额能够</w:t>
      </w:r>
    </w:p>
    <w:p>
      <w:pPr>
        <w:pStyle w:val="BodyText"/>
        <w:spacing w:line="240" w:lineRule="auto" w:before="34"/>
        <w:ind w:right="0"/>
        <w:jc w:val="left"/>
      </w:pPr>
      <w:r>
        <w:rPr/>
        <w:t>可靠地计量、相关经济利益很可能流入、交易的完工进度能够可靠地确定、交易中已</w:t>
      </w:r>
    </w:p>
    <w:p>
      <w:pPr>
        <w:pStyle w:val="BodyText"/>
        <w:spacing w:line="460" w:lineRule="atLeast" w:before="8"/>
        <w:ind w:right="0"/>
        <w:jc w:val="left"/>
      </w:pPr>
      <w:r>
        <w:rPr>
          <w:spacing w:val="-2"/>
        </w:rPr>
        <w:t>发生和将发生的成本能够可靠地计量），采用完工百分比法确认提供劳务的收入。提</w:t>
      </w:r>
      <w:r>
        <w:rPr>
          <w:spacing w:val="-103"/>
        </w:rPr>
        <w:t> </w:t>
      </w:r>
      <w:r>
        <w:rPr>
          <w:spacing w:val="-103"/>
        </w:rPr>
      </w:r>
      <w:r>
        <w:rPr>
          <w:spacing w:val="-2"/>
        </w:rPr>
        <w:t>供劳务交易的结果在资产负债表日不能够可靠估计的，若已经发生的劳务成本预计能</w:t>
      </w:r>
    </w:p>
    <w:p>
      <w:pPr>
        <w:spacing w:after="0" w:line="460" w:lineRule="atLeast"/>
        <w:jc w:val="left"/>
        <w:sectPr>
          <w:footerReference w:type="default" r:id="rId63"/>
          <w:pgSz w:w="11910" w:h="16840"/>
          <w:pgMar w:footer="1195" w:header="882" w:top="1120" w:bottom="1380" w:left="1660" w:right="1060"/>
          <w:pgNumType w:start="113"/>
        </w:sectPr>
      </w:pPr>
    </w:p>
    <w:p>
      <w:pPr>
        <w:spacing w:line="240" w:lineRule="auto" w:before="5"/>
        <w:rPr>
          <w:rFonts w:ascii="宋体" w:hAnsi="宋体" w:cs="宋体" w:eastAsia="宋体" w:hint="default"/>
          <w:sz w:val="25"/>
          <w:szCs w:val="25"/>
        </w:rPr>
      </w:pPr>
    </w:p>
    <w:p>
      <w:pPr>
        <w:pStyle w:val="BodyText"/>
        <w:spacing w:line="357" w:lineRule="auto" w:before="26"/>
        <w:ind w:right="114"/>
        <w:jc w:val="both"/>
      </w:pPr>
      <w:r>
        <w:rPr>
          <w:spacing w:val="-2"/>
        </w:rPr>
        <w:t>够得到补偿，按已经发生的劳务成本金额确认提供劳务收入，并按相同金额结转劳务</w:t>
      </w:r>
      <w:r>
        <w:rPr>
          <w:spacing w:val="-95"/>
        </w:rPr>
        <w:t> </w:t>
      </w:r>
      <w:r>
        <w:rPr>
          <w:spacing w:val="-95"/>
        </w:rPr>
      </w:r>
      <w:r>
        <w:rPr>
          <w:spacing w:val="-2"/>
        </w:rPr>
        <w:t>成本；若已经发生的劳务成本预计不能够得到补偿，将已经发生的劳务成本计入当期</w:t>
      </w:r>
      <w:r>
        <w:rPr>
          <w:spacing w:val="-94"/>
        </w:rPr>
        <w:t> </w:t>
      </w:r>
      <w:r>
        <w:rPr>
          <w:spacing w:val="-94"/>
        </w:rPr>
      </w:r>
      <w:r>
        <w:rPr/>
        <w:t>损益，不确认劳务收入。</w:t>
      </w:r>
    </w:p>
    <w:p>
      <w:pPr>
        <w:pStyle w:val="BodyText"/>
        <w:spacing w:line="357" w:lineRule="auto" w:before="36"/>
        <w:ind w:left="618" w:right="0"/>
        <w:jc w:val="left"/>
      </w:pPr>
      <w:r>
        <w:rPr>
          <w:rFonts w:ascii="宋体" w:hAnsi="宋体" w:cs="宋体" w:eastAsia="宋体" w:hint="default"/>
        </w:rPr>
        <w:t>(3) </w:t>
      </w:r>
      <w:r>
        <w:rPr/>
        <w:t>让渡资产使用权 </w:t>
      </w:r>
      <w:r>
        <w:rPr>
          <w:spacing w:val="-2"/>
        </w:rPr>
        <w:t>让渡资产使用权在同时满足相关的经济利益很可能流入、收入金额能够可靠计量</w:t>
      </w:r>
    </w:p>
    <w:p>
      <w:pPr>
        <w:pStyle w:val="BodyText"/>
        <w:spacing w:line="357" w:lineRule="auto" w:before="34"/>
        <w:ind w:right="114"/>
        <w:jc w:val="both"/>
      </w:pPr>
      <w:r>
        <w:rPr>
          <w:spacing w:val="-2"/>
        </w:rPr>
        <w:t>时，确认让渡资产使用权的收入。利息收入按照他人使用本公司货币资金的时间和实</w:t>
      </w:r>
      <w:r>
        <w:rPr>
          <w:spacing w:val="-94"/>
        </w:rPr>
        <w:t> </w:t>
      </w:r>
      <w:r>
        <w:rPr>
          <w:spacing w:val="-94"/>
        </w:rPr>
      </w:r>
      <w:r>
        <w:rPr/>
        <w:t>际利率计算确定；使用费收入按有关合同或协议约定的收费时间和方法计算确定。</w:t>
      </w:r>
    </w:p>
    <w:p>
      <w:pPr>
        <w:pStyle w:val="BodyText"/>
        <w:spacing w:line="240" w:lineRule="auto" w:before="34"/>
        <w:ind w:left="618" w:right="0"/>
        <w:jc w:val="left"/>
      </w:pPr>
      <w:r>
        <w:rPr>
          <w:rFonts w:ascii="宋体" w:hAnsi="宋体" w:cs="宋体" w:eastAsia="宋体" w:hint="default"/>
        </w:rPr>
        <w:t>(4) </w:t>
      </w:r>
      <w:r>
        <w:rPr/>
        <w:t>建造合同</w:t>
      </w:r>
    </w:p>
    <w:p>
      <w:pPr>
        <w:pStyle w:val="BodyText"/>
        <w:spacing w:line="357" w:lineRule="auto" w:before="154"/>
        <w:ind w:right="113" w:firstLine="479"/>
        <w:jc w:val="both"/>
      </w:pPr>
      <w:r>
        <w:rPr>
          <w:rFonts w:ascii="宋体" w:hAnsi="宋体" w:cs="宋体" w:eastAsia="宋体" w:hint="default"/>
        </w:rPr>
        <w:t>1)</w:t>
      </w:r>
      <w:r>
        <w:rPr>
          <w:rFonts w:ascii="宋体" w:hAnsi="宋体" w:cs="宋体" w:eastAsia="宋体" w:hint="default"/>
          <w:spacing w:val="54"/>
        </w:rPr>
        <w:t> </w:t>
      </w:r>
      <w:r>
        <w:rPr/>
        <w:t>建造合同的结果在资产负债表日能够可靠估计的，根据完工百分比法确认合</w:t>
      </w:r>
      <w:r>
        <w:rPr>
          <w:spacing w:val="2"/>
        </w:rPr>
        <w:t> </w:t>
      </w:r>
      <w:r>
        <w:rPr>
          <w:spacing w:val="-2"/>
        </w:rPr>
        <w:t>同收入和合同费用。建造合同的结果在资产负债表日不能够可靠估计的，若合同成本</w:t>
      </w:r>
      <w:r>
        <w:rPr>
          <w:spacing w:val="-94"/>
        </w:rPr>
        <w:t> </w:t>
      </w:r>
      <w:r>
        <w:rPr>
          <w:spacing w:val="-94"/>
        </w:rPr>
      </w:r>
      <w:r>
        <w:rPr>
          <w:spacing w:val="-2"/>
        </w:rPr>
        <w:t>能够收回的，合同收入根据能够收回的实际合同成本予以确认，合同成本在其发生的</w:t>
      </w:r>
      <w:r>
        <w:rPr>
          <w:spacing w:val="-94"/>
        </w:rPr>
        <w:t> </w:t>
      </w:r>
      <w:r>
        <w:rPr>
          <w:spacing w:val="-94"/>
        </w:rPr>
      </w:r>
      <w:r>
        <w:rPr>
          <w:spacing w:val="-2"/>
        </w:rPr>
        <w:t>当期确认为合同费用；若合同成本不可能收回的，在发生时立即确认为合同费用，不</w:t>
      </w:r>
      <w:r>
        <w:rPr>
          <w:spacing w:val="-96"/>
        </w:rPr>
        <w:t> </w:t>
      </w:r>
      <w:r>
        <w:rPr>
          <w:spacing w:val="-96"/>
        </w:rPr>
      </w:r>
      <w:r>
        <w:rPr/>
        <w:t>确认合同收入。</w:t>
      </w:r>
    </w:p>
    <w:p>
      <w:pPr>
        <w:pStyle w:val="BodyText"/>
        <w:spacing w:line="357" w:lineRule="auto" w:before="34"/>
        <w:ind w:right="113" w:firstLine="479"/>
        <w:jc w:val="both"/>
      </w:pPr>
      <w:r>
        <w:rPr>
          <w:rFonts w:ascii="宋体" w:hAnsi="宋体" w:cs="宋体" w:eastAsia="宋体" w:hint="default"/>
        </w:rPr>
        <w:t>2)</w:t>
      </w:r>
      <w:r>
        <w:rPr>
          <w:rFonts w:ascii="宋体" w:hAnsi="宋体" w:cs="宋体" w:eastAsia="宋体" w:hint="default"/>
          <w:spacing w:val="54"/>
        </w:rPr>
        <w:t> </w:t>
      </w:r>
      <w:r>
        <w:rPr/>
        <w:t>固定造价合同同时满足下列条件表明其结果能够可靠估计：合同总收入能够</w:t>
      </w:r>
      <w:r>
        <w:rPr>
          <w:spacing w:val="2"/>
        </w:rPr>
        <w:t> </w:t>
      </w:r>
      <w:r>
        <w:rPr>
          <w:spacing w:val="-2"/>
        </w:rPr>
        <w:t>可靠计量、与合同相关的经济利益很可能流入、实际发生的合同成本能够清楚地区分</w:t>
      </w:r>
      <w:r>
        <w:rPr>
          <w:spacing w:val="-94"/>
        </w:rPr>
        <w:t> </w:t>
      </w:r>
      <w:r>
        <w:rPr>
          <w:spacing w:val="-94"/>
        </w:rPr>
      </w:r>
      <w:r>
        <w:rPr>
          <w:spacing w:val="-2"/>
        </w:rPr>
        <w:t>和可靠地计量、合同完工进度和为完成合同尚需发生的成本能够可靠地计量。成本加</w:t>
      </w:r>
      <w:r>
        <w:rPr>
          <w:spacing w:val="-94"/>
        </w:rPr>
        <w:t> </w:t>
      </w:r>
      <w:r>
        <w:rPr>
          <w:spacing w:val="-94"/>
        </w:rPr>
      </w:r>
      <w:r>
        <w:rPr>
          <w:spacing w:val="-2"/>
        </w:rPr>
        <w:t>成合同同时满足下列条件表明其结果能够可靠估计：与合同相关的经济利益很可能流</w:t>
      </w:r>
      <w:r>
        <w:rPr>
          <w:spacing w:val="-93"/>
        </w:rPr>
        <w:t> </w:t>
      </w:r>
      <w:r>
        <w:rPr>
          <w:spacing w:val="-93"/>
        </w:rPr>
      </w:r>
      <w:r>
        <w:rPr/>
        <w:t>入、实际发生的合同成本能够清楚地区分和可靠地计量。</w:t>
      </w:r>
    </w:p>
    <w:p>
      <w:pPr>
        <w:pStyle w:val="BodyText"/>
        <w:spacing w:line="357" w:lineRule="auto" w:before="36"/>
        <w:ind w:right="113" w:firstLine="419"/>
        <w:jc w:val="both"/>
      </w:pPr>
      <w:r>
        <w:rPr>
          <w:rFonts w:ascii="宋体" w:hAnsi="宋体" w:cs="宋体" w:eastAsia="宋体" w:hint="default"/>
        </w:rPr>
        <w:t>3)</w:t>
      </w:r>
      <w:r>
        <w:rPr>
          <w:rFonts w:ascii="宋体" w:hAnsi="宋体" w:cs="宋体" w:eastAsia="宋体" w:hint="default"/>
          <w:spacing w:val="15"/>
        </w:rPr>
        <w:t> </w:t>
      </w:r>
      <w:r>
        <w:rPr>
          <w:spacing w:val="3"/>
        </w:rPr>
        <w:t>确定合同完工进度的方法为已经完成的合同工作量占合同预计总工作量的比</w:t>
      </w:r>
      <w:r>
        <w:rPr/>
        <w:t> 例或实际测定的完工进度。</w:t>
      </w:r>
    </w:p>
    <w:p>
      <w:pPr>
        <w:pStyle w:val="BodyText"/>
        <w:spacing w:line="357" w:lineRule="auto" w:before="34"/>
        <w:ind w:right="113" w:firstLine="479"/>
        <w:jc w:val="both"/>
      </w:pPr>
      <w:r>
        <w:rPr>
          <w:rFonts w:ascii="宋体" w:hAnsi="宋体" w:cs="宋体" w:eastAsia="宋体" w:hint="default"/>
        </w:rPr>
        <w:t>4)</w:t>
      </w:r>
      <w:r>
        <w:rPr>
          <w:rFonts w:ascii="宋体" w:hAnsi="宋体" w:cs="宋体" w:eastAsia="宋体" w:hint="default"/>
          <w:spacing w:val="54"/>
        </w:rPr>
        <w:t> </w:t>
      </w:r>
      <w:r>
        <w:rPr/>
        <w:t>资产负债表日，合同预计总成本超过合同总收入的，将预计损失确认为当期</w:t>
      </w:r>
      <w:r>
        <w:rPr>
          <w:spacing w:val="2"/>
        </w:rPr>
        <w:t> </w:t>
      </w:r>
      <w:r>
        <w:rPr>
          <w:spacing w:val="-2"/>
        </w:rPr>
        <w:t>费用。执行中的建造合同，按其差额计提存货跌价准备；待执行的亏损合同，按其差</w:t>
      </w:r>
      <w:r>
        <w:rPr>
          <w:spacing w:val="-94"/>
        </w:rPr>
        <w:t> </w:t>
      </w:r>
      <w:r>
        <w:rPr>
          <w:spacing w:val="-94"/>
        </w:rPr>
      </w:r>
      <w:r>
        <w:rPr/>
        <w:t>额确认预计负债。</w:t>
      </w:r>
    </w:p>
    <w:p>
      <w:pPr>
        <w:pStyle w:val="BodyText"/>
        <w:spacing w:line="355" w:lineRule="auto" w:before="36"/>
        <w:ind w:left="558" w:right="108" w:firstLine="60"/>
        <w:jc w:val="left"/>
      </w:pPr>
      <w:r>
        <w:rPr>
          <w:rFonts w:ascii="宋体" w:hAnsi="宋体" w:cs="宋体" w:eastAsia="宋体" w:hint="default"/>
        </w:rPr>
        <w:t>2. </w:t>
      </w:r>
      <w:r>
        <w:rPr/>
        <w:t>收入确认的具体方法 公司主要从事房地产开发销售。公司房地产销售在房产完工并验收合格，达到了</w:t>
      </w:r>
    </w:p>
    <w:p>
      <w:pPr>
        <w:pStyle w:val="BodyText"/>
        <w:spacing w:line="355" w:lineRule="auto" w:before="38"/>
        <w:ind w:right="114"/>
        <w:jc w:val="both"/>
      </w:pPr>
      <w:r>
        <w:rPr>
          <w:spacing w:val="-2"/>
        </w:rPr>
        <w:t>销售合同约定的交付条件，取得了按销售合同约定交付房产的交付证明时确认销售收</w:t>
      </w:r>
      <w:r>
        <w:rPr>
          <w:spacing w:val="-94"/>
        </w:rPr>
        <w:t> </w:t>
      </w:r>
      <w:r>
        <w:rPr>
          <w:spacing w:val="-94"/>
        </w:rPr>
      </w:r>
      <w:r>
        <w:rPr/>
        <w:t>入的实现。</w:t>
      </w:r>
    </w:p>
    <w:p>
      <w:pPr>
        <w:pStyle w:val="BodyText"/>
        <w:spacing w:line="355" w:lineRule="auto" w:before="38"/>
        <w:ind w:left="618" w:right="0"/>
        <w:jc w:val="left"/>
      </w:pPr>
      <w:r>
        <w:rPr>
          <w:rFonts w:ascii="宋体" w:hAnsi="宋体" w:cs="宋体" w:eastAsia="宋体" w:hint="default"/>
        </w:rPr>
        <w:t>(1) </w:t>
      </w:r>
      <w:r>
        <w:rPr/>
        <w:t>房地产销售收入 </w:t>
      </w:r>
      <w:r>
        <w:rPr>
          <w:spacing w:val="-2"/>
        </w:rPr>
        <w:t>出售开发产品：在开发产品已经完工并验收合格，签订了销售合同并履行了合同</w:t>
      </w:r>
    </w:p>
    <w:p>
      <w:pPr>
        <w:pStyle w:val="BodyText"/>
        <w:spacing w:line="240" w:lineRule="auto" w:before="38"/>
        <w:ind w:right="0"/>
        <w:jc w:val="both"/>
      </w:pPr>
      <w:r>
        <w:rPr/>
        <w:t>规定的义务，在同时满足开发产品所有权上的主要风险和报酬转移给买方，公司不再</w:t>
      </w:r>
    </w:p>
    <w:p>
      <w:pPr>
        <w:spacing w:after="0" w:line="240" w:lineRule="auto"/>
        <w:jc w:val="both"/>
        <w:sectPr>
          <w:footerReference w:type="default" r:id="rId64"/>
          <w:pgSz w:w="11910" w:h="16840"/>
          <w:pgMar w:footer="1195" w:header="882" w:top="1120" w:bottom="1380" w:left="1660" w:right="1160"/>
          <w:pgNumType w:start="114"/>
        </w:sectPr>
      </w:pPr>
    </w:p>
    <w:p>
      <w:pPr>
        <w:spacing w:line="240" w:lineRule="auto" w:before="5"/>
        <w:rPr>
          <w:rFonts w:ascii="宋体" w:hAnsi="宋体" w:cs="宋体" w:eastAsia="宋体" w:hint="default"/>
          <w:sz w:val="25"/>
          <w:szCs w:val="25"/>
        </w:rPr>
      </w:pPr>
    </w:p>
    <w:p>
      <w:pPr>
        <w:pStyle w:val="BodyText"/>
        <w:spacing w:line="357" w:lineRule="auto" w:before="26"/>
        <w:ind w:right="234"/>
        <w:jc w:val="both"/>
      </w:pPr>
      <w:r>
        <w:rPr>
          <w:spacing w:val="-2"/>
        </w:rPr>
        <w:t>保留通常与所有权相联系的继续管理权和对已售出的开发产品实施有效控制，收入的</w:t>
      </w:r>
      <w:r>
        <w:rPr>
          <w:spacing w:val="-94"/>
        </w:rPr>
        <w:t> </w:t>
      </w:r>
      <w:r>
        <w:rPr>
          <w:spacing w:val="-94"/>
        </w:rPr>
      </w:r>
      <w:r>
        <w:rPr>
          <w:spacing w:val="-2"/>
        </w:rPr>
        <w:t>金额能够可靠地计量，相关的经济利益很可能流入，相关的已发生或将发生的成本能</w:t>
      </w:r>
      <w:r>
        <w:rPr>
          <w:spacing w:val="-94"/>
        </w:rPr>
        <w:t> </w:t>
      </w:r>
      <w:r>
        <w:rPr>
          <w:spacing w:val="-94"/>
        </w:rPr>
      </w:r>
      <w:r>
        <w:rPr/>
        <w:t>够可靠地计量时，确认销售收入的实现。</w:t>
      </w:r>
    </w:p>
    <w:p>
      <w:pPr>
        <w:pStyle w:val="BodyText"/>
        <w:spacing w:line="357" w:lineRule="auto" w:before="36"/>
        <w:ind w:right="234" w:firstLine="479"/>
        <w:jc w:val="both"/>
      </w:pPr>
      <w:r>
        <w:rPr>
          <w:spacing w:val="-2"/>
        </w:rPr>
        <w:t>出售自用房屋：自用房屋所有权上的主要风险和报酬转移给买方，公司不再保留</w:t>
      </w:r>
      <w:r>
        <w:rPr/>
        <w:t> </w:t>
      </w:r>
      <w:r>
        <w:rPr>
          <w:spacing w:val="-2"/>
        </w:rPr>
        <w:t>通常与所有权相联系的继续管理权和对已售出的开发产品实施有效控制，收入的金额</w:t>
      </w:r>
      <w:r>
        <w:rPr>
          <w:spacing w:val="-94"/>
        </w:rPr>
        <w:t> </w:t>
      </w:r>
      <w:r>
        <w:rPr>
          <w:spacing w:val="-94"/>
        </w:rPr>
      </w:r>
      <w:r>
        <w:rPr>
          <w:spacing w:val="-2"/>
        </w:rPr>
        <w:t>能够可靠地计量，相关的经济利益很可能流入，相关的已发生或将发生的成本能够可</w:t>
      </w:r>
      <w:r>
        <w:rPr>
          <w:spacing w:val="-94"/>
        </w:rPr>
        <w:t> </w:t>
      </w:r>
      <w:r>
        <w:rPr>
          <w:spacing w:val="-94"/>
        </w:rPr>
      </w:r>
      <w:r>
        <w:rPr/>
        <w:t>靠地计量时，确认销售收入的实现。</w:t>
      </w:r>
    </w:p>
    <w:p>
      <w:pPr>
        <w:pStyle w:val="BodyText"/>
        <w:spacing w:line="357" w:lineRule="auto" w:before="34"/>
        <w:ind w:right="233" w:firstLine="479"/>
        <w:jc w:val="both"/>
      </w:pPr>
      <w:r>
        <w:rPr>
          <w:spacing w:val="-2"/>
        </w:rPr>
        <w:t>代建房屋和工程签订有不可撤销的建造合同：与代建房屋和工程相关的经济利益</w:t>
      </w:r>
      <w:r>
        <w:rPr/>
        <w:t> </w:t>
      </w:r>
      <w:r>
        <w:rPr>
          <w:spacing w:val="-2"/>
        </w:rPr>
        <w:t>能够流入企业，代建房屋和工程的完工程度能够可靠地确定，并且代建房屋和工程有</w:t>
      </w:r>
      <w:r>
        <w:rPr>
          <w:spacing w:val="-94"/>
        </w:rPr>
        <w:t> </w:t>
      </w:r>
      <w:r>
        <w:rPr>
          <w:spacing w:val="-94"/>
        </w:rPr>
      </w:r>
      <w:r>
        <w:rPr/>
        <w:t>关的成本能够可靠地计量时，采用完工百分比法确认营业收入的实现。</w:t>
      </w:r>
    </w:p>
    <w:p>
      <w:pPr>
        <w:pStyle w:val="BodyText"/>
        <w:spacing w:line="355" w:lineRule="auto" w:before="36"/>
        <w:ind w:left="618" w:right="119" w:hanging="60"/>
        <w:jc w:val="left"/>
      </w:pPr>
      <w:r>
        <w:rPr>
          <w:rFonts w:ascii="宋体" w:hAnsi="宋体" w:cs="宋体" w:eastAsia="宋体" w:hint="default"/>
        </w:rPr>
        <w:t>(2) </w:t>
      </w:r>
      <w:r>
        <w:rPr/>
        <w:t>出租物业收入 </w:t>
      </w:r>
      <w:r>
        <w:rPr>
          <w:spacing w:val="-2"/>
        </w:rPr>
        <w:t>物业出租按租赁合同、协议约定的承租日期与租金额，在相关的经济利益很可能</w:t>
      </w:r>
    </w:p>
    <w:p>
      <w:pPr>
        <w:pStyle w:val="BodyText"/>
        <w:spacing w:line="240" w:lineRule="auto" w:before="38"/>
        <w:ind w:right="119"/>
        <w:jc w:val="left"/>
      </w:pPr>
      <w:r>
        <w:rPr/>
        <w:t>流入时确认出租物业收入的实现。</w:t>
      </w:r>
    </w:p>
    <w:p>
      <w:pPr>
        <w:pStyle w:val="BodyText"/>
        <w:spacing w:line="357" w:lineRule="auto" w:before="151"/>
        <w:ind w:left="618" w:right="119" w:hanging="60"/>
        <w:jc w:val="left"/>
      </w:pPr>
      <w:r>
        <w:rPr>
          <w:rFonts w:ascii="宋体" w:hAnsi="宋体" w:cs="宋体" w:eastAsia="宋体" w:hint="default"/>
        </w:rPr>
        <w:t>(3) </w:t>
      </w:r>
      <w:r>
        <w:rPr/>
        <w:t>酒店客房、餐饮及娱乐服务收入 </w:t>
      </w:r>
      <w:r>
        <w:rPr>
          <w:spacing w:val="-2"/>
        </w:rPr>
        <w:t>本企业对外提供酒店客房、餐饮及娱乐服务的，在酒店客房、餐饮及娱乐服务已</w:t>
      </w:r>
    </w:p>
    <w:p>
      <w:pPr>
        <w:pStyle w:val="BodyText"/>
        <w:spacing w:line="357" w:lineRule="auto" w:before="34"/>
        <w:ind w:left="558" w:right="4488" w:hanging="420"/>
        <w:jc w:val="left"/>
      </w:pPr>
      <w:r>
        <w:rPr/>
        <w:t>提供且取得收取服务费的权利时确认收入。 </w:t>
      </w:r>
      <w:r>
        <w:rPr>
          <w:rFonts w:ascii="宋体" w:hAnsi="宋体" w:cs="宋体" w:eastAsia="宋体" w:hint="default"/>
        </w:rPr>
        <w:t>(4) </w:t>
      </w:r>
      <w:r>
        <w:rPr/>
        <w:t>其他业务收入</w:t>
      </w:r>
    </w:p>
    <w:p>
      <w:pPr>
        <w:pStyle w:val="BodyText"/>
        <w:spacing w:line="357" w:lineRule="auto" w:before="34"/>
        <w:ind w:right="246" w:firstLine="419"/>
        <w:jc w:val="both"/>
      </w:pPr>
      <w:r>
        <w:rPr/>
        <w:t>根据相关合同、协议的约定，与交易相关的经济利益能够流入企业，与收入相关 的成本能够可靠地计量时，确认其他业务收入的实现。</w:t>
      </w:r>
    </w:p>
    <w:p>
      <w:pPr>
        <w:spacing w:line="240" w:lineRule="auto" w:before="0"/>
        <w:rPr>
          <w:rFonts w:ascii="宋体" w:hAnsi="宋体" w:cs="宋体" w:eastAsia="宋体" w:hint="default"/>
          <w:sz w:val="31"/>
          <w:szCs w:val="31"/>
        </w:rPr>
      </w:pPr>
    </w:p>
    <w:p>
      <w:pPr>
        <w:pStyle w:val="Heading2"/>
        <w:spacing w:line="283" w:lineRule="auto" w:before="0"/>
        <w:ind w:left="138" w:right="3384"/>
        <w:jc w:val="left"/>
        <w:rPr>
          <w:b w:val="0"/>
          <w:bCs w:val="0"/>
        </w:rPr>
      </w:pPr>
      <w:r>
        <w:rPr>
          <w:rFonts w:ascii="宋体" w:hAnsi="宋体" w:cs="宋体" w:eastAsia="宋体" w:hint="default"/>
        </w:rPr>
        <w:t>31.</w:t>
      </w:r>
      <w:r>
        <w:rPr>
          <w:rFonts w:ascii="宋体" w:hAnsi="宋体" w:cs="宋体" w:eastAsia="宋体" w:hint="default"/>
          <w:spacing w:val="-59"/>
        </w:rPr>
        <w:t> </w:t>
      </w:r>
      <w:r>
        <w:rPr/>
        <w:t>政府补助</w:t>
      </w:r>
      <w:r>
        <w:rPr>
          <w:w w:val="99"/>
        </w:rPr>
        <w:t> </w:t>
      </w:r>
      <w:r>
        <w:rPr>
          <w:rFonts w:ascii="宋体" w:hAnsi="宋体" w:cs="宋体" w:eastAsia="宋体" w:hint="default"/>
        </w:rPr>
        <w:t>(1)</w:t>
      </w:r>
      <w:r>
        <w:rPr/>
        <w:t>、与资产相关的政府补助判断依据及会计处理方法</w:t>
      </w:r>
      <w:r>
        <w:rPr>
          <w:b w:val="0"/>
          <w:bCs w:val="0"/>
        </w:rPr>
      </w:r>
    </w:p>
    <w:p>
      <w:pPr>
        <w:pStyle w:val="BodyText"/>
        <w:tabs>
          <w:tab w:pos="1097" w:val="left" w:leader="none"/>
        </w:tabs>
        <w:spacing w:line="310" w:lineRule="exact" w:before="47"/>
        <w:ind w:left="618" w:right="232" w:hanging="480"/>
        <w:jc w:val="left"/>
      </w:pPr>
      <w:r>
        <w:rPr>
          <w:spacing w:val="-1"/>
        </w:rPr>
        <w:t>√适用</w:t>
        <w:tab/>
      </w:r>
      <w:r>
        <w:rPr/>
        <w:t>□不适用</w:t>
      </w:r>
      <w:r>
        <w:rPr/>
        <w:t> </w:t>
      </w:r>
      <w:r>
        <w:rPr>
          <w:spacing w:val="-2"/>
        </w:rPr>
        <w:t>公司取得的、用于购建或以其他方式形成长期资产的政府补助划分为与资产相关</w:t>
      </w:r>
    </w:p>
    <w:p>
      <w:pPr>
        <w:pStyle w:val="BodyText"/>
        <w:spacing w:line="357" w:lineRule="auto" w:before="125"/>
        <w:ind w:right="119"/>
        <w:jc w:val="left"/>
      </w:pPr>
      <w:r>
        <w:rPr/>
        <w:t>的政府补助。与资产相关的政府补助，冲减相关资产的账面价值或确认为递延收益。</w:t>
      </w:r>
      <w:r>
        <w:rPr>
          <w:spacing w:val="-56"/>
        </w:rPr>
        <w:t> </w:t>
      </w:r>
      <w:r>
        <w:rPr>
          <w:spacing w:val="-56"/>
        </w:rPr>
      </w:r>
      <w:r>
        <w:rPr/>
        <w:t>与资产相关补助确认为递延收益的，在相关资产使用寿命内按照合理、系统的方法分</w:t>
      </w:r>
      <w:r>
        <w:rPr/>
        <w:t> 期计入损益。按照名义金额计量的政府补助，直接计入当期损益。相关资产在使用寿 命结束前被出售、转让、报废或发生毁损的，将尚未分配的相关递延收益余额转入资 产处置当期的损益。</w:t>
      </w:r>
    </w:p>
    <w:p>
      <w:pPr>
        <w:spacing w:after="0" w:line="357" w:lineRule="auto"/>
        <w:jc w:val="left"/>
        <w:sectPr>
          <w:pgSz w:w="11910" w:h="16840"/>
          <w:pgMar w:header="882" w:footer="1195" w:top="1120" w:bottom="1380" w:left="1660" w:right="1040"/>
        </w:sectPr>
      </w:pPr>
    </w:p>
    <w:p>
      <w:pPr>
        <w:spacing w:line="240" w:lineRule="auto" w:before="5"/>
        <w:rPr>
          <w:rFonts w:ascii="宋体" w:hAnsi="宋体" w:cs="宋体" w:eastAsia="宋体" w:hint="default"/>
          <w:sz w:val="25"/>
          <w:szCs w:val="25"/>
        </w:rPr>
      </w:pPr>
    </w:p>
    <w:p>
      <w:pPr>
        <w:pStyle w:val="Heading2"/>
        <w:spacing w:line="240" w:lineRule="auto"/>
        <w:ind w:left="138" w:right="119"/>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BodyText"/>
        <w:tabs>
          <w:tab w:pos="1097" w:val="left" w:leader="none"/>
        </w:tabs>
        <w:spacing w:line="312" w:lineRule="exact" w:before="88"/>
        <w:ind w:left="618" w:right="232" w:hanging="480"/>
        <w:jc w:val="left"/>
      </w:pPr>
      <w:r>
        <w:rPr>
          <w:spacing w:val="-1"/>
        </w:rPr>
        <w:t>√适用</w:t>
        <w:tab/>
      </w:r>
      <w:r>
        <w:rPr/>
        <w:t>□不适用</w:t>
      </w:r>
      <w:r>
        <w:rPr/>
        <w:t> </w:t>
      </w:r>
      <w:r>
        <w:rPr>
          <w:spacing w:val="-2"/>
        </w:rPr>
        <w:t>除与资产相关的政府补助之外的政府补助划分为与收益相关的政府补助。对于同</w:t>
      </w:r>
    </w:p>
    <w:p>
      <w:pPr>
        <w:pStyle w:val="BodyText"/>
        <w:spacing w:line="357" w:lineRule="auto" w:before="123"/>
        <w:ind w:right="0"/>
        <w:jc w:val="left"/>
      </w:pPr>
      <w:r>
        <w:rPr/>
        <w:t>时包含与资产相关部分和与收益相关部分的政府补助，难以区分与资产相关或与收益 相关的，整体归类为与收益相关的政府补助。与收益相关的政府补助，用于补偿以后 </w:t>
      </w:r>
      <w:r>
        <w:rPr>
          <w:spacing w:val="-5"/>
        </w:rPr>
        <w:t>期间的相关成本费用或损失的，确认为递延收益，在确认相关成本费用或损失的期间，</w:t>
      </w:r>
      <w:r>
        <w:rPr>
          <w:spacing w:val="-98"/>
        </w:rPr>
        <w:t> </w:t>
      </w:r>
      <w:r>
        <w:rPr>
          <w:spacing w:val="-98"/>
        </w:rPr>
      </w:r>
      <w:r>
        <w:rPr/>
        <w:t>计入当期损益或冲减相关成本；用于补偿已发生的相关成本费用或损失的，直接计入</w:t>
      </w:r>
      <w:r>
        <w:rPr/>
        <w:t> 当期损益或冲减相关成本。</w:t>
      </w:r>
    </w:p>
    <w:p>
      <w:pPr>
        <w:pStyle w:val="Heading2"/>
        <w:spacing w:line="240" w:lineRule="auto" w:before="97"/>
        <w:ind w:left="138" w:right="119"/>
        <w:jc w:val="left"/>
        <w:rPr>
          <w:b w:val="0"/>
          <w:bCs w:val="0"/>
        </w:rPr>
      </w:pPr>
      <w:r>
        <w:rPr>
          <w:rFonts w:ascii="宋体" w:hAnsi="宋体" w:cs="宋体" w:eastAsia="宋体" w:hint="default"/>
        </w:rPr>
        <w:t>(3)</w:t>
      </w:r>
      <w:r>
        <w:rPr/>
        <w:t>、其他</w:t>
      </w:r>
      <w:r>
        <w:rPr>
          <w:b w:val="0"/>
          <w:bCs w:val="0"/>
        </w:rPr>
      </w:r>
    </w:p>
    <w:p>
      <w:pPr>
        <w:pStyle w:val="BodyText"/>
        <w:spacing w:line="355" w:lineRule="auto" w:before="58"/>
        <w:ind w:right="306" w:firstLine="479"/>
        <w:jc w:val="both"/>
      </w:pPr>
      <w:r>
        <w:rPr>
          <w:rFonts w:ascii="宋体" w:hAnsi="宋体" w:cs="宋体" w:eastAsia="宋体" w:hint="default"/>
        </w:rPr>
        <w:t>1</w:t>
      </w:r>
      <w:r>
        <w:rPr/>
        <w:t>）与公司日常经营活动相关的政府补助，按照经济业务实质，计入其他收益或 冲减相关成本费用。与公司日常活动无关的政府补助，计入营业外收支。</w:t>
      </w:r>
    </w:p>
    <w:p>
      <w:pPr>
        <w:pStyle w:val="BodyText"/>
        <w:spacing w:line="355" w:lineRule="auto" w:before="38"/>
        <w:ind w:left="618" w:right="119"/>
        <w:jc w:val="left"/>
      </w:pPr>
      <w:r>
        <w:rPr>
          <w:rFonts w:ascii="宋体" w:hAnsi="宋体" w:cs="宋体" w:eastAsia="宋体" w:hint="default"/>
        </w:rPr>
        <w:t>2</w:t>
      </w:r>
      <w:r>
        <w:rPr/>
        <w:t>）政策性优惠贷款贴息的会计处理方法： </w:t>
      </w:r>
      <w:r>
        <w:rPr>
          <w:spacing w:val="-2"/>
        </w:rPr>
        <w:t>财政将贴息资金拨付给贷款银行，由贷款银行以政策性优惠利率向公司提供贷款</w:t>
      </w:r>
    </w:p>
    <w:p>
      <w:pPr>
        <w:pStyle w:val="BodyText"/>
        <w:spacing w:line="355" w:lineRule="auto" w:before="38"/>
        <w:ind w:right="119"/>
        <w:jc w:val="left"/>
      </w:pPr>
      <w:r>
        <w:rPr>
          <w:spacing w:val="-2"/>
        </w:rPr>
        <w:t>的，以实际收到的借款金额作为借款的入账价值，按照借款本金和该政策性优惠利率</w:t>
      </w:r>
      <w:r>
        <w:rPr>
          <w:spacing w:val="-95"/>
        </w:rPr>
        <w:t> </w:t>
      </w:r>
      <w:r>
        <w:rPr>
          <w:spacing w:val="-95"/>
        </w:rPr>
      </w:r>
      <w:r>
        <w:rPr/>
        <w:t>计算相关借款费用。</w:t>
      </w:r>
    </w:p>
    <w:p>
      <w:pPr>
        <w:pStyle w:val="BodyText"/>
        <w:spacing w:line="240" w:lineRule="auto" w:before="39"/>
        <w:ind w:left="618" w:right="119"/>
        <w:jc w:val="left"/>
      </w:pPr>
      <w:r>
        <w:rPr/>
        <w:t>财政将贴息资金直接拨付给公司的，将对应的贴息冲减相关借款费用。</w:t>
      </w:r>
    </w:p>
    <w:p>
      <w:pPr>
        <w:spacing w:line="240" w:lineRule="auto" w:before="0"/>
        <w:rPr>
          <w:rFonts w:ascii="宋体" w:hAnsi="宋体" w:cs="宋体" w:eastAsia="宋体" w:hint="default"/>
          <w:sz w:val="24"/>
          <w:szCs w:val="24"/>
        </w:rPr>
      </w:pPr>
    </w:p>
    <w:p>
      <w:pPr>
        <w:pStyle w:val="Heading2"/>
        <w:spacing w:line="240" w:lineRule="auto" w:before="209"/>
        <w:ind w:left="138" w:right="119"/>
        <w:jc w:val="left"/>
        <w:rPr>
          <w:b w:val="0"/>
          <w:bCs w:val="0"/>
        </w:rPr>
      </w:pPr>
      <w:r>
        <w:rPr>
          <w:rFonts w:ascii="宋体" w:hAnsi="宋体" w:cs="宋体" w:eastAsia="宋体" w:hint="default"/>
        </w:rPr>
        <w:t>32.</w:t>
      </w:r>
      <w:r>
        <w:rPr>
          <w:rFonts w:ascii="宋体" w:hAnsi="宋体" w:cs="宋体" w:eastAsia="宋体" w:hint="default"/>
          <w:spacing w:val="-61"/>
        </w:rPr>
        <w:t> </w:t>
      </w:r>
      <w:r>
        <w:rPr/>
        <w:t>递延所得税资产</w:t>
      </w:r>
      <w:r>
        <w:rPr>
          <w:rFonts w:ascii="Calibri" w:hAnsi="Calibri" w:cs="Calibri" w:eastAsia="Calibri" w:hint="default"/>
        </w:rPr>
        <w:t>/</w:t>
      </w:r>
      <w:r>
        <w:rPr/>
        <w:t>递延所得税负债</w:t>
      </w:r>
      <w:r>
        <w:rPr>
          <w:b w:val="0"/>
          <w:bCs w:val="0"/>
        </w:rPr>
      </w:r>
    </w:p>
    <w:p>
      <w:pPr>
        <w:pStyle w:val="BodyText"/>
        <w:tabs>
          <w:tab w:pos="1097" w:val="left" w:leader="none"/>
        </w:tabs>
        <w:spacing w:line="312" w:lineRule="exact" w:before="27"/>
        <w:ind w:right="119"/>
        <w:jc w:val="left"/>
      </w:pPr>
      <w:r>
        <w:rPr>
          <w:spacing w:val="-1"/>
        </w:rPr>
        <w:t>√适用</w:t>
        <w:tab/>
      </w:r>
      <w:r>
        <w:rPr/>
        <w:t>□不适用</w:t>
      </w:r>
    </w:p>
    <w:p>
      <w:pPr>
        <w:pStyle w:val="BodyText"/>
        <w:spacing w:line="357" w:lineRule="auto"/>
        <w:ind w:right="0" w:firstLine="479"/>
        <w:jc w:val="left"/>
      </w:pPr>
      <w:r>
        <w:rPr>
          <w:rFonts w:ascii="宋体" w:hAnsi="宋体" w:cs="宋体" w:eastAsia="宋体" w:hint="default"/>
        </w:rPr>
        <w:t>1.</w:t>
      </w:r>
      <w:r>
        <w:rPr>
          <w:rFonts w:ascii="宋体" w:hAnsi="宋体" w:cs="宋体" w:eastAsia="宋体" w:hint="default"/>
          <w:spacing w:val="30"/>
        </w:rPr>
        <w:t> </w:t>
      </w:r>
      <w:r>
        <w:rPr/>
        <w:t>根据资产、负债的账面价值与其计税基础之间的差额（未作为资产和负债确</w:t>
      </w:r>
      <w:r>
        <w:rPr>
          <w:spacing w:val="2"/>
        </w:rPr>
        <w:t> </w:t>
      </w:r>
      <w:r>
        <w:rPr>
          <w:spacing w:val="-5"/>
        </w:rPr>
        <w:t>认的项目按照税法规定可以确定其计税基础的，该计税基础与其账面数之间的差额），</w:t>
      </w:r>
      <w:r>
        <w:rPr>
          <w:spacing w:val="-98"/>
        </w:rPr>
        <w:t> </w:t>
      </w:r>
      <w:r>
        <w:rPr>
          <w:spacing w:val="-98"/>
        </w:rPr>
      </w:r>
      <w:r>
        <w:rPr>
          <w:spacing w:val="4"/>
        </w:rPr>
        <w:t>按照预期收回该资产或清偿该负债期间的适用税率计算确认递延所得税资产或递延</w:t>
      </w:r>
      <w:r>
        <w:rPr>
          <w:spacing w:val="-105"/>
        </w:rPr>
        <w:t> </w:t>
      </w:r>
      <w:r>
        <w:rPr>
          <w:spacing w:val="-105"/>
        </w:rPr>
      </w:r>
      <w:r>
        <w:rPr/>
        <w:t>所得税负债。</w:t>
      </w:r>
    </w:p>
    <w:p>
      <w:pPr>
        <w:pStyle w:val="BodyText"/>
        <w:spacing w:line="357" w:lineRule="auto" w:before="36"/>
        <w:ind w:right="233" w:firstLine="479"/>
        <w:jc w:val="both"/>
      </w:pPr>
      <w:r>
        <w:rPr>
          <w:rFonts w:ascii="宋体" w:hAnsi="宋体" w:cs="宋体" w:eastAsia="宋体" w:hint="default"/>
        </w:rPr>
        <w:t>2.</w:t>
      </w:r>
      <w:r>
        <w:rPr>
          <w:rFonts w:ascii="宋体" w:hAnsi="宋体" w:cs="宋体" w:eastAsia="宋体" w:hint="default"/>
          <w:spacing w:val="54"/>
        </w:rPr>
        <w:t> </w:t>
      </w:r>
      <w:r>
        <w:rPr/>
        <w:t>确认递延所得税资产以很可能取得用来抵扣可抵扣暂时性差异的应纳税所得</w:t>
      </w:r>
      <w:r>
        <w:rPr>
          <w:spacing w:val="2"/>
        </w:rPr>
        <w:t> </w:t>
      </w:r>
      <w:r>
        <w:rPr>
          <w:spacing w:val="-2"/>
        </w:rPr>
        <w:t>额为限。资产负债表日，有确凿证据表明未来期间很可能获得足够的应纳税所得额用</w:t>
      </w:r>
      <w:r>
        <w:rPr>
          <w:spacing w:val="-94"/>
        </w:rPr>
        <w:t> </w:t>
      </w:r>
      <w:r>
        <w:rPr>
          <w:spacing w:val="-94"/>
        </w:rPr>
      </w:r>
      <w:r>
        <w:rPr/>
        <w:t>来抵扣可抵扣暂时性差异的，确认以前会计期间未确认的递延所得税资产。</w:t>
      </w:r>
    </w:p>
    <w:p>
      <w:pPr>
        <w:pStyle w:val="BodyText"/>
        <w:spacing w:line="357" w:lineRule="auto" w:before="34"/>
        <w:ind w:right="233" w:firstLine="479"/>
        <w:jc w:val="both"/>
      </w:pPr>
      <w:r>
        <w:rPr>
          <w:rFonts w:ascii="宋体" w:hAnsi="宋体" w:cs="宋体" w:eastAsia="宋体" w:hint="default"/>
        </w:rPr>
        <w:t>3.</w:t>
      </w:r>
      <w:r>
        <w:rPr>
          <w:rFonts w:ascii="宋体" w:hAnsi="宋体" w:cs="宋体" w:eastAsia="宋体" w:hint="default"/>
          <w:spacing w:val="54"/>
        </w:rPr>
        <w:t> </w:t>
      </w:r>
      <w:r>
        <w:rPr/>
        <w:t>资产负债表日，对递延所得税资产的账面价值进行复核，如果未来期间很可</w:t>
      </w:r>
      <w:r>
        <w:rPr>
          <w:spacing w:val="2"/>
        </w:rPr>
        <w:t> </w:t>
      </w:r>
      <w:r>
        <w:rPr>
          <w:spacing w:val="-2"/>
        </w:rPr>
        <w:t>能无法获得足够的应纳税所得额用以抵扣递延所得税资产的利益，则减记递延所得税</w:t>
      </w:r>
      <w:r>
        <w:rPr>
          <w:spacing w:val="-94"/>
        </w:rPr>
        <w:t> </w:t>
      </w:r>
      <w:r>
        <w:rPr>
          <w:spacing w:val="-94"/>
        </w:rPr>
      </w:r>
      <w:r>
        <w:rPr/>
        <w:t>资产的账面价值。在很可能获得足够的应纳税所得额时，转回减记的金额。</w:t>
      </w:r>
    </w:p>
    <w:p>
      <w:pPr>
        <w:pStyle w:val="BodyText"/>
        <w:spacing w:line="355" w:lineRule="auto" w:before="36"/>
        <w:ind w:right="233" w:firstLine="479"/>
        <w:jc w:val="both"/>
      </w:pPr>
      <w:r>
        <w:rPr>
          <w:rFonts w:ascii="宋体" w:hAnsi="宋体" w:cs="宋体" w:eastAsia="宋体" w:hint="default"/>
        </w:rPr>
        <w:t>4.</w:t>
      </w:r>
      <w:r>
        <w:rPr>
          <w:rFonts w:ascii="宋体" w:hAnsi="宋体" w:cs="宋体" w:eastAsia="宋体" w:hint="default"/>
          <w:spacing w:val="54"/>
        </w:rPr>
        <w:t> </w:t>
      </w:r>
      <w:r>
        <w:rPr/>
        <w:t>公司当期所得税和递延所得税作为所得税费用或收益计入当期损益，但不包</w:t>
      </w:r>
      <w:r>
        <w:rPr>
          <w:spacing w:val="2"/>
        </w:rPr>
        <w:t> </w:t>
      </w:r>
      <w:r>
        <w:rPr/>
        <w:t>括下列情况产生的所得税：</w:t>
      </w:r>
      <w:r>
        <w:rPr>
          <w:rFonts w:ascii="宋体" w:hAnsi="宋体" w:cs="宋体" w:eastAsia="宋体" w:hint="default"/>
        </w:rPr>
        <w:t>(1) </w:t>
      </w:r>
      <w:r>
        <w:rPr>
          <w:spacing w:val="-3"/>
        </w:rPr>
        <w:t>企业合并；</w:t>
      </w:r>
      <w:r>
        <w:rPr>
          <w:rFonts w:ascii="宋体" w:hAnsi="宋体" w:cs="宋体" w:eastAsia="宋体" w:hint="default"/>
          <w:spacing w:val="-3"/>
        </w:rPr>
        <w:t>(2)</w:t>
      </w:r>
      <w:r>
        <w:rPr>
          <w:rFonts w:ascii="宋体" w:hAnsi="宋体" w:cs="宋体" w:eastAsia="宋体" w:hint="default"/>
          <w:spacing w:val="-24"/>
        </w:rPr>
        <w:t> </w:t>
      </w:r>
      <w:r>
        <w:rPr/>
        <w:t>直接在所有者权益中确认的交易或者</w:t>
      </w:r>
    </w:p>
    <w:p>
      <w:pPr>
        <w:spacing w:after="0" w:line="355" w:lineRule="auto"/>
        <w:jc w:val="both"/>
        <w:sectPr>
          <w:pgSz w:w="11910" w:h="16840"/>
          <w:pgMar w:header="882" w:footer="1195" w:top="1120" w:bottom="1380" w:left="1660" w:right="1040"/>
        </w:sectPr>
      </w:pPr>
    </w:p>
    <w:p>
      <w:pPr>
        <w:spacing w:line="240" w:lineRule="auto" w:before="5"/>
        <w:rPr>
          <w:rFonts w:ascii="宋体" w:hAnsi="宋体" w:cs="宋体" w:eastAsia="宋体" w:hint="default"/>
          <w:sz w:val="25"/>
          <w:szCs w:val="25"/>
        </w:rPr>
      </w:pPr>
    </w:p>
    <w:p>
      <w:pPr>
        <w:pStyle w:val="BodyText"/>
        <w:spacing w:line="240" w:lineRule="auto" w:before="26"/>
        <w:ind w:right="119"/>
        <w:jc w:val="left"/>
      </w:pPr>
      <w:r>
        <w:rPr/>
        <w:t>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283" w:lineRule="auto" w:before="207"/>
        <w:ind w:left="138" w:right="5794"/>
        <w:jc w:val="left"/>
        <w:rPr>
          <w:b w:val="0"/>
          <w:bCs w:val="0"/>
        </w:rPr>
      </w:pPr>
      <w:r>
        <w:rPr>
          <w:rFonts w:ascii="宋体" w:hAnsi="宋体" w:cs="宋体" w:eastAsia="宋体" w:hint="default"/>
        </w:rPr>
        <w:t>33.</w:t>
      </w:r>
      <w:r>
        <w:rPr>
          <w:rFonts w:ascii="宋体" w:hAnsi="宋体" w:cs="宋体" w:eastAsia="宋体" w:hint="default"/>
          <w:spacing w:val="-59"/>
        </w:rPr>
        <w:t> </w:t>
      </w:r>
      <w:r>
        <w:rPr/>
        <w:t>租赁</w:t>
      </w:r>
      <w:r>
        <w:rPr>
          <w:spacing w:val="2"/>
          <w:w w:val="99"/>
        </w:rPr>
        <w:t> </w:t>
      </w:r>
      <w:r>
        <w:rPr>
          <w:rFonts w:ascii="宋体" w:hAnsi="宋体" w:cs="宋体" w:eastAsia="宋体" w:hint="default"/>
        </w:rPr>
        <w:t>(1)</w:t>
      </w:r>
      <w:r>
        <w:rPr/>
        <w:t>、经营租赁的会计处理方法</w:t>
      </w:r>
      <w:r>
        <w:rPr>
          <w:b w:val="0"/>
          <w:bCs w:val="0"/>
        </w:rPr>
      </w:r>
    </w:p>
    <w:p>
      <w:pPr>
        <w:pStyle w:val="BodyText"/>
        <w:tabs>
          <w:tab w:pos="1097" w:val="left" w:leader="none"/>
        </w:tabs>
        <w:spacing w:line="310" w:lineRule="exact" w:before="47"/>
        <w:ind w:left="618" w:right="233" w:hanging="480"/>
        <w:jc w:val="left"/>
      </w:pPr>
      <w:r>
        <w:rPr>
          <w:spacing w:val="-1"/>
        </w:rPr>
        <w:t>√适用</w:t>
        <w:tab/>
      </w:r>
      <w:r>
        <w:rPr/>
        <w:t>□不适用</w:t>
      </w:r>
      <w:r>
        <w:rPr/>
        <w:t> </w:t>
      </w:r>
      <w:r>
        <w:rPr>
          <w:spacing w:val="-2"/>
        </w:rPr>
        <w:t>公司为承租人时，在租赁期内各个期间按照直线法将租金计入相关资产成本或确</w:t>
      </w:r>
    </w:p>
    <w:p>
      <w:pPr>
        <w:pStyle w:val="BodyText"/>
        <w:spacing w:line="355" w:lineRule="auto" w:before="125"/>
        <w:ind w:right="119"/>
        <w:jc w:val="left"/>
      </w:pPr>
      <w:r>
        <w:rPr>
          <w:spacing w:val="-2"/>
        </w:rPr>
        <w:t>认为当期损益，发生的初始直接费用，直接计入当期损益。或有租金在实际发生时计</w:t>
      </w:r>
      <w:r>
        <w:rPr>
          <w:spacing w:val="-94"/>
        </w:rPr>
        <w:t> </w:t>
      </w:r>
      <w:r>
        <w:rPr>
          <w:spacing w:val="-94"/>
        </w:rPr>
      </w:r>
      <w:r>
        <w:rPr/>
        <w:t>入当期损益。</w:t>
      </w:r>
    </w:p>
    <w:p>
      <w:pPr>
        <w:pStyle w:val="BodyText"/>
        <w:spacing w:line="357" w:lineRule="auto" w:before="38"/>
        <w:ind w:right="0" w:firstLine="479"/>
        <w:jc w:val="left"/>
      </w:pPr>
      <w:r>
        <w:rPr/>
        <w:t>公司为出租人时，在租赁期内各个期间按照直线法将租金确认为当期损益，发生 </w:t>
      </w:r>
      <w:r>
        <w:rPr>
          <w:spacing w:val="-5"/>
        </w:rPr>
        <w:t>的初始直接费用，除金额较大的予以资本化并分期计入损益外，均直接计入当期损益。</w:t>
      </w:r>
      <w:r>
        <w:rPr>
          <w:spacing w:val="-98"/>
        </w:rPr>
        <w:t> </w:t>
      </w:r>
      <w:r>
        <w:rPr>
          <w:spacing w:val="-98"/>
        </w:rPr>
      </w:r>
      <w:r>
        <w:rPr/>
        <w:t>或有租金在实际发生时计入当期损益。</w:t>
      </w:r>
    </w:p>
    <w:p>
      <w:pPr>
        <w:pStyle w:val="Heading2"/>
        <w:spacing w:line="240" w:lineRule="auto" w:before="96"/>
        <w:ind w:left="138" w:right="119"/>
        <w:jc w:val="left"/>
        <w:rPr>
          <w:b w:val="0"/>
          <w:bCs w:val="0"/>
        </w:rPr>
      </w:pPr>
      <w:r>
        <w:rPr>
          <w:rFonts w:ascii="宋体" w:hAnsi="宋体" w:cs="宋体" w:eastAsia="宋体" w:hint="default"/>
        </w:rPr>
        <w:t>(2)</w:t>
      </w:r>
      <w:r>
        <w:rPr/>
        <w:t>、融资租赁的会计处理方法</w:t>
      </w:r>
      <w:r>
        <w:rPr>
          <w:b w:val="0"/>
          <w:bCs w:val="0"/>
        </w:rPr>
      </w:r>
    </w:p>
    <w:p>
      <w:pPr>
        <w:pStyle w:val="BodyText"/>
        <w:tabs>
          <w:tab w:pos="1097" w:val="left" w:leader="none"/>
        </w:tabs>
        <w:spacing w:line="312" w:lineRule="exact" w:before="86"/>
        <w:ind w:left="618" w:right="234" w:hanging="480"/>
        <w:jc w:val="left"/>
      </w:pPr>
      <w:r>
        <w:rPr>
          <w:spacing w:val="-1"/>
        </w:rPr>
        <w:t>√适用</w:t>
        <w:tab/>
      </w:r>
      <w:r>
        <w:rPr/>
        <w:t>□不适用</w:t>
      </w:r>
      <w:r>
        <w:rPr/>
        <w:t> </w:t>
      </w:r>
      <w:r>
        <w:rPr>
          <w:spacing w:val="-2"/>
        </w:rPr>
        <w:t>公司为承租人时，在租赁期开始日，公司以租赁开始日租赁资产公允价值与最低</w:t>
      </w:r>
    </w:p>
    <w:p>
      <w:pPr>
        <w:pStyle w:val="BodyText"/>
        <w:spacing w:line="357" w:lineRule="auto" w:before="123"/>
        <w:ind w:right="233"/>
        <w:jc w:val="both"/>
      </w:pPr>
      <w:r>
        <w:rPr>
          <w:spacing w:val="-2"/>
        </w:rPr>
        <w:t>租赁付款额现值中两者较低者作为租入资产的入账价值，将最低租赁付款额作为长期</w:t>
      </w:r>
      <w:r>
        <w:rPr>
          <w:spacing w:val="-94"/>
        </w:rPr>
        <w:t> </w:t>
      </w:r>
      <w:r>
        <w:rPr>
          <w:spacing w:val="-94"/>
        </w:rPr>
      </w:r>
      <w:r>
        <w:rPr>
          <w:spacing w:val="-2"/>
        </w:rPr>
        <w:t>应付款的入账价值，其差额为未确认融资费用，发生的初始直接费用，计入租赁资产</w:t>
      </w:r>
      <w:r>
        <w:rPr>
          <w:spacing w:val="-95"/>
        </w:rPr>
        <w:t> </w:t>
      </w:r>
      <w:r>
        <w:rPr>
          <w:spacing w:val="-95"/>
        </w:rPr>
      </w:r>
      <w:r>
        <w:rPr/>
        <w:t>价值。在租赁期各个期间，采用实际利率法计算确认当期的融资费用。</w:t>
      </w:r>
    </w:p>
    <w:p>
      <w:pPr>
        <w:pStyle w:val="BodyText"/>
        <w:spacing w:line="357" w:lineRule="auto" w:before="34"/>
        <w:ind w:right="234" w:firstLine="479"/>
        <w:jc w:val="both"/>
      </w:pPr>
      <w:r>
        <w:rPr>
          <w:spacing w:val="-2"/>
        </w:rPr>
        <w:t>公司为出租人时，在租赁期开始日，公司以租赁开始日最低租赁收款额与初始直</w:t>
      </w:r>
      <w:r>
        <w:rPr/>
        <w:t> </w:t>
      </w:r>
      <w:r>
        <w:rPr>
          <w:spacing w:val="-2"/>
        </w:rPr>
        <w:t>接费用之和作为应收融资租赁款的入账价值，同时记录未担保余值；将最低租赁收款</w:t>
      </w:r>
      <w:r>
        <w:rPr>
          <w:spacing w:val="-94"/>
        </w:rPr>
        <w:t> </w:t>
      </w:r>
      <w:r>
        <w:rPr>
          <w:spacing w:val="-94"/>
        </w:rPr>
      </w:r>
      <w:r>
        <w:rPr>
          <w:spacing w:val="-2"/>
        </w:rPr>
        <w:t>额、初始直接费用及未担保余值之和与其现值之和的差额确认为未实现融资收益。在</w:t>
      </w:r>
      <w:r>
        <w:rPr>
          <w:spacing w:val="-94"/>
        </w:rPr>
        <w:t> </w:t>
      </w:r>
      <w:r>
        <w:rPr>
          <w:spacing w:val="-94"/>
        </w:rPr>
      </w:r>
      <w:r>
        <w:rPr/>
        <w:t>租赁期各个期间，采用实际利率法计算确认当期的融资收入。</w:t>
      </w:r>
    </w:p>
    <w:p>
      <w:pPr>
        <w:spacing w:line="240" w:lineRule="auto" w:before="1"/>
        <w:rPr>
          <w:rFonts w:ascii="宋体" w:hAnsi="宋体" w:cs="宋体" w:eastAsia="宋体" w:hint="default"/>
          <w:sz w:val="31"/>
          <w:szCs w:val="31"/>
        </w:rPr>
      </w:pPr>
    </w:p>
    <w:p>
      <w:pPr>
        <w:pStyle w:val="Heading2"/>
        <w:spacing w:line="240" w:lineRule="auto" w:before="0"/>
        <w:ind w:left="138" w:right="119"/>
        <w:jc w:val="left"/>
        <w:rPr>
          <w:b w:val="0"/>
          <w:bCs w:val="0"/>
        </w:rPr>
      </w:pPr>
      <w:r>
        <w:rPr>
          <w:rFonts w:ascii="宋体" w:hAnsi="宋体" w:cs="宋体" w:eastAsia="宋体" w:hint="default"/>
        </w:rPr>
        <w:t>34.</w:t>
      </w:r>
      <w:r>
        <w:rPr>
          <w:rFonts w:ascii="宋体" w:hAnsi="宋体" w:cs="宋体" w:eastAsia="宋体" w:hint="default"/>
          <w:spacing w:val="-60"/>
        </w:rPr>
        <w:t> </w:t>
      </w:r>
      <w:r>
        <w:rPr/>
        <w:t>分部报告</w:t>
      </w:r>
      <w:r>
        <w:rPr>
          <w:b w:val="0"/>
          <w:bCs w:val="0"/>
        </w:rPr>
      </w:r>
    </w:p>
    <w:p>
      <w:pPr>
        <w:pStyle w:val="BodyText"/>
        <w:spacing w:line="355" w:lineRule="auto" w:before="58"/>
        <w:ind w:right="119" w:firstLine="479"/>
        <w:jc w:val="left"/>
      </w:pPr>
      <w:r>
        <w:rPr>
          <w:spacing w:val="-2"/>
        </w:rPr>
        <w:t>公司以内部组织结构、管理要求、内部报告制度等为依据确定经营分部。公司的</w:t>
      </w:r>
      <w:r>
        <w:rPr/>
        <w:t> 经营分部是指同时满足下列条件的组成部分：</w:t>
      </w:r>
    </w:p>
    <w:p>
      <w:pPr>
        <w:pStyle w:val="BodyText"/>
        <w:spacing w:line="240" w:lineRule="auto" w:before="38"/>
        <w:ind w:left="618" w:right="119"/>
        <w:jc w:val="left"/>
      </w:pPr>
      <w:r>
        <w:rPr>
          <w:rFonts w:ascii="宋体" w:hAnsi="宋体" w:cs="宋体" w:eastAsia="宋体" w:hint="default"/>
        </w:rPr>
        <w:t>1. </w:t>
      </w:r>
      <w:r>
        <w:rPr/>
        <w:t>该组成部分能够在日常活动中产生收入、发生费用；</w:t>
      </w:r>
    </w:p>
    <w:p>
      <w:pPr>
        <w:pStyle w:val="BodyText"/>
        <w:spacing w:line="357" w:lineRule="auto" w:before="151"/>
        <w:ind w:right="289" w:firstLine="479"/>
        <w:jc w:val="left"/>
      </w:pPr>
      <w:r>
        <w:rPr>
          <w:rFonts w:ascii="宋体" w:hAnsi="宋体" w:cs="宋体" w:eastAsia="宋体" w:hint="default"/>
        </w:rPr>
        <w:t>2. </w:t>
      </w:r>
      <w:r>
        <w:rPr/>
        <w:t>管理层能够定期评价该组成部分的经营成果，以决定向其配置资源、评价其 业绩；</w:t>
      </w:r>
    </w:p>
    <w:p>
      <w:pPr>
        <w:pStyle w:val="BodyText"/>
        <w:spacing w:line="357" w:lineRule="auto" w:before="34"/>
        <w:ind w:right="289" w:firstLine="479"/>
        <w:jc w:val="left"/>
      </w:pPr>
      <w:r>
        <w:rPr>
          <w:rFonts w:ascii="宋体" w:hAnsi="宋体" w:cs="宋体" w:eastAsia="宋体" w:hint="default"/>
        </w:rPr>
        <w:t>3. </w:t>
      </w:r>
      <w:r>
        <w:rPr/>
        <w:t>能够通过分析取得该组成部分的财务状况、经营成果和现金流量等有关会计 信息。</w:t>
      </w:r>
    </w:p>
    <w:p>
      <w:pPr>
        <w:spacing w:after="0" w:line="357" w:lineRule="auto"/>
        <w:jc w:val="left"/>
        <w:sectPr>
          <w:pgSz w:w="11910" w:h="16840"/>
          <w:pgMar w:header="882" w:footer="1195" w:top="1120" w:bottom="1380" w:left="1660" w:right="1040"/>
        </w:sectPr>
      </w:pPr>
    </w:p>
    <w:p>
      <w:pPr>
        <w:spacing w:line="240" w:lineRule="auto" w:before="5"/>
        <w:rPr>
          <w:rFonts w:ascii="宋体" w:hAnsi="宋体" w:cs="宋体" w:eastAsia="宋体" w:hint="default"/>
          <w:sz w:val="25"/>
          <w:szCs w:val="25"/>
        </w:rPr>
      </w:pPr>
    </w:p>
    <w:p>
      <w:pPr>
        <w:pStyle w:val="Heading2"/>
        <w:spacing w:line="240" w:lineRule="auto"/>
        <w:ind w:right="233"/>
        <w:jc w:val="left"/>
        <w:rPr>
          <w:b w:val="0"/>
          <w:bCs w:val="0"/>
        </w:rPr>
      </w:pPr>
      <w:r>
        <w:rPr>
          <w:rFonts w:ascii="宋体" w:hAnsi="宋体" w:cs="宋体" w:eastAsia="宋体" w:hint="default"/>
        </w:rPr>
        <w:t>35.</w:t>
      </w:r>
      <w:r>
        <w:rPr>
          <w:rFonts w:ascii="宋体" w:hAnsi="宋体" w:cs="宋体" w:eastAsia="宋体" w:hint="default"/>
          <w:spacing w:val="-61"/>
        </w:rPr>
        <w:t> </w:t>
      </w:r>
      <w:r>
        <w:rPr/>
        <w:t>其他重要的会计政策和会计估计</w:t>
      </w:r>
      <w:r>
        <w:rPr>
          <w:b w:val="0"/>
          <w:bCs w:val="0"/>
        </w:rPr>
      </w:r>
    </w:p>
    <w:p>
      <w:pPr>
        <w:pStyle w:val="BodyText"/>
        <w:tabs>
          <w:tab w:pos="1177" w:val="left" w:leader="none"/>
        </w:tabs>
        <w:spacing w:line="313" w:lineRule="exact" w:before="58"/>
        <w:ind w:left="218" w:right="233"/>
        <w:jc w:val="left"/>
      </w:pPr>
      <w:r>
        <w:rPr>
          <w:spacing w:val="-1"/>
        </w:rPr>
        <w:t>√适用</w:t>
        <w:tab/>
      </w:r>
      <w:r>
        <w:rPr/>
        <w:t>□不适用</w:t>
      </w:r>
    </w:p>
    <w:p>
      <w:pPr>
        <w:pStyle w:val="BodyText"/>
        <w:spacing w:line="355" w:lineRule="auto"/>
        <w:ind w:left="698" w:right="233"/>
        <w:jc w:val="left"/>
      </w:pPr>
      <w:r>
        <w:rPr>
          <w:rFonts w:ascii="宋体" w:hAnsi="宋体" w:cs="宋体" w:eastAsia="宋体" w:hint="default"/>
        </w:rPr>
        <w:t>1. </w:t>
      </w:r>
      <w:r>
        <w:rPr/>
        <w:t>终止经营的确认标准、会计处理方法 </w:t>
      </w:r>
      <w:r>
        <w:rPr>
          <w:spacing w:val="-2"/>
        </w:rPr>
        <w:t>满足下列条件之一的、已经被处置或划分为持有待售类别且能够单独区分的组成</w:t>
      </w:r>
    </w:p>
    <w:p>
      <w:pPr>
        <w:pStyle w:val="BodyText"/>
        <w:spacing w:line="240" w:lineRule="auto" w:before="38"/>
        <w:ind w:left="218" w:right="233"/>
        <w:jc w:val="left"/>
      </w:pPr>
      <w:r>
        <w:rPr/>
        <w:t>部分确认为终止经营：</w:t>
      </w:r>
    </w:p>
    <w:p>
      <w:pPr>
        <w:pStyle w:val="BodyText"/>
        <w:spacing w:line="240" w:lineRule="auto" w:before="151"/>
        <w:ind w:left="698" w:right="233"/>
        <w:jc w:val="left"/>
      </w:pPr>
      <w:r>
        <w:rPr>
          <w:rFonts w:ascii="宋体" w:hAnsi="宋体" w:cs="宋体" w:eastAsia="宋体" w:hint="default"/>
        </w:rPr>
        <w:t>(1)</w:t>
      </w:r>
      <w:r>
        <w:rPr>
          <w:rFonts w:ascii="宋体" w:hAnsi="宋体" w:cs="宋体" w:eastAsia="宋体" w:hint="default"/>
          <w:spacing w:val="1"/>
        </w:rPr>
        <w:t> </w:t>
      </w:r>
      <w:r>
        <w:rPr/>
        <w:t>该组成部分代表一项独立的主要业务或一个单独的主要经营地区；</w:t>
      </w:r>
    </w:p>
    <w:p>
      <w:pPr>
        <w:pStyle w:val="BodyText"/>
        <w:spacing w:line="355" w:lineRule="auto" w:before="154"/>
        <w:ind w:left="218" w:right="409" w:firstLine="479"/>
        <w:jc w:val="left"/>
      </w:pPr>
      <w:r>
        <w:rPr>
          <w:rFonts w:ascii="宋体" w:hAnsi="宋体" w:cs="宋体" w:eastAsia="宋体" w:hint="default"/>
        </w:rPr>
        <w:t>(2) </w:t>
      </w:r>
      <w:r>
        <w:rPr/>
        <w:t>该组成部分是拟对一项独立的主要业务或一个单独的主要经营地区进行处 置的一项相关联计划的一部分；</w:t>
      </w:r>
    </w:p>
    <w:p>
      <w:pPr>
        <w:pStyle w:val="BodyText"/>
        <w:spacing w:line="357" w:lineRule="auto" w:before="39"/>
        <w:ind w:left="698" w:right="648"/>
        <w:jc w:val="left"/>
      </w:pPr>
      <w:r>
        <w:rPr>
          <w:rFonts w:ascii="宋体" w:hAnsi="宋体" w:cs="宋体" w:eastAsia="宋体" w:hint="default"/>
        </w:rPr>
        <w:t>(3) </w:t>
      </w:r>
      <w:r>
        <w:rPr/>
        <w:t>该组成部分是专为转售而取得的子公司。 本公司终止经营的情况见本财务报表附注其他重要事项之终止经营的说明。 </w:t>
      </w:r>
      <w:r>
        <w:rPr>
          <w:rFonts w:ascii="宋体" w:hAnsi="宋体" w:cs="宋体" w:eastAsia="宋体" w:hint="default"/>
        </w:rPr>
        <w:t>2. </w:t>
      </w:r>
      <w:r>
        <w:rPr/>
        <w:t>与回购公司股份相关的会计处理方法</w:t>
      </w:r>
    </w:p>
    <w:p>
      <w:pPr>
        <w:pStyle w:val="BodyText"/>
        <w:spacing w:line="357" w:lineRule="auto" w:before="36"/>
        <w:ind w:left="218" w:right="231" w:firstLine="419"/>
        <w:jc w:val="both"/>
      </w:pPr>
      <w:r>
        <w:rPr/>
        <w:t>因减少注册资本或奖励职工等原因收购本公司股份的，按实际支付的金额作为库 </w:t>
      </w:r>
      <w:r>
        <w:rPr>
          <w:spacing w:val="-2"/>
        </w:rPr>
        <w:t>存股处理，同时进行备查登记。如果将回购的股份注销，则将按注销股票面值和注销</w:t>
      </w:r>
      <w:r>
        <w:rPr>
          <w:spacing w:val="-94"/>
        </w:rPr>
        <w:t> </w:t>
      </w:r>
      <w:r>
        <w:rPr>
          <w:spacing w:val="-94"/>
        </w:rPr>
      </w:r>
      <w:r>
        <w:rPr>
          <w:spacing w:val="-2"/>
        </w:rPr>
        <w:t>股数计算的股票面值总额与实际回购所支付的金额之间的差额冲减资本公积，资本公</w:t>
      </w:r>
      <w:r>
        <w:rPr>
          <w:spacing w:val="-94"/>
        </w:rPr>
        <w:t> </w:t>
      </w:r>
      <w:r>
        <w:rPr>
          <w:spacing w:val="-94"/>
        </w:rPr>
      </w:r>
      <w:r>
        <w:rPr>
          <w:spacing w:val="-2"/>
        </w:rPr>
        <w:t>积不足冲减的，冲减留存收益；如果将回购的股份奖励给本公司职工属于以权益结算</w:t>
      </w:r>
      <w:r>
        <w:rPr>
          <w:spacing w:val="-94"/>
        </w:rPr>
        <w:t> </w:t>
      </w:r>
      <w:r>
        <w:rPr>
          <w:spacing w:val="-94"/>
        </w:rPr>
      </w:r>
      <w:r>
        <w:rPr>
          <w:spacing w:val="-2"/>
        </w:rPr>
        <w:t>的股份支付，于职工行权购买本公司股份收到价款时，转销交付职工的库存股成本和</w:t>
      </w:r>
      <w:r>
        <w:rPr>
          <w:spacing w:val="-94"/>
        </w:rPr>
        <w:t> </w:t>
      </w:r>
      <w:r>
        <w:rPr>
          <w:spacing w:val="-94"/>
        </w:rPr>
      </w:r>
      <w:r>
        <w:rPr>
          <w:spacing w:val="-2"/>
        </w:rPr>
        <w:t>等待期内资本公积（其他资本公积）累计金额，同时，按照其差额调整资本公积（股</w:t>
      </w:r>
      <w:r>
        <w:rPr>
          <w:spacing w:val="-96"/>
        </w:rPr>
        <w:t> </w:t>
      </w:r>
      <w:r>
        <w:rPr>
          <w:spacing w:val="-96"/>
        </w:rPr>
      </w:r>
      <w:r>
        <w:rPr>
          <w:spacing w:val="-24"/>
        </w:rPr>
        <w:t>本溢价）。</w:t>
      </w:r>
    </w:p>
    <w:p>
      <w:pPr>
        <w:spacing w:line="240" w:lineRule="auto" w:before="0"/>
        <w:rPr>
          <w:rFonts w:ascii="宋体" w:hAnsi="宋体" w:cs="宋体" w:eastAsia="宋体" w:hint="default"/>
          <w:sz w:val="31"/>
          <w:szCs w:val="31"/>
        </w:rPr>
      </w:pPr>
    </w:p>
    <w:p>
      <w:pPr>
        <w:pStyle w:val="Heading2"/>
        <w:spacing w:line="283" w:lineRule="auto" w:before="0"/>
        <w:ind w:right="5252"/>
        <w:jc w:val="left"/>
        <w:rPr>
          <w:b w:val="0"/>
          <w:bCs w:val="0"/>
        </w:rPr>
      </w:pPr>
      <w:r>
        <w:rPr>
          <w:rFonts w:ascii="宋体" w:hAnsi="宋体" w:cs="宋体" w:eastAsia="宋体" w:hint="default"/>
        </w:rPr>
        <w:t>36.</w:t>
      </w:r>
      <w:r>
        <w:rPr>
          <w:rFonts w:ascii="宋体" w:hAnsi="宋体" w:cs="宋体" w:eastAsia="宋体" w:hint="default"/>
          <w:spacing w:val="-61"/>
        </w:rPr>
        <w:t> </w:t>
      </w:r>
      <w:r>
        <w:rPr/>
        <w:t>重要会计政策和会计估计的变更</w:t>
      </w:r>
      <w:r>
        <w:rPr>
          <w:w w:val="99"/>
        </w:rPr>
        <w:t> </w:t>
      </w:r>
      <w:r>
        <w:rPr>
          <w:rFonts w:ascii="宋体" w:hAnsi="宋体" w:cs="宋体" w:eastAsia="宋体" w:hint="default"/>
        </w:rPr>
        <w:t>(1)</w:t>
      </w:r>
      <w:r>
        <w:rPr/>
        <w:t>、重要会计政策变更</w:t>
      </w:r>
      <w:r>
        <w:rPr>
          <w:b w:val="0"/>
          <w:bCs w:val="0"/>
        </w:rPr>
      </w:r>
    </w:p>
    <w:p>
      <w:pPr>
        <w:pStyle w:val="BodyText"/>
        <w:spacing w:line="240" w:lineRule="auto" w:before="12"/>
        <w:ind w:left="218" w:right="233"/>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57"/>
        <w:gridCol w:w="3053"/>
        <w:gridCol w:w="3039"/>
      </w:tblGrid>
      <w:tr>
        <w:trPr>
          <w:trHeight w:val="634"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会计政策变更的内容和原</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3"/>
              <w:jc w:val="center"/>
              <w:rPr>
                <w:rFonts w:ascii="宋体" w:hAnsi="宋体" w:cs="宋体" w:eastAsia="宋体" w:hint="default"/>
                <w:sz w:val="24"/>
                <w:szCs w:val="24"/>
              </w:rPr>
            </w:pPr>
            <w:r>
              <w:rPr>
                <w:rFonts w:ascii="宋体" w:hAnsi="宋体" w:cs="宋体" w:eastAsia="宋体" w:hint="default"/>
                <w:sz w:val="24"/>
                <w:szCs w:val="24"/>
              </w:rPr>
              <w:t>审批程序</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备注</w:t>
            </w:r>
            <w:r>
              <w:rPr>
                <w:rFonts w:ascii="宋体" w:hAnsi="宋体" w:cs="宋体" w:eastAsia="宋体" w:hint="default"/>
                <w:sz w:val="24"/>
                <w:szCs w:val="24"/>
              </w:rPr>
              <w:t>(</w:t>
            </w:r>
            <w:r>
              <w:rPr>
                <w:rFonts w:ascii="宋体" w:hAnsi="宋体" w:cs="宋体" w:eastAsia="宋体" w:hint="default"/>
                <w:sz w:val="24"/>
                <w:szCs w:val="24"/>
              </w:rPr>
              <w:t>受重要影响的报表项</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目名称和金额</w:t>
            </w:r>
            <w:r>
              <w:rPr>
                <w:rFonts w:ascii="宋体" w:hAnsi="宋体" w:cs="宋体" w:eastAsia="宋体" w:hint="default"/>
                <w:sz w:val="24"/>
                <w:szCs w:val="24"/>
              </w:rPr>
              <w:t>)</w:t>
            </w:r>
          </w:p>
        </w:tc>
      </w:tr>
      <w:tr>
        <w:trPr>
          <w:trHeight w:val="319"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1"/>
                <w:sz w:val="24"/>
                <w:szCs w:val="24"/>
              </w:rPr>
              <w:t> </w:t>
            </w:r>
            <w:r>
              <w:rPr>
                <w:rFonts w:ascii="宋体" w:hAnsi="宋体" w:cs="宋体" w:eastAsia="宋体" w:hint="default"/>
                <w:sz w:val="24"/>
                <w:szCs w:val="24"/>
              </w:rPr>
              <w:t>1</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1</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1</w:t>
            </w:r>
          </w:p>
        </w:tc>
      </w:tr>
      <w:tr>
        <w:trPr>
          <w:trHeight w:val="322"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1"/>
                <w:sz w:val="24"/>
                <w:szCs w:val="24"/>
              </w:rPr>
              <w:t> </w:t>
            </w:r>
            <w:r>
              <w:rPr>
                <w:rFonts w:ascii="宋体" w:hAnsi="宋体" w:cs="宋体" w:eastAsia="宋体" w:hint="default"/>
                <w:sz w:val="24"/>
                <w:szCs w:val="24"/>
              </w:rPr>
              <w:t>2</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2</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2</w:t>
            </w:r>
          </w:p>
        </w:tc>
      </w:tr>
    </w:tbl>
    <w:p>
      <w:pPr>
        <w:spacing w:line="240" w:lineRule="auto" w:before="10"/>
        <w:rPr>
          <w:rFonts w:ascii="宋体" w:hAnsi="宋体" w:cs="宋体" w:eastAsia="宋体" w:hint="default"/>
          <w:sz w:val="18"/>
          <w:szCs w:val="18"/>
        </w:rPr>
      </w:pPr>
    </w:p>
    <w:p>
      <w:pPr>
        <w:pStyle w:val="BodyText"/>
        <w:spacing w:line="240" w:lineRule="auto" w:before="26"/>
        <w:ind w:left="3" w:right="230"/>
        <w:jc w:val="right"/>
      </w:pPr>
      <w:r>
        <w:rPr/>
        <w:t>注</w:t>
      </w:r>
      <w:r>
        <w:rPr>
          <w:spacing w:val="-60"/>
        </w:rPr>
        <w:t> </w:t>
      </w:r>
      <w:r>
        <w:rPr>
          <w:rFonts w:ascii="宋体" w:hAnsi="宋体" w:cs="宋体" w:eastAsia="宋体" w:hint="default"/>
          <w:spacing w:val="-9"/>
        </w:rPr>
        <w:t>1</w:t>
      </w:r>
      <w:r>
        <w:rPr>
          <w:spacing w:val="-9"/>
        </w:rPr>
        <w:t>：本公司自</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spacing w:val="-3"/>
        </w:rPr>
        <w:t>日起执行财政部制定的《企业会计准则第</w:t>
      </w:r>
      <w:r>
        <w:rPr>
          <w:spacing w:val="-59"/>
        </w:rPr>
        <w:t> </w:t>
      </w:r>
      <w:r>
        <w:rPr>
          <w:rFonts w:ascii="宋体" w:hAnsi="宋体" w:cs="宋体" w:eastAsia="宋体" w:hint="default"/>
        </w:rPr>
        <w:t>42</w:t>
      </w:r>
      <w:r>
        <w:rPr>
          <w:rFonts w:ascii="宋体" w:hAnsi="宋体" w:cs="宋体" w:eastAsia="宋体" w:hint="default"/>
          <w:spacing w:val="-60"/>
        </w:rPr>
        <w:t> </w:t>
      </w:r>
      <w:r>
        <w:rPr/>
        <w:t>号—</w:t>
      </w:r>
    </w:p>
    <w:p>
      <w:pPr>
        <w:pStyle w:val="BodyText"/>
        <w:spacing w:line="240" w:lineRule="auto" w:before="154"/>
        <w:ind w:left="3" w:right="230"/>
        <w:jc w:val="right"/>
      </w:pPr>
      <w:r>
        <w:rPr>
          <w:spacing w:val="-3"/>
        </w:rPr>
        <w:t>—持有待售的非流动资产、处置组和终止经营》，自</w:t>
      </w:r>
      <w:r>
        <w:rPr>
          <w:spacing w:val="-56"/>
        </w:rPr>
        <w:t> </w:t>
      </w:r>
      <w:r>
        <w:rPr>
          <w:rFonts w:ascii="宋体" w:hAnsi="宋体" w:cs="宋体" w:eastAsia="宋体" w:hint="default"/>
        </w:rPr>
        <w:t>2017</w:t>
      </w:r>
      <w:r>
        <w:rPr>
          <w:rFonts w:ascii="宋体" w:hAnsi="宋体" w:cs="宋体" w:eastAsia="宋体" w:hint="default"/>
          <w:spacing w:val="-57"/>
        </w:rPr>
        <w:t> </w:t>
      </w:r>
      <w:r>
        <w:rPr/>
        <w:t>年</w:t>
      </w:r>
      <w:r>
        <w:rPr>
          <w:spacing w:val="-57"/>
        </w:rPr>
        <w:t> </w:t>
      </w:r>
      <w:r>
        <w:rPr>
          <w:rFonts w:ascii="宋体" w:hAnsi="宋体" w:cs="宋体" w:eastAsia="宋体" w:hint="default"/>
        </w:rPr>
        <w:t>6</w:t>
      </w:r>
      <w:r>
        <w:rPr>
          <w:rFonts w:ascii="宋体" w:hAnsi="宋体" w:cs="宋体" w:eastAsia="宋体" w:hint="default"/>
          <w:spacing w:val="-57"/>
        </w:rPr>
        <w:t> </w:t>
      </w:r>
      <w:r>
        <w:rPr/>
        <w:t>月</w:t>
      </w:r>
      <w:r>
        <w:rPr>
          <w:spacing w:val="-57"/>
        </w:rPr>
        <w:t> </w:t>
      </w:r>
      <w:r>
        <w:rPr>
          <w:rFonts w:ascii="宋体" w:hAnsi="宋体" w:cs="宋体" w:eastAsia="宋体" w:hint="default"/>
        </w:rPr>
        <w:t>12</w:t>
      </w:r>
      <w:r>
        <w:rPr>
          <w:rFonts w:ascii="宋体" w:hAnsi="宋体" w:cs="宋体" w:eastAsia="宋体" w:hint="default"/>
          <w:spacing w:val="-54"/>
        </w:rPr>
        <w:t> </w:t>
      </w:r>
      <w:r>
        <w:rPr/>
        <w:t>日起执行经修订</w:t>
      </w:r>
    </w:p>
    <w:p>
      <w:pPr>
        <w:pStyle w:val="BodyText"/>
        <w:spacing w:line="357" w:lineRule="auto" w:before="151"/>
        <w:ind w:left="3" w:right="231"/>
        <w:jc w:val="right"/>
      </w:pPr>
      <w:r>
        <w:rPr>
          <w:spacing w:val="-7"/>
        </w:rPr>
        <w:t>的《企业会计准则第 </w:t>
      </w:r>
      <w:r>
        <w:rPr>
          <w:rFonts w:ascii="宋体" w:hAnsi="宋体" w:cs="宋体" w:eastAsia="宋体" w:hint="default"/>
        </w:rPr>
        <w:t>16</w:t>
      </w:r>
      <w:r>
        <w:rPr>
          <w:rFonts w:ascii="宋体" w:hAnsi="宋体" w:cs="宋体" w:eastAsia="宋体" w:hint="default"/>
          <w:spacing w:val="-83"/>
        </w:rPr>
        <w:t> </w:t>
      </w:r>
      <w:r>
        <w:rPr>
          <w:spacing w:val="-5"/>
        </w:rPr>
        <w:t>号——政府补助》。该项会计政策变更采用未来适用法处理。</w:t>
      </w:r>
      <w:r>
        <w:rPr/>
        <w:t> 注</w:t>
      </w:r>
      <w:r>
        <w:rPr>
          <w:spacing w:val="-52"/>
        </w:rPr>
        <w:t> </w:t>
      </w:r>
      <w:r>
        <w:rPr>
          <w:rFonts w:ascii="宋体" w:hAnsi="宋体" w:cs="宋体" w:eastAsia="宋体" w:hint="default"/>
          <w:spacing w:val="-8"/>
        </w:rPr>
        <w:t>2</w:t>
      </w:r>
      <w:r>
        <w:rPr>
          <w:spacing w:val="-8"/>
        </w:rPr>
        <w:t>：本公司编制</w:t>
      </w:r>
      <w:r>
        <w:rPr>
          <w:spacing w:val="-52"/>
        </w:rPr>
        <w:t> </w:t>
      </w:r>
      <w:r>
        <w:rPr>
          <w:rFonts w:ascii="宋体" w:hAnsi="宋体" w:cs="宋体" w:eastAsia="宋体" w:hint="default"/>
        </w:rPr>
        <w:t>2017</w:t>
      </w:r>
      <w:r>
        <w:rPr>
          <w:rFonts w:ascii="宋体" w:hAnsi="宋体" w:cs="宋体" w:eastAsia="宋体" w:hint="default"/>
          <w:spacing w:val="-52"/>
        </w:rPr>
        <w:t> </w:t>
      </w:r>
      <w:r>
        <w:rPr>
          <w:spacing w:val="-3"/>
        </w:rPr>
        <w:t>年度报表执行《财政部关于修订印发一般企业财务报表格</w:t>
      </w:r>
      <w:r>
        <w:rPr/>
        <w:t> </w:t>
      </w:r>
      <w:r>
        <w:rPr>
          <w:spacing w:val="-3"/>
        </w:rPr>
        <w:t>式的通知》</w:t>
      </w:r>
      <w:r>
        <w:rPr>
          <w:rFonts w:ascii="宋体" w:hAnsi="宋体" w:cs="宋体" w:eastAsia="宋体" w:hint="default"/>
          <w:spacing w:val="-3"/>
        </w:rPr>
        <w:t>(</w:t>
      </w:r>
      <w:r>
        <w:rPr>
          <w:spacing w:val="-3"/>
        </w:rPr>
        <w:t>财会〔</w:t>
      </w:r>
      <w:r>
        <w:rPr>
          <w:rFonts w:ascii="宋体" w:hAnsi="宋体" w:cs="宋体" w:eastAsia="宋体" w:hint="default"/>
          <w:spacing w:val="-3"/>
        </w:rPr>
        <w:t>2017</w:t>
      </w:r>
      <w:r>
        <w:rPr>
          <w:spacing w:val="-3"/>
        </w:rPr>
        <w:t>〕</w:t>
      </w:r>
      <w:r>
        <w:rPr>
          <w:rFonts w:ascii="宋体" w:hAnsi="宋体" w:cs="宋体" w:eastAsia="宋体" w:hint="default"/>
          <w:spacing w:val="-3"/>
        </w:rPr>
        <w:t>30</w:t>
      </w:r>
      <w:r>
        <w:rPr>
          <w:rFonts w:ascii="宋体" w:hAnsi="宋体" w:cs="宋体" w:eastAsia="宋体" w:hint="default"/>
          <w:spacing w:val="-51"/>
        </w:rPr>
        <w:t> </w:t>
      </w:r>
      <w:r>
        <w:rPr>
          <w:spacing w:val="-3"/>
        </w:rPr>
        <w:t>号</w:t>
      </w:r>
      <w:r>
        <w:rPr>
          <w:rFonts w:ascii="宋体" w:hAnsi="宋体" w:cs="宋体" w:eastAsia="宋体" w:hint="default"/>
          <w:spacing w:val="-3"/>
        </w:rPr>
        <w:t>)</w:t>
      </w:r>
      <w:r>
        <w:rPr>
          <w:spacing w:val="-3"/>
        </w:rPr>
        <w:t>，将原列报于“营业外收入”和“营业外支出”的非</w:t>
      </w:r>
      <w:r>
        <w:rPr/>
        <w:t> </w:t>
      </w:r>
      <w:r>
        <w:rPr>
          <w:spacing w:val="-2"/>
        </w:rPr>
        <w:t>流动资产处置利得和损失和非货币性资产交换利得和损失变更为列报于“资产处置收</w:t>
      </w:r>
    </w:p>
    <w:p>
      <w:pPr>
        <w:spacing w:after="0" w:line="357" w:lineRule="auto"/>
        <w:jc w:val="right"/>
        <w:sectPr>
          <w:pgSz w:w="11910" w:h="16840"/>
          <w:pgMar w:header="882" w:footer="1195" w:top="1120" w:bottom="1380" w:left="1580" w:right="1040"/>
        </w:sectPr>
      </w:pPr>
    </w:p>
    <w:p>
      <w:pPr>
        <w:spacing w:line="240" w:lineRule="auto" w:before="5"/>
        <w:rPr>
          <w:rFonts w:ascii="宋体" w:hAnsi="宋体" w:cs="宋体" w:eastAsia="宋体" w:hint="default"/>
          <w:sz w:val="25"/>
          <w:szCs w:val="25"/>
        </w:rPr>
      </w:pPr>
    </w:p>
    <w:p>
      <w:pPr>
        <w:pStyle w:val="BodyText"/>
        <w:spacing w:line="240" w:lineRule="auto" w:before="26"/>
        <w:ind w:left="218" w:right="0"/>
        <w:jc w:val="left"/>
        <w:rPr>
          <w:rFonts w:ascii="宋体" w:hAnsi="宋体" w:cs="宋体" w:eastAsia="宋体" w:hint="default"/>
        </w:rPr>
      </w:pPr>
      <w:r>
        <w:rPr/>
        <w:t>益”。该项会计政策变更采用追溯调整法，调减</w:t>
      </w:r>
      <w:r>
        <w:rPr>
          <w:spacing w:val="-60"/>
        </w:rPr>
        <w:t> </w:t>
      </w:r>
      <w:r>
        <w:rPr>
          <w:rFonts w:ascii="宋体" w:hAnsi="宋体" w:cs="宋体" w:eastAsia="宋体" w:hint="default"/>
        </w:rPr>
        <w:t>2016</w:t>
      </w:r>
      <w:r>
        <w:rPr>
          <w:rFonts w:ascii="宋体" w:hAnsi="宋体" w:cs="宋体" w:eastAsia="宋体" w:hint="default"/>
          <w:spacing w:val="-60"/>
        </w:rPr>
        <w:t> </w:t>
      </w:r>
      <w:r>
        <w:rPr/>
        <w:t>年度营业外收入</w:t>
      </w:r>
      <w:r>
        <w:rPr>
          <w:spacing w:val="-60"/>
        </w:rPr>
        <w:t> </w:t>
      </w:r>
      <w:r>
        <w:rPr>
          <w:rFonts w:ascii="宋体" w:hAnsi="宋体" w:cs="宋体" w:eastAsia="宋体" w:hint="default"/>
        </w:rPr>
        <w:t>1,415,876.42</w:t>
      </w:r>
    </w:p>
    <w:p>
      <w:pPr>
        <w:pStyle w:val="BodyText"/>
        <w:spacing w:line="240" w:lineRule="auto" w:before="154"/>
        <w:ind w:left="218" w:right="233"/>
        <w:jc w:val="left"/>
      </w:pPr>
      <w:r>
        <w:rPr/>
        <w:t>元，营业外支出</w:t>
      </w:r>
      <w:r>
        <w:rPr>
          <w:spacing w:val="-61"/>
        </w:rPr>
        <w:t> </w:t>
      </w:r>
      <w:r>
        <w:rPr>
          <w:rFonts w:ascii="宋体" w:hAnsi="宋体" w:cs="宋体" w:eastAsia="宋体" w:hint="default"/>
        </w:rPr>
        <w:t>4,499,452.16</w:t>
      </w:r>
      <w:r>
        <w:rPr>
          <w:rFonts w:ascii="宋体" w:hAnsi="宋体" w:cs="宋体" w:eastAsia="宋体" w:hint="default"/>
          <w:spacing w:val="-60"/>
        </w:rPr>
        <w:t> </w:t>
      </w:r>
      <w:r>
        <w:rPr/>
        <w:t>元，调减资产处置收益</w:t>
      </w:r>
      <w:r>
        <w:rPr>
          <w:spacing w:val="-60"/>
        </w:rPr>
        <w:t> </w:t>
      </w:r>
      <w:r>
        <w:rPr>
          <w:rFonts w:ascii="宋体" w:hAnsi="宋体" w:cs="宋体" w:eastAsia="宋体" w:hint="default"/>
        </w:rPr>
        <w:t>3,083,575.74</w:t>
      </w:r>
      <w:r>
        <w:rPr>
          <w:rFonts w:ascii="宋体" w:hAnsi="宋体" w:cs="宋体" w:eastAsia="宋体" w:hint="default"/>
          <w:spacing w:val="-60"/>
        </w:rPr>
        <w:t> </w:t>
      </w:r>
      <w:r>
        <w:rPr/>
        <w:t>元。</w:t>
      </w:r>
    </w:p>
    <w:p>
      <w:pPr>
        <w:spacing w:line="240" w:lineRule="auto" w:before="0"/>
        <w:rPr>
          <w:rFonts w:ascii="宋体" w:hAnsi="宋体" w:cs="宋体" w:eastAsia="宋体" w:hint="default"/>
          <w:sz w:val="24"/>
          <w:szCs w:val="24"/>
        </w:rPr>
      </w:pPr>
    </w:p>
    <w:p>
      <w:pPr>
        <w:pStyle w:val="Heading2"/>
        <w:spacing w:line="240" w:lineRule="auto" w:before="209"/>
        <w:ind w:right="233"/>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8"/>
        <w:ind w:left="218" w:right="233"/>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right="233"/>
        <w:jc w:val="left"/>
        <w:rPr>
          <w:b w:val="0"/>
          <w:bCs w:val="0"/>
        </w:rPr>
      </w:pPr>
      <w:r>
        <w:rPr>
          <w:rFonts w:ascii="宋体" w:hAnsi="宋体" w:cs="宋体" w:eastAsia="宋体" w:hint="default"/>
        </w:rPr>
        <w:t>37.</w:t>
      </w:r>
      <w:r>
        <w:rPr>
          <w:rFonts w:ascii="宋体" w:hAnsi="宋体" w:cs="宋体" w:eastAsia="宋体" w:hint="default"/>
          <w:spacing w:val="-58"/>
        </w:rPr>
        <w:t> </w:t>
      </w:r>
      <w:r>
        <w:rPr/>
        <w:t>其他</w:t>
      </w:r>
      <w:r>
        <w:rPr>
          <w:b w:val="0"/>
          <w:bCs w:val="0"/>
        </w:rPr>
      </w:r>
    </w:p>
    <w:p>
      <w:pPr>
        <w:pStyle w:val="BodyText"/>
        <w:tabs>
          <w:tab w:pos="1177" w:val="left" w:leader="none"/>
        </w:tabs>
        <w:spacing w:line="240" w:lineRule="auto" w:before="58"/>
        <w:ind w:left="218" w:right="233"/>
        <w:jc w:val="left"/>
      </w:pPr>
      <w:r>
        <w:rPr>
          <w:spacing w:val="-1"/>
        </w:rPr>
        <w:t>□适用</w:t>
        <w:tab/>
      </w:r>
      <w:r>
        <w:rPr/>
        <w:t>√不适用</w:t>
      </w:r>
    </w:p>
    <w:p>
      <w:pPr>
        <w:spacing w:line="240" w:lineRule="auto" w:before="2"/>
        <w:rPr>
          <w:rFonts w:ascii="宋体" w:hAnsi="宋体" w:cs="宋体" w:eastAsia="宋体" w:hint="default"/>
          <w:sz w:val="28"/>
          <w:szCs w:val="28"/>
        </w:rPr>
      </w:pPr>
    </w:p>
    <w:p>
      <w:pPr>
        <w:pStyle w:val="Heading2"/>
        <w:tabs>
          <w:tab w:pos="1057" w:val="left" w:leader="none"/>
        </w:tabs>
        <w:spacing w:line="240" w:lineRule="auto" w:before="0"/>
        <w:ind w:right="233"/>
        <w:jc w:val="left"/>
        <w:rPr>
          <w:b w:val="0"/>
          <w:bCs w:val="0"/>
        </w:rPr>
      </w:pPr>
      <w:r>
        <w:rPr/>
        <w:t>六、</w:t>
        <w:tab/>
        <w:t>税项</w:t>
      </w:r>
      <w:r>
        <w:rPr>
          <w:b w:val="0"/>
          <w:bCs w:val="0"/>
        </w:rPr>
      </w:r>
    </w:p>
    <w:p>
      <w:pPr>
        <w:spacing w:line="283" w:lineRule="auto" w:before="58"/>
        <w:ind w:left="218" w:right="6888" w:firstLine="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pacing w:val="60"/>
          <w:sz w:val="24"/>
          <w:szCs w:val="24"/>
        </w:rPr>
        <w:t> </w:t>
      </w:r>
      <w:r>
        <w:rPr>
          <w:rFonts w:ascii="宋体" w:hAnsi="宋体" w:cs="宋体" w:eastAsia="宋体" w:hint="default"/>
          <w:b/>
          <w:bCs/>
          <w:sz w:val="24"/>
          <w:szCs w:val="24"/>
        </w:rPr>
        <w:t>主要税种及税率</w:t>
      </w:r>
      <w:r>
        <w:rPr>
          <w:rFonts w:ascii="宋体" w:hAnsi="宋体" w:cs="宋体" w:eastAsia="宋体" w:hint="default"/>
          <w:b/>
          <w:bCs/>
          <w:w w:val="99"/>
          <w:sz w:val="24"/>
          <w:szCs w:val="24"/>
        </w:rPr>
        <w:t> </w:t>
      </w:r>
      <w:r>
        <w:rPr>
          <w:rFonts w:ascii="宋体" w:hAnsi="宋体" w:cs="宋体" w:eastAsia="宋体" w:hint="default"/>
          <w:sz w:val="24"/>
          <w:szCs w:val="24"/>
        </w:rPr>
        <w:t>主要税种及税率情况</w:t>
      </w:r>
    </w:p>
    <w:p>
      <w:pPr>
        <w:pStyle w:val="BodyText"/>
        <w:spacing w:line="266" w:lineRule="exact"/>
        <w:ind w:left="218" w:right="233"/>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3978"/>
        <w:gridCol w:w="3121"/>
      </w:tblGrid>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税种</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税率</w:t>
            </w:r>
          </w:p>
        </w:tc>
      </w:tr>
      <w:tr>
        <w:trPr>
          <w:trHeight w:val="63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销售货物或提供应税劳务</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pacing w:val="-5"/>
                <w:sz w:val="24"/>
                <w:szCs w:val="24"/>
              </w:rPr>
              <w:t>17%</w:t>
            </w:r>
            <w:r>
              <w:rPr>
                <w:rFonts w:ascii="宋体" w:hAnsi="宋体" w:cs="宋体" w:eastAsia="宋体" w:hint="default"/>
                <w:spacing w:val="-5"/>
                <w:sz w:val="24"/>
                <w:szCs w:val="24"/>
              </w:rPr>
              <w:t>、</w:t>
            </w:r>
            <w:r>
              <w:rPr>
                <w:rFonts w:ascii="宋体" w:hAnsi="宋体" w:cs="宋体" w:eastAsia="宋体" w:hint="default"/>
                <w:spacing w:val="-5"/>
                <w:sz w:val="24"/>
                <w:szCs w:val="24"/>
              </w:rPr>
              <w:t>13%</w:t>
            </w:r>
            <w:r>
              <w:rPr>
                <w:rFonts w:ascii="宋体" w:hAnsi="宋体" w:cs="宋体" w:eastAsia="宋体" w:hint="default"/>
                <w:spacing w:val="-5"/>
                <w:sz w:val="24"/>
                <w:szCs w:val="24"/>
              </w:rPr>
              <w:t>、</w:t>
            </w:r>
            <w:r>
              <w:rPr>
                <w:rFonts w:ascii="宋体" w:hAnsi="宋体" w:cs="宋体" w:eastAsia="宋体" w:hint="default"/>
                <w:spacing w:val="-5"/>
                <w:sz w:val="24"/>
                <w:szCs w:val="24"/>
              </w:rPr>
              <w:t>11%</w:t>
            </w:r>
            <w:r>
              <w:rPr>
                <w:rFonts w:ascii="宋体" w:hAnsi="宋体" w:cs="宋体" w:eastAsia="宋体" w:hint="default"/>
                <w:spacing w:val="-5"/>
                <w:sz w:val="24"/>
                <w:szCs w:val="24"/>
              </w:rPr>
              <w:t>、</w:t>
            </w:r>
            <w:r>
              <w:rPr>
                <w:rFonts w:ascii="宋体" w:hAnsi="宋体" w:cs="宋体" w:eastAsia="宋体" w:hint="default"/>
                <w:spacing w:val="-5"/>
                <w:sz w:val="24"/>
                <w:szCs w:val="24"/>
              </w:rPr>
              <w:t>6%</w:t>
            </w:r>
            <w:r>
              <w:rPr>
                <w:rFonts w:ascii="宋体" w:hAnsi="宋体" w:cs="宋体" w:eastAsia="宋体" w:hint="default"/>
                <w:spacing w:val="-5"/>
                <w:sz w:val="24"/>
                <w:szCs w:val="24"/>
              </w:rPr>
              <w:t>、</w:t>
            </w:r>
            <w:r>
              <w:rPr>
                <w:rFonts w:ascii="宋体" w:hAnsi="宋体" w:cs="宋体" w:eastAsia="宋体" w:hint="default"/>
                <w:spacing w:val="-5"/>
                <w:sz w:val="24"/>
                <w:szCs w:val="24"/>
              </w:rPr>
              <w:t>5%</w:t>
            </w:r>
            <w:r>
              <w:rPr>
                <w:rFonts w:ascii="宋体" w:hAnsi="宋体" w:cs="宋体" w:eastAsia="宋体" w:hint="default"/>
                <w:spacing w:val="-5"/>
                <w:sz w:val="24"/>
                <w:szCs w:val="24"/>
              </w:rPr>
              <w:t>、</w:t>
            </w:r>
            <w:r>
              <w:rPr>
                <w:rFonts w:ascii="宋体" w:hAnsi="宋体" w:cs="宋体" w:eastAsia="宋体" w:hint="default"/>
                <w:spacing w:val="-5"/>
                <w:sz w:val="24"/>
                <w:szCs w:val="24"/>
              </w:rPr>
              <w:t>3%</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等</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消费税</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应纳税销售额（量）</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5%</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应纳税营业额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等</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z w:val="24"/>
                <w:szCs w:val="24"/>
              </w:rPr>
              <w:t>、</w:t>
            </w:r>
            <w:r>
              <w:rPr>
                <w:rFonts w:ascii="宋体" w:hAnsi="宋体" w:cs="宋体" w:eastAsia="宋体" w:hint="default"/>
                <w:sz w:val="24"/>
                <w:szCs w:val="24"/>
              </w:rPr>
              <w:t>5%</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25%</w:t>
            </w:r>
            <w:r>
              <w:rPr>
                <w:rFonts w:ascii="宋体" w:hAnsi="宋体" w:cs="宋体" w:eastAsia="宋体" w:hint="default"/>
                <w:sz w:val="24"/>
                <w:szCs w:val="24"/>
              </w:rPr>
              <w:t>、</w:t>
            </w:r>
            <w:r>
              <w:rPr>
                <w:rFonts w:ascii="宋体" w:hAnsi="宋体" w:cs="宋体" w:eastAsia="宋体" w:hint="default"/>
                <w:sz w:val="24"/>
                <w:szCs w:val="24"/>
              </w:rPr>
              <w:t>16.5%</w:t>
            </w:r>
            <w:r>
              <w:rPr>
                <w:rFonts w:ascii="宋体" w:hAnsi="宋体" w:cs="宋体" w:eastAsia="宋体" w:hint="default"/>
                <w:sz w:val="24"/>
                <w:szCs w:val="24"/>
              </w:rPr>
              <w:t>、</w:t>
            </w:r>
            <w:r>
              <w:rPr>
                <w:rFonts w:ascii="宋体" w:hAnsi="宋体" w:cs="宋体" w:eastAsia="宋体" w:hint="default"/>
                <w:sz w:val="24"/>
                <w:szCs w:val="24"/>
              </w:rPr>
              <w:t>30%</w:t>
            </w:r>
          </w:p>
        </w:tc>
      </w:tr>
      <w:tr>
        <w:trPr>
          <w:trHeight w:val="94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土地增值税</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有偿转让国有土地使用权及地上建</w:t>
            </w:r>
          </w:p>
          <w:p>
            <w:pPr>
              <w:pStyle w:val="TableParagraph"/>
              <w:spacing w:line="310" w:lineRule="exact" w:before="31"/>
              <w:ind w:left="103" w:right="264"/>
              <w:jc w:val="left"/>
              <w:rPr>
                <w:rFonts w:ascii="宋体" w:hAnsi="宋体" w:cs="宋体" w:eastAsia="宋体" w:hint="default"/>
                <w:sz w:val="24"/>
                <w:szCs w:val="24"/>
              </w:rPr>
            </w:pPr>
            <w:r>
              <w:rPr>
                <w:rFonts w:ascii="宋体" w:hAnsi="宋体" w:cs="宋体" w:eastAsia="宋体" w:hint="default"/>
                <w:sz w:val="24"/>
                <w:szCs w:val="24"/>
              </w:rPr>
              <w:t>筑物和其他附着物产权产生的增值 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z w:val="24"/>
                <w:szCs w:val="24"/>
              </w:rPr>
              <w:t>]</w:t>
            </w:r>
          </w:p>
        </w:tc>
      </w:tr>
      <w:tr>
        <w:trPr>
          <w:trHeight w:val="94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房产税</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从价计征的，按房产原值一次减除</w:t>
            </w:r>
          </w:p>
          <w:p>
            <w:pPr>
              <w:pStyle w:val="TableParagraph"/>
              <w:spacing w:line="312" w:lineRule="exact" w:before="29"/>
              <w:ind w:left="103" w:right="101"/>
              <w:jc w:val="left"/>
              <w:rPr>
                <w:rFonts w:ascii="宋体" w:hAnsi="宋体" w:cs="宋体" w:eastAsia="宋体" w:hint="default"/>
                <w:sz w:val="24"/>
                <w:szCs w:val="24"/>
              </w:rPr>
            </w:pPr>
            <w:r>
              <w:rPr>
                <w:rFonts w:ascii="宋体" w:hAnsi="宋体" w:cs="宋体" w:eastAsia="宋体" w:hint="default"/>
                <w:sz w:val="24"/>
                <w:szCs w:val="24"/>
              </w:rPr>
              <w:t>20%-30%</w:t>
            </w:r>
            <w:r>
              <w:rPr>
                <w:rFonts w:ascii="宋体" w:hAnsi="宋体" w:cs="宋体" w:eastAsia="宋体" w:hint="default"/>
                <w:sz w:val="24"/>
                <w:szCs w:val="24"/>
              </w:rPr>
              <w:t>后余值的</w:t>
            </w:r>
            <w:r>
              <w:rPr>
                <w:rFonts w:ascii="宋体" w:hAnsi="宋体" w:cs="宋体" w:eastAsia="宋体" w:hint="default"/>
                <w:spacing w:val="-77"/>
                <w:sz w:val="24"/>
                <w:szCs w:val="24"/>
              </w:rPr>
              <w:t> </w:t>
            </w:r>
            <w:r>
              <w:rPr>
                <w:rFonts w:ascii="宋体" w:hAnsi="宋体" w:cs="宋体" w:eastAsia="宋体" w:hint="default"/>
                <w:sz w:val="24"/>
                <w:szCs w:val="24"/>
              </w:rPr>
              <w:t>1.2%</w:t>
            </w:r>
            <w:r>
              <w:rPr>
                <w:rFonts w:ascii="宋体" w:hAnsi="宋体" w:cs="宋体" w:eastAsia="宋体" w:hint="default"/>
                <w:sz w:val="24"/>
                <w:szCs w:val="24"/>
              </w:rPr>
              <w:t>计缴；从租计 征的，按租金收入的</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z w:val="24"/>
                <w:szCs w:val="24"/>
              </w:rPr>
              <w:t>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z w:val="24"/>
                <w:szCs w:val="24"/>
              </w:rPr>
              <w:t>、</w:t>
            </w:r>
            <w:r>
              <w:rPr>
                <w:rFonts w:ascii="宋体" w:hAnsi="宋体" w:cs="宋体" w:eastAsia="宋体" w:hint="default"/>
                <w:sz w:val="24"/>
                <w:szCs w:val="24"/>
              </w:rPr>
              <w:t>12%</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3%</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地方教育附加</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2%</w:t>
            </w:r>
          </w:p>
        </w:tc>
      </w:tr>
    </w:tbl>
    <w:p>
      <w:pPr>
        <w:pStyle w:val="BodyText"/>
        <w:spacing w:line="274" w:lineRule="exact"/>
        <w:ind w:left="218" w:right="0" w:firstLine="479"/>
        <w:jc w:val="left"/>
      </w:pPr>
      <w:r>
        <w:rPr/>
        <w:t>注：《中华人民共和国土地增值税暂行条例》规定，土地增值税按增值额与扣除</w:t>
      </w:r>
    </w:p>
    <w:p>
      <w:pPr>
        <w:pStyle w:val="BodyText"/>
        <w:spacing w:line="357" w:lineRule="auto" w:before="154"/>
        <w:ind w:left="218" w:right="110"/>
        <w:jc w:val="left"/>
      </w:pPr>
      <w:r>
        <w:rPr>
          <w:spacing w:val="-8"/>
        </w:rPr>
        <w:t>项目金额的比率，实行四级超率累进税率（</w:t>
      </w:r>
      <w:r>
        <w:rPr>
          <w:rFonts w:ascii="宋体" w:hAnsi="宋体" w:cs="宋体" w:eastAsia="宋体" w:hint="default"/>
          <w:spacing w:val="-8"/>
        </w:rPr>
        <w:t>30%</w:t>
      </w:r>
      <w:r>
        <w:rPr>
          <w:spacing w:val="-8"/>
        </w:rPr>
        <w:t>～</w:t>
      </w:r>
      <w:r>
        <w:rPr>
          <w:rFonts w:ascii="宋体" w:hAnsi="宋体" w:cs="宋体" w:eastAsia="宋体" w:hint="default"/>
          <w:spacing w:val="-8"/>
        </w:rPr>
        <w:t>60%</w:t>
      </w:r>
      <w:r>
        <w:rPr>
          <w:spacing w:val="-8"/>
        </w:rPr>
        <w:t>）计缴；建造普通标准住宅出售，</w:t>
      </w:r>
      <w:r>
        <w:rPr>
          <w:spacing w:val="-80"/>
        </w:rPr>
        <w:t> </w:t>
      </w:r>
      <w:r>
        <w:rPr>
          <w:spacing w:val="-80"/>
        </w:rPr>
      </w:r>
      <w:r>
        <w:rPr/>
        <w:t>增值额未超过扣除项目金额</w:t>
      </w:r>
      <w:r>
        <w:rPr>
          <w:spacing w:val="-49"/>
        </w:rPr>
        <w:t> </w:t>
      </w:r>
      <w:r>
        <w:rPr>
          <w:rFonts w:ascii="宋体" w:hAnsi="宋体" w:cs="宋体" w:eastAsia="宋体" w:hint="default"/>
          <w:spacing w:val="-12"/>
        </w:rPr>
        <w:t>20%</w:t>
      </w:r>
      <w:r>
        <w:rPr>
          <w:spacing w:val="-12"/>
        </w:rPr>
        <w:t>的，免缴土地增值税。根据国家税务总局国税发〔</w:t>
      </w:r>
      <w:r>
        <w:rPr>
          <w:rFonts w:ascii="宋体" w:hAnsi="宋体" w:cs="宋体" w:eastAsia="宋体" w:hint="default"/>
          <w:spacing w:val="-12"/>
        </w:rPr>
        <w:t>2004</w:t>
      </w:r>
      <w:r>
        <w:rPr>
          <w:spacing w:val="-12"/>
        </w:rPr>
        <w:t>〕</w:t>
      </w:r>
      <w:r>
        <w:rPr/>
        <w:t> </w:t>
      </w:r>
      <w:r>
        <w:rPr>
          <w:rFonts w:ascii="宋体" w:hAnsi="宋体" w:cs="宋体" w:eastAsia="宋体" w:hint="default"/>
        </w:rPr>
        <w:t>100</w:t>
      </w:r>
      <w:r>
        <w:rPr>
          <w:rFonts w:ascii="宋体" w:hAnsi="宋体" w:cs="宋体" w:eastAsia="宋体" w:hint="default"/>
          <w:spacing w:val="-60"/>
        </w:rPr>
        <w:t> </w:t>
      </w:r>
      <w:r>
        <w:rPr>
          <w:spacing w:val="-21"/>
        </w:rPr>
        <w:t>号文、国税发〔</w:t>
      </w:r>
      <w:r>
        <w:rPr>
          <w:rFonts w:ascii="宋体" w:hAnsi="宋体" w:cs="宋体" w:eastAsia="宋体" w:hint="default"/>
          <w:spacing w:val="-21"/>
        </w:rPr>
        <w:t>2010</w:t>
      </w:r>
      <w:r>
        <w:rPr>
          <w:spacing w:val="-21"/>
        </w:rPr>
        <w:t>〕</w:t>
      </w:r>
      <w:r>
        <w:rPr>
          <w:rFonts w:ascii="宋体" w:hAnsi="宋体" w:cs="宋体" w:eastAsia="宋体" w:hint="default"/>
          <w:spacing w:val="-21"/>
        </w:rPr>
        <w:t>53</w:t>
      </w:r>
      <w:r>
        <w:rPr>
          <w:rFonts w:ascii="宋体" w:hAnsi="宋体" w:cs="宋体" w:eastAsia="宋体" w:hint="default"/>
          <w:spacing w:val="-59"/>
        </w:rPr>
        <w:t> </w:t>
      </w:r>
      <w:r>
        <w:rPr/>
        <w:t>号文以及房地产项目开发所在地地方税务局的有关规定，</w:t>
      </w:r>
      <w:r>
        <w:rPr>
          <w:spacing w:val="-117"/>
        </w:rPr>
        <w:t> </w:t>
      </w:r>
      <w:r>
        <w:rPr/>
        <w:t>从事房地产开发的子公司按照预收房款的一定比例（</w:t>
      </w:r>
      <w:r>
        <w:rPr>
          <w:rFonts w:ascii="宋体" w:hAnsi="宋体" w:cs="宋体" w:eastAsia="宋体" w:hint="default"/>
        </w:rPr>
        <w:t>2%-4%</w:t>
      </w:r>
      <w:r>
        <w:rPr/>
        <w:t>，个别商铺按</w:t>
      </w:r>
      <w:r>
        <w:rPr>
          <w:spacing w:val="-60"/>
        </w:rPr>
        <w:t> </w:t>
      </w:r>
      <w:r>
        <w:rPr>
          <w:rFonts w:ascii="宋体" w:hAnsi="宋体" w:cs="宋体" w:eastAsia="宋体" w:hint="default"/>
        </w:rPr>
        <w:t>5%</w:t>
      </w:r>
      <w:r>
        <w:rPr/>
        <w:t>）预缴土 地增值税，待项目符合清算条件后向税务机关申请清算。</w:t>
      </w:r>
    </w:p>
    <w:p>
      <w:pPr>
        <w:spacing w:line="240" w:lineRule="auto" w:before="6"/>
        <w:rPr>
          <w:rFonts w:ascii="宋体" w:hAnsi="宋体" w:cs="宋体" w:eastAsia="宋体" w:hint="default"/>
          <w:sz w:val="26"/>
          <w:szCs w:val="26"/>
        </w:rPr>
      </w:pPr>
    </w:p>
    <w:p>
      <w:pPr>
        <w:pStyle w:val="BodyText"/>
        <w:spacing w:line="313" w:lineRule="exact"/>
        <w:ind w:left="218" w:right="233"/>
        <w:jc w:val="left"/>
      </w:pPr>
      <w:r>
        <w:rPr/>
        <w:t>存在不同企业所得税税率纳税主体的，披露情况说明</w:t>
      </w:r>
    </w:p>
    <w:p>
      <w:pPr>
        <w:pStyle w:val="BodyText"/>
        <w:spacing w:line="313" w:lineRule="exact"/>
        <w:ind w:left="218" w:right="233"/>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488"/>
        <w:gridCol w:w="2561"/>
      </w:tblGrid>
      <w:tr>
        <w:trPr>
          <w:trHeight w:val="322" w:hRule="exact"/>
        </w:trPr>
        <w:tc>
          <w:tcPr>
            <w:tcW w:w="6488" w:type="dxa"/>
            <w:tcBorders>
              <w:top w:val="single" w:sz="4" w:space="0" w:color="000000"/>
              <w:left w:val="single" w:sz="4" w:space="0" w:color="000000"/>
              <w:bottom w:val="single" w:sz="4"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纳税主体名称</w:t>
            </w:r>
          </w:p>
        </w:tc>
        <w:tc>
          <w:tcPr>
            <w:tcW w:w="2561" w:type="dxa"/>
            <w:tcBorders>
              <w:top w:val="single" w:sz="4" w:space="0" w:color="000000"/>
              <w:left w:val="single" w:sz="6" w:space="0" w:color="000000"/>
              <w:bottom w:val="single" w:sz="4" w:space="0" w:color="000000"/>
              <w:right w:val="single" w:sz="4" w:space="0" w:color="000000"/>
            </w:tcBorders>
          </w:tcPr>
          <w:p>
            <w:pPr>
              <w:pStyle w:val="TableParagraph"/>
              <w:spacing w:line="276" w:lineRule="exact"/>
              <w:ind w:left="371" w:right="0"/>
              <w:jc w:val="left"/>
              <w:rPr>
                <w:rFonts w:ascii="宋体" w:hAnsi="宋体" w:cs="宋体" w:eastAsia="宋体" w:hint="default"/>
                <w:sz w:val="24"/>
                <w:szCs w:val="24"/>
              </w:rPr>
            </w:pPr>
            <w:r>
              <w:rPr>
                <w:rFonts w:ascii="宋体" w:hAnsi="宋体" w:cs="宋体" w:eastAsia="宋体" w:hint="default"/>
                <w:sz w:val="24"/>
                <w:szCs w:val="24"/>
              </w:rPr>
              <w:t>所得税税率（</w:t>
            </w:r>
            <w:r>
              <w:rPr>
                <w:rFonts w:ascii="宋体" w:hAnsi="宋体" w:cs="宋体" w:eastAsia="宋体" w:hint="default"/>
                <w:sz w:val="24"/>
                <w:szCs w:val="24"/>
              </w:rPr>
              <w:t>%</w:t>
            </w:r>
            <w:r>
              <w:rPr>
                <w:rFonts w:ascii="宋体" w:hAnsi="宋体" w:cs="宋体" w:eastAsia="宋体" w:hint="default"/>
                <w:sz w:val="24"/>
                <w:szCs w:val="24"/>
              </w:rPr>
              <w:t>）</w:t>
            </w:r>
          </w:p>
        </w:tc>
      </w:tr>
    </w:tbl>
    <w:p>
      <w:pPr>
        <w:spacing w:after="0" w:line="276" w:lineRule="exact"/>
        <w:jc w:val="left"/>
        <w:rPr>
          <w:rFonts w:ascii="宋体" w:hAnsi="宋体" w:cs="宋体" w:eastAsia="宋体" w:hint="default"/>
          <w:sz w:val="24"/>
          <w:szCs w:val="24"/>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488"/>
        <w:gridCol w:w="2561"/>
      </w:tblGrid>
      <w:tr>
        <w:trPr>
          <w:trHeight w:val="324" w:hRule="exact"/>
        </w:trPr>
        <w:tc>
          <w:tcPr>
            <w:tcW w:w="6488" w:type="dxa"/>
            <w:tcBorders>
              <w:top w:val="single" w:sz="4" w:space="0" w:color="000000"/>
              <w:left w:val="single" w:sz="4" w:space="0" w:color="000000"/>
              <w:bottom w:val="single" w:sz="6" w:space="0" w:color="000000"/>
              <w:right w:val="single" w:sz="6"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本公司</w:t>
            </w:r>
          </w:p>
        </w:tc>
        <w:tc>
          <w:tcPr>
            <w:tcW w:w="2561" w:type="dxa"/>
            <w:tcBorders>
              <w:top w:val="single" w:sz="4" w:space="0" w:color="000000"/>
              <w:left w:val="single" w:sz="6" w:space="0" w:color="000000"/>
              <w:bottom w:val="single" w:sz="6"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25%</w:t>
            </w:r>
          </w:p>
        </w:tc>
      </w:tr>
      <w:tr>
        <w:trPr>
          <w:trHeight w:val="326"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香港新湖投资有限公司</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16.5%</w:t>
            </w:r>
          </w:p>
        </w:tc>
      </w:tr>
      <w:tr>
        <w:trPr>
          <w:trHeight w:val="326"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泰昌投资有限公司</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1]</w:t>
            </w:r>
          </w:p>
        </w:tc>
      </w:tr>
      <w:tr>
        <w:trPr>
          <w:trHeight w:val="326"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香港新澳投资有限公司</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16.5%</w:t>
            </w:r>
          </w:p>
        </w:tc>
      </w:tr>
      <w:tr>
        <w:trPr>
          <w:trHeight w:val="326"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香港冠盛投资有限公司</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16.5%</w:t>
            </w:r>
          </w:p>
        </w:tc>
      </w:tr>
      <w:tr>
        <w:trPr>
          <w:trHeight w:val="326"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澳洲兴澳投资有限公司</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30%</w:t>
            </w:r>
          </w:p>
        </w:tc>
      </w:tr>
      <w:tr>
        <w:trPr>
          <w:trHeight w:val="326"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tabs>
                <w:tab w:pos="1783" w:val="left" w:leader="none"/>
              </w:tabs>
              <w:spacing w:line="274" w:lineRule="exact"/>
              <w:ind w:left="103" w:right="0"/>
              <w:jc w:val="left"/>
              <w:rPr>
                <w:rFonts w:ascii="宋体" w:hAnsi="宋体" w:cs="宋体" w:eastAsia="宋体" w:hint="default"/>
                <w:sz w:val="24"/>
                <w:szCs w:val="24"/>
              </w:rPr>
            </w:pPr>
            <w:r>
              <w:rPr>
                <w:rFonts w:ascii="宋体"/>
                <w:sz w:val="24"/>
              </w:rPr>
              <w:t>Xinhu (BVI)</w:t>
              <w:tab/>
              <w:t>Holding Company Limited</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1]</w:t>
            </w:r>
          </w:p>
        </w:tc>
      </w:tr>
      <w:tr>
        <w:trPr>
          <w:trHeight w:val="326"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tabs>
                <w:tab w:pos="1063" w:val="left" w:leader="none"/>
              </w:tabs>
              <w:spacing w:line="274" w:lineRule="exact"/>
              <w:ind w:left="103" w:right="0"/>
              <w:jc w:val="left"/>
              <w:rPr>
                <w:rFonts w:ascii="宋体" w:hAnsi="宋体" w:cs="宋体" w:eastAsia="宋体" w:hint="default"/>
                <w:sz w:val="24"/>
                <w:szCs w:val="24"/>
              </w:rPr>
            </w:pPr>
            <w:r>
              <w:rPr>
                <w:rFonts w:ascii="宋体"/>
                <w:sz w:val="24"/>
              </w:rPr>
              <w:t>Xinhu</w:t>
              <w:tab/>
              <w:t>(Oversea) 2017 Investment Company Limited</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1]</w:t>
            </w:r>
          </w:p>
        </w:tc>
      </w:tr>
      <w:tr>
        <w:trPr>
          <w:trHeight w:val="326"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tabs>
                <w:tab w:pos="1063" w:val="left" w:leader="none"/>
              </w:tabs>
              <w:spacing w:line="274" w:lineRule="exact"/>
              <w:ind w:left="103" w:right="0"/>
              <w:jc w:val="left"/>
              <w:rPr>
                <w:rFonts w:ascii="宋体" w:hAnsi="宋体" w:cs="宋体" w:eastAsia="宋体" w:hint="default"/>
                <w:sz w:val="24"/>
                <w:szCs w:val="24"/>
              </w:rPr>
            </w:pPr>
            <w:r>
              <w:rPr>
                <w:rFonts w:ascii="宋体"/>
                <w:sz w:val="24"/>
              </w:rPr>
              <w:t>Total</w:t>
              <w:tab/>
              <w:t>Partner Global Limited</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1]</w:t>
            </w:r>
          </w:p>
        </w:tc>
      </w:tr>
      <w:tr>
        <w:trPr>
          <w:trHeight w:val="326"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Summit Idea</w:t>
            </w:r>
            <w:r>
              <w:rPr>
                <w:rFonts w:ascii="宋体"/>
                <w:spacing w:val="-1"/>
                <w:sz w:val="24"/>
              </w:rPr>
              <w:t> </w:t>
            </w:r>
            <w:r>
              <w:rPr>
                <w:rFonts w:ascii="宋体"/>
                <w:sz w:val="24"/>
              </w:rPr>
              <w:t>Limited</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1]</w:t>
            </w:r>
          </w:p>
        </w:tc>
      </w:tr>
      <w:tr>
        <w:trPr>
          <w:trHeight w:val="327"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泰信控股有限公司</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2]</w:t>
            </w:r>
          </w:p>
        </w:tc>
      </w:tr>
      <w:tr>
        <w:trPr>
          <w:trHeight w:val="326"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泰融控股有限公司</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2]</w:t>
            </w:r>
          </w:p>
        </w:tc>
      </w:tr>
      <w:tr>
        <w:trPr>
          <w:trHeight w:val="326"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冠宏投资有限公司</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2]</w:t>
            </w:r>
          </w:p>
        </w:tc>
      </w:tr>
      <w:tr>
        <w:trPr>
          <w:trHeight w:val="324" w:hRule="exact"/>
        </w:trPr>
        <w:tc>
          <w:tcPr>
            <w:tcW w:w="648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浙江新湖智脑投资管理合伙企业（有限合伙）</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3]</w:t>
            </w:r>
          </w:p>
        </w:tc>
      </w:tr>
      <w:tr>
        <w:trPr>
          <w:trHeight w:val="326" w:hRule="exact"/>
        </w:trPr>
        <w:tc>
          <w:tcPr>
            <w:tcW w:w="6488" w:type="dxa"/>
            <w:tcBorders>
              <w:top w:val="single" w:sz="6" w:space="0" w:color="000000"/>
              <w:left w:val="single" w:sz="4" w:space="0" w:color="000000"/>
              <w:bottom w:val="single" w:sz="4"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除上述以外的其他纳税主体</w:t>
            </w:r>
          </w:p>
        </w:tc>
        <w:tc>
          <w:tcPr>
            <w:tcW w:w="2561" w:type="dxa"/>
            <w:tcBorders>
              <w:top w:val="single" w:sz="6" w:space="0" w:color="000000"/>
              <w:left w:val="single" w:sz="6"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25%</w:t>
            </w:r>
          </w:p>
        </w:tc>
      </w:tr>
    </w:tbl>
    <w:p>
      <w:pPr>
        <w:pStyle w:val="BodyText"/>
        <w:spacing w:line="274" w:lineRule="exact"/>
        <w:ind w:left="218" w:right="233"/>
        <w:jc w:val="left"/>
      </w:pPr>
      <w:r>
        <w:rPr/>
        <w:t>注</w:t>
      </w:r>
      <w:r>
        <w:rPr>
          <w:spacing w:val="-61"/>
        </w:rPr>
        <w:t> </w:t>
      </w:r>
      <w:r>
        <w:rPr>
          <w:rFonts w:ascii="宋体" w:hAnsi="宋体" w:cs="宋体" w:eastAsia="宋体" w:hint="default"/>
        </w:rPr>
        <w:t>1</w:t>
      </w:r>
      <w:r>
        <w:rPr/>
        <w:t>：系在英属维尔京群岛注册的公司，不对海外公司征收所得税。</w:t>
      </w:r>
    </w:p>
    <w:p>
      <w:pPr>
        <w:pStyle w:val="BodyText"/>
        <w:spacing w:line="357" w:lineRule="auto" w:before="151"/>
        <w:ind w:left="218" w:right="2629"/>
        <w:jc w:val="left"/>
      </w:pPr>
      <w:r>
        <w:rPr/>
        <w:t>注</w:t>
      </w:r>
      <w:r>
        <w:rPr>
          <w:spacing w:val="-61"/>
        </w:rPr>
        <w:t> </w:t>
      </w:r>
      <w:r>
        <w:rPr>
          <w:rFonts w:ascii="宋体" w:hAnsi="宋体" w:cs="宋体" w:eastAsia="宋体" w:hint="default"/>
        </w:rPr>
        <w:t>2</w:t>
      </w:r>
      <w:r>
        <w:rPr/>
        <w:t>：系在开曼群岛注册的公司，不对海外公司征收所得税。 注</w:t>
      </w:r>
      <w:r>
        <w:rPr>
          <w:spacing w:val="-61"/>
        </w:rPr>
        <w:t> </w:t>
      </w:r>
      <w:r>
        <w:rPr>
          <w:rFonts w:ascii="宋体" w:hAnsi="宋体" w:cs="宋体" w:eastAsia="宋体" w:hint="default"/>
        </w:rPr>
        <w:t>3</w:t>
      </w:r>
      <w:r>
        <w:rPr/>
        <w:t>：系有限合伙公司，不对其征收所得税。</w:t>
      </w:r>
    </w:p>
    <w:p>
      <w:pPr>
        <w:pStyle w:val="Heading2"/>
        <w:spacing w:line="240" w:lineRule="auto" w:before="94"/>
        <w:ind w:right="233"/>
        <w:jc w:val="left"/>
        <w:rPr>
          <w:b w:val="0"/>
          <w:bCs w:val="0"/>
        </w:rPr>
      </w:pPr>
      <w:r>
        <w:rPr>
          <w:rFonts w:ascii="宋体" w:hAnsi="宋体" w:cs="宋体" w:eastAsia="宋体" w:hint="default"/>
        </w:rPr>
        <w:t>2.</w:t>
      </w:r>
      <w:r>
        <w:rPr>
          <w:rFonts w:ascii="宋体" w:hAnsi="宋体" w:cs="宋体" w:eastAsia="宋体" w:hint="default"/>
          <w:spacing w:val="61"/>
        </w:rPr>
        <w:t> </w:t>
      </w:r>
      <w:r>
        <w:rPr/>
        <w:t>税收优惠</w:t>
      </w:r>
      <w:r>
        <w:rPr>
          <w:b w:val="0"/>
          <w:bCs w:val="0"/>
        </w:rPr>
      </w:r>
    </w:p>
    <w:p>
      <w:pPr>
        <w:pStyle w:val="BodyText"/>
        <w:tabs>
          <w:tab w:pos="1177" w:val="left" w:leader="none"/>
        </w:tabs>
        <w:spacing w:line="240" w:lineRule="auto" w:before="58"/>
        <w:ind w:left="218" w:right="233"/>
        <w:jc w:val="left"/>
      </w:pPr>
      <w:r>
        <w:rPr>
          <w:spacing w:val="-1"/>
        </w:rPr>
        <w:t>□适用</w:t>
        <w:tab/>
      </w:r>
      <w:r>
        <w:rPr/>
        <w:t>√不适用</w:t>
      </w:r>
    </w:p>
    <w:p>
      <w:pPr>
        <w:spacing w:line="240" w:lineRule="auto" w:before="1"/>
        <w:rPr>
          <w:rFonts w:ascii="宋体" w:hAnsi="宋体" w:cs="宋体" w:eastAsia="宋体" w:hint="default"/>
          <w:sz w:val="28"/>
          <w:szCs w:val="28"/>
        </w:rPr>
      </w:pPr>
    </w:p>
    <w:p>
      <w:pPr>
        <w:pStyle w:val="Heading2"/>
        <w:spacing w:line="240" w:lineRule="auto" w:before="0"/>
        <w:ind w:right="233"/>
        <w:jc w:val="left"/>
        <w:rPr>
          <w:b w:val="0"/>
          <w:bCs w:val="0"/>
        </w:rPr>
      </w:pPr>
      <w:r>
        <w:rPr>
          <w:rFonts w:ascii="宋体" w:hAnsi="宋体" w:cs="宋体" w:eastAsia="宋体" w:hint="default"/>
        </w:rPr>
        <w:t>3.</w:t>
      </w:r>
      <w:r>
        <w:rPr>
          <w:rFonts w:ascii="宋体" w:hAnsi="宋体" w:cs="宋体" w:eastAsia="宋体" w:hint="default"/>
          <w:spacing w:val="63"/>
        </w:rPr>
        <w:t> </w:t>
      </w:r>
      <w:r>
        <w:rPr/>
        <w:t>其他</w:t>
      </w:r>
      <w:r>
        <w:rPr>
          <w:b w:val="0"/>
          <w:bCs w:val="0"/>
        </w:rPr>
      </w:r>
    </w:p>
    <w:p>
      <w:pPr>
        <w:pStyle w:val="BodyText"/>
        <w:tabs>
          <w:tab w:pos="1177" w:val="left" w:leader="none"/>
        </w:tabs>
        <w:spacing w:line="240" w:lineRule="auto" w:before="58"/>
        <w:ind w:left="218" w:right="233"/>
        <w:jc w:val="left"/>
      </w:pPr>
      <w:r>
        <w:rPr>
          <w:spacing w:val="-1"/>
        </w:rPr>
        <w:t>□适用</w:t>
        <w:tab/>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65"/>
          <w:pgSz w:w="11910" w:h="16840"/>
          <w:pgMar w:footer="1195" w:header="882" w:top="1120" w:bottom="1380" w:left="1580" w:right="1040"/>
        </w:sectPr>
      </w:pPr>
    </w:p>
    <w:p>
      <w:pPr>
        <w:pStyle w:val="Heading2"/>
        <w:tabs>
          <w:tab w:pos="1057" w:val="left" w:leader="none"/>
        </w:tabs>
        <w:spacing w:line="283" w:lineRule="auto"/>
        <w:ind w:right="0"/>
        <w:jc w:val="left"/>
        <w:rPr>
          <w:b w:val="0"/>
          <w:bCs w:val="0"/>
        </w:rPr>
      </w:pPr>
      <w:r>
        <w:rPr/>
        <w:t>七、</w:t>
        <w:tab/>
      </w:r>
      <w:r>
        <w:rPr>
          <w:w w:val="95"/>
        </w:rPr>
        <w:t>合并财务报表项目注释</w:t>
      </w:r>
      <w:r>
        <w:rPr>
          <w:spacing w:val="4"/>
          <w:w w:val="95"/>
        </w:rPr>
        <w:t> </w:t>
      </w:r>
      <w:r>
        <w:rPr>
          <w:spacing w:val="4"/>
          <w:w w:val="95"/>
        </w:rPr>
      </w:r>
      <w:r>
        <w:rPr>
          <w:rFonts w:ascii="宋体" w:hAnsi="宋体" w:cs="宋体" w:eastAsia="宋体" w:hint="default"/>
        </w:rPr>
        <w:t>1</w:t>
      </w:r>
      <w:r>
        <w:rPr/>
        <w:t>、</w:t>
      </w:r>
      <w:r>
        <w:rPr>
          <w:spacing w:val="-64"/>
        </w:rPr>
        <w:t> </w:t>
      </w:r>
      <w:r>
        <w:rPr/>
        <w:t>货币资金</w:t>
      </w:r>
      <w:r>
        <w:rPr>
          <w:b w:val="0"/>
          <w:bCs w:val="0"/>
        </w:rPr>
      </w:r>
    </w:p>
    <w:p>
      <w:pPr>
        <w:pStyle w:val="BodyText"/>
        <w:tabs>
          <w:tab w:pos="1177" w:val="left" w:leader="none"/>
        </w:tabs>
        <w:spacing w:line="240" w:lineRule="auto" w:before="14"/>
        <w:ind w:left="218" w:right="0"/>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000" w:bottom="280" w:left="1580" w:right="1040"/>
          <w:cols w:num="2" w:equalWidth="0">
            <w:col w:w="3467" w:space="2726"/>
            <w:col w:w="3097"/>
          </w:cols>
        </w:sectPr>
      </w:pPr>
    </w:p>
    <w:p>
      <w:pPr>
        <w:spacing w:line="240" w:lineRule="auto" w:before="12"/>
        <w:rPr>
          <w:rFonts w:ascii="宋体" w:hAnsi="宋体" w:cs="宋体" w:eastAsia="宋体" w:hint="default"/>
          <w:sz w:val="2"/>
          <w:szCs w:val="2"/>
        </w:rPr>
      </w:pPr>
    </w:p>
    <w:tbl>
      <w:tblPr>
        <w:tblW w:w="0" w:type="auto"/>
        <w:jc w:val="left"/>
        <w:tblInd w:w="208" w:type="dxa"/>
        <w:tblLayout w:type="fixed"/>
        <w:tblCellMar>
          <w:top w:w="0" w:type="dxa"/>
          <w:left w:w="0" w:type="dxa"/>
          <w:bottom w:w="0" w:type="dxa"/>
          <w:right w:w="0" w:type="dxa"/>
        </w:tblCellMar>
        <w:tblLook w:val="01E0"/>
      </w:tblPr>
      <w:tblGrid>
        <w:gridCol w:w="3267"/>
        <w:gridCol w:w="2974"/>
        <w:gridCol w:w="2605"/>
      </w:tblGrid>
      <w:tr>
        <w:trPr>
          <w:trHeight w:val="322"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16"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left"/>
              <w:rPr>
                <w:rFonts w:ascii="宋体" w:hAnsi="宋体" w:cs="宋体" w:eastAsia="宋体" w:hint="default"/>
                <w:sz w:val="24"/>
                <w:szCs w:val="24"/>
              </w:rPr>
            </w:pPr>
            <w:r>
              <w:rPr>
                <w:rFonts w:ascii="宋体" w:hAnsi="宋体" w:cs="宋体" w:eastAsia="宋体" w:hint="default"/>
                <w:sz w:val="24"/>
                <w:szCs w:val="24"/>
              </w:rPr>
              <w:t>库存现金</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4"/>
                <w:szCs w:val="24"/>
              </w:rPr>
            </w:pPr>
            <w:r>
              <w:rPr>
                <w:rFonts w:ascii="宋体"/>
                <w:sz w:val="24"/>
              </w:rPr>
              <w:t>926,318.54</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4"/>
                <w:szCs w:val="24"/>
              </w:rPr>
            </w:pPr>
            <w:r>
              <w:rPr>
                <w:rFonts w:ascii="宋体"/>
                <w:sz w:val="24"/>
              </w:rPr>
              <w:t>836,843.97</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left"/>
              <w:rPr>
                <w:rFonts w:ascii="宋体" w:hAnsi="宋体" w:cs="宋体" w:eastAsia="宋体" w:hint="default"/>
                <w:sz w:val="24"/>
                <w:szCs w:val="24"/>
              </w:rPr>
            </w:pPr>
            <w:r>
              <w:rPr>
                <w:rFonts w:ascii="宋体" w:hAnsi="宋体" w:cs="宋体" w:eastAsia="宋体" w:hint="default"/>
                <w:sz w:val="24"/>
                <w:szCs w:val="24"/>
              </w:rPr>
              <w:t>银行存款</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4"/>
                <w:szCs w:val="24"/>
              </w:rPr>
            </w:pPr>
            <w:r>
              <w:rPr>
                <w:rFonts w:ascii="宋体"/>
                <w:sz w:val="24"/>
              </w:rPr>
              <w:t>15,006,110,183.53</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4"/>
                <w:szCs w:val="24"/>
              </w:rPr>
            </w:pPr>
            <w:r>
              <w:rPr>
                <w:rFonts w:ascii="宋体"/>
                <w:sz w:val="24"/>
              </w:rPr>
              <w:t>15,038,024,649.42</w:t>
            </w:r>
          </w:p>
        </w:tc>
      </w:tr>
      <w:tr>
        <w:trPr>
          <w:trHeight w:val="319"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left"/>
              <w:rPr>
                <w:rFonts w:ascii="宋体" w:hAnsi="宋体" w:cs="宋体" w:eastAsia="宋体" w:hint="default"/>
                <w:sz w:val="24"/>
                <w:szCs w:val="24"/>
              </w:rPr>
            </w:pPr>
            <w:r>
              <w:rPr>
                <w:rFonts w:ascii="宋体" w:hAnsi="宋体" w:cs="宋体" w:eastAsia="宋体" w:hint="default"/>
                <w:sz w:val="24"/>
                <w:szCs w:val="24"/>
              </w:rPr>
              <w:t>其他货币资金</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4"/>
                <w:szCs w:val="24"/>
              </w:rPr>
            </w:pPr>
            <w:r>
              <w:rPr>
                <w:rFonts w:ascii="宋体"/>
                <w:sz w:val="24"/>
              </w:rPr>
              <w:t>2,801,400,441.57</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4"/>
                <w:szCs w:val="24"/>
              </w:rPr>
            </w:pPr>
            <w:r>
              <w:rPr>
                <w:rFonts w:ascii="宋体"/>
                <w:sz w:val="24"/>
              </w:rPr>
              <w:t>4,130,569,918.01</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right"/>
              <w:rPr>
                <w:rFonts w:ascii="宋体" w:hAnsi="宋体" w:cs="宋体" w:eastAsia="宋体" w:hint="default"/>
                <w:sz w:val="24"/>
                <w:szCs w:val="24"/>
              </w:rPr>
            </w:pPr>
            <w:r>
              <w:rPr>
                <w:rFonts w:ascii="宋体"/>
                <w:sz w:val="24"/>
              </w:rPr>
              <w:t>17,808,436,943.64</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right"/>
              <w:rPr>
                <w:rFonts w:ascii="宋体" w:hAnsi="宋体" w:cs="宋体" w:eastAsia="宋体" w:hint="default"/>
                <w:sz w:val="24"/>
                <w:szCs w:val="24"/>
              </w:rPr>
            </w:pPr>
            <w:r>
              <w:rPr>
                <w:rFonts w:ascii="宋体"/>
                <w:sz w:val="24"/>
              </w:rPr>
              <w:t>19,169,431,411.40</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9"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pacing w:val="-104"/>
                <w:sz w:val="24"/>
                <w:szCs w:val="24"/>
              </w:rPr>
              <w:t>：</w:t>
            </w:r>
            <w:r>
              <w:rPr>
                <w:rFonts w:ascii="宋体" w:hAnsi="宋体" w:cs="宋体" w:eastAsia="宋体" w:hint="default"/>
                <w:sz w:val="24"/>
                <w:szCs w:val="24"/>
              </w:rPr>
              <w:t>存放在境外的款项总额</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4"/>
                <w:szCs w:val="24"/>
              </w:rPr>
            </w:pPr>
            <w:r>
              <w:rPr>
                <w:rFonts w:ascii="宋体"/>
                <w:sz w:val="24"/>
              </w:rPr>
              <w:t>1,313,576,938.69</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4"/>
                <w:szCs w:val="24"/>
              </w:rPr>
            </w:pPr>
            <w:r>
              <w:rPr>
                <w:rFonts w:ascii="宋体"/>
                <w:sz w:val="24"/>
              </w:rPr>
              <w:t>763,278,739.49</w:t>
            </w:r>
          </w:p>
        </w:tc>
      </w:tr>
    </w:tbl>
    <w:p>
      <w:pPr>
        <w:spacing w:line="240" w:lineRule="auto" w:before="10"/>
        <w:rPr>
          <w:rFonts w:ascii="宋体" w:hAnsi="宋体" w:cs="宋体" w:eastAsia="宋体" w:hint="default"/>
          <w:sz w:val="18"/>
          <w:szCs w:val="18"/>
        </w:rPr>
      </w:pPr>
    </w:p>
    <w:p>
      <w:pPr>
        <w:pStyle w:val="BodyText"/>
        <w:spacing w:line="240" w:lineRule="auto" w:before="26"/>
        <w:ind w:left="218" w:right="233"/>
        <w:jc w:val="left"/>
      </w:pPr>
      <w:r>
        <w:rPr/>
        <w:t>其他说明</w:t>
      </w:r>
    </w:p>
    <w:p>
      <w:pPr>
        <w:pStyle w:val="BodyText"/>
        <w:spacing w:line="240" w:lineRule="auto" w:before="94"/>
        <w:ind w:left="698" w:right="0"/>
        <w:jc w:val="left"/>
      </w:pPr>
      <w:r>
        <w:rPr/>
        <w:t>期末使用受限制的货币资金为 </w:t>
      </w:r>
      <w:r>
        <w:rPr>
          <w:rFonts w:ascii="宋体" w:hAnsi="宋体" w:cs="宋体" w:eastAsia="宋体" w:hint="default"/>
        </w:rPr>
        <w:t>1,588,030,929.59</w:t>
      </w:r>
      <w:r>
        <w:rPr>
          <w:rFonts w:ascii="宋体" w:hAnsi="宋体" w:cs="宋体" w:eastAsia="宋体" w:hint="default"/>
          <w:spacing w:val="-48"/>
        </w:rPr>
        <w:t> </w:t>
      </w:r>
      <w:r>
        <w:rPr/>
        <w:t>元，其中：银行存款中用于质</w:t>
      </w:r>
    </w:p>
    <w:p>
      <w:pPr>
        <w:pStyle w:val="BodyText"/>
        <w:spacing w:line="240" w:lineRule="auto" w:before="106"/>
        <w:ind w:left="218" w:right="0"/>
        <w:jc w:val="left"/>
      </w:pPr>
      <w:r>
        <w:rPr/>
        <w:t>押的定期存款</w:t>
      </w:r>
      <w:r>
        <w:rPr>
          <w:spacing w:val="-56"/>
        </w:rPr>
        <w:t> </w:t>
      </w:r>
      <w:r>
        <w:rPr>
          <w:rFonts w:ascii="宋体" w:hAnsi="宋体" w:cs="宋体" w:eastAsia="宋体" w:hint="default"/>
        </w:rPr>
        <w:t>61,130,346.93</w:t>
      </w:r>
      <w:r>
        <w:rPr>
          <w:rFonts w:ascii="宋体" w:hAnsi="宋体" w:cs="宋体" w:eastAsia="宋体" w:hint="default"/>
          <w:spacing w:val="-55"/>
        </w:rPr>
        <w:t> </w:t>
      </w:r>
      <w:r>
        <w:rPr/>
        <w:t>元，其他</w:t>
      </w:r>
      <w:r>
        <w:rPr>
          <w:spacing w:val="-56"/>
        </w:rPr>
        <w:t> </w:t>
      </w:r>
      <w:r>
        <w:rPr>
          <w:rFonts w:ascii="宋体" w:hAnsi="宋体" w:cs="宋体" w:eastAsia="宋体" w:hint="default"/>
        </w:rPr>
        <w:t>450,554.39 </w:t>
      </w:r>
      <w:r>
        <w:rPr/>
        <w:t>元，其他货币资金中银行承兑汇</w:t>
      </w:r>
    </w:p>
    <w:p>
      <w:pPr>
        <w:pStyle w:val="BodyText"/>
        <w:spacing w:line="240" w:lineRule="auto" w:before="106"/>
        <w:ind w:left="218" w:right="0"/>
        <w:jc w:val="left"/>
      </w:pPr>
      <w:r>
        <w:rPr/>
        <w:t>票保证金</w:t>
      </w:r>
      <w:r>
        <w:rPr>
          <w:spacing w:val="-42"/>
        </w:rPr>
        <w:t> </w:t>
      </w:r>
      <w:r>
        <w:rPr>
          <w:rFonts w:ascii="宋体" w:hAnsi="宋体" w:cs="宋体" w:eastAsia="宋体" w:hint="default"/>
        </w:rPr>
        <w:t>50,000,000.00</w:t>
      </w:r>
      <w:r>
        <w:rPr>
          <w:rFonts w:ascii="宋体" w:hAnsi="宋体" w:cs="宋体" w:eastAsia="宋体" w:hint="default"/>
          <w:spacing w:val="-42"/>
        </w:rPr>
        <w:t> </w:t>
      </w:r>
      <w:r>
        <w:rPr/>
        <w:t>元、银行贷款保证金</w:t>
      </w:r>
      <w:r>
        <w:rPr>
          <w:spacing w:val="-42"/>
        </w:rPr>
        <w:t> </w:t>
      </w:r>
      <w:r>
        <w:rPr>
          <w:rFonts w:ascii="宋体" w:hAnsi="宋体" w:cs="宋体" w:eastAsia="宋体" w:hint="default"/>
        </w:rPr>
        <w:t>370,981,310.46</w:t>
      </w:r>
      <w:r>
        <w:rPr>
          <w:rFonts w:ascii="宋体" w:hAnsi="宋体" w:cs="宋体" w:eastAsia="宋体" w:hint="default"/>
          <w:spacing w:val="-42"/>
        </w:rPr>
        <w:t> </w:t>
      </w:r>
      <w:r>
        <w:rPr/>
        <w:t>元、按揭担保保证金</w:t>
      </w:r>
    </w:p>
    <w:p>
      <w:pPr>
        <w:spacing w:after="0" w:line="240" w:lineRule="auto"/>
        <w:jc w:val="left"/>
        <w:sectPr>
          <w:type w:val="continuous"/>
          <w:pgSz w:w="11910" w:h="16840"/>
          <w:pgMar w:top="1000" w:bottom="280" w:left="1580" w:right="1040"/>
        </w:sectPr>
      </w:pPr>
    </w:p>
    <w:p>
      <w:pPr>
        <w:spacing w:line="240" w:lineRule="auto" w:before="0"/>
        <w:rPr>
          <w:rFonts w:ascii="宋体" w:hAnsi="宋体" w:cs="宋体" w:eastAsia="宋体" w:hint="default"/>
          <w:sz w:val="20"/>
          <w:szCs w:val="20"/>
        </w:rPr>
      </w:pPr>
    </w:p>
    <w:p>
      <w:pPr>
        <w:pStyle w:val="BodyText"/>
        <w:spacing w:line="240" w:lineRule="auto" w:before="192"/>
        <w:ind w:left="1138" w:right="0"/>
        <w:jc w:val="left"/>
      </w:pPr>
      <w:r>
        <w:rPr>
          <w:rFonts w:ascii="宋体" w:hAnsi="宋体" w:cs="宋体" w:eastAsia="宋体" w:hint="default"/>
        </w:rPr>
        <w:t>116,953,528.37 </w:t>
      </w:r>
      <w:r>
        <w:rPr>
          <w:spacing w:val="6"/>
        </w:rPr>
        <w:t>元、开工保证金 </w:t>
      </w:r>
      <w:r>
        <w:rPr>
          <w:rFonts w:ascii="宋体" w:hAnsi="宋体" w:cs="宋体" w:eastAsia="宋体" w:hint="default"/>
        </w:rPr>
        <w:t>51,226,401.11</w:t>
      </w:r>
      <w:r>
        <w:rPr>
          <w:rFonts w:ascii="宋体" w:hAnsi="宋体" w:cs="宋体" w:eastAsia="宋体" w:hint="default"/>
          <w:spacing w:val="33"/>
        </w:rPr>
        <w:t> </w:t>
      </w:r>
      <w:r>
        <w:rPr>
          <w:spacing w:val="7"/>
        </w:rPr>
        <w:t>元、不能随时动用的结构性存款</w:t>
      </w:r>
    </w:p>
    <w:p>
      <w:pPr>
        <w:pStyle w:val="BodyText"/>
        <w:tabs>
          <w:tab w:pos="4078" w:val="left" w:leader="none"/>
        </w:tabs>
        <w:spacing w:line="240" w:lineRule="auto" w:before="106"/>
        <w:ind w:left="1138" w:right="0"/>
        <w:jc w:val="left"/>
      </w:pPr>
      <w:r>
        <w:rPr>
          <w:rFonts w:ascii="宋体" w:hAnsi="宋体" w:cs="宋体" w:eastAsia="宋体" w:hint="default"/>
        </w:rPr>
        <w:t>925,000,000.00</w:t>
      </w:r>
      <w:r>
        <w:rPr>
          <w:rFonts w:ascii="宋体" w:hAnsi="宋体" w:cs="宋体" w:eastAsia="宋体" w:hint="default"/>
          <w:spacing w:val="-61"/>
        </w:rPr>
        <w:t> </w:t>
      </w:r>
      <w:r>
        <w:rPr/>
        <w:t>元，其他</w:t>
        <w:tab/>
      </w:r>
      <w:r>
        <w:rPr>
          <w:rFonts w:ascii="宋体" w:hAnsi="宋体" w:cs="宋体" w:eastAsia="宋体" w:hint="default"/>
        </w:rPr>
        <w:t>12,288,788.33</w:t>
      </w:r>
      <w:r>
        <w:rPr>
          <w:rFonts w:ascii="宋体" w:hAnsi="宋体" w:cs="宋体" w:eastAsia="宋体" w:hint="default"/>
          <w:spacing w:val="-60"/>
        </w:rPr>
        <w:t> </w:t>
      </w:r>
      <w:r>
        <w:rPr/>
        <w:t>元。</w:t>
      </w:r>
    </w:p>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66"/>
          <w:pgSz w:w="11910" w:h="16840"/>
          <w:pgMar w:footer="1195" w:header="882" w:top="1120" w:bottom="1380" w:left="660" w:right="120"/>
          <w:pgNumType w:start="121"/>
        </w:sectPr>
      </w:pPr>
    </w:p>
    <w:p>
      <w:pPr>
        <w:pStyle w:val="Heading2"/>
        <w:spacing w:line="240" w:lineRule="auto"/>
        <w:ind w:left="1138" w:right="-17"/>
        <w:jc w:val="left"/>
        <w:rPr>
          <w:b w:val="0"/>
          <w:bCs w:val="0"/>
        </w:rPr>
      </w:pPr>
      <w:r>
        <w:rPr>
          <w:rFonts w:ascii="宋体" w:hAnsi="宋体" w:cs="宋体" w:eastAsia="宋体" w:hint="default"/>
        </w:rPr>
        <w:t>2</w:t>
      </w:r>
      <w:r>
        <w:rPr/>
        <w:t>、</w:t>
      </w:r>
      <w:r>
        <w:rPr>
          <w:spacing w:val="-67"/>
        </w:rPr>
        <w:t> </w:t>
      </w:r>
      <w:r>
        <w:rPr/>
        <w:t>以公允价值计量且其变动计入当期损益的金融资产</w:t>
      </w:r>
      <w:r>
        <w:rPr>
          <w:b w:val="0"/>
          <w:bCs w:val="0"/>
        </w:rPr>
      </w:r>
    </w:p>
    <w:p>
      <w:pPr>
        <w:pStyle w:val="BodyText"/>
        <w:spacing w:line="240" w:lineRule="auto" w:before="58"/>
        <w:ind w:left="1138"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634" w:val="left" w:leader="none"/>
        </w:tabs>
        <w:spacing w:line="240" w:lineRule="auto"/>
        <w:ind w:left="433" w:right="0"/>
        <w:jc w:val="left"/>
      </w:pPr>
      <w:r>
        <w:rPr/>
        <w:t>单位：元</w:t>
        <w:tab/>
        <w:t>币种：人民币</w:t>
      </w:r>
    </w:p>
    <w:p>
      <w:pPr>
        <w:spacing w:after="0" w:line="240" w:lineRule="auto"/>
        <w:jc w:val="left"/>
        <w:sectPr>
          <w:type w:val="continuous"/>
          <w:pgSz w:w="11910" w:h="16840"/>
          <w:pgMar w:top="1000" w:bottom="280" w:left="660" w:right="120"/>
          <w:cols w:num="2" w:equalWidth="0">
            <w:col w:w="6858" w:space="40"/>
            <w:col w:w="4232"/>
          </w:cols>
        </w:sectPr>
      </w:pPr>
    </w:p>
    <w:p>
      <w:pPr>
        <w:spacing w:line="240" w:lineRule="auto" w:before="12"/>
        <w:rPr>
          <w:rFonts w:ascii="宋体" w:hAnsi="宋体" w:cs="宋体" w:eastAsia="宋体" w:hint="default"/>
          <w:sz w:val="2"/>
          <w:szCs w:val="2"/>
        </w:rPr>
      </w:pPr>
    </w:p>
    <w:tbl>
      <w:tblPr>
        <w:tblW w:w="0" w:type="auto"/>
        <w:jc w:val="left"/>
        <w:tblInd w:w="1025" w:type="dxa"/>
        <w:tblLayout w:type="fixed"/>
        <w:tblCellMar>
          <w:top w:w="0" w:type="dxa"/>
          <w:left w:w="0" w:type="dxa"/>
          <w:bottom w:w="0" w:type="dxa"/>
          <w:right w:w="0" w:type="dxa"/>
        </w:tblCellMar>
        <w:tblLook w:val="01E0"/>
      </w:tblPr>
      <w:tblGrid>
        <w:gridCol w:w="3133"/>
        <w:gridCol w:w="2900"/>
        <w:gridCol w:w="3017"/>
      </w:tblGrid>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2"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600,235,715.17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76,800,595.53</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344,092,551.84</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57"/>
              <w:jc w:val="right"/>
              <w:rPr>
                <w:rFonts w:ascii="宋体" w:hAnsi="宋体" w:cs="宋体" w:eastAsia="宋体" w:hint="default"/>
                <w:sz w:val="24"/>
                <w:szCs w:val="24"/>
              </w:rPr>
            </w:pPr>
            <w:r>
              <w:rPr>
                <w:rFonts w:ascii="宋体" w:hAnsi="宋体" w:cs="宋体" w:eastAsia="宋体" w:hint="default"/>
                <w:sz w:val="24"/>
                <w:szCs w:val="24"/>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251,846,298.41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596,400.00</w:t>
            </w:r>
          </w:p>
        </w:tc>
      </w:tr>
      <w:tr>
        <w:trPr>
          <w:trHeight w:val="319"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57"/>
              <w:jc w:val="right"/>
              <w:rPr>
                <w:rFonts w:ascii="宋体" w:hAnsi="宋体" w:cs="宋体" w:eastAsia="宋体" w:hint="default"/>
                <w:sz w:val="24"/>
                <w:szCs w:val="24"/>
              </w:rPr>
            </w:pPr>
            <w:r>
              <w:rPr>
                <w:rFonts w:ascii="宋体" w:hAnsi="宋体" w:cs="宋体" w:eastAsia="宋体" w:hint="default"/>
                <w:sz w:val="24"/>
                <w:szCs w:val="24"/>
              </w:rPr>
              <w:t>衍生金融资产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32,234.27</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5"/>
              <w:jc w:val="right"/>
              <w:rPr>
                <w:rFonts w:ascii="宋体" w:hAnsi="宋体" w:cs="宋体" w:eastAsia="宋体" w:hint="default"/>
                <w:sz w:val="24"/>
                <w:szCs w:val="24"/>
              </w:rPr>
            </w:pPr>
            <w:r>
              <w:rPr>
                <w:rFonts w:ascii="宋体"/>
                <w:sz w:val="24"/>
              </w:rPr>
              <w:t>4,296,864.92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76,171,961.26</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600,235,715.17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76,800,595.53</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00" w:bottom="280" w:left="660" w:right="120"/>
        </w:sectPr>
      </w:pPr>
    </w:p>
    <w:p>
      <w:pPr>
        <w:pStyle w:val="Heading2"/>
        <w:spacing w:line="240" w:lineRule="auto"/>
        <w:ind w:left="1138" w:right="-19"/>
        <w:jc w:val="left"/>
        <w:rPr>
          <w:b w:val="0"/>
          <w:bCs w:val="0"/>
        </w:rPr>
      </w:pPr>
      <w:r>
        <w:rPr>
          <w:rFonts w:ascii="宋体" w:hAnsi="宋体" w:cs="宋体" w:eastAsia="宋体" w:hint="default"/>
        </w:rPr>
        <w:t>3</w:t>
      </w:r>
      <w:r>
        <w:rPr/>
        <w:t>、</w:t>
      </w:r>
      <w:r>
        <w:rPr>
          <w:spacing w:val="-64"/>
        </w:rPr>
        <w:t> </w:t>
      </w:r>
      <w:r>
        <w:rPr/>
        <w:t>应收账款</w:t>
      </w:r>
      <w:r>
        <w:rPr>
          <w:b w:val="0"/>
          <w:bCs w:val="0"/>
        </w:rPr>
      </w:r>
    </w:p>
    <w:p>
      <w:pPr>
        <w:pStyle w:val="Heading2"/>
        <w:spacing w:line="240" w:lineRule="auto" w:before="58"/>
        <w:ind w:left="1138" w:right="-19"/>
        <w:jc w:val="left"/>
        <w:rPr>
          <w:b w:val="0"/>
          <w:bCs w:val="0"/>
        </w:rPr>
      </w:pPr>
      <w:r>
        <w:rPr>
          <w:rFonts w:ascii="宋体" w:hAnsi="宋体" w:cs="宋体" w:eastAsia="宋体" w:hint="default"/>
        </w:rPr>
        <w:t>(1).</w:t>
      </w:r>
      <w:r>
        <w:rPr>
          <w:rFonts w:ascii="宋体" w:hAnsi="宋体" w:cs="宋体" w:eastAsia="宋体" w:hint="default"/>
          <w:spacing w:val="-34"/>
        </w:rPr>
        <w:t> </w:t>
      </w:r>
      <w:r>
        <w:rPr/>
        <w:t>应收账款分类披露</w:t>
      </w:r>
      <w:r>
        <w:rPr>
          <w:b w:val="0"/>
          <w:bCs w:val="0"/>
        </w:rPr>
      </w:r>
    </w:p>
    <w:p>
      <w:pPr>
        <w:pStyle w:val="BodyText"/>
        <w:spacing w:line="240" w:lineRule="auto" w:before="55"/>
        <w:ind w:left="113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tabs>
          <w:tab w:pos="2338" w:val="left" w:leader="none"/>
        </w:tabs>
        <w:spacing w:line="240" w:lineRule="auto"/>
        <w:ind w:left="1138" w:right="0"/>
        <w:jc w:val="left"/>
      </w:pPr>
      <w:r>
        <w:rPr/>
        <w:t>单位：元</w:t>
        <w:tab/>
        <w:t>币种：人民币</w:t>
      </w:r>
    </w:p>
    <w:p>
      <w:pPr>
        <w:spacing w:after="0" w:line="240" w:lineRule="auto"/>
        <w:jc w:val="left"/>
        <w:sectPr>
          <w:type w:val="continuous"/>
          <w:pgSz w:w="11910" w:h="16840"/>
          <w:pgMar w:top="1000" w:bottom="280" w:left="660" w:right="120"/>
          <w:cols w:num="2" w:equalWidth="0">
            <w:col w:w="3639" w:space="2451"/>
            <w:col w:w="5040"/>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140"/>
        <w:gridCol w:w="1238"/>
        <w:gridCol w:w="607"/>
        <w:gridCol w:w="1239"/>
        <w:gridCol w:w="514"/>
        <w:gridCol w:w="1239"/>
        <w:gridCol w:w="1327"/>
        <w:gridCol w:w="605"/>
        <w:gridCol w:w="1239"/>
        <w:gridCol w:w="514"/>
        <w:gridCol w:w="1236"/>
      </w:tblGrid>
      <w:tr>
        <w:trPr>
          <w:trHeight w:val="269" w:hRule="exact"/>
        </w:trPr>
        <w:tc>
          <w:tcPr>
            <w:tcW w:w="11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8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9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3" w:hRule="exact"/>
        </w:trPr>
        <w:tc>
          <w:tcPr>
            <w:tcW w:w="1140" w:type="dxa"/>
            <w:vMerge/>
            <w:tcBorders>
              <w:left w:val="single" w:sz="4" w:space="0" w:color="000000"/>
              <w:right w:val="single" w:sz="4" w:space="0" w:color="000000"/>
            </w:tcBorders>
          </w:tcPr>
          <w:p>
            <w:pPr/>
          </w:p>
        </w:tc>
        <w:tc>
          <w:tcPr>
            <w:tcW w:w="1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5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0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3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435"/>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3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432"/>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10" w:hRule="exact"/>
        </w:trPr>
        <w:tc>
          <w:tcPr>
            <w:tcW w:w="1140" w:type="dxa"/>
            <w:vMerge/>
            <w:tcBorders>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119"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2" w:lineRule="exact" w:before="24"/>
              <w:ind w:left="112" w:right="72"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39" w:type="dxa"/>
            <w:vMerge/>
            <w:tcBorders>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0" w:right="119"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1"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2" w:lineRule="exact" w:before="24"/>
              <w:ind w:left="115" w:right="71"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36" w:type="dxa"/>
            <w:vMerge/>
            <w:tcBorders>
              <w:left w:val="single" w:sz="4" w:space="0" w:color="000000"/>
              <w:bottom w:val="single" w:sz="4" w:space="0" w:color="000000"/>
              <w:right w:val="single" w:sz="4" w:space="0" w:color="000000"/>
            </w:tcBorders>
          </w:tcPr>
          <w:p>
            <w:pPr/>
          </w:p>
        </w:tc>
      </w:tr>
      <w:tr>
        <w:trPr>
          <w:trHeight w:val="943"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z w:val="18"/>
                <w:szCs w:val="18"/>
              </w:rPr>
              <w:t>单项金额重</w:t>
            </w:r>
          </w:p>
          <w:p>
            <w:pPr>
              <w:pStyle w:val="TableParagraph"/>
              <w:spacing w:line="232" w:lineRule="exact" w:before="24"/>
              <w:ind w:left="26" w:right="202"/>
              <w:jc w:val="both"/>
              <w:rPr>
                <w:rFonts w:ascii="宋体" w:hAnsi="宋体" w:cs="宋体" w:eastAsia="宋体" w:hint="default"/>
                <w:sz w:val="18"/>
                <w:szCs w:val="18"/>
              </w:rPr>
            </w:pPr>
            <w:r>
              <w:rPr>
                <w:rFonts w:ascii="宋体" w:hAnsi="宋体" w:cs="宋体" w:eastAsia="宋体" w:hint="default"/>
                <w:sz w:val="18"/>
                <w:szCs w:val="18"/>
              </w:rPr>
              <w:t>大并单独计 提坏账准备 的应收账款</w:t>
            </w:r>
          </w:p>
        </w:tc>
        <w:tc>
          <w:tcPr>
            <w:tcW w:w="1238"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both"/>
              <w:rPr>
                <w:rFonts w:ascii="宋体" w:hAnsi="宋体" w:cs="宋体" w:eastAsia="宋体" w:hint="default"/>
                <w:sz w:val="18"/>
                <w:szCs w:val="18"/>
              </w:rPr>
            </w:pPr>
            <w:r>
              <w:rPr>
                <w:rFonts w:ascii="宋体" w:hAnsi="宋体" w:cs="宋体" w:eastAsia="宋体" w:hint="default"/>
                <w:sz w:val="18"/>
                <w:szCs w:val="18"/>
              </w:rPr>
              <w:t>按信用风险</w:t>
            </w:r>
          </w:p>
          <w:p>
            <w:pPr>
              <w:pStyle w:val="TableParagraph"/>
              <w:spacing w:line="232" w:lineRule="exact" w:before="23"/>
              <w:ind w:left="26" w:right="202"/>
              <w:jc w:val="both"/>
              <w:rPr>
                <w:rFonts w:ascii="宋体" w:hAnsi="宋体" w:cs="宋体" w:eastAsia="宋体" w:hint="default"/>
                <w:sz w:val="18"/>
                <w:szCs w:val="18"/>
              </w:rPr>
            </w:pPr>
            <w:r>
              <w:rPr>
                <w:rFonts w:ascii="宋体" w:hAnsi="宋体" w:cs="宋体" w:eastAsia="宋体" w:hint="default"/>
                <w:sz w:val="18"/>
                <w:szCs w:val="18"/>
              </w:rPr>
              <w:t>特征组合计 提坏账准备 的应收账款</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sz w:val="18"/>
              </w:rPr>
              <w:t>89,668,728.43</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 w:right="0"/>
              <w:jc w:val="center"/>
              <w:rPr>
                <w:rFonts w:ascii="宋体" w:hAnsi="宋体" w:cs="宋体" w:eastAsia="宋体" w:hint="default"/>
                <w:sz w:val="18"/>
                <w:szCs w:val="18"/>
              </w:rPr>
            </w:pPr>
            <w:r>
              <w:rPr>
                <w:rFonts w:ascii="宋体"/>
                <w:sz w:val="18"/>
              </w:rPr>
              <w:t>100.00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12,302,394.78</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sz w:val="18"/>
              </w:rPr>
              <w:t>13.72</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77,366,333.65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105,032,136.96</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 w:right="0"/>
              <w:jc w:val="center"/>
              <w:rPr>
                <w:rFonts w:ascii="宋体" w:hAnsi="宋体" w:cs="宋体" w:eastAsia="宋体" w:hint="default"/>
                <w:sz w:val="18"/>
                <w:szCs w:val="18"/>
              </w:rPr>
            </w:pPr>
            <w:r>
              <w:rPr>
                <w:rFonts w:ascii="宋体"/>
                <w:sz w:val="18"/>
              </w:rPr>
              <w:t>100.00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sz w:val="18"/>
              </w:rPr>
              <w:t>15,662,461.05</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14.91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sz w:val="18"/>
              </w:rPr>
              <w:t>89,369,675.91</w:t>
            </w:r>
          </w:p>
        </w:tc>
      </w:tr>
      <w:tr>
        <w:trPr>
          <w:trHeight w:val="1177"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单项金额不</w:t>
            </w:r>
          </w:p>
          <w:p>
            <w:pPr>
              <w:pStyle w:val="TableParagraph"/>
              <w:spacing w:line="237" w:lineRule="auto"/>
              <w:ind w:left="26" w:right="202"/>
              <w:jc w:val="both"/>
              <w:rPr>
                <w:rFonts w:ascii="宋体" w:hAnsi="宋体" w:cs="宋体" w:eastAsia="宋体" w:hint="default"/>
                <w:sz w:val="18"/>
                <w:szCs w:val="18"/>
              </w:rPr>
            </w:pPr>
            <w:r>
              <w:rPr>
                <w:rFonts w:ascii="宋体" w:hAnsi="宋体" w:cs="宋体" w:eastAsia="宋体" w:hint="default"/>
                <w:sz w:val="18"/>
                <w:szCs w:val="18"/>
              </w:rPr>
              <w:t>重大但单独 计提坏账准 备的应收账 款</w:t>
            </w:r>
          </w:p>
        </w:tc>
        <w:tc>
          <w:tcPr>
            <w:tcW w:w="1238"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89,668,728.43</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12,302,394.78</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13.72</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77,366,333.65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105,032,136.96</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100.00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15,662,461.05</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14.91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89,369,675.91</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00" w:bottom="280" w:left="660" w:right="120"/>
        </w:sectPr>
      </w:pPr>
    </w:p>
    <w:p>
      <w:pPr>
        <w:pStyle w:val="BodyText"/>
        <w:spacing w:line="313" w:lineRule="exact" w:before="26"/>
        <w:ind w:left="1138" w:right="-20"/>
        <w:jc w:val="left"/>
      </w:pPr>
      <w:r>
        <w:rPr/>
        <w:t>期末单项金额重大并单项计提坏帐准备的应收账款</w:t>
      </w:r>
    </w:p>
    <w:p>
      <w:pPr>
        <w:pStyle w:val="BodyText"/>
        <w:spacing w:line="312" w:lineRule="exact" w:before="29"/>
        <w:ind w:left="1138" w:right="-20"/>
        <w:jc w:val="left"/>
      </w:pPr>
      <w:r>
        <w:rPr/>
        <w:t>□适用</w:t>
      </w:r>
      <w:r>
        <w:rPr>
          <w:spacing w:val="-1"/>
        </w:rPr>
        <w:t> </w:t>
      </w:r>
      <w:r>
        <w:rPr/>
        <w:t>√不适用</w:t>
      </w:r>
      <w:r>
        <w:rPr/>
        <w:t> 组合中，按账龄分析法计提坏账准备的应收账款：</w:t>
      </w:r>
    </w:p>
    <w:p>
      <w:pPr>
        <w:pStyle w:val="BodyText"/>
        <w:spacing w:line="281" w:lineRule="exact"/>
        <w:ind w:left="113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5"/>
          <w:szCs w:val="25"/>
        </w:rPr>
      </w:pPr>
    </w:p>
    <w:p>
      <w:pPr>
        <w:pStyle w:val="BodyText"/>
        <w:tabs>
          <w:tab w:pos="2073" w:val="left" w:leader="none"/>
        </w:tabs>
        <w:spacing w:line="240" w:lineRule="auto"/>
        <w:ind w:left="872" w:right="0"/>
        <w:jc w:val="left"/>
      </w:pPr>
      <w:r>
        <w:rPr/>
        <w:t>单位：元</w:t>
        <w:tab/>
        <w:t>币种：人民币</w:t>
      </w:r>
    </w:p>
    <w:p>
      <w:pPr>
        <w:spacing w:after="0" w:line="240" w:lineRule="auto"/>
        <w:jc w:val="left"/>
        <w:sectPr>
          <w:type w:val="continuous"/>
          <w:pgSz w:w="11910" w:h="16840"/>
          <w:pgMar w:top="1000" w:bottom="280" w:left="660" w:right="120"/>
          <w:cols w:num="2" w:equalWidth="0">
            <w:col w:w="6419" w:space="40"/>
            <w:col w:w="4671"/>
          </w:cols>
        </w:sectPr>
      </w:pPr>
    </w:p>
    <w:p>
      <w:pPr>
        <w:spacing w:line="240" w:lineRule="auto" w:before="12"/>
        <w:rPr>
          <w:rFonts w:ascii="宋体" w:hAnsi="宋体" w:cs="宋体" w:eastAsia="宋体" w:hint="default"/>
          <w:sz w:val="2"/>
          <w:szCs w:val="2"/>
        </w:rPr>
      </w:pPr>
    </w:p>
    <w:tbl>
      <w:tblPr>
        <w:tblW w:w="0" w:type="auto"/>
        <w:jc w:val="left"/>
        <w:tblInd w:w="1102" w:type="dxa"/>
        <w:tblLayout w:type="fixed"/>
        <w:tblCellMar>
          <w:top w:w="0" w:type="dxa"/>
          <w:left w:w="0" w:type="dxa"/>
          <w:bottom w:w="0" w:type="dxa"/>
          <w:right w:w="0" w:type="dxa"/>
        </w:tblCellMar>
        <w:tblLook w:val="01E0"/>
      </w:tblPr>
      <w:tblGrid>
        <w:gridCol w:w="2048"/>
        <w:gridCol w:w="2282"/>
        <w:gridCol w:w="2316"/>
        <w:gridCol w:w="2249"/>
      </w:tblGrid>
      <w:tr>
        <w:trPr>
          <w:trHeight w:val="320"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21"/>
              <w:ind w:left="1" w:right="0"/>
              <w:jc w:val="center"/>
              <w:rPr>
                <w:rFonts w:ascii="宋体" w:hAnsi="宋体" w:cs="宋体" w:eastAsia="宋体" w:hint="default"/>
                <w:sz w:val="24"/>
                <w:szCs w:val="24"/>
              </w:rPr>
            </w:pPr>
            <w:r>
              <w:rPr>
                <w:rFonts w:ascii="宋体" w:hAnsi="宋体" w:cs="宋体" w:eastAsia="宋体" w:hint="default"/>
                <w:sz w:val="24"/>
                <w:szCs w:val="24"/>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55"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72"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38" w:right="0"/>
              <w:jc w:val="lef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w:t>
            </w:r>
            <w:r>
              <w:rPr>
                <w:rFonts w:ascii="宋体" w:hAnsi="宋体" w:cs="宋体" w:eastAsia="宋体" w:hint="default"/>
                <w:sz w:val="24"/>
                <w:szCs w:val="24"/>
              </w:rPr>
              <w:t>）</w:t>
            </w:r>
          </w:p>
        </w:tc>
      </w:tr>
    </w:tbl>
    <w:p>
      <w:pPr>
        <w:spacing w:after="0" w:line="276" w:lineRule="exact"/>
        <w:jc w:val="left"/>
        <w:rPr>
          <w:rFonts w:ascii="宋体" w:hAnsi="宋体" w:cs="宋体" w:eastAsia="宋体" w:hint="default"/>
          <w:sz w:val="24"/>
          <w:szCs w:val="24"/>
        </w:rPr>
        <w:sectPr>
          <w:type w:val="continuous"/>
          <w:pgSz w:w="11910" w:h="16840"/>
          <w:pgMar w:top="1000" w:bottom="280" w:left="660" w:right="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048"/>
        <w:gridCol w:w="2282"/>
        <w:gridCol w:w="2316"/>
        <w:gridCol w:w="2249"/>
      </w:tblGrid>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pacing w:val="-116"/>
                <w:sz w:val="24"/>
                <w:szCs w:val="24"/>
              </w:rPr>
              <w:t>：</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1"/>
                <w:sz w:val="24"/>
                <w:szCs w:val="24"/>
              </w:rPr>
              <w:t> </w:t>
            </w:r>
            <w:r>
              <w:rPr>
                <w:rFonts w:ascii="宋体" w:hAnsi="宋体" w:cs="宋体" w:eastAsia="宋体" w:hint="default"/>
                <w:sz w:val="24"/>
                <w:szCs w:val="24"/>
              </w:rPr>
              <w:t>年以内</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78,062,961.20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3,122,518.45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4.00</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78,062,961.20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3,122,518.45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4.00</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1,414,011.85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113,120.95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8.00</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2,250,000.00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1,125,000.00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50.00</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7,941,755.38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7,941,755.38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100.00</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89,668,728.43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12,302,394.78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13.72</w:t>
            </w:r>
          </w:p>
        </w:tc>
      </w:tr>
    </w:tbl>
    <w:p>
      <w:pPr>
        <w:spacing w:line="240" w:lineRule="auto" w:before="10"/>
        <w:rPr>
          <w:rFonts w:ascii="宋体" w:hAnsi="宋体" w:cs="宋体" w:eastAsia="宋体" w:hint="default"/>
          <w:sz w:val="18"/>
          <w:szCs w:val="18"/>
        </w:rPr>
      </w:pPr>
    </w:p>
    <w:p>
      <w:pPr>
        <w:pStyle w:val="BodyText"/>
        <w:spacing w:line="312" w:lineRule="exact" w:before="26"/>
        <w:ind w:right="140"/>
        <w:jc w:val="left"/>
      </w:pPr>
      <w:r>
        <w:rPr/>
        <w:t>组合中，采用余额百分比法计提坏账准备的应收账款：</w:t>
      </w:r>
    </w:p>
    <w:p>
      <w:pPr>
        <w:pStyle w:val="BodyText"/>
        <w:spacing w:line="312" w:lineRule="exact"/>
        <w:ind w:right="140"/>
        <w:jc w:val="left"/>
      </w:pPr>
      <w:r>
        <w:rPr/>
        <w:t>□适用</w:t>
      </w:r>
      <w:r>
        <w:rPr>
          <w:spacing w:val="-1"/>
        </w:rPr>
        <w:t> </w:t>
      </w:r>
      <w:r>
        <w:rPr/>
        <w:t>√不适用</w:t>
      </w:r>
    </w:p>
    <w:p>
      <w:pPr>
        <w:spacing w:line="240" w:lineRule="auto" w:before="9"/>
        <w:rPr>
          <w:rFonts w:ascii="宋体" w:hAnsi="宋体" w:cs="宋体" w:eastAsia="宋体" w:hint="default"/>
          <w:sz w:val="23"/>
          <w:szCs w:val="23"/>
        </w:rPr>
      </w:pPr>
    </w:p>
    <w:p>
      <w:pPr>
        <w:pStyle w:val="BodyText"/>
        <w:spacing w:line="312" w:lineRule="exact"/>
        <w:ind w:right="140"/>
        <w:jc w:val="left"/>
      </w:pPr>
      <w:r>
        <w:rPr/>
        <w:t>组合中，采用其他方法计提坏账准备的应收账款：</w:t>
      </w:r>
    </w:p>
    <w:p>
      <w:pPr>
        <w:pStyle w:val="BodyText"/>
        <w:tabs>
          <w:tab w:pos="1097" w:val="left" w:leader="none"/>
        </w:tabs>
        <w:spacing w:line="312" w:lineRule="exact"/>
        <w:ind w:right="140"/>
        <w:jc w:val="left"/>
      </w:pPr>
      <w:r>
        <w:rPr>
          <w:spacing w:val="-1"/>
        </w:rPr>
        <w:t>□适用</w:t>
        <w:tab/>
      </w:r>
      <w:r>
        <w:rPr/>
        <w:t>√不适用</w:t>
      </w:r>
    </w:p>
    <w:p>
      <w:pPr>
        <w:spacing w:line="240" w:lineRule="auto" w:before="4"/>
        <w:rPr>
          <w:rFonts w:ascii="宋体" w:hAnsi="宋体" w:cs="宋体" w:eastAsia="宋体" w:hint="default"/>
          <w:sz w:val="28"/>
          <w:szCs w:val="28"/>
        </w:rPr>
      </w:pPr>
    </w:p>
    <w:p>
      <w:pPr>
        <w:pStyle w:val="Heading2"/>
        <w:spacing w:line="240" w:lineRule="auto" w:before="0"/>
        <w:ind w:left="138" w:right="140"/>
        <w:jc w:val="left"/>
        <w:rPr>
          <w:b w:val="0"/>
          <w:bCs w:val="0"/>
        </w:rPr>
      </w:pPr>
      <w:r>
        <w:rPr>
          <w:rFonts w:ascii="宋体" w:hAnsi="宋体" w:cs="宋体" w:eastAsia="宋体" w:hint="default"/>
        </w:rPr>
        <w:t>(2).</w:t>
      </w:r>
      <w:r>
        <w:rPr>
          <w:rFonts w:ascii="宋体" w:hAnsi="宋体" w:cs="宋体" w:eastAsia="宋体" w:hint="default"/>
          <w:spacing w:val="-35"/>
        </w:rPr>
        <w:t> </w:t>
      </w:r>
      <w:r>
        <w:rPr/>
        <w:t>本期计提、收回或转回的坏账准备情况：</w:t>
      </w:r>
      <w:r>
        <w:rPr>
          <w:b w:val="0"/>
          <w:bCs w:val="0"/>
        </w:rPr>
      </w:r>
    </w:p>
    <w:p>
      <w:pPr>
        <w:pStyle w:val="BodyText"/>
        <w:spacing w:line="240" w:lineRule="auto" w:before="55"/>
        <w:ind w:left="618" w:right="140"/>
        <w:jc w:val="left"/>
        <w:rPr>
          <w:rFonts w:ascii="宋体" w:hAnsi="宋体" w:cs="宋体" w:eastAsia="宋体" w:hint="default"/>
        </w:rPr>
      </w:pPr>
      <w:r>
        <w:rPr/>
        <w:t>本期计提坏账准备金额</w:t>
      </w:r>
      <w:r>
        <w:rPr>
          <w:rFonts w:ascii="宋体" w:hAnsi="宋体" w:cs="宋体" w:eastAsia="宋体" w:hint="default"/>
        </w:rPr>
        <w:t>-3,314,699.40</w:t>
      </w:r>
      <w:r>
        <w:rPr>
          <w:rFonts w:ascii="宋体" w:hAnsi="宋体" w:cs="宋体" w:eastAsia="宋体" w:hint="default"/>
          <w:spacing w:val="-60"/>
        </w:rPr>
        <w:t> </w:t>
      </w:r>
      <w:r>
        <w:rPr/>
        <w:t>元；本期收回或转回坏账准备金额</w:t>
      </w:r>
      <w:r>
        <w:rPr>
          <w:spacing w:val="-59"/>
        </w:rPr>
        <w:t> </w:t>
      </w:r>
      <w:r>
        <w:rPr>
          <w:rFonts w:ascii="宋体" w:hAnsi="宋体" w:cs="宋体" w:eastAsia="宋体" w:hint="default"/>
        </w:rPr>
        <w:t>0.00</w:t>
      </w:r>
    </w:p>
    <w:p>
      <w:pPr>
        <w:pStyle w:val="BodyText"/>
        <w:spacing w:line="240" w:lineRule="auto" w:before="154"/>
        <w:ind w:right="140"/>
        <w:jc w:val="left"/>
      </w:pPr>
      <w:r>
        <w:rPr/>
        <w:t>元，因合并范围变更影响，减少坏账准备</w:t>
      </w:r>
      <w:r>
        <w:rPr>
          <w:spacing w:val="-61"/>
        </w:rPr>
        <w:t> </w:t>
      </w:r>
      <w:r>
        <w:rPr>
          <w:rFonts w:ascii="宋体" w:hAnsi="宋体" w:cs="宋体" w:eastAsia="宋体" w:hint="default"/>
        </w:rPr>
        <w:t>45,366.87</w:t>
      </w:r>
      <w:r>
        <w:rPr>
          <w:rFonts w:ascii="宋体" w:hAnsi="宋体" w:cs="宋体" w:eastAsia="宋体" w:hint="default"/>
          <w:spacing w:val="-61"/>
        </w:rPr>
        <w:t> </w:t>
      </w:r>
      <w:r>
        <w:rPr/>
        <w:t>元。</w:t>
      </w:r>
    </w:p>
    <w:p>
      <w:pPr>
        <w:spacing w:line="240" w:lineRule="auto" w:before="0"/>
        <w:rPr>
          <w:rFonts w:ascii="宋体" w:hAnsi="宋体" w:cs="宋体" w:eastAsia="宋体" w:hint="default"/>
          <w:sz w:val="24"/>
          <w:szCs w:val="24"/>
        </w:rPr>
      </w:pPr>
    </w:p>
    <w:p>
      <w:pPr>
        <w:pStyle w:val="Heading2"/>
        <w:spacing w:line="240" w:lineRule="auto" w:before="209"/>
        <w:ind w:left="138" w:right="140"/>
        <w:jc w:val="left"/>
        <w:rPr>
          <w:b w:val="0"/>
          <w:bCs w:val="0"/>
        </w:rPr>
      </w:pPr>
      <w:r>
        <w:rPr>
          <w:rFonts w:ascii="宋体" w:hAnsi="宋体" w:cs="宋体" w:eastAsia="宋体" w:hint="default"/>
        </w:rPr>
        <w:t>(3).</w:t>
      </w:r>
      <w:r>
        <w:rPr>
          <w:rFonts w:ascii="宋体" w:hAnsi="宋体" w:cs="宋体" w:eastAsia="宋体" w:hint="default"/>
          <w:spacing w:val="-33"/>
        </w:rPr>
        <w:t> </w:t>
      </w:r>
      <w:r>
        <w:rPr/>
        <w:t>本期实际核销的应收账款情况</w:t>
      </w:r>
      <w:r>
        <w:rPr>
          <w:b w:val="0"/>
          <w:bCs w:val="0"/>
        </w:rPr>
      </w:r>
    </w:p>
    <w:p>
      <w:pPr>
        <w:pStyle w:val="BodyText"/>
        <w:spacing w:line="240" w:lineRule="auto" w:before="58"/>
        <w:ind w:right="14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138" w:right="140"/>
        <w:jc w:val="left"/>
        <w:rPr>
          <w:b w:val="0"/>
          <w:bCs w:val="0"/>
        </w:rPr>
      </w:pPr>
      <w:r>
        <w:rPr>
          <w:rFonts w:ascii="宋体" w:hAnsi="宋体" w:cs="宋体" w:eastAsia="宋体" w:hint="default"/>
        </w:rPr>
        <w:t>(4).</w:t>
      </w:r>
      <w:r>
        <w:rPr>
          <w:rFonts w:ascii="宋体" w:hAnsi="宋体" w:cs="宋体" w:eastAsia="宋体" w:hint="default"/>
          <w:spacing w:val="-35"/>
        </w:rPr>
        <w:t> </w:t>
      </w:r>
      <w:r>
        <w:rPr/>
        <w:t>按欠款方归集的期末余额前五名的应收账款情况：</w:t>
      </w:r>
      <w:r>
        <w:rPr>
          <w:b w:val="0"/>
          <w:bCs w:val="0"/>
        </w:rPr>
      </w:r>
    </w:p>
    <w:p>
      <w:pPr>
        <w:pStyle w:val="BodyText"/>
        <w:tabs>
          <w:tab w:pos="1097" w:val="left" w:leader="none"/>
        </w:tabs>
        <w:spacing w:line="313" w:lineRule="exact" w:before="58"/>
        <w:ind w:right="140"/>
        <w:jc w:val="left"/>
      </w:pPr>
      <w:r>
        <w:rPr>
          <w:spacing w:val="-1"/>
        </w:rPr>
        <w:t>√适用</w:t>
        <w:tab/>
      </w:r>
      <w:r>
        <w:rPr/>
        <w:t>□不适用</w:t>
      </w:r>
    </w:p>
    <w:p>
      <w:pPr>
        <w:pStyle w:val="BodyText"/>
        <w:spacing w:line="355" w:lineRule="auto"/>
        <w:ind w:right="140" w:firstLine="484"/>
        <w:jc w:val="left"/>
      </w:pPr>
      <w:r>
        <w:rPr/>
        <w:t>期末余额前</w:t>
      </w:r>
      <w:r>
        <w:rPr>
          <w:spacing w:val="-59"/>
        </w:rPr>
        <w:t> </w:t>
      </w:r>
      <w:r>
        <w:rPr>
          <w:rFonts w:ascii="宋体" w:hAnsi="宋体" w:cs="宋体" w:eastAsia="宋体" w:hint="default"/>
        </w:rPr>
        <w:t>5</w:t>
      </w:r>
      <w:r>
        <w:rPr>
          <w:rFonts w:ascii="宋体" w:hAnsi="宋体" w:cs="宋体" w:eastAsia="宋体" w:hint="default"/>
          <w:spacing w:val="-59"/>
        </w:rPr>
        <w:t> </w:t>
      </w:r>
      <w:r>
        <w:rPr/>
        <w:t>名的应收账款合计数为</w:t>
      </w:r>
      <w:r>
        <w:rPr>
          <w:spacing w:val="-59"/>
        </w:rPr>
        <w:t> </w:t>
      </w:r>
      <w:r>
        <w:rPr>
          <w:rFonts w:ascii="宋体" w:hAnsi="宋体" w:cs="宋体" w:eastAsia="宋体" w:hint="default"/>
        </w:rPr>
        <w:t>44,367,822.00</w:t>
      </w:r>
      <w:r>
        <w:rPr>
          <w:rFonts w:ascii="宋体" w:hAnsi="宋体" w:cs="宋体" w:eastAsia="宋体" w:hint="default"/>
          <w:spacing w:val="-59"/>
        </w:rPr>
        <w:t> </w:t>
      </w:r>
      <w:r>
        <w:rPr>
          <w:spacing w:val="-5"/>
        </w:rPr>
        <w:t>元，占应收账款期末余额合</w:t>
      </w:r>
      <w:r>
        <w:rPr/>
        <w:t> 计数的比例为</w:t>
      </w:r>
      <w:r>
        <w:rPr>
          <w:spacing w:val="-61"/>
        </w:rPr>
        <w:t> </w:t>
      </w:r>
      <w:r>
        <w:rPr>
          <w:rFonts w:ascii="宋体" w:hAnsi="宋体" w:cs="宋体" w:eastAsia="宋体" w:hint="default"/>
        </w:rPr>
        <w:t>49.48%</w:t>
      </w:r>
      <w:r>
        <w:rPr/>
        <w:t>，相应计提的坏账准备合计数为</w:t>
      </w:r>
      <w:r>
        <w:rPr>
          <w:spacing w:val="-60"/>
        </w:rPr>
        <w:t> </w:t>
      </w:r>
      <w:r>
        <w:rPr>
          <w:rFonts w:ascii="宋体" w:hAnsi="宋体" w:cs="宋体" w:eastAsia="宋体" w:hint="default"/>
        </w:rPr>
        <w:t>1,774,712.88</w:t>
      </w:r>
      <w:r>
        <w:rPr>
          <w:rFonts w:ascii="宋体" w:hAnsi="宋体" w:cs="宋体" w:eastAsia="宋体" w:hint="default"/>
          <w:spacing w:val="-60"/>
        </w:rPr>
        <w:t> </w:t>
      </w:r>
      <w:r>
        <w:rPr/>
        <w:t>元。</w:t>
      </w:r>
    </w:p>
    <w:p>
      <w:pPr>
        <w:spacing w:line="240" w:lineRule="auto" w:before="3"/>
        <w:rPr>
          <w:rFonts w:ascii="宋体" w:hAnsi="宋体" w:cs="宋体" w:eastAsia="宋体" w:hint="default"/>
          <w:sz w:val="31"/>
          <w:szCs w:val="31"/>
        </w:rPr>
      </w:pPr>
    </w:p>
    <w:p>
      <w:pPr>
        <w:pStyle w:val="Heading2"/>
        <w:spacing w:line="240" w:lineRule="auto" w:before="0"/>
        <w:ind w:left="138" w:right="140"/>
        <w:jc w:val="left"/>
        <w:rPr>
          <w:b w:val="0"/>
          <w:bCs w:val="0"/>
        </w:rPr>
      </w:pPr>
      <w:r>
        <w:rPr>
          <w:rFonts w:ascii="宋体" w:hAnsi="宋体" w:cs="宋体" w:eastAsia="宋体" w:hint="default"/>
        </w:rPr>
        <w:t>(5).</w:t>
      </w:r>
      <w:r>
        <w:rPr>
          <w:rFonts w:ascii="宋体" w:hAnsi="宋体" w:cs="宋体" w:eastAsia="宋体" w:hint="default"/>
          <w:spacing w:val="-35"/>
        </w:rPr>
        <w:t> </w:t>
      </w:r>
      <w:r>
        <w:rPr/>
        <w:t>因金融资产转移而终止确认的应收账款：</w:t>
      </w:r>
      <w:r>
        <w:rPr>
          <w:b w:val="0"/>
          <w:bCs w:val="0"/>
        </w:rPr>
      </w:r>
    </w:p>
    <w:p>
      <w:pPr>
        <w:pStyle w:val="BodyText"/>
        <w:tabs>
          <w:tab w:pos="1097" w:val="left" w:leader="none"/>
        </w:tabs>
        <w:spacing w:line="240" w:lineRule="auto" w:before="58"/>
        <w:ind w:right="140"/>
        <w:jc w:val="left"/>
      </w:pPr>
      <w:r>
        <w:rPr>
          <w:spacing w:val="-1"/>
        </w:rPr>
        <w:t>□适用</w:t>
        <w:tab/>
      </w:r>
      <w:r>
        <w:rPr/>
        <w:t>√不适用</w:t>
      </w:r>
    </w:p>
    <w:p>
      <w:pPr>
        <w:spacing w:line="240" w:lineRule="auto" w:before="7"/>
        <w:rPr>
          <w:rFonts w:ascii="宋体" w:hAnsi="宋体" w:cs="宋体" w:eastAsia="宋体" w:hint="default"/>
          <w:sz w:val="25"/>
          <w:szCs w:val="25"/>
        </w:rPr>
      </w:pPr>
    </w:p>
    <w:p>
      <w:pPr>
        <w:pStyle w:val="Heading2"/>
        <w:spacing w:line="240" w:lineRule="auto" w:before="0"/>
        <w:ind w:left="138" w:right="140"/>
        <w:jc w:val="left"/>
        <w:rPr>
          <w:b w:val="0"/>
          <w:bCs w:val="0"/>
        </w:rPr>
      </w:pPr>
      <w:r>
        <w:rPr>
          <w:rFonts w:ascii="宋体" w:hAnsi="宋体" w:cs="宋体" w:eastAsia="宋体" w:hint="default"/>
        </w:rPr>
        <w:t>(6).</w:t>
      </w:r>
      <w:r>
        <w:rPr>
          <w:rFonts w:ascii="宋体" w:hAnsi="宋体" w:cs="宋体" w:eastAsia="宋体" w:hint="default"/>
          <w:spacing w:val="-33"/>
        </w:rPr>
        <w:t> </w:t>
      </w:r>
      <w:r>
        <w:rPr/>
        <w:t>转移应收账款且继续涉入形成的资产、负债金额：</w:t>
      </w:r>
      <w:r>
        <w:rPr>
          <w:b w:val="0"/>
          <w:bCs w:val="0"/>
        </w:rPr>
      </w:r>
    </w:p>
    <w:p>
      <w:pPr>
        <w:pStyle w:val="BodyText"/>
        <w:tabs>
          <w:tab w:pos="1097" w:val="left" w:leader="none"/>
        </w:tabs>
        <w:spacing w:line="240" w:lineRule="auto" w:before="55"/>
        <w:ind w:right="140"/>
        <w:jc w:val="left"/>
      </w:pPr>
      <w:r>
        <w:rPr>
          <w:spacing w:val="-1"/>
        </w:rPr>
        <w:t>□适用</w:t>
        <w:tab/>
      </w:r>
      <w:r>
        <w:rPr/>
        <w:t>√不适用</w:t>
      </w:r>
    </w:p>
    <w:p>
      <w:pPr>
        <w:spacing w:after="0" w:line="240" w:lineRule="auto"/>
        <w:jc w:val="left"/>
        <w:sectPr>
          <w:pgSz w:w="11910" w:h="16840"/>
          <w:pgMar w:header="882" w:footer="1195" w:top="1120" w:bottom="1380" w:left="1660" w:right="112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4</w:t>
      </w:r>
      <w:r>
        <w:rPr/>
        <w:t>、</w:t>
      </w:r>
      <w:r>
        <w:rPr>
          <w:spacing w:val="-64"/>
        </w:rPr>
        <w:t> </w:t>
      </w:r>
      <w:r>
        <w:rPr/>
        <w:t>预付款项</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10"/>
        </w:rPr>
        <w:t> </w:t>
      </w:r>
      <w:r>
        <w:rPr/>
        <w:t>预付款项按账龄列示</w:t>
      </w:r>
      <w:r>
        <w:rPr>
          <w:b w:val="0"/>
          <w:bCs w:val="0"/>
        </w:rPr>
      </w:r>
    </w:p>
    <w:p>
      <w:pPr>
        <w:pStyle w:val="BodyText"/>
        <w:tabs>
          <w:tab w:pos="1177" w:val="left" w:leader="none"/>
        </w:tabs>
        <w:spacing w:line="240" w:lineRule="auto" w:before="58"/>
        <w:ind w:left="218" w:right="-18"/>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000" w:bottom="280" w:left="1580" w:right="1040"/>
          <w:cols w:num="2" w:equalWidth="0">
            <w:col w:w="3004" w:space="3189"/>
            <w:col w:w="3097"/>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291"/>
        <w:gridCol w:w="1988"/>
        <w:gridCol w:w="1808"/>
        <w:gridCol w:w="1987"/>
        <w:gridCol w:w="1822"/>
      </w:tblGrid>
      <w:tr>
        <w:trPr>
          <w:trHeight w:val="322" w:hRule="exact"/>
        </w:trPr>
        <w:tc>
          <w:tcPr>
            <w:tcW w:w="1291" w:type="dxa"/>
            <w:vMerge w:val="restart"/>
            <w:tcBorders>
              <w:top w:val="single" w:sz="4" w:space="0" w:color="000000"/>
              <w:left w:val="single" w:sz="4" w:space="0" w:color="000000"/>
              <w:right w:val="single" w:sz="4" w:space="0" w:color="000000"/>
            </w:tcBorders>
          </w:tcPr>
          <w:p>
            <w:pPr>
              <w:pStyle w:val="TableParagraph"/>
              <w:spacing w:line="240" w:lineRule="auto" w:before="120"/>
              <w:ind w:left="398" w:right="0"/>
              <w:jc w:val="left"/>
              <w:rPr>
                <w:rFonts w:ascii="宋体" w:hAnsi="宋体" w:cs="宋体" w:eastAsia="宋体" w:hint="default"/>
                <w:sz w:val="24"/>
                <w:szCs w:val="24"/>
              </w:rPr>
            </w:pPr>
            <w:r>
              <w:rPr>
                <w:rFonts w:ascii="宋体" w:hAnsi="宋体" w:cs="宋体" w:eastAsia="宋体" w:hint="default"/>
                <w:sz w:val="24"/>
                <w:szCs w:val="24"/>
              </w:rPr>
              <w:t>账龄</w:t>
            </w:r>
          </w:p>
        </w:tc>
        <w:tc>
          <w:tcPr>
            <w:tcW w:w="3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1291" w:type="dxa"/>
            <w:vMerge/>
            <w:tcBorders>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金额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75" w:right="0"/>
              <w:jc w:val="left"/>
              <w:rPr>
                <w:rFonts w:ascii="宋体" w:hAnsi="宋体" w:cs="宋体" w:eastAsia="宋体" w:hint="default"/>
                <w:sz w:val="24"/>
                <w:szCs w:val="24"/>
              </w:rPr>
            </w:pPr>
            <w:r>
              <w:rPr>
                <w:rFonts w:ascii="宋体" w:hAnsi="宋体" w:cs="宋体" w:eastAsia="宋体" w:hint="default"/>
                <w:sz w:val="24"/>
                <w:szCs w:val="24"/>
              </w:rPr>
              <w:t>比例</w:t>
            </w:r>
            <w:r>
              <w:rPr>
                <w:rFonts w:ascii="宋体" w:hAnsi="宋体" w:cs="宋体" w:eastAsia="宋体" w:hint="default"/>
                <w:sz w:val="24"/>
                <w:szCs w:val="24"/>
              </w:rPr>
              <w:t>(%)</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金额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2" w:right="0"/>
              <w:jc w:val="left"/>
              <w:rPr>
                <w:rFonts w:ascii="宋体" w:hAnsi="宋体" w:cs="宋体" w:eastAsia="宋体" w:hint="default"/>
                <w:sz w:val="24"/>
                <w:szCs w:val="24"/>
              </w:rPr>
            </w:pPr>
            <w:r>
              <w:rPr>
                <w:rFonts w:ascii="宋体" w:hAnsi="宋体" w:cs="宋体" w:eastAsia="宋体" w:hint="default"/>
                <w:sz w:val="24"/>
                <w:szCs w:val="24"/>
              </w:rPr>
              <w:t>比例</w:t>
            </w:r>
            <w:r>
              <w:rPr>
                <w:rFonts w:ascii="宋体" w:hAnsi="宋体" w:cs="宋体" w:eastAsia="宋体" w:hint="default"/>
                <w:sz w:val="24"/>
                <w:szCs w:val="24"/>
              </w:rPr>
              <w:t>(%)</w:t>
            </w:r>
          </w:p>
        </w:tc>
      </w:tr>
      <w:tr>
        <w:trPr>
          <w:trHeight w:val="322"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53"/>
              <w:jc w:val="righ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1,394,222,682.41</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96.02</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1,777,302,742.78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86.24</w:t>
            </w:r>
          </w:p>
        </w:tc>
      </w:tr>
      <w:tr>
        <w:trPr>
          <w:trHeight w:val="322"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53"/>
              <w:jc w:val="righ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18,445,952.75</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1.27</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248,471,772.99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12.06</w:t>
            </w:r>
          </w:p>
        </w:tc>
      </w:tr>
      <w:tr>
        <w:trPr>
          <w:trHeight w:val="319"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53"/>
              <w:jc w:val="righ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16,786,144.46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1.16</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28,442,965.14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1.38</w:t>
            </w:r>
          </w:p>
        </w:tc>
      </w:tr>
      <w:tr>
        <w:trPr>
          <w:trHeight w:val="322"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53"/>
              <w:jc w:val="righ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right"/>
              <w:rPr>
                <w:rFonts w:ascii="宋体" w:hAnsi="宋体" w:cs="宋体" w:eastAsia="宋体" w:hint="default"/>
                <w:sz w:val="24"/>
                <w:szCs w:val="24"/>
              </w:rPr>
            </w:pPr>
            <w:r>
              <w:rPr>
                <w:rFonts w:ascii="宋体"/>
                <w:sz w:val="24"/>
              </w:rPr>
              <w:t>22,533,846.54</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right"/>
              <w:rPr>
                <w:rFonts w:ascii="宋体" w:hAnsi="宋体" w:cs="宋体" w:eastAsia="宋体" w:hint="default"/>
                <w:sz w:val="24"/>
                <w:szCs w:val="24"/>
              </w:rPr>
            </w:pPr>
            <w:r>
              <w:rPr>
                <w:rFonts w:ascii="宋体"/>
                <w:sz w:val="24"/>
              </w:rPr>
              <w:t>1.55</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right"/>
              <w:rPr>
                <w:rFonts w:ascii="宋体" w:hAnsi="宋体" w:cs="宋体" w:eastAsia="宋体" w:hint="default"/>
                <w:sz w:val="24"/>
                <w:szCs w:val="24"/>
              </w:rPr>
            </w:pPr>
            <w:r>
              <w:rPr>
                <w:rFonts w:ascii="宋体"/>
                <w:sz w:val="24"/>
              </w:rPr>
              <w:t>6,728,742.97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right"/>
              <w:rPr>
                <w:rFonts w:ascii="宋体" w:hAnsi="宋体" w:cs="宋体" w:eastAsia="宋体" w:hint="default"/>
                <w:sz w:val="24"/>
                <w:szCs w:val="24"/>
              </w:rPr>
            </w:pPr>
            <w:r>
              <w:rPr>
                <w:rFonts w:ascii="宋体"/>
                <w:sz w:val="24"/>
              </w:rPr>
              <w:t>0.32</w:t>
            </w:r>
          </w:p>
        </w:tc>
      </w:tr>
      <w:tr>
        <w:trPr>
          <w:trHeight w:val="322"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01"/>
              <w:jc w:val="right"/>
              <w:rPr>
                <w:rFonts w:ascii="宋体" w:hAnsi="宋体" w:cs="宋体" w:eastAsia="宋体" w:hint="default"/>
                <w:sz w:val="24"/>
                <w:szCs w:val="24"/>
              </w:rPr>
            </w:pPr>
            <w:r>
              <w:rPr>
                <w:rFonts w:ascii="宋体" w:hAnsi="宋体" w:cs="宋体" w:eastAsia="宋体" w:hint="default"/>
                <w:sz w:val="24"/>
                <w:szCs w:val="24"/>
              </w:rPr>
              <w:t>合计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1,451,988,626.16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100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2,060,946,223.88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100</w:t>
            </w:r>
          </w:p>
        </w:tc>
      </w:tr>
    </w:tbl>
    <w:p>
      <w:pPr>
        <w:spacing w:line="240" w:lineRule="auto" w:before="10"/>
        <w:rPr>
          <w:rFonts w:ascii="宋体" w:hAnsi="宋体" w:cs="宋体" w:eastAsia="宋体" w:hint="default"/>
          <w:sz w:val="18"/>
          <w:szCs w:val="18"/>
        </w:rPr>
      </w:pPr>
    </w:p>
    <w:p>
      <w:pPr>
        <w:pStyle w:val="BodyText"/>
        <w:spacing w:line="240" w:lineRule="auto" w:before="26"/>
        <w:ind w:left="218" w:right="233"/>
        <w:jc w:val="left"/>
      </w:pPr>
      <w:r>
        <w:rPr/>
        <w:t>账龄超过</w:t>
      </w:r>
      <w:r>
        <w:rPr>
          <w:spacing w:val="-60"/>
        </w:rPr>
        <w:t> </w:t>
      </w:r>
      <w:r>
        <w:rPr>
          <w:rFonts w:ascii="宋体" w:hAnsi="宋体" w:cs="宋体" w:eastAsia="宋体" w:hint="default"/>
        </w:rPr>
        <w:t>1</w:t>
      </w:r>
      <w:r>
        <w:rPr>
          <w:rFonts w:ascii="宋体" w:hAnsi="宋体" w:cs="宋体" w:eastAsia="宋体" w:hint="default"/>
          <w:spacing w:val="-60"/>
        </w:rPr>
        <w:t> </w:t>
      </w:r>
      <w:r>
        <w:rPr/>
        <w:t>年且金额重要的预付款项未及时结算原因的说明：</w:t>
      </w:r>
    </w:p>
    <w:p>
      <w:pPr>
        <w:spacing w:line="240" w:lineRule="auto" w:before="8"/>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4078"/>
        <w:gridCol w:w="1875"/>
        <w:gridCol w:w="3097"/>
      </w:tblGrid>
      <w:tr>
        <w:trPr>
          <w:trHeight w:val="47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单位名称</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center"/>
              <w:rPr>
                <w:rFonts w:ascii="宋体" w:hAnsi="宋体" w:cs="宋体" w:eastAsia="宋体" w:hint="default"/>
                <w:sz w:val="24"/>
                <w:szCs w:val="24"/>
              </w:rPr>
            </w:pPr>
            <w:r>
              <w:rPr>
                <w:rFonts w:ascii="宋体" w:hAnsi="宋体" w:cs="宋体" w:eastAsia="宋体" w:hint="default"/>
                <w:sz w:val="24"/>
                <w:szCs w:val="24"/>
              </w:rPr>
              <w:t>期末数</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33" w:right="0"/>
              <w:jc w:val="left"/>
              <w:rPr>
                <w:rFonts w:ascii="宋体" w:hAnsi="宋体" w:cs="宋体" w:eastAsia="宋体" w:hint="default"/>
                <w:sz w:val="24"/>
                <w:szCs w:val="24"/>
              </w:rPr>
            </w:pPr>
            <w:r>
              <w:rPr>
                <w:rFonts w:ascii="宋体" w:hAnsi="宋体" w:cs="宋体" w:eastAsia="宋体" w:hint="default"/>
                <w:sz w:val="24"/>
                <w:szCs w:val="24"/>
              </w:rPr>
              <w:t>未结算原因</w:t>
            </w:r>
          </w:p>
        </w:tc>
      </w:tr>
      <w:tr>
        <w:trPr>
          <w:trHeight w:val="47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平阳县滩涂围垦开发建设有限公司</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 w:right="0"/>
              <w:jc w:val="center"/>
              <w:rPr>
                <w:rFonts w:ascii="宋体" w:hAnsi="宋体" w:cs="宋体" w:eastAsia="宋体" w:hint="default"/>
                <w:sz w:val="24"/>
                <w:szCs w:val="24"/>
              </w:rPr>
            </w:pPr>
            <w:r>
              <w:rPr>
                <w:rFonts w:ascii="宋体"/>
                <w:sz w:val="24"/>
              </w:rPr>
              <w:t>21,832,401.00</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76" w:right="0"/>
              <w:jc w:val="left"/>
              <w:rPr>
                <w:rFonts w:ascii="宋体" w:hAnsi="宋体" w:cs="宋体" w:eastAsia="宋体" w:hint="default"/>
                <w:sz w:val="24"/>
                <w:szCs w:val="24"/>
              </w:rPr>
            </w:pPr>
            <w:r>
              <w:rPr>
                <w:rFonts w:ascii="宋体" w:hAnsi="宋体" w:cs="宋体" w:eastAsia="宋体" w:hint="default"/>
                <w:sz w:val="24"/>
                <w:szCs w:val="24"/>
              </w:rPr>
              <w:t>预付工程款</w:t>
            </w:r>
          </w:p>
        </w:tc>
      </w:tr>
      <w:tr>
        <w:trPr>
          <w:trHeight w:val="475"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启东市财政局</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 w:right="0"/>
              <w:jc w:val="center"/>
              <w:rPr>
                <w:rFonts w:ascii="宋体" w:hAnsi="宋体" w:cs="宋体" w:eastAsia="宋体" w:hint="default"/>
                <w:sz w:val="24"/>
                <w:szCs w:val="24"/>
              </w:rPr>
            </w:pPr>
            <w:r>
              <w:rPr>
                <w:rFonts w:ascii="宋体"/>
                <w:sz w:val="24"/>
              </w:rPr>
              <w:t>11,070,000.00</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76" w:right="0"/>
              <w:jc w:val="left"/>
              <w:rPr>
                <w:rFonts w:ascii="宋体" w:hAnsi="宋体" w:cs="宋体" w:eastAsia="宋体" w:hint="default"/>
                <w:sz w:val="24"/>
                <w:szCs w:val="24"/>
              </w:rPr>
            </w:pPr>
            <w:r>
              <w:rPr>
                <w:rFonts w:ascii="宋体" w:hAnsi="宋体" w:cs="宋体" w:eastAsia="宋体" w:hint="default"/>
                <w:sz w:val="24"/>
                <w:szCs w:val="24"/>
              </w:rPr>
              <w:t>预付报批费</w:t>
            </w:r>
          </w:p>
        </w:tc>
      </w:tr>
      <w:tr>
        <w:trPr>
          <w:trHeight w:val="47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tabs>
                <w:tab w:pos="823" w:val="left" w:leader="none"/>
              </w:tabs>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小</w:t>
              <w:tab/>
              <w:t>计</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3" w:right="0"/>
              <w:jc w:val="center"/>
              <w:rPr>
                <w:rFonts w:ascii="宋体" w:hAnsi="宋体" w:cs="宋体" w:eastAsia="宋体" w:hint="default"/>
                <w:sz w:val="24"/>
                <w:szCs w:val="24"/>
              </w:rPr>
            </w:pPr>
            <w:r>
              <w:rPr>
                <w:rFonts w:ascii="宋体"/>
                <w:sz w:val="24"/>
              </w:rPr>
              <w:t>32,902,401.00</w:t>
            </w:r>
          </w:p>
        </w:tc>
        <w:tc>
          <w:tcPr>
            <w:tcW w:w="30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3"/>
          <w:szCs w:val="23"/>
        </w:rPr>
      </w:pPr>
    </w:p>
    <w:p>
      <w:pPr>
        <w:pStyle w:val="Heading2"/>
        <w:spacing w:line="240" w:lineRule="auto"/>
        <w:ind w:right="233"/>
        <w:jc w:val="left"/>
        <w:rPr>
          <w:b w:val="0"/>
          <w:bCs w:val="0"/>
        </w:rPr>
      </w:pPr>
      <w:r>
        <w:rPr>
          <w:rFonts w:ascii="宋体" w:hAnsi="宋体" w:cs="宋体" w:eastAsia="宋体" w:hint="default"/>
        </w:rPr>
        <w:t>(2).</w:t>
      </w:r>
      <w:r>
        <w:rPr>
          <w:rFonts w:ascii="宋体" w:hAnsi="宋体" w:cs="宋体" w:eastAsia="宋体" w:hint="default"/>
          <w:spacing w:val="8"/>
        </w:rPr>
        <w:t> </w:t>
      </w:r>
      <w:r>
        <w:rPr/>
        <w:t>按预付对象归集的期末余额前五名的预付款情况：</w:t>
      </w:r>
      <w:r>
        <w:rPr>
          <w:b w:val="0"/>
          <w:bCs w:val="0"/>
        </w:rPr>
      </w:r>
    </w:p>
    <w:p>
      <w:pPr>
        <w:pStyle w:val="BodyText"/>
        <w:tabs>
          <w:tab w:pos="1177" w:val="left" w:leader="none"/>
        </w:tabs>
        <w:spacing w:line="312" w:lineRule="exact" w:before="58"/>
        <w:ind w:left="218" w:right="233"/>
        <w:jc w:val="left"/>
      </w:pPr>
      <w:r>
        <w:rPr>
          <w:spacing w:val="-1"/>
        </w:rPr>
        <w:t>√适用</w:t>
        <w:tab/>
      </w:r>
      <w:r>
        <w:rPr/>
        <w:t>□不适用</w:t>
      </w:r>
    </w:p>
    <w:p>
      <w:pPr>
        <w:pStyle w:val="BodyText"/>
        <w:spacing w:line="357" w:lineRule="auto"/>
        <w:ind w:left="218" w:right="289" w:firstLine="479"/>
        <w:jc w:val="left"/>
      </w:pPr>
      <w:r>
        <w:rPr/>
        <w:t>期末余额前</w:t>
      </w:r>
      <w:r>
        <w:rPr>
          <w:spacing w:val="-60"/>
        </w:rPr>
        <w:t> </w:t>
      </w:r>
      <w:r>
        <w:rPr>
          <w:rFonts w:ascii="宋体" w:hAnsi="宋体" w:cs="宋体" w:eastAsia="宋体" w:hint="default"/>
        </w:rPr>
        <w:t>5</w:t>
      </w:r>
      <w:r>
        <w:rPr>
          <w:rFonts w:ascii="宋体" w:hAnsi="宋体" w:cs="宋体" w:eastAsia="宋体" w:hint="default"/>
          <w:spacing w:val="-60"/>
        </w:rPr>
        <w:t> </w:t>
      </w:r>
      <w:r>
        <w:rPr/>
        <w:t>名的预付款项合计数为</w:t>
      </w:r>
      <w:r>
        <w:rPr>
          <w:spacing w:val="-60"/>
        </w:rPr>
        <w:t> </w:t>
      </w:r>
      <w:r>
        <w:rPr>
          <w:rFonts w:ascii="宋体" w:hAnsi="宋体" w:cs="宋体" w:eastAsia="宋体" w:hint="default"/>
        </w:rPr>
        <w:t>1,379,025,701.00</w:t>
      </w:r>
      <w:r>
        <w:rPr>
          <w:rFonts w:ascii="宋体" w:hAnsi="宋体" w:cs="宋体" w:eastAsia="宋体" w:hint="default"/>
          <w:spacing w:val="-60"/>
        </w:rPr>
        <w:t> </w:t>
      </w:r>
      <w:r>
        <w:rPr/>
        <w:t>元，占预付款项期末余 额合计数的比例为</w:t>
      </w:r>
      <w:r>
        <w:rPr>
          <w:spacing w:val="-61"/>
        </w:rPr>
        <w:t> </w:t>
      </w:r>
      <w:r>
        <w:rPr>
          <w:rFonts w:ascii="宋体" w:hAnsi="宋体" w:cs="宋体" w:eastAsia="宋体" w:hint="default"/>
        </w:rPr>
        <w:t>94.97%</w:t>
      </w:r>
      <w:r>
        <w:rPr/>
        <w:t>。</w:t>
      </w: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000" w:bottom="280" w:left="1580" w:right="1040"/>
        </w:sectPr>
      </w:pPr>
    </w:p>
    <w:p>
      <w:pPr>
        <w:pStyle w:val="Heading2"/>
        <w:spacing w:line="240" w:lineRule="auto"/>
        <w:ind w:right="0"/>
        <w:jc w:val="left"/>
        <w:rPr>
          <w:b w:val="0"/>
          <w:bCs w:val="0"/>
        </w:rPr>
      </w:pPr>
      <w:r>
        <w:rPr>
          <w:rFonts w:ascii="宋体" w:hAnsi="宋体" w:cs="宋体" w:eastAsia="宋体" w:hint="default"/>
        </w:rPr>
        <w:t>5</w:t>
      </w:r>
      <w:r>
        <w:rPr/>
        <w:t>、</w:t>
      </w:r>
      <w:r>
        <w:rPr>
          <w:spacing w:val="-64"/>
        </w:rPr>
        <w:t> </w:t>
      </w:r>
      <w:r>
        <w:rPr/>
        <w:t>应收利息</w:t>
      </w:r>
      <w:r>
        <w:rPr>
          <w:b w:val="0"/>
          <w:bCs w:val="0"/>
        </w:rPr>
      </w:r>
    </w:p>
    <w:p>
      <w:pPr>
        <w:pStyle w:val="Heading2"/>
        <w:tabs>
          <w:tab w:pos="1069" w:val="left" w:leader="none"/>
        </w:tabs>
        <w:spacing w:line="240" w:lineRule="auto" w:before="58"/>
        <w:ind w:right="0"/>
        <w:jc w:val="left"/>
        <w:rPr>
          <w:b w:val="0"/>
          <w:bCs w:val="0"/>
        </w:rPr>
      </w:pPr>
      <w:r>
        <w:rPr>
          <w:rFonts w:ascii="宋体" w:hAnsi="宋体" w:cs="宋体" w:eastAsia="宋体" w:hint="default"/>
        </w:rPr>
        <w:t>(1).</w:t>
        <w:tab/>
      </w:r>
      <w:r>
        <w:rPr>
          <w:w w:val="95"/>
        </w:rPr>
        <w:t>应收利息分类</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000" w:bottom="280" w:left="1580" w:right="1040"/>
          <w:cols w:num="2" w:equalWidth="0">
            <w:col w:w="2515" w:space="3678"/>
            <w:col w:w="3097"/>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80"/>
        <w:gridCol w:w="3048"/>
        <w:gridCol w:w="3068"/>
      </w:tblGrid>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43"/>
              <w:jc w:val="right"/>
              <w:rPr>
                <w:rFonts w:ascii="宋体" w:hAnsi="宋体" w:cs="宋体" w:eastAsia="宋体" w:hint="default"/>
                <w:sz w:val="24"/>
                <w:szCs w:val="24"/>
              </w:rPr>
            </w:pPr>
            <w:r>
              <w:rPr>
                <w:rFonts w:ascii="宋体" w:hAnsi="宋体" w:cs="宋体" w:eastAsia="宋体" w:hint="default"/>
                <w:sz w:val="24"/>
                <w:szCs w:val="24"/>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委托理财</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3"/>
              <w:jc w:val="right"/>
              <w:rPr>
                <w:rFonts w:ascii="宋体" w:hAnsi="宋体" w:cs="宋体" w:eastAsia="宋体" w:hint="default"/>
                <w:sz w:val="24"/>
                <w:szCs w:val="24"/>
              </w:rPr>
            </w:pPr>
            <w:r>
              <w:rPr>
                <w:rFonts w:ascii="宋体"/>
                <w:sz w:val="24"/>
              </w:rPr>
              <w:t>25,479,337.90</w:t>
            </w:r>
          </w:p>
        </w:tc>
      </w:tr>
      <w:tr>
        <w:trPr>
          <w:trHeight w:val="319"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银行存款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4"/>
              <w:jc w:val="right"/>
              <w:rPr>
                <w:rFonts w:ascii="宋体" w:hAnsi="宋体" w:cs="宋体" w:eastAsia="宋体" w:hint="default"/>
                <w:sz w:val="24"/>
                <w:szCs w:val="24"/>
              </w:rPr>
            </w:pPr>
            <w:r>
              <w:rPr>
                <w:rFonts w:ascii="宋体"/>
                <w:sz w:val="24"/>
              </w:rPr>
              <w:t>9,759,388.89</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3"/>
              <w:jc w:val="right"/>
              <w:rPr>
                <w:rFonts w:ascii="宋体" w:hAnsi="宋体" w:cs="宋体" w:eastAsia="宋体" w:hint="default"/>
                <w:sz w:val="24"/>
                <w:szCs w:val="24"/>
              </w:rPr>
            </w:pPr>
            <w:r>
              <w:rPr>
                <w:rFonts w:ascii="宋体"/>
                <w:sz w:val="24"/>
              </w:rPr>
              <w:t>3,238,766.04</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143"/>
              <w:jc w:val="right"/>
              <w:rPr>
                <w:rFonts w:ascii="宋体" w:hAnsi="宋体" w:cs="宋体" w:eastAsia="宋体" w:hint="default"/>
                <w:sz w:val="24"/>
                <w:szCs w:val="24"/>
              </w:rPr>
            </w:pPr>
            <w:r>
              <w:rPr>
                <w:rFonts w:ascii="宋体" w:hAnsi="宋体" w:cs="宋体" w:eastAsia="宋体" w:hint="default"/>
                <w:sz w:val="24"/>
                <w:szCs w:val="24"/>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4"/>
              <w:jc w:val="right"/>
              <w:rPr>
                <w:rFonts w:ascii="宋体" w:hAnsi="宋体" w:cs="宋体" w:eastAsia="宋体" w:hint="default"/>
                <w:sz w:val="24"/>
                <w:szCs w:val="24"/>
              </w:rPr>
            </w:pPr>
            <w:r>
              <w:rPr>
                <w:rFonts w:ascii="宋体"/>
                <w:sz w:val="24"/>
              </w:rPr>
              <w:t>9,759,388.89</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sz w:val="24"/>
              </w:rPr>
              <w:t>28,718,103.94</w:t>
            </w:r>
          </w:p>
        </w:tc>
      </w:tr>
    </w:tbl>
    <w:p>
      <w:pPr>
        <w:spacing w:line="240" w:lineRule="auto" w:before="5"/>
        <w:rPr>
          <w:rFonts w:ascii="宋体" w:hAnsi="宋体" w:cs="宋体" w:eastAsia="宋体" w:hint="default"/>
          <w:sz w:val="23"/>
          <w:szCs w:val="23"/>
        </w:rPr>
      </w:pPr>
    </w:p>
    <w:p>
      <w:pPr>
        <w:pStyle w:val="Heading2"/>
        <w:tabs>
          <w:tab w:pos="1069" w:val="left" w:leader="none"/>
        </w:tabs>
        <w:spacing w:line="240" w:lineRule="auto"/>
        <w:ind w:right="233"/>
        <w:jc w:val="left"/>
        <w:rPr>
          <w:b w:val="0"/>
          <w:bCs w:val="0"/>
        </w:rPr>
      </w:pPr>
      <w:r>
        <w:rPr>
          <w:rFonts w:ascii="宋体" w:hAnsi="宋体" w:cs="宋体" w:eastAsia="宋体" w:hint="default"/>
        </w:rPr>
        <w:t>(2).</w:t>
        <w:tab/>
      </w:r>
      <w:r>
        <w:rPr/>
        <w:t>重要逾期利息</w:t>
      </w:r>
      <w:r>
        <w:rPr>
          <w:b w:val="0"/>
          <w:bCs w:val="0"/>
        </w:rPr>
      </w:r>
    </w:p>
    <w:p>
      <w:pPr>
        <w:pStyle w:val="BodyText"/>
        <w:spacing w:line="240" w:lineRule="auto" w:before="58"/>
        <w:ind w:left="218" w:right="233"/>
        <w:jc w:val="left"/>
      </w:pPr>
      <w:r>
        <w:rPr/>
        <w:t>□适用</w:t>
      </w:r>
      <w:r>
        <w:rPr>
          <w:spacing w:val="-1"/>
        </w:rPr>
        <w:t> </w:t>
      </w:r>
      <w:r>
        <w:rPr/>
        <w:t>√不适用</w:t>
      </w:r>
    </w:p>
    <w:p>
      <w:pPr>
        <w:spacing w:after="0" w:line="240" w:lineRule="auto"/>
        <w:jc w:val="left"/>
        <w:sectPr>
          <w:type w:val="continuous"/>
          <w:pgSz w:w="11910" w:h="16840"/>
          <w:pgMar w:top="1000" w:bottom="280" w:left="158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040" w:right="500"/>
        </w:sectPr>
      </w:pPr>
    </w:p>
    <w:p>
      <w:pPr>
        <w:pStyle w:val="Heading2"/>
        <w:spacing w:line="283" w:lineRule="auto"/>
        <w:ind w:left="758" w:right="258"/>
        <w:jc w:val="left"/>
        <w:rPr>
          <w:b w:val="0"/>
          <w:bCs w:val="0"/>
        </w:rPr>
      </w:pPr>
      <w:r>
        <w:rPr>
          <w:rFonts w:ascii="宋体" w:hAnsi="宋体" w:cs="宋体" w:eastAsia="宋体" w:hint="default"/>
        </w:rPr>
        <w:t>6</w:t>
      </w:r>
      <w:r>
        <w:rPr/>
        <w:t>、</w:t>
      </w:r>
      <w:r>
        <w:rPr>
          <w:spacing w:val="-64"/>
        </w:rPr>
        <w:t> </w:t>
      </w:r>
      <w:r>
        <w:rPr/>
        <w:t>应收股利</w:t>
      </w:r>
      <w:r>
        <w:rPr>
          <w:w w:val="99"/>
        </w:rPr>
        <w:t> </w:t>
      </w:r>
      <w:r>
        <w:rPr>
          <w:rFonts w:ascii="宋体" w:hAnsi="宋体" w:cs="宋体" w:eastAsia="宋体" w:hint="default"/>
        </w:rPr>
        <w:t>(1).</w:t>
      </w:r>
      <w:r>
        <w:rPr>
          <w:rFonts w:ascii="宋体" w:hAnsi="宋体" w:cs="宋体" w:eastAsia="宋体" w:hint="default"/>
          <w:spacing w:val="-47"/>
        </w:rPr>
        <w:t> </w:t>
      </w:r>
      <w:r>
        <w:rPr/>
        <w:t>应收股利</w:t>
      </w:r>
      <w:r>
        <w:rPr>
          <w:b w:val="0"/>
          <w:bCs w:val="0"/>
        </w:rPr>
      </w:r>
    </w:p>
    <w:p>
      <w:pPr>
        <w:pStyle w:val="BodyText"/>
        <w:spacing w:line="240" w:lineRule="auto" w:before="14"/>
        <w:ind w:left="75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tabs>
          <w:tab w:pos="1958" w:val="left" w:leader="none"/>
        </w:tabs>
        <w:spacing w:line="240" w:lineRule="auto"/>
        <w:ind w:left="758" w:right="0"/>
        <w:jc w:val="left"/>
      </w:pPr>
      <w:r>
        <w:rPr/>
        <w:t>单位：元</w:t>
        <w:tab/>
        <w:t>币种：人民币</w:t>
      </w:r>
    </w:p>
    <w:p>
      <w:pPr>
        <w:spacing w:after="0" w:line="240" w:lineRule="auto"/>
        <w:jc w:val="left"/>
        <w:sectPr>
          <w:type w:val="continuous"/>
          <w:pgSz w:w="11910" w:h="16840"/>
          <w:pgMar w:top="1000" w:bottom="280" w:left="1040" w:right="500"/>
          <w:cols w:num="2" w:equalWidth="0">
            <w:col w:w="2559" w:space="3634"/>
            <w:col w:w="4177"/>
          </w:cols>
        </w:sectPr>
      </w:pPr>
    </w:p>
    <w:p>
      <w:pPr>
        <w:spacing w:line="240" w:lineRule="auto" w:before="12"/>
        <w:rPr>
          <w:rFonts w:ascii="宋体" w:hAnsi="宋体" w:cs="宋体" w:eastAsia="宋体" w:hint="default"/>
          <w:sz w:val="2"/>
          <w:szCs w:val="2"/>
        </w:rPr>
      </w:pPr>
    </w:p>
    <w:tbl>
      <w:tblPr>
        <w:tblW w:w="0" w:type="auto"/>
        <w:jc w:val="left"/>
        <w:tblInd w:w="645" w:type="dxa"/>
        <w:tblLayout w:type="fixed"/>
        <w:tblCellMar>
          <w:top w:w="0" w:type="dxa"/>
          <w:left w:w="0" w:type="dxa"/>
          <w:bottom w:w="0" w:type="dxa"/>
          <w:right w:w="0" w:type="dxa"/>
        </w:tblCellMar>
        <w:tblLook w:val="01E0"/>
      </w:tblPr>
      <w:tblGrid>
        <w:gridCol w:w="3413"/>
        <w:gridCol w:w="2811"/>
        <w:gridCol w:w="2825"/>
      </w:tblGrid>
      <w:tr>
        <w:trPr>
          <w:trHeight w:val="322"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21" w:right="0"/>
              <w:jc w:val="lef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w:t>
            </w:r>
            <w:r>
              <w:rPr>
                <w:rFonts w:ascii="宋体" w:hAnsi="宋体" w:cs="宋体" w:eastAsia="宋体" w:hint="default"/>
                <w:sz w:val="24"/>
                <w:szCs w:val="24"/>
              </w:rPr>
              <w:t>或被投资单位</w:t>
            </w:r>
            <w:r>
              <w:rPr>
                <w:rFonts w:ascii="宋体" w:hAnsi="宋体" w:cs="宋体" w:eastAsia="宋体" w:hint="default"/>
                <w:sz w:val="24"/>
                <w:szCs w:val="24"/>
              </w:rPr>
              <w:t>)</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19"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26"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温州银行股份有限公司</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31,500,000.00</w:t>
            </w:r>
          </w:p>
        </w:tc>
      </w:tr>
      <w:tr>
        <w:trPr>
          <w:trHeight w:val="322"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31,500,000.00</w:t>
            </w:r>
          </w:p>
        </w:tc>
      </w:tr>
    </w:tbl>
    <w:p>
      <w:pPr>
        <w:spacing w:line="240" w:lineRule="auto" w:before="5"/>
        <w:rPr>
          <w:rFonts w:ascii="宋体" w:hAnsi="宋体" w:cs="宋体" w:eastAsia="宋体" w:hint="default"/>
          <w:sz w:val="23"/>
          <w:szCs w:val="23"/>
        </w:rPr>
      </w:pPr>
    </w:p>
    <w:p>
      <w:pPr>
        <w:pStyle w:val="Heading2"/>
        <w:spacing w:line="240" w:lineRule="auto"/>
        <w:ind w:left="758" w:right="0"/>
        <w:jc w:val="left"/>
        <w:rPr>
          <w:b w:val="0"/>
          <w:bCs w:val="0"/>
        </w:rPr>
      </w:pPr>
      <w:r>
        <w:rPr>
          <w:rFonts w:ascii="宋体" w:hAnsi="宋体" w:cs="宋体" w:eastAsia="宋体" w:hint="default"/>
        </w:rPr>
        <w:t>(2).</w:t>
      </w:r>
      <w:r>
        <w:rPr>
          <w:rFonts w:ascii="宋体" w:hAnsi="宋体" w:cs="宋体" w:eastAsia="宋体" w:hint="default"/>
          <w:spacing w:val="-49"/>
        </w:rPr>
        <w:t> </w:t>
      </w:r>
      <w:r>
        <w:rPr/>
        <w:t>重要的账龄超过</w:t>
      </w:r>
      <w:r>
        <w:rPr>
          <w:spacing w:val="-59"/>
        </w:rPr>
        <w:t> </w:t>
      </w:r>
      <w:r>
        <w:rPr>
          <w:rFonts w:ascii="Cambria" w:hAnsi="Cambria" w:cs="Cambria" w:eastAsia="Cambria" w:hint="default"/>
        </w:rPr>
        <w:t>1</w:t>
      </w:r>
      <w:r>
        <w:rPr>
          <w:rFonts w:ascii="Cambria" w:hAnsi="Cambria" w:cs="Cambria" w:eastAsia="Cambria" w:hint="default"/>
          <w:spacing w:val="5"/>
        </w:rPr>
        <w:t> </w:t>
      </w:r>
      <w:r>
        <w:rPr/>
        <w:t>年的应收股利：</w:t>
      </w:r>
      <w:r>
        <w:rPr>
          <w:b w:val="0"/>
          <w:bCs w:val="0"/>
        </w:rPr>
      </w:r>
    </w:p>
    <w:p>
      <w:pPr>
        <w:pStyle w:val="BodyText"/>
        <w:spacing w:line="240" w:lineRule="auto" w:before="36"/>
        <w:ind w:left="758" w:right="0"/>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000" w:bottom="280" w:left="1040" w:right="500"/>
        </w:sectPr>
      </w:pPr>
    </w:p>
    <w:p>
      <w:pPr>
        <w:pStyle w:val="Heading2"/>
        <w:spacing w:line="240" w:lineRule="auto"/>
        <w:ind w:left="758" w:right="-18"/>
        <w:jc w:val="left"/>
        <w:rPr>
          <w:b w:val="0"/>
          <w:bCs w:val="0"/>
        </w:rPr>
      </w:pPr>
      <w:r>
        <w:rPr>
          <w:rFonts w:ascii="宋体" w:hAnsi="宋体" w:cs="宋体" w:eastAsia="宋体" w:hint="default"/>
        </w:rPr>
        <w:t>7</w:t>
      </w:r>
      <w:r>
        <w:rPr/>
        <w:t>、</w:t>
      </w:r>
      <w:r>
        <w:rPr>
          <w:spacing w:val="-65"/>
        </w:rPr>
        <w:t> </w:t>
      </w:r>
      <w:r>
        <w:rPr/>
        <w:t>其他应收款</w:t>
      </w:r>
      <w:r>
        <w:rPr>
          <w:b w:val="0"/>
          <w:bCs w:val="0"/>
        </w:rPr>
      </w:r>
    </w:p>
    <w:p>
      <w:pPr>
        <w:pStyle w:val="Heading2"/>
        <w:spacing w:line="240" w:lineRule="auto" w:before="55"/>
        <w:ind w:left="758" w:right="-18"/>
        <w:jc w:val="left"/>
        <w:rPr>
          <w:b w:val="0"/>
          <w:bCs w:val="0"/>
        </w:rPr>
      </w:pPr>
      <w:r>
        <w:rPr>
          <w:rFonts w:ascii="宋体" w:hAnsi="宋体" w:cs="宋体" w:eastAsia="宋体" w:hint="default"/>
        </w:rPr>
        <w:t>(1).</w:t>
      </w:r>
      <w:r>
        <w:rPr>
          <w:rFonts w:ascii="宋体" w:hAnsi="宋体" w:cs="宋体" w:eastAsia="宋体" w:hint="default"/>
          <w:spacing w:val="-19"/>
        </w:rPr>
        <w:t> </w:t>
      </w:r>
      <w:r>
        <w:rPr/>
        <w:t>其他应收款分类披露</w:t>
      </w:r>
      <w:r>
        <w:rPr>
          <w:b w:val="0"/>
          <w:bCs w:val="0"/>
        </w:rPr>
      </w:r>
    </w:p>
    <w:p>
      <w:pPr>
        <w:pStyle w:val="BodyText"/>
        <w:spacing w:line="240" w:lineRule="auto" w:before="58"/>
        <w:ind w:left="75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tabs>
          <w:tab w:pos="1958" w:val="left" w:leader="none"/>
        </w:tabs>
        <w:spacing w:line="240" w:lineRule="auto"/>
        <w:ind w:left="758" w:right="0"/>
        <w:jc w:val="left"/>
      </w:pPr>
      <w:r>
        <w:rPr/>
        <w:t>单位：元</w:t>
        <w:tab/>
        <w:t>币种：人民币</w:t>
      </w:r>
    </w:p>
    <w:p>
      <w:pPr>
        <w:spacing w:after="0" w:line="240" w:lineRule="auto"/>
        <w:jc w:val="left"/>
        <w:sectPr>
          <w:type w:val="continuous"/>
          <w:pgSz w:w="11910" w:h="16840"/>
          <w:pgMar w:top="1000" w:bottom="280" w:left="1040" w:right="500"/>
          <w:cols w:num="2" w:equalWidth="0">
            <w:col w:w="3515" w:space="2558"/>
            <w:col w:w="4297"/>
          </w:cols>
        </w:sectPr>
      </w:pPr>
    </w:p>
    <w:p>
      <w:pPr>
        <w:spacing w:line="240" w:lineRule="auto" w:before="10"/>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253"/>
        <w:gridCol w:w="1114"/>
        <w:gridCol w:w="512"/>
        <w:gridCol w:w="1111"/>
        <w:gridCol w:w="437"/>
        <w:gridCol w:w="1114"/>
        <w:gridCol w:w="1262"/>
        <w:gridCol w:w="511"/>
        <w:gridCol w:w="1112"/>
        <w:gridCol w:w="437"/>
        <w:gridCol w:w="1262"/>
      </w:tblGrid>
      <w:tr>
        <w:trPr>
          <w:trHeight w:val="293" w:hRule="exact"/>
        </w:trPr>
        <w:tc>
          <w:tcPr>
            <w:tcW w:w="12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42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58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6" w:hRule="exact"/>
        </w:trPr>
        <w:tc>
          <w:tcPr>
            <w:tcW w:w="1253" w:type="dxa"/>
            <w:vMerge/>
            <w:tcBorders>
              <w:left w:val="single" w:sz="4" w:space="0" w:color="000000"/>
              <w:right w:val="single" w:sz="4" w:space="0" w:color="000000"/>
            </w:tcBorders>
          </w:tcPr>
          <w:p>
            <w:pPr/>
          </w:p>
        </w:tc>
        <w:tc>
          <w:tcPr>
            <w:tcW w:w="1625" w:type="dxa"/>
            <w:gridSpan w:val="2"/>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506"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70"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00" w:right="399"/>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578"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70"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26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75" w:right="473"/>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593" w:hRule="exact"/>
        </w:trPr>
        <w:tc>
          <w:tcPr>
            <w:tcW w:w="1253" w:type="dxa"/>
            <w:vMerge/>
            <w:tcBorders>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36" w:right="99"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0" w:right="60"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14"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金额</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36" w:right="98"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0" w:right="60"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262" w:type="dxa"/>
            <w:vMerge/>
            <w:tcBorders>
              <w:left w:val="single" w:sz="4" w:space="0" w:color="000000"/>
              <w:bottom w:val="single" w:sz="4" w:space="0" w:color="000000"/>
              <w:right w:val="single" w:sz="4" w:space="0" w:color="000000"/>
            </w:tcBorders>
          </w:tcPr>
          <w:p>
            <w:pPr/>
          </w:p>
        </w:tc>
      </w:tr>
      <w:tr>
        <w:trPr>
          <w:trHeight w:val="59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单项金额重大并</w:t>
            </w:r>
          </w:p>
          <w:p>
            <w:pPr>
              <w:pStyle w:val="TableParagraph"/>
              <w:spacing w:line="240" w:lineRule="auto"/>
              <w:ind w:left="26" w:right="161"/>
              <w:jc w:val="left"/>
              <w:rPr>
                <w:rFonts w:ascii="宋体" w:hAnsi="宋体" w:cs="宋体" w:eastAsia="宋体" w:hint="default"/>
                <w:sz w:val="15"/>
                <w:szCs w:val="15"/>
              </w:rPr>
            </w:pPr>
            <w:r>
              <w:rPr>
                <w:rFonts w:ascii="宋体" w:hAnsi="宋体" w:cs="宋体" w:eastAsia="宋体" w:hint="default"/>
                <w:sz w:val="15"/>
                <w:szCs w:val="15"/>
              </w:rPr>
              <w:t>单独计提坏账准</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备的其他应收款</w:t>
            </w:r>
          </w:p>
        </w:tc>
        <w:tc>
          <w:tcPr>
            <w:tcW w:w="11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6" w:right="0"/>
              <w:jc w:val="left"/>
              <w:rPr>
                <w:rFonts w:ascii="宋体" w:hAnsi="宋体" w:cs="宋体" w:eastAsia="宋体" w:hint="default"/>
                <w:sz w:val="15"/>
                <w:szCs w:val="15"/>
              </w:rPr>
            </w:pPr>
            <w:r>
              <w:rPr>
                <w:rFonts w:ascii="宋体" w:hAnsi="宋体" w:cs="宋体" w:eastAsia="宋体" w:hint="default"/>
                <w:sz w:val="15"/>
                <w:szCs w:val="15"/>
              </w:rPr>
              <w:t>按信用风险特征</w:t>
            </w:r>
          </w:p>
          <w:p>
            <w:pPr>
              <w:pStyle w:val="TableParagraph"/>
              <w:spacing w:line="240" w:lineRule="auto"/>
              <w:ind w:left="26" w:right="161"/>
              <w:jc w:val="left"/>
              <w:rPr>
                <w:rFonts w:ascii="宋体" w:hAnsi="宋体" w:cs="宋体" w:eastAsia="宋体" w:hint="default"/>
                <w:sz w:val="15"/>
                <w:szCs w:val="15"/>
              </w:rPr>
            </w:pPr>
            <w:r>
              <w:rPr>
                <w:rFonts w:ascii="宋体" w:hAnsi="宋体" w:cs="宋体" w:eastAsia="宋体" w:hint="default"/>
                <w:sz w:val="15"/>
                <w:szCs w:val="15"/>
              </w:rPr>
              <w:t>组合计提坏账准</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备的其他应收款</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821,964,116.10</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100.00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sz w:val="15"/>
              </w:rPr>
              <w:t>131,173,530.72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sz w:val="15"/>
              </w:rPr>
              <w:t>15.96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5"/>
                <w:szCs w:val="15"/>
              </w:rPr>
            </w:pPr>
            <w:r>
              <w:rPr>
                <w:rFonts w:ascii="宋体"/>
                <w:sz w:val="15"/>
              </w:rPr>
              <w:t>690,790,585.38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5"/>
                <w:szCs w:val="15"/>
              </w:rPr>
            </w:pPr>
            <w:r>
              <w:rPr>
                <w:rFonts w:ascii="宋体"/>
                <w:sz w:val="15"/>
              </w:rPr>
              <w:t>1,188,589,248.29</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sz w:val="15"/>
              </w:rPr>
              <w:t>100.00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sz w:val="15"/>
              </w:rPr>
              <w:t>125,403,792.18</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sz w:val="15"/>
              </w:rPr>
              <w:t>10.55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1,063,185,456.11</w:t>
            </w:r>
          </w:p>
        </w:tc>
      </w:tr>
      <w:tr>
        <w:trPr>
          <w:trHeight w:val="787"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单项金额不重大</w:t>
            </w:r>
          </w:p>
          <w:p>
            <w:pPr>
              <w:pStyle w:val="TableParagraph"/>
              <w:spacing w:line="240" w:lineRule="auto"/>
              <w:ind w:left="26" w:right="161"/>
              <w:jc w:val="both"/>
              <w:rPr>
                <w:rFonts w:ascii="宋体" w:hAnsi="宋体" w:cs="宋体" w:eastAsia="宋体" w:hint="default"/>
                <w:sz w:val="15"/>
                <w:szCs w:val="15"/>
              </w:rPr>
            </w:pPr>
            <w:r>
              <w:rPr>
                <w:rFonts w:ascii="宋体" w:hAnsi="宋体" w:cs="宋体" w:eastAsia="宋体" w:hint="default"/>
                <w:sz w:val="15"/>
                <w:szCs w:val="15"/>
              </w:rPr>
              <w:t>但单独计提坏账</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准备的其他应收</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款</w:t>
            </w:r>
          </w:p>
        </w:tc>
        <w:tc>
          <w:tcPr>
            <w:tcW w:w="11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821,964,116.10</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sz w:val="15"/>
              </w:rPr>
              <w:t>131,173,530.72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15.96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sz w:val="15"/>
              </w:rPr>
              <w:t>690,790,585.38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sz w:val="15"/>
              </w:rPr>
              <w:t>1,188,589,248.29</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100.00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sz w:val="15"/>
              </w:rPr>
              <w:t>125,403,792.18</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10.55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1,063,185,456.11</w:t>
            </w:r>
          </w:p>
        </w:tc>
      </w:tr>
    </w:tbl>
    <w:p>
      <w:pPr>
        <w:spacing w:line="240" w:lineRule="auto" w:before="10"/>
        <w:rPr>
          <w:rFonts w:ascii="宋体" w:hAnsi="宋体" w:cs="宋体" w:eastAsia="宋体" w:hint="default"/>
          <w:sz w:val="18"/>
          <w:szCs w:val="18"/>
        </w:rPr>
      </w:pPr>
    </w:p>
    <w:p>
      <w:pPr>
        <w:pStyle w:val="BodyText"/>
        <w:spacing w:line="313" w:lineRule="exact" w:before="26"/>
        <w:ind w:left="758" w:right="0"/>
        <w:jc w:val="left"/>
      </w:pPr>
      <w:r>
        <w:rPr/>
        <w:t>期末单项金额重大并单项计提坏帐准备的其他应收款</w:t>
      </w:r>
    </w:p>
    <w:p>
      <w:pPr>
        <w:pStyle w:val="BodyText"/>
        <w:spacing w:line="313" w:lineRule="exact"/>
        <w:ind w:left="758" w:right="0"/>
        <w:jc w:val="left"/>
      </w:pPr>
      <w:r>
        <w:rPr/>
        <w:t>□适用</w:t>
      </w:r>
      <w:r>
        <w:rPr>
          <w:spacing w:val="-1"/>
        </w:rPr>
        <w:t> </w:t>
      </w:r>
      <w:r>
        <w:rPr/>
        <w:t>√不适用</w:t>
      </w: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00" w:bottom="280" w:left="1040" w:right="500"/>
        </w:sectPr>
      </w:pPr>
    </w:p>
    <w:p>
      <w:pPr>
        <w:pStyle w:val="BodyText"/>
        <w:spacing w:line="313" w:lineRule="exact" w:before="26"/>
        <w:ind w:left="758" w:right="-20"/>
        <w:jc w:val="left"/>
      </w:pPr>
      <w:r>
        <w:rPr/>
        <w:t>组合中，按账龄分析法计提坏账准备的其他应收款：</w:t>
      </w:r>
    </w:p>
    <w:p>
      <w:pPr>
        <w:pStyle w:val="BodyText"/>
        <w:tabs>
          <w:tab w:pos="1717" w:val="left" w:leader="none"/>
        </w:tabs>
        <w:spacing w:line="313" w:lineRule="exact"/>
        <w:ind w:left="758" w:right="-20"/>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tabs>
          <w:tab w:pos="1833" w:val="left" w:leader="none"/>
        </w:tabs>
        <w:spacing w:line="240" w:lineRule="auto"/>
        <w:ind w:left="632" w:right="0"/>
        <w:jc w:val="left"/>
      </w:pPr>
      <w:r>
        <w:rPr/>
        <w:t>单位：元</w:t>
        <w:tab/>
        <w:t>币种：人民币</w:t>
      </w:r>
    </w:p>
    <w:p>
      <w:pPr>
        <w:spacing w:after="0" w:line="240" w:lineRule="auto"/>
        <w:jc w:val="left"/>
        <w:sectPr>
          <w:type w:val="continuous"/>
          <w:pgSz w:w="11910" w:h="16840"/>
          <w:pgMar w:top="1000" w:bottom="280" w:left="1040" w:right="500"/>
          <w:cols w:num="2" w:equalWidth="0">
            <w:col w:w="6279" w:space="40"/>
            <w:col w:w="4051"/>
          </w:cols>
        </w:sectPr>
      </w:pPr>
    </w:p>
    <w:p>
      <w:pPr>
        <w:spacing w:line="240" w:lineRule="auto" w:before="10"/>
        <w:rPr>
          <w:rFonts w:ascii="宋体" w:hAnsi="宋体" w:cs="宋体" w:eastAsia="宋体" w:hint="default"/>
          <w:sz w:val="2"/>
          <w:szCs w:val="2"/>
        </w:rPr>
      </w:pPr>
    </w:p>
    <w:tbl>
      <w:tblPr>
        <w:tblW w:w="0" w:type="auto"/>
        <w:jc w:val="left"/>
        <w:tblInd w:w="722" w:type="dxa"/>
        <w:tblLayout w:type="fixed"/>
        <w:tblCellMar>
          <w:top w:w="0" w:type="dxa"/>
          <w:left w:w="0" w:type="dxa"/>
          <w:bottom w:w="0" w:type="dxa"/>
          <w:right w:w="0" w:type="dxa"/>
        </w:tblCellMar>
        <w:tblLook w:val="01E0"/>
      </w:tblPr>
      <w:tblGrid>
        <w:gridCol w:w="2374"/>
        <w:gridCol w:w="2203"/>
        <w:gridCol w:w="2131"/>
        <w:gridCol w:w="2187"/>
      </w:tblGrid>
      <w:tr>
        <w:trPr>
          <w:trHeight w:val="322"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6"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8"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07" w:right="0"/>
              <w:jc w:val="lef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w:t>
            </w:r>
            <w:r>
              <w:rPr>
                <w:rFonts w:ascii="宋体" w:hAnsi="宋体" w:cs="宋体" w:eastAsia="宋体" w:hint="default"/>
                <w:sz w:val="24"/>
                <w:szCs w:val="24"/>
              </w:rPr>
              <w:t>）</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年以内分项</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1"/>
                <w:sz w:val="24"/>
                <w:szCs w:val="24"/>
              </w:rPr>
              <w:t> </w:t>
            </w:r>
            <w:r>
              <w:rPr>
                <w:rFonts w:ascii="宋体" w:hAnsi="宋体" w:cs="宋体" w:eastAsia="宋体" w:hint="default"/>
                <w:sz w:val="24"/>
                <w:szCs w:val="24"/>
              </w:rPr>
              <w:t>年以内</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518,107,150.95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20,724,286.04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4.00</w:t>
            </w:r>
          </w:p>
        </w:tc>
      </w:tr>
      <w:tr>
        <w:trPr>
          <w:trHeight w:val="319"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518,107,150.95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20,724,286.04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124,199,284.24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6"/>
              <w:jc w:val="right"/>
              <w:rPr>
                <w:rFonts w:ascii="宋体" w:hAnsi="宋体" w:cs="宋体" w:eastAsia="宋体" w:hint="default"/>
                <w:sz w:val="24"/>
                <w:szCs w:val="24"/>
              </w:rPr>
            </w:pPr>
            <w:r>
              <w:rPr>
                <w:rFonts w:ascii="宋体"/>
                <w:sz w:val="24"/>
              </w:rPr>
              <w:t>9,935,942.74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8.00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58,627,427.92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11,725,485.58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20.00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64,484,873.27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32,242,436.64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50.00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00" w:bottom="280" w:left="1040" w:right="5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374"/>
        <w:gridCol w:w="2203"/>
        <w:gridCol w:w="2131"/>
        <w:gridCol w:w="2187"/>
      </w:tblGrid>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6"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56,545,379.72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56,545,379.72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100.00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821,964,116.10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131,173,530.72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15.96</w:t>
            </w:r>
          </w:p>
        </w:tc>
      </w:tr>
    </w:tbl>
    <w:p>
      <w:pPr>
        <w:spacing w:line="240" w:lineRule="auto" w:before="10"/>
        <w:rPr>
          <w:rFonts w:ascii="宋体" w:hAnsi="宋体" w:cs="宋体" w:eastAsia="宋体" w:hint="default"/>
          <w:sz w:val="18"/>
          <w:szCs w:val="18"/>
        </w:rPr>
      </w:pPr>
    </w:p>
    <w:p>
      <w:pPr>
        <w:pStyle w:val="BodyText"/>
        <w:spacing w:line="313" w:lineRule="exact" w:before="26"/>
        <w:ind w:left="218" w:right="233"/>
        <w:jc w:val="left"/>
      </w:pPr>
      <w:r>
        <w:rPr/>
        <w:t>组合中，采用余额百分比法计提坏账准备的其他应收款：</w:t>
      </w:r>
    </w:p>
    <w:p>
      <w:pPr>
        <w:pStyle w:val="BodyText"/>
        <w:spacing w:line="313" w:lineRule="exact"/>
        <w:ind w:left="218" w:right="233"/>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313" w:lineRule="exact"/>
        <w:ind w:left="218" w:right="233"/>
        <w:jc w:val="left"/>
      </w:pPr>
      <w:r>
        <w:rPr/>
        <w:t>组合中，采用其他方法计提坏账准备的其他应收款：</w:t>
      </w:r>
    </w:p>
    <w:p>
      <w:pPr>
        <w:pStyle w:val="BodyText"/>
        <w:spacing w:line="313" w:lineRule="exact"/>
        <w:ind w:left="218" w:right="233"/>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2"/>
        <w:spacing w:line="240" w:lineRule="auto" w:before="0"/>
        <w:ind w:right="233"/>
        <w:jc w:val="left"/>
        <w:rPr>
          <w:b w:val="0"/>
          <w:bCs w:val="0"/>
        </w:rPr>
      </w:pPr>
      <w:r>
        <w:rPr>
          <w:rFonts w:ascii="宋体" w:hAnsi="宋体" w:cs="宋体" w:eastAsia="宋体" w:hint="default"/>
        </w:rPr>
        <w:t>(2).</w:t>
      </w:r>
      <w:r>
        <w:rPr>
          <w:rFonts w:ascii="宋体" w:hAnsi="宋体" w:cs="宋体" w:eastAsia="宋体" w:hint="default"/>
          <w:spacing w:val="-21"/>
        </w:rPr>
        <w:t> </w:t>
      </w:r>
      <w:r>
        <w:rPr/>
        <w:t>本期计提、收回或转回的坏账准备情况：</w:t>
      </w:r>
      <w:r>
        <w:rPr>
          <w:b w:val="0"/>
          <w:bCs w:val="0"/>
        </w:rPr>
      </w:r>
    </w:p>
    <w:p>
      <w:pPr>
        <w:pStyle w:val="BodyText"/>
        <w:spacing w:line="240" w:lineRule="auto" w:before="58"/>
        <w:ind w:left="698" w:right="233"/>
        <w:jc w:val="left"/>
      </w:pPr>
      <w:r>
        <w:rPr/>
        <w:t>本期计提坏账准备金额</w:t>
      </w:r>
      <w:r>
        <w:rPr>
          <w:spacing w:val="-60"/>
        </w:rPr>
        <w:t> </w:t>
      </w:r>
      <w:r>
        <w:rPr>
          <w:rFonts w:ascii="宋体" w:hAnsi="宋体" w:cs="宋体" w:eastAsia="宋体" w:hint="default"/>
        </w:rPr>
        <w:t>7,101,432.88</w:t>
      </w:r>
      <w:r>
        <w:rPr>
          <w:rFonts w:ascii="宋体" w:hAnsi="宋体" w:cs="宋体" w:eastAsia="宋体" w:hint="default"/>
          <w:spacing w:val="-60"/>
        </w:rPr>
        <w:t> </w:t>
      </w:r>
      <w:r>
        <w:rPr/>
        <w:t>元；本期收回或转回坏账准备金额</w:t>
      </w:r>
      <w:r>
        <w:rPr>
          <w:spacing w:val="-59"/>
        </w:rPr>
        <w:t> </w:t>
      </w:r>
      <w:r>
        <w:rPr>
          <w:rFonts w:ascii="宋体" w:hAnsi="宋体" w:cs="宋体" w:eastAsia="宋体" w:hint="default"/>
        </w:rPr>
        <w:t>0</w:t>
      </w:r>
      <w:r>
        <w:rPr>
          <w:rFonts w:ascii="宋体" w:hAnsi="宋体" w:cs="宋体" w:eastAsia="宋体" w:hint="default"/>
          <w:spacing w:val="-60"/>
        </w:rPr>
        <w:t> </w:t>
      </w:r>
      <w:r>
        <w:rPr/>
        <w:t>元，</w:t>
      </w:r>
    </w:p>
    <w:p>
      <w:pPr>
        <w:pStyle w:val="BodyText"/>
        <w:spacing w:line="357" w:lineRule="auto" w:before="151"/>
        <w:ind w:left="218" w:right="3168"/>
        <w:jc w:val="left"/>
      </w:pPr>
      <w:r>
        <w:rPr/>
        <w:t>因合并范围变更影响，减少坏账准备</w:t>
      </w:r>
      <w:r>
        <w:rPr>
          <w:spacing w:val="-60"/>
        </w:rPr>
        <w:t> </w:t>
      </w:r>
      <w:r>
        <w:rPr>
          <w:rFonts w:ascii="宋体" w:hAnsi="宋体" w:cs="宋体" w:eastAsia="宋体" w:hint="default"/>
        </w:rPr>
        <w:t>1,255,839.21</w:t>
      </w:r>
      <w:r>
        <w:rPr>
          <w:rFonts w:ascii="宋体" w:hAnsi="宋体" w:cs="宋体" w:eastAsia="宋体" w:hint="default"/>
          <w:spacing w:val="-60"/>
        </w:rPr>
        <w:t> </w:t>
      </w:r>
      <w:r>
        <w:rPr/>
        <w:t>元。 其中本期坏账准备转回或收回金额重要的：</w:t>
      </w:r>
    </w:p>
    <w:p>
      <w:pPr>
        <w:pStyle w:val="BodyText"/>
        <w:spacing w:line="240" w:lineRule="auto" w:before="34"/>
        <w:ind w:left="218" w:right="233"/>
        <w:jc w:val="left"/>
      </w:pPr>
      <w:r>
        <w:rPr/>
        <w:t>□适用</w:t>
      </w:r>
      <w:r>
        <w:rPr>
          <w:spacing w:val="-1"/>
        </w:rPr>
        <w:t> </w:t>
      </w:r>
      <w:r>
        <w:rPr/>
        <w:t>√不适用</w:t>
      </w:r>
    </w:p>
    <w:p>
      <w:pPr>
        <w:pStyle w:val="Heading2"/>
        <w:spacing w:line="240" w:lineRule="auto" w:before="58"/>
        <w:ind w:right="233"/>
        <w:jc w:val="left"/>
        <w:rPr>
          <w:b w:val="0"/>
          <w:bCs w:val="0"/>
        </w:rPr>
      </w:pPr>
      <w:r>
        <w:rPr>
          <w:rFonts w:ascii="宋体" w:hAnsi="宋体" w:cs="宋体" w:eastAsia="宋体" w:hint="default"/>
        </w:rPr>
        <w:t>(3).</w:t>
      </w:r>
      <w:r>
        <w:rPr>
          <w:rFonts w:ascii="宋体" w:hAnsi="宋体" w:cs="宋体" w:eastAsia="宋体" w:hint="default"/>
          <w:spacing w:val="-19"/>
        </w:rPr>
        <w:t> </w:t>
      </w:r>
      <w:r>
        <w:rPr/>
        <w:t>本期实际核销的其他应收款情况</w:t>
      </w:r>
      <w:r>
        <w:rPr>
          <w:b w:val="0"/>
          <w:bCs w:val="0"/>
        </w:rPr>
      </w:r>
    </w:p>
    <w:p>
      <w:pPr>
        <w:pStyle w:val="BodyText"/>
        <w:spacing w:line="240" w:lineRule="auto" w:before="58"/>
        <w:ind w:left="218" w:right="233"/>
        <w:jc w:val="left"/>
      </w:pPr>
      <w:r>
        <w:rPr/>
        <w:t>√适用</w:t>
      </w:r>
      <w:r>
        <w:rPr>
          <w:spacing w:val="-1"/>
        </w:rPr>
        <w:t> </w:t>
      </w:r>
      <w:r>
        <w:rPr/>
        <w:t>□不适用</w:t>
      </w:r>
    </w:p>
    <w:p>
      <w:pPr>
        <w:pStyle w:val="BodyText"/>
        <w:tabs>
          <w:tab w:pos="1200" w:val="left" w:leader="none"/>
        </w:tabs>
        <w:spacing w:line="310" w:lineRule="exact"/>
        <w:ind w:left="0" w:right="23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31"/>
        <w:gridCol w:w="4465"/>
      </w:tblGrid>
      <w:tr>
        <w:trPr>
          <w:trHeight w:val="322"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06"/>
              <w:jc w:val="right"/>
              <w:rPr>
                <w:rFonts w:ascii="宋体" w:hAnsi="宋体" w:cs="宋体" w:eastAsia="宋体" w:hint="default"/>
                <w:sz w:val="24"/>
                <w:szCs w:val="24"/>
              </w:rPr>
            </w:pPr>
            <w:r>
              <w:rPr>
                <w:rFonts w:ascii="宋体" w:hAnsi="宋体" w:cs="宋体" w:eastAsia="宋体" w:hint="default"/>
                <w:sz w:val="24"/>
                <w:szCs w:val="24"/>
              </w:rPr>
              <w:t>项目</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0"/>
              <w:jc w:val="center"/>
              <w:rPr>
                <w:rFonts w:ascii="宋体" w:hAnsi="宋体" w:cs="宋体" w:eastAsia="宋体" w:hint="default"/>
                <w:sz w:val="24"/>
                <w:szCs w:val="24"/>
              </w:rPr>
            </w:pPr>
            <w:r>
              <w:rPr>
                <w:rFonts w:ascii="宋体" w:hAnsi="宋体" w:cs="宋体" w:eastAsia="宋体" w:hint="default"/>
                <w:sz w:val="24"/>
                <w:szCs w:val="24"/>
              </w:rPr>
              <w:t>核销金额</w:t>
            </w:r>
          </w:p>
        </w:tc>
      </w:tr>
      <w:tr>
        <w:trPr>
          <w:trHeight w:val="322"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92"/>
              <w:jc w:val="right"/>
              <w:rPr>
                <w:rFonts w:ascii="宋体" w:hAnsi="宋体" w:cs="宋体" w:eastAsia="宋体" w:hint="default"/>
                <w:sz w:val="24"/>
                <w:szCs w:val="24"/>
              </w:rPr>
            </w:pPr>
            <w:r>
              <w:rPr>
                <w:rFonts w:ascii="宋体" w:hAnsi="宋体" w:cs="宋体" w:eastAsia="宋体" w:hint="default"/>
                <w:sz w:val="24"/>
                <w:szCs w:val="24"/>
              </w:rPr>
              <w:t>实际核销的其他应收款</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75,855.13</w:t>
            </w:r>
          </w:p>
        </w:tc>
      </w:tr>
    </w:tbl>
    <w:p>
      <w:pPr>
        <w:spacing w:line="240" w:lineRule="auto" w:before="10"/>
        <w:rPr>
          <w:rFonts w:ascii="宋体" w:hAnsi="宋体" w:cs="宋体" w:eastAsia="宋体" w:hint="default"/>
          <w:sz w:val="18"/>
          <w:szCs w:val="18"/>
        </w:rPr>
      </w:pPr>
    </w:p>
    <w:p>
      <w:pPr>
        <w:pStyle w:val="BodyText"/>
        <w:spacing w:line="312" w:lineRule="exact" w:before="26"/>
        <w:ind w:left="218" w:right="233"/>
        <w:jc w:val="left"/>
      </w:pPr>
      <w:r>
        <w:rPr/>
        <w:t>其中重要的其他应收款核销情况：</w:t>
      </w:r>
    </w:p>
    <w:p>
      <w:pPr>
        <w:pStyle w:val="BodyText"/>
        <w:spacing w:line="312" w:lineRule="exact"/>
        <w:ind w:left="218" w:right="233"/>
        <w:jc w:val="left"/>
      </w:pPr>
      <w:r>
        <w:rPr/>
        <w:t>□适用</w:t>
      </w:r>
      <w:r>
        <w:rPr>
          <w:spacing w:val="-1"/>
        </w:rPr>
        <w:t> </w:t>
      </w:r>
      <w:r>
        <w:rPr/>
        <w:t>√不适用</w:t>
      </w:r>
    </w:p>
    <w:p>
      <w:pPr>
        <w:spacing w:line="240" w:lineRule="auto" w:before="9"/>
        <w:rPr>
          <w:rFonts w:ascii="宋体" w:hAnsi="宋体" w:cs="宋体" w:eastAsia="宋体" w:hint="default"/>
          <w:sz w:val="23"/>
          <w:szCs w:val="23"/>
        </w:rPr>
      </w:pPr>
    </w:p>
    <w:p>
      <w:pPr>
        <w:pStyle w:val="BodyText"/>
        <w:spacing w:line="312" w:lineRule="exact"/>
        <w:ind w:left="218" w:right="233"/>
        <w:jc w:val="left"/>
      </w:pPr>
      <w:r>
        <w:rPr/>
        <w:t>其他应收款核销说明：</w:t>
      </w:r>
    </w:p>
    <w:p>
      <w:pPr>
        <w:pStyle w:val="BodyText"/>
        <w:spacing w:line="312" w:lineRule="exact"/>
        <w:ind w:left="218" w:right="233"/>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19"/>
        </w:rPr>
        <w:t> </w:t>
      </w:r>
      <w:r>
        <w:rPr/>
        <w:t>其他应收款按款项性质分类情况</w:t>
      </w:r>
      <w:r>
        <w:rPr>
          <w:b w:val="0"/>
          <w:bCs w:val="0"/>
        </w:rPr>
      </w:r>
    </w:p>
    <w:p>
      <w:pPr>
        <w:pStyle w:val="BodyText"/>
        <w:spacing w:line="477" w:lineRule="auto" w:before="55"/>
        <w:ind w:left="218" w:right="2141"/>
        <w:jc w:val="left"/>
      </w:pPr>
      <w:r>
        <w:rPr/>
        <w:pict>
          <v:shape style="position:absolute;margin-left:84.264pt;margin-top:51.475574pt;width:453.2pt;height:113.0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77"/>
                    <w:gridCol w:w="2981"/>
                    <w:gridCol w:w="2991"/>
                  </w:tblGrid>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63" w:right="0"/>
                          <w:jc w:val="left"/>
                          <w:rPr>
                            <w:rFonts w:ascii="宋体" w:hAnsi="宋体" w:cs="宋体" w:eastAsia="宋体" w:hint="default"/>
                            <w:sz w:val="24"/>
                            <w:szCs w:val="24"/>
                          </w:rPr>
                        </w:pPr>
                        <w:r>
                          <w:rPr>
                            <w:rFonts w:ascii="宋体" w:hAnsi="宋体" w:cs="宋体" w:eastAsia="宋体" w:hint="default"/>
                            <w:sz w:val="24"/>
                            <w:szCs w:val="24"/>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68" w:right="0"/>
                          <w:jc w:val="left"/>
                          <w:rPr>
                            <w:rFonts w:ascii="宋体" w:hAnsi="宋体" w:cs="宋体" w:eastAsia="宋体" w:hint="default"/>
                            <w:sz w:val="24"/>
                            <w:szCs w:val="24"/>
                          </w:rPr>
                        </w:pPr>
                        <w:r>
                          <w:rPr>
                            <w:rFonts w:ascii="宋体" w:hAnsi="宋体" w:cs="宋体" w:eastAsia="宋体" w:hint="default"/>
                            <w:sz w:val="24"/>
                            <w:szCs w:val="24"/>
                          </w:rPr>
                          <w:t>期初账面余额</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285,582,473.53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259,725,561.24</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223,280,284.80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360,931,055.62</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股权转让款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196,000,000.00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436,000,000.00</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应收暂付款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102,226,879.68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84,931,077.68</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14,874,478.09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47,001,553.75</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821,964,116.10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1,188,589,248.29</w:t>
                        </w:r>
                      </w:p>
                    </w:tc>
                  </w:tr>
                </w:tbl>
                <w:p>
                  <w:pPr/>
                </w:p>
              </w:txbxContent>
            </v:textbox>
            <w10:wrap type="none"/>
          </v:shape>
        </w:pict>
      </w:r>
      <w:r>
        <w:rPr/>
        <w:t>√适用</w:t>
      </w:r>
      <w:r>
        <w:rPr>
          <w:spacing w:val="-1"/>
        </w:rPr>
        <w:t> </w:t>
      </w:r>
      <w:r>
        <w:rPr/>
        <w:t>□不适用</w:t>
      </w:r>
      <w:r>
        <w:rPr/>
        <w:t> 种：人民币</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370" w:val="left" w:leader="none"/>
        </w:tabs>
        <w:spacing w:line="240" w:lineRule="auto"/>
        <w:ind w:left="218" w:right="0"/>
        <w:jc w:val="left"/>
      </w:pPr>
      <w:r>
        <w:rPr>
          <w:spacing w:val="-12"/>
        </w:rPr>
        <w:t>单位：元</w:t>
        <w:tab/>
      </w:r>
      <w:r>
        <w:rPr/>
        <w:t>币</w:t>
      </w:r>
    </w:p>
    <w:p>
      <w:pPr>
        <w:spacing w:after="0" w:line="240" w:lineRule="auto"/>
        <w:jc w:val="left"/>
        <w:sectPr>
          <w:type w:val="continuous"/>
          <w:pgSz w:w="11910" w:h="16840"/>
          <w:pgMar w:top="1000" w:bottom="280" w:left="1580" w:right="1040"/>
          <w:cols w:num="2" w:equalWidth="0">
            <w:col w:w="4179" w:space="3262"/>
            <w:col w:w="184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2"/>
        <w:spacing w:line="240" w:lineRule="auto"/>
        <w:ind w:right="233"/>
        <w:jc w:val="left"/>
        <w:rPr>
          <w:b w:val="0"/>
          <w:bCs w:val="0"/>
        </w:rPr>
      </w:pPr>
      <w:r>
        <w:rPr>
          <w:rFonts w:ascii="宋体" w:hAnsi="宋体" w:cs="宋体" w:eastAsia="宋体" w:hint="default"/>
        </w:rPr>
        <w:t>(5).</w:t>
      </w:r>
      <w:r>
        <w:rPr>
          <w:rFonts w:ascii="宋体" w:hAnsi="宋体" w:cs="宋体" w:eastAsia="宋体" w:hint="default"/>
          <w:spacing w:val="-22"/>
        </w:rPr>
        <w:t> </w:t>
      </w:r>
      <w:r>
        <w:rPr/>
        <w:t>按欠款方归集的期末余额前五名的其他应收款情况：</w:t>
      </w:r>
      <w:r>
        <w:rPr>
          <w:b w:val="0"/>
          <w:bCs w:val="0"/>
        </w:rPr>
      </w:r>
    </w:p>
    <w:p>
      <w:pPr>
        <w:pStyle w:val="BodyText"/>
        <w:spacing w:line="240" w:lineRule="auto" w:before="58"/>
        <w:ind w:left="218" w:right="233"/>
        <w:jc w:val="left"/>
      </w:pPr>
      <w:r>
        <w:rPr/>
        <w:t>√适用</w:t>
      </w:r>
      <w:r>
        <w:rPr>
          <w:spacing w:val="-1"/>
        </w:rPr>
        <w:t> </w:t>
      </w:r>
      <w:r>
        <w:rPr/>
        <w:t>□不适用</w:t>
      </w:r>
    </w:p>
    <w:p>
      <w:pPr>
        <w:spacing w:after="0" w:line="240" w:lineRule="auto"/>
        <w:jc w:val="left"/>
        <w:sectPr>
          <w:type w:val="continuous"/>
          <w:pgSz w:w="11910" w:h="16840"/>
          <w:pgMar w:top="1000" w:bottom="280" w:left="1580" w:right="1040"/>
        </w:sectPr>
      </w:pPr>
    </w:p>
    <w:p>
      <w:pPr>
        <w:spacing w:line="240" w:lineRule="auto" w:before="5"/>
        <w:rPr>
          <w:rFonts w:ascii="宋体" w:hAnsi="宋体" w:cs="宋体" w:eastAsia="宋体" w:hint="default"/>
          <w:sz w:val="25"/>
          <w:szCs w:val="25"/>
        </w:rPr>
      </w:pPr>
    </w:p>
    <w:p>
      <w:pPr>
        <w:pStyle w:val="BodyText"/>
        <w:tabs>
          <w:tab w:pos="8431" w:val="left" w:leader="none"/>
        </w:tabs>
        <w:spacing w:line="240" w:lineRule="auto" w:before="26"/>
        <w:ind w:left="7231" w:right="0"/>
        <w:jc w:val="lef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327"/>
        <w:gridCol w:w="1440"/>
        <w:gridCol w:w="1817"/>
        <w:gridCol w:w="1294"/>
        <w:gridCol w:w="1119"/>
        <w:gridCol w:w="1702"/>
      </w:tblGrid>
      <w:tr>
        <w:trPr>
          <w:trHeight w:val="1567"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8"/>
              <w:jc w:val="center"/>
              <w:rPr>
                <w:rFonts w:ascii="宋体" w:hAnsi="宋体" w:cs="宋体" w:eastAsia="宋体" w:hint="default"/>
                <w:sz w:val="24"/>
                <w:szCs w:val="24"/>
              </w:rPr>
            </w:pPr>
            <w:r>
              <w:rPr>
                <w:rFonts w:ascii="宋体" w:hAnsi="宋体" w:cs="宋体" w:eastAsia="宋体" w:hint="default"/>
                <w:sz w:val="24"/>
                <w:szCs w:val="24"/>
              </w:rPr>
              <w:t>单位名称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79" w:right="0"/>
              <w:jc w:val="left"/>
              <w:rPr>
                <w:rFonts w:ascii="宋体" w:hAnsi="宋体" w:cs="宋体" w:eastAsia="宋体" w:hint="default"/>
                <w:sz w:val="24"/>
                <w:szCs w:val="24"/>
              </w:rPr>
            </w:pPr>
            <w:r>
              <w:rPr>
                <w:rFonts w:ascii="宋体" w:hAnsi="宋体" w:cs="宋体" w:eastAsia="宋体" w:hint="default"/>
                <w:sz w:val="24"/>
                <w:szCs w:val="24"/>
              </w:rPr>
              <w:t>款项的性质</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86"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62" w:right="0"/>
              <w:jc w:val="left"/>
              <w:rPr>
                <w:rFonts w:ascii="宋体" w:hAnsi="宋体" w:cs="宋体" w:eastAsia="宋体" w:hint="default"/>
                <w:sz w:val="24"/>
                <w:szCs w:val="24"/>
              </w:rPr>
            </w:pPr>
            <w:r>
              <w:rPr>
                <w:rFonts w:ascii="宋体" w:hAnsi="宋体" w:cs="宋体" w:eastAsia="宋体" w:hint="default"/>
                <w:sz w:val="24"/>
                <w:szCs w:val="24"/>
              </w:rPr>
              <w:t>账龄</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
              <w:jc w:val="center"/>
              <w:rPr>
                <w:rFonts w:ascii="宋体" w:hAnsi="宋体" w:cs="宋体" w:eastAsia="宋体" w:hint="default"/>
                <w:sz w:val="24"/>
                <w:szCs w:val="24"/>
              </w:rPr>
            </w:pPr>
            <w:r>
              <w:rPr>
                <w:rFonts w:ascii="宋体" w:hAnsi="宋体" w:cs="宋体" w:eastAsia="宋体" w:hint="default"/>
                <w:sz w:val="24"/>
                <w:szCs w:val="24"/>
              </w:rPr>
              <w:t>占其他应</w:t>
            </w:r>
          </w:p>
          <w:p>
            <w:pPr>
              <w:pStyle w:val="TableParagraph"/>
              <w:spacing w:line="237" w:lineRule="auto" w:before="1"/>
              <w:ind w:left="71" w:right="75"/>
              <w:jc w:val="center"/>
              <w:rPr>
                <w:rFonts w:ascii="宋体" w:hAnsi="宋体" w:cs="宋体" w:eastAsia="宋体" w:hint="default"/>
                <w:sz w:val="24"/>
                <w:szCs w:val="24"/>
              </w:rPr>
            </w:pPr>
            <w:r>
              <w:rPr>
                <w:rFonts w:ascii="宋体" w:hAnsi="宋体" w:cs="宋体" w:eastAsia="宋体" w:hint="default"/>
                <w:sz w:val="24"/>
                <w:szCs w:val="24"/>
              </w:rPr>
              <w:t>收款期末 余额合计 数的比例 </w:t>
            </w:r>
            <w:r>
              <w:rPr>
                <w:rFonts w:ascii="宋体" w:hAnsi="宋体" w:cs="宋体" w:eastAsia="宋体" w:hint="default"/>
                <w:sz w:val="24"/>
                <w:szCs w:val="24"/>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35"/>
                <w:szCs w:val="35"/>
              </w:rPr>
            </w:pPr>
          </w:p>
          <w:p>
            <w:pPr>
              <w:pStyle w:val="TableParagraph"/>
              <w:spacing w:line="310" w:lineRule="exact"/>
              <w:ind w:left="364" w:right="365"/>
              <w:jc w:val="left"/>
              <w:rPr>
                <w:rFonts w:ascii="宋体" w:hAnsi="宋体" w:cs="宋体" w:eastAsia="宋体" w:hint="default"/>
                <w:sz w:val="24"/>
                <w:szCs w:val="24"/>
              </w:rPr>
            </w:pPr>
            <w:r>
              <w:rPr>
                <w:rFonts w:ascii="宋体" w:hAnsi="宋体" w:cs="宋体" w:eastAsia="宋体" w:hint="default"/>
                <w:sz w:val="24"/>
                <w:szCs w:val="24"/>
              </w:rPr>
              <w:t>坏账准备 期末余额</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浙江新湖集团股份有限公司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股权转让款</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196,000,000.00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23.85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7,840,000.00</w:t>
            </w:r>
          </w:p>
        </w:tc>
      </w:tr>
      <w:tr>
        <w:trPr>
          <w:trHeight w:val="319"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上海逸合投资管理有限公司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往来款</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98,670,325.35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0-2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12.00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4,498,167.14</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苏州市住房置业担保有限公司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按揭保证金</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71,842,850.00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6"/>
              <w:jc w:val="right"/>
              <w:rPr>
                <w:rFonts w:ascii="宋体" w:hAnsi="宋体" w:cs="宋体" w:eastAsia="宋体" w:hint="default"/>
                <w:sz w:val="24"/>
                <w:szCs w:val="24"/>
              </w:rPr>
            </w:pPr>
            <w:r>
              <w:rPr>
                <w:rFonts w:ascii="宋体"/>
                <w:sz w:val="24"/>
              </w:rPr>
              <w:t>8.74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25,514,696.00</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恩施裕丰房地产开发有限公司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往来款</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50,674,003.76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6.16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2,026,960.15</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甘肃西北矿业集团有限公司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往来款</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41,169,950.66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5.01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1,646,798.03</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
              <w:jc w:val="center"/>
              <w:rPr>
                <w:rFonts w:ascii="宋体" w:hAnsi="宋体" w:cs="宋体" w:eastAsia="宋体" w:hint="default"/>
                <w:sz w:val="24"/>
                <w:szCs w:val="24"/>
              </w:rPr>
            </w:pPr>
            <w:r>
              <w:rPr>
                <w:rFonts w:ascii="宋体" w:hAnsi="宋体" w:cs="宋体" w:eastAsia="宋体" w:hint="default"/>
                <w:sz w:val="24"/>
                <w:szCs w:val="24"/>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0"/>
              <w:jc w:val="center"/>
              <w:rPr>
                <w:rFonts w:ascii="宋体" w:hAnsi="宋体" w:cs="宋体" w:eastAsia="宋体" w:hint="default"/>
                <w:sz w:val="24"/>
                <w:szCs w:val="24"/>
              </w:rPr>
            </w:pPr>
            <w:r>
              <w:rPr>
                <w:rFonts w:ascii="宋体"/>
                <w:sz w:val="24"/>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458,357,129.77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0" w:right="0"/>
              <w:jc w:val="center"/>
              <w:rPr>
                <w:rFonts w:ascii="宋体" w:hAnsi="宋体" w:cs="宋体" w:eastAsia="宋体" w:hint="default"/>
                <w:sz w:val="24"/>
                <w:szCs w:val="24"/>
              </w:rPr>
            </w:pPr>
            <w:r>
              <w:rPr>
                <w:rFonts w:ascii="宋体"/>
                <w:sz w:val="24"/>
              </w:rPr>
              <w:t>/</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55.76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41,526,621.32</w:t>
            </w:r>
          </w:p>
        </w:tc>
      </w:tr>
    </w:tbl>
    <w:p>
      <w:pPr>
        <w:spacing w:line="240" w:lineRule="auto" w:before="5"/>
        <w:rPr>
          <w:rFonts w:ascii="宋体" w:hAnsi="宋体" w:cs="宋体" w:eastAsia="宋体" w:hint="default"/>
          <w:sz w:val="23"/>
          <w:szCs w:val="23"/>
        </w:rPr>
      </w:pPr>
    </w:p>
    <w:p>
      <w:pPr>
        <w:pStyle w:val="Heading2"/>
        <w:spacing w:line="240" w:lineRule="auto"/>
        <w:ind w:left="1038" w:right="0"/>
        <w:jc w:val="left"/>
        <w:rPr>
          <w:b w:val="0"/>
          <w:bCs w:val="0"/>
        </w:rPr>
      </w:pPr>
      <w:r>
        <w:rPr>
          <w:rFonts w:ascii="宋体" w:hAnsi="宋体" w:cs="宋体" w:eastAsia="宋体" w:hint="default"/>
        </w:rPr>
        <w:t>(6).</w:t>
      </w:r>
      <w:r>
        <w:rPr>
          <w:rFonts w:ascii="宋体" w:hAnsi="宋体" w:cs="宋体" w:eastAsia="宋体" w:hint="default"/>
          <w:spacing w:val="-21"/>
        </w:rPr>
        <w:t> </w:t>
      </w:r>
      <w:r>
        <w:rPr/>
        <w:t>涉及政府补助的应收款项</w:t>
      </w:r>
      <w:r>
        <w:rPr>
          <w:b w:val="0"/>
          <w:bCs w:val="0"/>
        </w:rPr>
      </w:r>
    </w:p>
    <w:p>
      <w:pPr>
        <w:pStyle w:val="BodyText"/>
        <w:spacing w:line="240" w:lineRule="auto" w:before="55"/>
        <w:ind w:left="1038" w:right="0"/>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1038" w:right="0"/>
        <w:jc w:val="left"/>
        <w:rPr>
          <w:b w:val="0"/>
          <w:bCs w:val="0"/>
        </w:rPr>
      </w:pPr>
      <w:r>
        <w:rPr>
          <w:rFonts w:ascii="宋体" w:hAnsi="宋体" w:cs="宋体" w:eastAsia="宋体" w:hint="default"/>
        </w:rPr>
        <w:t>(7).</w:t>
      </w:r>
      <w:r>
        <w:rPr>
          <w:rFonts w:ascii="宋体" w:hAnsi="宋体" w:cs="宋体" w:eastAsia="宋体" w:hint="default"/>
          <w:spacing w:val="-20"/>
        </w:rPr>
        <w:t> </w:t>
      </w:r>
      <w:r>
        <w:rPr/>
        <w:t>因金融资产转移而终止确认的其他应收款：</w:t>
      </w:r>
      <w:r>
        <w:rPr>
          <w:b w:val="0"/>
          <w:bCs w:val="0"/>
        </w:rPr>
      </w:r>
    </w:p>
    <w:p>
      <w:pPr>
        <w:pStyle w:val="BodyText"/>
        <w:tabs>
          <w:tab w:pos="1997" w:val="left" w:leader="none"/>
        </w:tabs>
        <w:spacing w:line="240" w:lineRule="auto" w:before="55"/>
        <w:ind w:left="1038" w:right="0"/>
        <w:jc w:val="left"/>
      </w:pPr>
      <w:r>
        <w:rPr>
          <w:spacing w:val="-1"/>
        </w:rPr>
        <w:t>□适用</w:t>
        <w:tab/>
      </w:r>
      <w:r>
        <w:rPr/>
        <w:t>√不适用</w:t>
      </w:r>
    </w:p>
    <w:p>
      <w:pPr>
        <w:spacing w:line="240" w:lineRule="auto" w:before="4"/>
        <w:rPr>
          <w:rFonts w:ascii="宋体" w:hAnsi="宋体" w:cs="宋体" w:eastAsia="宋体" w:hint="default"/>
          <w:sz w:val="28"/>
          <w:szCs w:val="28"/>
        </w:rPr>
      </w:pPr>
    </w:p>
    <w:p>
      <w:pPr>
        <w:pStyle w:val="Heading2"/>
        <w:spacing w:line="240" w:lineRule="auto" w:before="0"/>
        <w:ind w:left="1038" w:right="0"/>
        <w:jc w:val="left"/>
        <w:rPr>
          <w:b w:val="0"/>
          <w:bCs w:val="0"/>
        </w:rPr>
      </w:pPr>
      <w:r>
        <w:rPr>
          <w:rFonts w:ascii="宋体" w:hAnsi="宋体" w:cs="宋体" w:eastAsia="宋体" w:hint="default"/>
        </w:rPr>
        <w:t>(8).</w:t>
      </w:r>
      <w:r>
        <w:rPr>
          <w:rFonts w:ascii="宋体" w:hAnsi="宋体" w:cs="宋体" w:eastAsia="宋体" w:hint="default"/>
          <w:spacing w:val="-21"/>
        </w:rPr>
        <w:t> </w:t>
      </w:r>
      <w:r>
        <w:rPr/>
        <w:t>转移其他应收款且继续涉入形成的资产、负债的金额：</w:t>
      </w:r>
      <w:r>
        <w:rPr>
          <w:b w:val="0"/>
          <w:bCs w:val="0"/>
        </w:rPr>
      </w:r>
    </w:p>
    <w:p>
      <w:pPr>
        <w:pStyle w:val="BodyText"/>
        <w:tabs>
          <w:tab w:pos="1997" w:val="left" w:leader="none"/>
        </w:tabs>
        <w:spacing w:line="240" w:lineRule="auto" w:before="58"/>
        <w:ind w:left="1038" w:right="0"/>
        <w:jc w:val="left"/>
      </w:pPr>
      <w:r>
        <w:rPr>
          <w:spacing w:val="-1"/>
        </w:rPr>
        <w:t>□适用</w:t>
        <w:tab/>
      </w:r>
      <w:r>
        <w:rPr/>
        <w:t>√不适用</w:t>
      </w:r>
    </w:p>
    <w:p>
      <w:pPr>
        <w:spacing w:after="0" w:line="240" w:lineRule="auto"/>
        <w:jc w:val="left"/>
        <w:sectPr>
          <w:pgSz w:w="11910" w:h="16840"/>
          <w:pgMar w:header="882" w:footer="1195" w:top="1120" w:bottom="1380" w:left="760" w:right="220"/>
        </w:sectPr>
      </w:pPr>
    </w:p>
    <w:p>
      <w:pPr>
        <w:spacing w:before="20"/>
        <w:ind w:left="6592" w:right="6618"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304"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67"/>
          <w:footerReference w:type="default" r:id="rId68"/>
          <w:pgSz w:w="16840" w:h="11910" w:orient="landscape"/>
          <w:pgMar w:header="0" w:footer="0" w:top="800" w:bottom="280" w:left="1100" w:right="1180"/>
        </w:sectPr>
      </w:pPr>
    </w:p>
    <w:p>
      <w:pPr>
        <w:pStyle w:val="Heading2"/>
        <w:spacing w:line="240" w:lineRule="auto"/>
        <w:ind w:left="340" w:right="-19"/>
        <w:jc w:val="left"/>
        <w:rPr>
          <w:b w:val="0"/>
          <w:bCs w:val="0"/>
        </w:rPr>
      </w:pPr>
      <w:r>
        <w:rPr>
          <w:rFonts w:ascii="宋体" w:hAnsi="宋体" w:cs="宋体" w:eastAsia="宋体" w:hint="default"/>
        </w:rPr>
        <w:t>8</w:t>
      </w:r>
      <w:r>
        <w:rPr/>
        <w:t>、</w:t>
      </w:r>
      <w:r>
        <w:rPr>
          <w:spacing w:val="-61"/>
        </w:rPr>
        <w:t> </w:t>
      </w:r>
      <w:r>
        <w:rPr/>
        <w:t>存货</w:t>
      </w:r>
      <w:r>
        <w:rPr>
          <w:b w:val="0"/>
          <w:bCs w:val="0"/>
        </w:rPr>
      </w:r>
    </w:p>
    <w:p>
      <w:pPr>
        <w:pStyle w:val="Heading2"/>
        <w:spacing w:line="240" w:lineRule="auto" w:before="58"/>
        <w:ind w:left="340" w:right="-19"/>
        <w:jc w:val="left"/>
        <w:rPr>
          <w:b w:val="0"/>
          <w:bCs w:val="0"/>
        </w:rPr>
      </w:pPr>
      <w:r>
        <w:rPr>
          <w:rFonts w:ascii="宋体" w:hAnsi="宋体" w:cs="宋体" w:eastAsia="宋体" w:hint="default"/>
        </w:rPr>
        <w:t>(1).</w:t>
      </w:r>
      <w:r>
        <w:rPr>
          <w:rFonts w:ascii="宋体" w:hAnsi="宋体" w:cs="宋体" w:eastAsia="宋体" w:hint="default"/>
          <w:spacing w:val="26"/>
        </w:rPr>
        <w:t> </w:t>
      </w:r>
      <w:r>
        <w:rPr/>
        <w:t>存货分类</w:t>
      </w:r>
      <w:r>
        <w:rPr>
          <w:b w:val="0"/>
          <w:bCs w:val="0"/>
        </w:rPr>
      </w:r>
    </w:p>
    <w:p>
      <w:pPr>
        <w:pStyle w:val="BodyText"/>
        <w:spacing w:line="240" w:lineRule="auto" w:before="58"/>
        <w:ind w:left="340"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4"/>
          <w:szCs w:val="34"/>
        </w:rPr>
      </w:pPr>
    </w:p>
    <w:p>
      <w:pPr>
        <w:pStyle w:val="BodyText"/>
        <w:tabs>
          <w:tab w:pos="1539" w:val="left" w:leader="none"/>
        </w:tabs>
        <w:spacing w:line="240" w:lineRule="auto"/>
        <w:ind w:left="340" w:right="0"/>
        <w:jc w:val="left"/>
      </w:pPr>
      <w:r>
        <w:rPr/>
        <w:t>单位：元</w:t>
        <w:tab/>
        <w:t>币种：人民币</w:t>
      </w:r>
    </w:p>
    <w:p>
      <w:pPr>
        <w:spacing w:after="0" w:line="240" w:lineRule="auto"/>
        <w:jc w:val="left"/>
        <w:sectPr>
          <w:type w:val="continuous"/>
          <w:pgSz w:w="16840" w:h="11910" w:orient="landscape"/>
          <w:pgMar w:top="1000" w:bottom="280" w:left="1100" w:right="1180"/>
          <w:cols w:num="2" w:equalWidth="0">
            <w:col w:w="2141" w:space="9093"/>
            <w:col w:w="3326"/>
          </w:cols>
        </w:sectPr>
      </w:pPr>
    </w:p>
    <w:p>
      <w:pPr>
        <w:spacing w:line="240" w:lineRule="auto" w:before="10"/>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373"/>
        <w:gridCol w:w="2314"/>
        <w:gridCol w:w="1790"/>
        <w:gridCol w:w="2314"/>
        <w:gridCol w:w="2314"/>
        <w:gridCol w:w="1921"/>
        <w:gridCol w:w="2307"/>
      </w:tblGrid>
      <w:tr>
        <w:trPr>
          <w:trHeight w:val="322" w:hRule="exact"/>
        </w:trPr>
        <w:tc>
          <w:tcPr>
            <w:tcW w:w="1373" w:type="dxa"/>
            <w:vMerge w:val="restart"/>
            <w:tcBorders>
              <w:top w:val="single" w:sz="4" w:space="0" w:color="000000"/>
              <w:left w:val="single" w:sz="4" w:space="0" w:color="000000"/>
              <w:right w:val="single" w:sz="4" w:space="0" w:color="000000"/>
            </w:tcBorders>
          </w:tcPr>
          <w:p>
            <w:pPr>
              <w:pStyle w:val="TableParagraph"/>
              <w:spacing w:line="240" w:lineRule="auto" w:before="121"/>
              <w:ind w:left="442"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64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65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1373" w:type="dxa"/>
            <w:vMerge/>
            <w:tcBorders>
              <w:left w:val="single" w:sz="4" w:space="0" w:color="000000"/>
              <w:bottom w:val="single" w:sz="4" w:space="0" w:color="000000"/>
              <w:right w:val="single" w:sz="4" w:space="0" w:color="000000"/>
            </w:tcBorders>
          </w:tcPr>
          <w:p>
            <w:pP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9"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07" w:right="0"/>
              <w:jc w:val="left"/>
              <w:rPr>
                <w:rFonts w:ascii="宋体" w:hAnsi="宋体" w:cs="宋体" w:eastAsia="宋体" w:hint="default"/>
                <w:sz w:val="24"/>
                <w:szCs w:val="24"/>
              </w:rPr>
            </w:pPr>
            <w:r>
              <w:rPr>
                <w:rFonts w:ascii="宋体" w:hAnsi="宋体" w:cs="宋体" w:eastAsia="宋体" w:hint="default"/>
                <w:sz w:val="24"/>
                <w:szCs w:val="24"/>
              </w:rPr>
              <w:t>跌价准备</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9" w:right="0"/>
              <w:jc w:val="left"/>
              <w:rPr>
                <w:rFonts w:ascii="宋体" w:hAnsi="宋体" w:cs="宋体" w:eastAsia="宋体" w:hint="default"/>
                <w:sz w:val="24"/>
                <w:szCs w:val="24"/>
              </w:rPr>
            </w:pPr>
            <w:r>
              <w:rPr>
                <w:rFonts w:ascii="宋体" w:hAnsi="宋体" w:cs="宋体" w:eastAsia="宋体" w:hint="default"/>
                <w:sz w:val="24"/>
                <w:szCs w:val="24"/>
              </w:rPr>
              <w:t>账面价值</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9"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73" w:right="0"/>
              <w:jc w:val="left"/>
              <w:rPr>
                <w:rFonts w:ascii="宋体" w:hAnsi="宋体" w:cs="宋体" w:eastAsia="宋体" w:hint="default"/>
                <w:sz w:val="24"/>
                <w:szCs w:val="24"/>
              </w:rPr>
            </w:pPr>
            <w:r>
              <w:rPr>
                <w:rFonts w:ascii="宋体" w:hAnsi="宋体" w:cs="宋体" w:eastAsia="宋体" w:hint="default"/>
                <w:sz w:val="24"/>
                <w:szCs w:val="24"/>
              </w:rPr>
              <w:t>跌价准备</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4" w:right="0"/>
              <w:jc w:val="left"/>
              <w:rPr>
                <w:rFonts w:ascii="宋体" w:hAnsi="宋体" w:cs="宋体" w:eastAsia="宋体" w:hint="default"/>
                <w:sz w:val="24"/>
                <w:szCs w:val="24"/>
              </w:rPr>
            </w:pPr>
            <w:r>
              <w:rPr>
                <w:rFonts w:ascii="宋体" w:hAnsi="宋体" w:cs="宋体" w:eastAsia="宋体" w:hint="default"/>
                <w:sz w:val="24"/>
                <w:szCs w:val="24"/>
              </w:rPr>
              <w:t>账面价值</w:t>
            </w:r>
          </w:p>
        </w:tc>
      </w:tr>
      <w:tr>
        <w:trPr>
          <w:trHeight w:val="32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原材料</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114,471.00</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114,471.00</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955,623.00</w:t>
            </w:r>
          </w:p>
        </w:tc>
        <w:tc>
          <w:tcPr>
            <w:tcW w:w="1921"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955,623.00</w:t>
            </w:r>
          </w:p>
        </w:tc>
      </w:tr>
      <w:tr>
        <w:trPr>
          <w:trHeight w:val="32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开发成本</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51,417,184,349.08</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51,417,184,349.08</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43,589,923,559.52</w:t>
            </w:r>
          </w:p>
        </w:tc>
        <w:tc>
          <w:tcPr>
            <w:tcW w:w="1921"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43,589,923,559.52</w:t>
            </w:r>
          </w:p>
        </w:tc>
      </w:tr>
      <w:tr>
        <w:trPr>
          <w:trHeight w:val="319"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库存商品</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1,189,646.70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417,033.77</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772,612.93</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63,000,123.76</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420,943.20</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62,579,180.56</w:t>
            </w:r>
          </w:p>
        </w:tc>
      </w:tr>
      <w:tr>
        <w:trPr>
          <w:trHeight w:val="32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开发产品</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right"/>
              <w:rPr>
                <w:rFonts w:ascii="宋体" w:hAnsi="宋体" w:cs="宋体" w:eastAsia="宋体" w:hint="default"/>
                <w:sz w:val="24"/>
                <w:szCs w:val="24"/>
              </w:rPr>
            </w:pPr>
            <w:r>
              <w:rPr>
                <w:rFonts w:ascii="宋体"/>
                <w:sz w:val="24"/>
              </w:rPr>
              <w:t>8,005,082,690.25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right"/>
              <w:rPr>
                <w:rFonts w:ascii="宋体" w:hAnsi="宋体" w:cs="宋体" w:eastAsia="宋体" w:hint="default"/>
                <w:sz w:val="24"/>
                <w:szCs w:val="24"/>
              </w:rPr>
            </w:pPr>
            <w:r>
              <w:rPr>
                <w:rFonts w:ascii="宋体"/>
                <w:sz w:val="24"/>
              </w:rPr>
              <w:t>55,446,391.86</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right"/>
              <w:rPr>
                <w:rFonts w:ascii="宋体" w:hAnsi="宋体" w:cs="宋体" w:eastAsia="宋体" w:hint="default"/>
                <w:sz w:val="24"/>
                <w:szCs w:val="24"/>
              </w:rPr>
            </w:pPr>
            <w:r>
              <w:rPr>
                <w:rFonts w:ascii="宋体"/>
                <w:sz w:val="24"/>
              </w:rPr>
              <w:t>7,949,636,298.39</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right"/>
              <w:rPr>
                <w:rFonts w:ascii="宋体" w:hAnsi="宋体" w:cs="宋体" w:eastAsia="宋体" w:hint="default"/>
                <w:sz w:val="24"/>
                <w:szCs w:val="24"/>
              </w:rPr>
            </w:pPr>
            <w:r>
              <w:rPr>
                <w:rFonts w:ascii="宋体"/>
                <w:sz w:val="24"/>
              </w:rPr>
              <w:t>8,241,227,011.20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right"/>
              <w:rPr>
                <w:rFonts w:ascii="宋体" w:hAnsi="宋体" w:cs="宋体" w:eastAsia="宋体" w:hint="default"/>
                <w:sz w:val="24"/>
                <w:szCs w:val="24"/>
              </w:rPr>
            </w:pPr>
            <w:r>
              <w:rPr>
                <w:rFonts w:ascii="宋体"/>
                <w:sz w:val="24"/>
              </w:rPr>
              <w:t>195,277,242.60</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right"/>
              <w:rPr>
                <w:rFonts w:ascii="宋体" w:hAnsi="宋体" w:cs="宋体" w:eastAsia="宋体" w:hint="default"/>
                <w:sz w:val="24"/>
                <w:szCs w:val="24"/>
              </w:rPr>
            </w:pPr>
            <w:r>
              <w:rPr>
                <w:rFonts w:ascii="宋体"/>
                <w:sz w:val="24"/>
              </w:rPr>
              <w:t>8,045,949,768.60</w:t>
            </w:r>
          </w:p>
        </w:tc>
      </w:tr>
      <w:tr>
        <w:trPr>
          <w:trHeight w:val="32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低值易耗品</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1,851,186.92</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1,851,186.92</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1,844,107.36</w:t>
            </w:r>
          </w:p>
        </w:tc>
        <w:tc>
          <w:tcPr>
            <w:tcW w:w="1921"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1,844,107.36</w:t>
            </w:r>
          </w:p>
        </w:tc>
      </w:tr>
      <w:tr>
        <w:trPr>
          <w:trHeight w:val="32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影视剧本</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1,170,000.00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1,170,000.00</w:t>
            </w:r>
          </w:p>
        </w:tc>
        <w:tc>
          <w:tcPr>
            <w:tcW w:w="2314" w:type="dxa"/>
            <w:tcBorders>
              <w:top w:val="single" w:sz="4" w:space="0" w:color="000000"/>
              <w:left w:val="single" w:sz="4" w:space="0" w:color="000000"/>
              <w:bottom w:val="single" w:sz="4" w:space="0" w:color="000000"/>
              <w:right w:val="single" w:sz="4" w:space="0" w:color="000000"/>
            </w:tcBorders>
          </w:tcPr>
          <w:p>
            <w:pP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1,170,000.00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1,170,000.00</w:t>
            </w: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9"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59,426,592,343.95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57,033,425.63</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59,369,558,918.32</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51,898,120,424.84</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196,868,185.80</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51,701,252,239.04</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6840" w:h="11910" w:orient="landscape"/>
          <w:pgMar w:top="1000" w:bottom="280" w:left="1100" w:right="1180"/>
        </w:sectPr>
      </w:pPr>
    </w:p>
    <w:p>
      <w:pPr>
        <w:pStyle w:val="Heading2"/>
        <w:spacing w:line="240" w:lineRule="auto"/>
        <w:ind w:left="340" w:right="-19"/>
        <w:jc w:val="left"/>
        <w:rPr>
          <w:b w:val="0"/>
          <w:bCs w:val="0"/>
        </w:rPr>
      </w:pPr>
      <w:r>
        <w:rPr>
          <w:rFonts w:ascii="宋体" w:hAnsi="宋体" w:cs="宋体" w:eastAsia="宋体" w:hint="default"/>
        </w:rPr>
        <w:t>(2).</w:t>
      </w:r>
      <w:r>
        <w:rPr>
          <w:rFonts w:ascii="宋体" w:hAnsi="宋体" w:cs="宋体" w:eastAsia="宋体" w:hint="default"/>
          <w:spacing w:val="24"/>
        </w:rPr>
        <w:t> </w:t>
      </w:r>
      <w:r>
        <w:rPr/>
        <w:t>存货跌价准备</w:t>
      </w:r>
      <w:r>
        <w:rPr>
          <w:b w:val="0"/>
          <w:bCs w:val="0"/>
        </w:rPr>
      </w:r>
    </w:p>
    <w:p>
      <w:pPr>
        <w:pStyle w:val="BodyText"/>
        <w:spacing w:line="240" w:lineRule="auto" w:before="55"/>
        <w:ind w:left="340"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539" w:val="left" w:leader="none"/>
        </w:tabs>
        <w:spacing w:line="240" w:lineRule="auto"/>
        <w:ind w:left="340" w:right="0"/>
        <w:jc w:val="left"/>
      </w:pPr>
      <w:r>
        <w:rPr/>
        <w:t>单位：元</w:t>
        <w:tab/>
        <w:t>币种：人民币</w:t>
      </w:r>
    </w:p>
    <w:p>
      <w:pPr>
        <w:spacing w:after="0" w:line="240" w:lineRule="auto"/>
        <w:jc w:val="left"/>
        <w:sectPr>
          <w:type w:val="continuous"/>
          <w:pgSz w:w="16840" w:h="11910" w:orient="landscape"/>
          <w:pgMar w:top="1000" w:bottom="280" w:left="1100" w:right="1180"/>
          <w:cols w:num="2" w:equalWidth="0">
            <w:col w:w="2416" w:space="8818"/>
            <w:col w:w="3326"/>
          </w:cols>
        </w:sectPr>
      </w:pPr>
    </w:p>
    <w:p>
      <w:pPr>
        <w:spacing w:line="240" w:lineRule="auto" w:before="12"/>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692"/>
        <w:gridCol w:w="2732"/>
        <w:gridCol w:w="2381"/>
        <w:gridCol w:w="1001"/>
        <w:gridCol w:w="2727"/>
        <w:gridCol w:w="998"/>
        <w:gridCol w:w="2559"/>
      </w:tblGrid>
      <w:tr>
        <w:trPr>
          <w:trHeight w:val="322" w:hRule="exact"/>
        </w:trPr>
        <w:tc>
          <w:tcPr>
            <w:tcW w:w="1692" w:type="dxa"/>
            <w:vMerge w:val="restart"/>
            <w:tcBorders>
              <w:top w:val="single" w:sz="4" w:space="0" w:color="000000"/>
              <w:left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732" w:type="dxa"/>
            <w:vMerge w:val="restart"/>
            <w:tcBorders>
              <w:top w:val="single" w:sz="4" w:space="0" w:color="000000"/>
              <w:left w:val="single" w:sz="4" w:space="0" w:color="000000"/>
              <w:right w:val="single" w:sz="4" w:space="0" w:color="000000"/>
            </w:tcBorders>
          </w:tcPr>
          <w:p>
            <w:pPr>
              <w:pStyle w:val="TableParagraph"/>
              <w:spacing w:line="240" w:lineRule="auto" w:before="120"/>
              <w:ind w:left="880"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3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4" w:right="0"/>
              <w:jc w:val="left"/>
              <w:rPr>
                <w:rFonts w:ascii="宋体" w:hAnsi="宋体" w:cs="宋体" w:eastAsia="宋体" w:hint="default"/>
                <w:sz w:val="24"/>
                <w:szCs w:val="24"/>
              </w:rPr>
            </w:pPr>
            <w:r>
              <w:rPr>
                <w:rFonts w:ascii="宋体" w:hAnsi="宋体" w:cs="宋体" w:eastAsia="宋体" w:hint="default"/>
                <w:sz w:val="24"/>
                <w:szCs w:val="24"/>
              </w:rPr>
              <w:t>本期增加金额</w:t>
            </w:r>
          </w:p>
        </w:tc>
        <w:tc>
          <w:tcPr>
            <w:tcW w:w="37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7" w:right="0"/>
              <w:jc w:val="left"/>
              <w:rPr>
                <w:rFonts w:ascii="宋体" w:hAnsi="宋体" w:cs="宋体" w:eastAsia="宋体" w:hint="default"/>
                <w:sz w:val="24"/>
                <w:szCs w:val="24"/>
              </w:rPr>
            </w:pPr>
            <w:r>
              <w:rPr>
                <w:rFonts w:ascii="宋体" w:hAnsi="宋体" w:cs="宋体" w:eastAsia="宋体" w:hint="default"/>
                <w:sz w:val="24"/>
                <w:szCs w:val="24"/>
              </w:rPr>
              <w:t>本期减少金额</w:t>
            </w:r>
          </w:p>
        </w:tc>
        <w:tc>
          <w:tcPr>
            <w:tcW w:w="2559" w:type="dxa"/>
            <w:vMerge w:val="restart"/>
            <w:tcBorders>
              <w:top w:val="single" w:sz="4" w:space="0" w:color="000000"/>
              <w:left w:val="single" w:sz="4" w:space="0" w:color="000000"/>
              <w:right w:val="single" w:sz="4" w:space="0" w:color="000000"/>
            </w:tcBorders>
          </w:tcPr>
          <w:p>
            <w:pPr>
              <w:pStyle w:val="TableParagraph"/>
              <w:spacing w:line="240" w:lineRule="auto" w:before="120"/>
              <w:ind w:left="794"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1692" w:type="dxa"/>
            <w:vMerge/>
            <w:tcBorders>
              <w:left w:val="single" w:sz="4" w:space="0" w:color="000000"/>
              <w:bottom w:val="single" w:sz="4" w:space="0" w:color="000000"/>
              <w:right w:val="single" w:sz="4" w:space="0" w:color="000000"/>
            </w:tcBorders>
          </w:tcPr>
          <w:p>
            <w:pPr/>
          </w:p>
        </w:tc>
        <w:tc>
          <w:tcPr>
            <w:tcW w:w="2732" w:type="dxa"/>
            <w:vMerge/>
            <w:tcBorders>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计提</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55" w:right="0"/>
              <w:jc w:val="left"/>
              <w:rPr>
                <w:rFonts w:ascii="宋体" w:hAnsi="宋体" w:cs="宋体" w:eastAsia="宋体" w:hint="default"/>
                <w:sz w:val="24"/>
                <w:szCs w:val="24"/>
              </w:rPr>
            </w:pPr>
            <w:r>
              <w:rPr>
                <w:rFonts w:ascii="宋体" w:hAnsi="宋体" w:cs="宋体" w:eastAsia="宋体" w:hint="default"/>
                <w:sz w:val="24"/>
                <w:szCs w:val="24"/>
              </w:rPr>
              <w:t>转回或转销</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559" w:type="dxa"/>
            <w:vMerge/>
            <w:tcBorders>
              <w:left w:val="single" w:sz="4" w:space="0" w:color="000000"/>
              <w:bottom w:val="single" w:sz="4" w:space="0" w:color="000000"/>
              <w:right w:val="single" w:sz="4" w:space="0" w:color="000000"/>
            </w:tcBorders>
          </w:tcPr>
          <w:p>
            <w:pPr/>
          </w:p>
        </w:tc>
      </w:tr>
      <w:tr>
        <w:trPr>
          <w:trHeight w:val="319"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17"/>
              <w:jc w:val="right"/>
              <w:rPr>
                <w:rFonts w:ascii="宋体" w:hAnsi="宋体" w:cs="宋体" w:eastAsia="宋体" w:hint="default"/>
                <w:sz w:val="24"/>
                <w:szCs w:val="24"/>
              </w:rPr>
            </w:pPr>
            <w:r>
              <w:rPr>
                <w:rFonts w:ascii="宋体" w:hAnsi="宋体" w:cs="宋体" w:eastAsia="宋体" w:hint="default"/>
                <w:sz w:val="24"/>
                <w:szCs w:val="24"/>
              </w:rPr>
              <w:t>库存商品</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420,943.20</w:t>
            </w:r>
          </w:p>
        </w:tc>
        <w:tc>
          <w:tcPr>
            <w:tcW w:w="23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3,909.43</w:t>
            </w:r>
          </w:p>
        </w:tc>
        <w:tc>
          <w:tcPr>
            <w:tcW w:w="998" w:type="dxa"/>
            <w:tcBorders>
              <w:top w:val="single" w:sz="4" w:space="0" w:color="000000"/>
              <w:left w:val="single" w:sz="4" w:space="0" w:color="000000"/>
              <w:bottom w:val="single" w:sz="4" w:space="0" w:color="000000"/>
              <w:right w:val="single" w:sz="4" w:space="0" w:color="000000"/>
            </w:tcBorders>
          </w:tcPr>
          <w:p>
            <w:pP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right"/>
              <w:rPr>
                <w:rFonts w:ascii="宋体" w:hAnsi="宋体" w:cs="宋体" w:eastAsia="宋体" w:hint="default"/>
                <w:sz w:val="24"/>
                <w:szCs w:val="24"/>
              </w:rPr>
            </w:pPr>
            <w:r>
              <w:rPr>
                <w:rFonts w:ascii="宋体"/>
                <w:sz w:val="24"/>
              </w:rPr>
              <w:t>417,033.77</w:t>
            </w:r>
          </w:p>
        </w:tc>
      </w:tr>
      <w:tr>
        <w:trPr>
          <w:trHeight w:val="322"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617"/>
              <w:jc w:val="right"/>
              <w:rPr>
                <w:rFonts w:ascii="宋体" w:hAnsi="宋体" w:cs="宋体" w:eastAsia="宋体" w:hint="default"/>
                <w:sz w:val="24"/>
                <w:szCs w:val="24"/>
              </w:rPr>
            </w:pPr>
            <w:r>
              <w:rPr>
                <w:rFonts w:ascii="宋体" w:hAnsi="宋体" w:cs="宋体" w:eastAsia="宋体" w:hint="default"/>
                <w:sz w:val="24"/>
                <w:szCs w:val="24"/>
              </w:rPr>
              <w:t>开发产品</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4"/>
              <w:jc w:val="right"/>
              <w:rPr>
                <w:rFonts w:ascii="宋体" w:hAnsi="宋体" w:cs="宋体" w:eastAsia="宋体" w:hint="default"/>
                <w:sz w:val="24"/>
                <w:szCs w:val="24"/>
              </w:rPr>
            </w:pPr>
            <w:r>
              <w:rPr>
                <w:rFonts w:ascii="宋体"/>
                <w:sz w:val="24"/>
              </w:rPr>
              <w:t>195,277,242.60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4,436,911.75</w:t>
            </w:r>
          </w:p>
        </w:tc>
        <w:tc>
          <w:tcPr>
            <w:tcW w:w="1001" w:type="dxa"/>
            <w:tcBorders>
              <w:top w:val="single" w:sz="4" w:space="0" w:color="000000"/>
              <w:left w:val="single" w:sz="4" w:space="0" w:color="000000"/>
              <w:bottom w:val="single" w:sz="4" w:space="0" w:color="000000"/>
              <w:right w:val="single" w:sz="4" w:space="0" w:color="000000"/>
            </w:tcBorders>
          </w:tcPr>
          <w:p>
            <w:pP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4"/>
              <w:jc w:val="right"/>
              <w:rPr>
                <w:rFonts w:ascii="宋体" w:hAnsi="宋体" w:cs="宋体" w:eastAsia="宋体" w:hint="default"/>
                <w:sz w:val="24"/>
                <w:szCs w:val="24"/>
              </w:rPr>
            </w:pPr>
            <w:r>
              <w:rPr>
                <w:rFonts w:ascii="宋体"/>
                <w:sz w:val="24"/>
              </w:rPr>
              <w:t>144,267,762.49</w:t>
            </w:r>
          </w:p>
        </w:tc>
        <w:tc>
          <w:tcPr>
            <w:tcW w:w="998" w:type="dxa"/>
            <w:tcBorders>
              <w:top w:val="single" w:sz="4" w:space="0" w:color="000000"/>
              <w:left w:val="single" w:sz="4" w:space="0" w:color="000000"/>
              <w:bottom w:val="single" w:sz="4" w:space="0" w:color="000000"/>
              <w:right w:val="single" w:sz="4" w:space="0" w:color="000000"/>
            </w:tcBorders>
          </w:tcPr>
          <w:p>
            <w:pP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6"/>
              <w:jc w:val="right"/>
              <w:rPr>
                <w:rFonts w:ascii="宋体" w:hAnsi="宋体" w:cs="宋体" w:eastAsia="宋体" w:hint="default"/>
                <w:sz w:val="24"/>
                <w:szCs w:val="24"/>
              </w:rPr>
            </w:pPr>
            <w:r>
              <w:rPr>
                <w:rFonts w:ascii="宋体"/>
                <w:sz w:val="24"/>
              </w:rPr>
              <w:t>55,446,391.86</w:t>
            </w:r>
          </w:p>
        </w:tc>
      </w:tr>
      <w:tr>
        <w:trPr>
          <w:trHeight w:val="322"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17"/>
              <w:jc w:val="right"/>
              <w:rPr>
                <w:rFonts w:ascii="宋体" w:hAnsi="宋体" w:cs="宋体" w:eastAsia="宋体" w:hint="default"/>
                <w:sz w:val="24"/>
                <w:szCs w:val="24"/>
              </w:rPr>
            </w:pPr>
            <w:r>
              <w:rPr>
                <w:rFonts w:ascii="宋体" w:hAnsi="宋体" w:cs="宋体" w:eastAsia="宋体" w:hint="default"/>
                <w:sz w:val="24"/>
                <w:szCs w:val="24"/>
              </w:rPr>
              <w:t>影视剧本</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1,170,000.00</w:t>
            </w:r>
          </w:p>
        </w:tc>
        <w:tc>
          <w:tcPr>
            <w:tcW w:w="23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727"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right"/>
              <w:rPr>
                <w:rFonts w:ascii="宋体" w:hAnsi="宋体" w:cs="宋体" w:eastAsia="宋体" w:hint="default"/>
                <w:sz w:val="24"/>
                <w:szCs w:val="24"/>
              </w:rPr>
            </w:pPr>
            <w:r>
              <w:rPr>
                <w:rFonts w:ascii="宋体"/>
                <w:sz w:val="24"/>
              </w:rPr>
              <w:t>1,170,000.00</w:t>
            </w:r>
          </w:p>
        </w:tc>
      </w:tr>
      <w:tr>
        <w:trPr>
          <w:trHeight w:val="322"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00"/>
              <w:jc w:val="right"/>
              <w:rPr>
                <w:rFonts w:ascii="宋体" w:hAnsi="宋体" w:cs="宋体" w:eastAsia="宋体" w:hint="default"/>
                <w:sz w:val="24"/>
                <w:szCs w:val="24"/>
              </w:rPr>
            </w:pPr>
            <w:r>
              <w:rPr>
                <w:rFonts w:ascii="宋体" w:hAnsi="宋体" w:cs="宋体" w:eastAsia="宋体" w:hint="default"/>
                <w:sz w:val="24"/>
                <w:szCs w:val="24"/>
              </w:rPr>
              <w:t>合计</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196,868,185.80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4,436,911.75</w:t>
            </w:r>
          </w:p>
        </w:tc>
        <w:tc>
          <w:tcPr>
            <w:tcW w:w="1001" w:type="dxa"/>
            <w:tcBorders>
              <w:top w:val="single" w:sz="4" w:space="0" w:color="000000"/>
              <w:left w:val="single" w:sz="4" w:space="0" w:color="000000"/>
              <w:bottom w:val="single" w:sz="4" w:space="0" w:color="000000"/>
              <w:right w:val="single" w:sz="4" w:space="0" w:color="000000"/>
            </w:tcBorders>
          </w:tcPr>
          <w:p>
            <w:pP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144,271,671.92</w:t>
            </w:r>
          </w:p>
        </w:tc>
        <w:tc>
          <w:tcPr>
            <w:tcW w:w="998" w:type="dxa"/>
            <w:tcBorders>
              <w:top w:val="single" w:sz="4" w:space="0" w:color="000000"/>
              <w:left w:val="single" w:sz="4" w:space="0" w:color="000000"/>
              <w:bottom w:val="single" w:sz="4" w:space="0" w:color="000000"/>
              <w:right w:val="single" w:sz="4" w:space="0" w:color="000000"/>
            </w:tcBorders>
          </w:tcPr>
          <w:p>
            <w:pP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right"/>
              <w:rPr>
                <w:rFonts w:ascii="宋体" w:hAnsi="宋体" w:cs="宋体" w:eastAsia="宋体" w:hint="default"/>
                <w:sz w:val="24"/>
                <w:szCs w:val="24"/>
              </w:rPr>
            </w:pPr>
            <w:r>
              <w:rPr>
                <w:rFonts w:ascii="宋体"/>
                <w:sz w:val="24"/>
              </w:rPr>
              <w:t>57,033,425.63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6592" w:right="6596" w:firstLine="0"/>
        <w:jc w:val="center"/>
        <w:rPr>
          <w:rFonts w:ascii="Calibri" w:hAnsi="Calibri" w:cs="Calibri" w:eastAsia="Calibri" w:hint="default"/>
          <w:sz w:val="18"/>
          <w:szCs w:val="18"/>
        </w:rPr>
      </w:pPr>
      <w:r>
        <w:rPr>
          <w:rFonts w:ascii="Calibri"/>
          <w:b/>
          <w:sz w:val="18"/>
        </w:rPr>
        <w:t>127 </w:t>
      </w:r>
      <w:r>
        <w:rPr>
          <w:rFonts w:ascii="Calibri"/>
          <w:sz w:val="18"/>
        </w:rPr>
        <w:t>/</w:t>
      </w:r>
      <w:r>
        <w:rPr>
          <w:rFonts w:ascii="Calibri"/>
          <w:spacing w:val="-5"/>
          <w:sz w:val="18"/>
        </w:rPr>
        <w:t> </w:t>
      </w:r>
      <w:r>
        <w:rPr>
          <w:rFonts w:ascii="Calibri"/>
          <w:b/>
          <w:sz w:val="18"/>
        </w:rPr>
        <w:t>221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000" w:bottom="280" w:left="1100" w:right="1180"/>
        </w:sectPr>
      </w:pPr>
    </w:p>
    <w:p>
      <w:pPr>
        <w:spacing w:line="240" w:lineRule="auto" w:before="3"/>
        <w:rPr>
          <w:rFonts w:ascii="Calibri" w:hAnsi="Calibri" w:cs="Calibri" w:eastAsia="Calibri" w:hint="default"/>
          <w:b/>
          <w:bCs/>
          <w:sz w:val="27"/>
          <w:szCs w:val="27"/>
        </w:rPr>
      </w:pPr>
    </w:p>
    <w:p>
      <w:pPr>
        <w:pStyle w:val="BodyText"/>
        <w:spacing w:line="357" w:lineRule="auto" w:before="26"/>
        <w:ind w:left="958" w:right="0" w:hanging="480"/>
        <w:jc w:val="left"/>
      </w:pPr>
      <w:r>
        <w:rPr/>
        <w:t>确定可变现净值的具体依据、本期转回或转销存货跌价准备的原因说明： </w:t>
      </w:r>
      <w:r>
        <w:rPr>
          <w:spacing w:val="-2"/>
        </w:rPr>
        <w:t>公司按照目前市场价格状况和项目实际销售情况，对项目可变现净值进行测试后</w:t>
      </w:r>
    </w:p>
    <w:p>
      <w:pPr>
        <w:pStyle w:val="BodyText"/>
        <w:spacing w:line="357" w:lineRule="auto" w:before="34"/>
        <w:ind w:left="958" w:right="0" w:hanging="480"/>
        <w:jc w:val="left"/>
      </w:pPr>
      <w:r>
        <w:rPr/>
        <w:t>计提了存货跌价准备。 </w:t>
      </w:r>
      <w:r>
        <w:rPr>
          <w:spacing w:val="-2"/>
        </w:rPr>
        <w:t>计算存货可变现净值时所采用的售价区分已预售及未售，已预售部分按照实际签</w:t>
      </w:r>
    </w:p>
    <w:p>
      <w:pPr>
        <w:pStyle w:val="BodyText"/>
        <w:spacing w:line="355" w:lineRule="auto" w:before="36"/>
        <w:ind w:left="478" w:right="0"/>
        <w:jc w:val="left"/>
      </w:pPr>
      <w:r>
        <w:rPr>
          <w:spacing w:val="-2"/>
        </w:rPr>
        <w:t>约金额确认售价，未售部分结合近期平均签约价格和类似产品的市场销售价格确定估</w:t>
      </w:r>
      <w:r>
        <w:rPr>
          <w:spacing w:val="-94"/>
        </w:rPr>
        <w:t> </w:t>
      </w:r>
      <w:r>
        <w:rPr>
          <w:spacing w:val="-94"/>
        </w:rPr>
      </w:r>
      <w:r>
        <w:rPr/>
        <w:t>计售价。</w:t>
      </w:r>
    </w:p>
    <w:p>
      <w:pPr>
        <w:pStyle w:val="BodyText"/>
        <w:spacing w:line="355" w:lineRule="auto" w:before="38"/>
        <w:ind w:left="478" w:right="0" w:firstLine="479"/>
        <w:jc w:val="left"/>
      </w:pPr>
      <w:r>
        <w:rPr/>
        <w:t>本期转回系商品房的市场价格上升，导致存货价值的可变现净值高于存货成本。 本期转销系因本期销售转出。</w:t>
      </w:r>
    </w:p>
    <w:p>
      <w:pPr>
        <w:spacing w:line="240" w:lineRule="auto" w:before="3"/>
        <w:rPr>
          <w:rFonts w:ascii="宋体" w:hAnsi="宋体" w:cs="宋体" w:eastAsia="宋体" w:hint="default"/>
          <w:sz w:val="31"/>
          <w:szCs w:val="31"/>
        </w:rPr>
      </w:pPr>
    </w:p>
    <w:p>
      <w:pPr>
        <w:pStyle w:val="Heading2"/>
        <w:spacing w:line="240" w:lineRule="auto" w:before="0"/>
        <w:ind w:left="478" w:right="0"/>
        <w:jc w:val="left"/>
        <w:rPr>
          <w:b w:val="0"/>
          <w:bCs w:val="0"/>
        </w:rPr>
      </w:pPr>
      <w:r>
        <w:rPr>
          <w:rFonts w:ascii="宋体" w:hAnsi="宋体" w:cs="宋体" w:eastAsia="宋体" w:hint="default"/>
        </w:rPr>
        <w:t>(3).</w:t>
      </w:r>
      <w:r>
        <w:rPr>
          <w:rFonts w:ascii="宋体" w:hAnsi="宋体" w:cs="宋体" w:eastAsia="宋体" w:hint="default"/>
          <w:spacing w:val="21"/>
        </w:rPr>
        <w:t> </w:t>
      </w:r>
      <w:r>
        <w:rPr/>
        <w:t>存货期末余额含有借款费用资本化金额的说明：</w:t>
      </w:r>
      <w:r>
        <w:rPr>
          <w:b w:val="0"/>
          <w:bCs w:val="0"/>
        </w:rPr>
      </w:r>
    </w:p>
    <w:p>
      <w:pPr>
        <w:pStyle w:val="BodyText"/>
        <w:tabs>
          <w:tab w:pos="1437" w:val="left" w:leader="none"/>
        </w:tabs>
        <w:spacing w:line="313" w:lineRule="exact" w:before="58"/>
        <w:ind w:left="478" w:right="0"/>
        <w:jc w:val="left"/>
      </w:pPr>
      <w:r>
        <w:rPr>
          <w:spacing w:val="-1"/>
        </w:rPr>
        <w:t>√适用</w:t>
        <w:tab/>
      </w:r>
      <w:r>
        <w:rPr/>
        <w:t>□不适用</w:t>
      </w:r>
    </w:p>
    <w:p>
      <w:pPr>
        <w:pStyle w:val="BodyText"/>
        <w:spacing w:line="313" w:lineRule="exact"/>
        <w:ind w:left="958" w:right="0"/>
        <w:jc w:val="left"/>
      </w:pPr>
      <w:r>
        <w:rPr/>
        <w:t>期末存货余额中含借款费用资本化金额</w:t>
      </w:r>
      <w:r>
        <w:rPr>
          <w:spacing w:val="-59"/>
        </w:rPr>
        <w:t> </w:t>
      </w:r>
      <w:r>
        <w:rPr>
          <w:rFonts w:ascii="宋体" w:hAnsi="宋体" w:cs="宋体" w:eastAsia="宋体" w:hint="default"/>
        </w:rPr>
        <w:t>1,166,351.34</w:t>
      </w:r>
      <w:r>
        <w:rPr>
          <w:rFonts w:ascii="宋体" w:hAnsi="宋体" w:cs="宋体" w:eastAsia="宋体" w:hint="default"/>
          <w:spacing w:val="-60"/>
        </w:rPr>
        <w:t> </w:t>
      </w:r>
      <w:r>
        <w:rPr/>
        <w:t>万元。</w:t>
      </w:r>
    </w:p>
    <w:p>
      <w:pPr>
        <w:spacing w:line="240" w:lineRule="auto" w:before="1"/>
        <w:rPr>
          <w:rFonts w:ascii="宋体" w:hAnsi="宋体" w:cs="宋体" w:eastAsia="宋体" w:hint="default"/>
          <w:sz w:val="28"/>
          <w:szCs w:val="28"/>
        </w:rPr>
      </w:pPr>
    </w:p>
    <w:p>
      <w:pPr>
        <w:spacing w:line="283" w:lineRule="auto" w:before="0"/>
        <w:ind w:left="478" w:right="7008" w:firstLine="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pacing w:val="25"/>
          <w:sz w:val="24"/>
          <w:szCs w:val="24"/>
        </w:rPr>
        <w:t> </w:t>
      </w:r>
      <w:r>
        <w:rPr>
          <w:rFonts w:ascii="宋体" w:hAnsi="宋体" w:cs="宋体" w:eastAsia="宋体" w:hint="default"/>
          <w:b/>
          <w:bCs/>
          <w:sz w:val="24"/>
          <w:szCs w:val="24"/>
        </w:rPr>
        <w:t>其他说明</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）存货——开发成本</w:t>
      </w:r>
    </w:p>
    <w:tbl>
      <w:tblPr>
        <w:tblW w:w="0" w:type="auto"/>
        <w:jc w:val="left"/>
        <w:tblInd w:w="118" w:type="dxa"/>
        <w:tblLayout w:type="fixed"/>
        <w:tblCellMar>
          <w:top w:w="0" w:type="dxa"/>
          <w:left w:w="0" w:type="dxa"/>
          <w:bottom w:w="0" w:type="dxa"/>
          <w:right w:w="0" w:type="dxa"/>
        </w:tblCellMar>
        <w:tblLook w:val="01E0"/>
      </w:tblPr>
      <w:tblGrid>
        <w:gridCol w:w="2242"/>
        <w:gridCol w:w="1277"/>
        <w:gridCol w:w="1277"/>
        <w:gridCol w:w="1148"/>
        <w:gridCol w:w="1801"/>
        <w:gridCol w:w="1800"/>
      </w:tblGrid>
      <w:tr>
        <w:trPr>
          <w:trHeight w:val="478"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74" w:right="0"/>
              <w:jc w:val="left"/>
              <w:rPr>
                <w:rFonts w:ascii="宋体" w:hAnsi="宋体" w:cs="宋体" w:eastAsia="宋体" w:hint="default"/>
                <w:sz w:val="18"/>
                <w:szCs w:val="18"/>
              </w:rPr>
            </w:pPr>
            <w:r>
              <w:rPr>
                <w:rFonts w:ascii="宋体" w:hAnsi="宋体" w:cs="宋体" w:eastAsia="宋体" w:hint="default"/>
                <w:sz w:val="18"/>
                <w:szCs w:val="18"/>
              </w:rPr>
              <w:t>开工时间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0"/>
              <w:jc w:val="center"/>
              <w:rPr>
                <w:rFonts w:ascii="宋体" w:hAnsi="宋体" w:cs="宋体" w:eastAsia="宋体" w:hint="default"/>
                <w:sz w:val="18"/>
                <w:szCs w:val="18"/>
              </w:rPr>
            </w:pPr>
            <w:r>
              <w:rPr>
                <w:rFonts w:ascii="宋体" w:hAnsi="宋体" w:cs="宋体" w:eastAsia="宋体" w:hint="default"/>
                <w:sz w:val="18"/>
                <w:szCs w:val="18"/>
              </w:rPr>
              <w:t>预计竣工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15" w:right="0"/>
              <w:jc w:val="left"/>
              <w:rPr>
                <w:rFonts w:ascii="宋体" w:hAnsi="宋体" w:cs="宋体" w:eastAsia="宋体" w:hint="default"/>
                <w:sz w:val="18"/>
                <w:szCs w:val="18"/>
              </w:rPr>
            </w:pPr>
            <w:r>
              <w:rPr>
                <w:rFonts w:ascii="宋体" w:hAnsi="宋体" w:cs="宋体" w:eastAsia="宋体" w:hint="default"/>
                <w:sz w:val="18"/>
                <w:szCs w:val="18"/>
              </w:rPr>
              <w:t>预计总投资</w:t>
            </w:r>
          </w:p>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沈阳·仙林金谷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0"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宋体" w:hAnsi="宋体" w:cs="宋体" w:eastAsia="宋体" w:hint="default"/>
                <w:sz w:val="18"/>
                <w:szCs w:val="18"/>
              </w:rPr>
            </w:pPr>
            <w:r>
              <w:rPr>
                <w:rFonts w:ascii="宋体"/>
                <w:sz w:val="18"/>
              </w:rPr>
              <w:t>163,000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宋体" w:hAnsi="宋体" w:cs="宋体" w:eastAsia="宋体" w:hint="default"/>
                <w:sz w:val="18"/>
                <w:szCs w:val="18"/>
              </w:rPr>
            </w:pPr>
            <w:r>
              <w:rPr>
                <w:rFonts w:ascii="宋体"/>
                <w:spacing w:val="-1"/>
                <w:sz w:val="18"/>
              </w:rPr>
              <w:t>647,736,145.96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宋体" w:hAnsi="宋体" w:cs="宋体" w:eastAsia="宋体" w:hint="default"/>
                <w:sz w:val="18"/>
                <w:szCs w:val="18"/>
              </w:rPr>
            </w:pPr>
            <w:r>
              <w:rPr>
                <w:rFonts w:ascii="宋体"/>
                <w:spacing w:val="-1"/>
                <w:sz w:val="18"/>
              </w:rPr>
              <w:t>609,199,775.74</w:t>
            </w:r>
          </w:p>
        </w:tc>
      </w:tr>
      <w:tr>
        <w:trPr>
          <w:trHeight w:val="456"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沈阳·北国之春七期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宋体" w:hAnsi="宋体" w:cs="宋体" w:eastAsia="宋体" w:hint="default"/>
                <w:sz w:val="18"/>
                <w:szCs w:val="18"/>
              </w:rPr>
            </w:pPr>
            <w:r>
              <w:rPr>
                <w:rFonts w:ascii="宋体"/>
                <w:sz w:val="18"/>
              </w:rPr>
              <w:t>120,000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宋体" w:hAnsi="宋体" w:cs="宋体" w:eastAsia="宋体" w:hint="default"/>
                <w:sz w:val="18"/>
                <w:szCs w:val="18"/>
              </w:rPr>
            </w:pPr>
            <w:r>
              <w:rPr>
                <w:rFonts w:ascii="宋体"/>
                <w:spacing w:val="-1"/>
                <w:sz w:val="18"/>
              </w:rPr>
              <w:t>181,504,025.30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宋体" w:hAnsi="宋体" w:cs="宋体" w:eastAsia="宋体" w:hint="default"/>
                <w:sz w:val="18"/>
                <w:szCs w:val="18"/>
              </w:rPr>
            </w:pPr>
            <w:r>
              <w:rPr>
                <w:rFonts w:ascii="宋体"/>
                <w:spacing w:val="-1"/>
                <w:sz w:val="18"/>
              </w:rPr>
              <w:t>244,079,673.14</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天津·香格里拉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宋体" w:hAnsi="宋体" w:cs="宋体" w:eastAsia="宋体" w:hint="default"/>
                <w:sz w:val="18"/>
                <w:szCs w:val="18"/>
              </w:rPr>
            </w:pPr>
            <w:r>
              <w:rPr>
                <w:rFonts w:ascii="宋体"/>
                <w:spacing w:val="-1"/>
                <w:sz w:val="18"/>
              </w:rPr>
              <w:t>82,000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宋体" w:hAnsi="宋体" w:cs="宋体" w:eastAsia="宋体" w:hint="default"/>
                <w:sz w:val="18"/>
                <w:szCs w:val="18"/>
              </w:rPr>
            </w:pPr>
            <w:r>
              <w:rPr>
                <w:rFonts w:ascii="宋体"/>
                <w:spacing w:val="-1"/>
                <w:sz w:val="18"/>
              </w:rPr>
              <w:t>126,542,562.37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宋体" w:hAnsi="宋体" w:cs="宋体" w:eastAsia="宋体" w:hint="default"/>
                <w:sz w:val="18"/>
                <w:szCs w:val="18"/>
              </w:rPr>
            </w:pPr>
            <w:r>
              <w:rPr>
                <w:rFonts w:ascii="宋体"/>
                <w:spacing w:val="-1"/>
                <w:sz w:val="18"/>
              </w:rPr>
              <w:t>265,921,844.51</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0"/>
                <w:szCs w:val="20"/>
              </w:rPr>
            </w:pPr>
            <w:r>
              <w:rPr>
                <w:rFonts w:ascii="宋体" w:hAnsi="宋体" w:cs="宋体" w:eastAsia="宋体" w:hint="default"/>
                <w:sz w:val="20"/>
                <w:szCs w:val="20"/>
              </w:rPr>
              <w:t>沈阳·新湖湾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0"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宋体" w:hAnsi="宋体" w:cs="宋体" w:eastAsia="宋体" w:hint="default"/>
                <w:sz w:val="18"/>
                <w:szCs w:val="18"/>
              </w:rPr>
            </w:pPr>
            <w:r>
              <w:rPr>
                <w:rFonts w:ascii="宋体"/>
                <w:sz w:val="18"/>
              </w:rPr>
              <w:t>165,000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宋体" w:hAnsi="宋体" w:cs="宋体" w:eastAsia="宋体" w:hint="default"/>
                <w:sz w:val="18"/>
                <w:szCs w:val="18"/>
              </w:rPr>
            </w:pPr>
            <w:r>
              <w:rPr>
                <w:rFonts w:ascii="宋体"/>
                <w:spacing w:val="-1"/>
                <w:sz w:val="18"/>
              </w:rPr>
              <w:t>621,240,566.45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宋体" w:hAnsi="宋体" w:cs="宋体" w:eastAsia="宋体" w:hint="default"/>
                <w:sz w:val="18"/>
                <w:szCs w:val="18"/>
              </w:rPr>
            </w:pPr>
            <w:r>
              <w:rPr>
                <w:rFonts w:ascii="宋体"/>
                <w:spacing w:val="-1"/>
                <w:sz w:val="18"/>
              </w:rPr>
              <w:t>654,550,833.83</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0"/>
                <w:szCs w:val="20"/>
              </w:rPr>
            </w:pPr>
            <w:r>
              <w:rPr>
                <w:rFonts w:ascii="宋体" w:hAnsi="宋体" w:cs="宋体" w:eastAsia="宋体" w:hint="default"/>
                <w:sz w:val="20"/>
                <w:szCs w:val="20"/>
              </w:rPr>
              <w:t>沈阳·新湖花园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宋体" w:hAnsi="宋体" w:cs="宋体" w:eastAsia="宋体" w:hint="default"/>
                <w:sz w:val="18"/>
                <w:szCs w:val="18"/>
              </w:rPr>
            </w:pPr>
            <w:r>
              <w:rPr>
                <w:rFonts w:ascii="宋体"/>
                <w:sz w:val="18"/>
              </w:rPr>
              <w:t>100,000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宋体" w:hAnsi="宋体" w:cs="宋体" w:eastAsia="宋体" w:hint="default"/>
                <w:sz w:val="18"/>
                <w:szCs w:val="18"/>
              </w:rPr>
            </w:pPr>
            <w:r>
              <w:rPr>
                <w:rFonts w:ascii="宋体"/>
                <w:spacing w:val="-1"/>
                <w:sz w:val="18"/>
              </w:rPr>
              <w:t>500,271,646.10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宋体" w:hAnsi="宋体" w:cs="宋体" w:eastAsia="宋体" w:hint="default"/>
                <w:sz w:val="18"/>
                <w:szCs w:val="18"/>
              </w:rPr>
            </w:pPr>
            <w:r>
              <w:rPr>
                <w:rFonts w:ascii="宋体"/>
                <w:spacing w:val="-1"/>
                <w:sz w:val="18"/>
              </w:rPr>
              <w:t>279,577,799.85</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滨州·新湖玫瑰园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宋体" w:hAnsi="宋体" w:cs="宋体" w:eastAsia="宋体" w:hint="default"/>
                <w:sz w:val="18"/>
                <w:szCs w:val="18"/>
              </w:rPr>
            </w:pPr>
            <w:r>
              <w:rPr>
                <w:rFonts w:ascii="宋体"/>
                <w:spacing w:val="-1"/>
                <w:sz w:val="18"/>
              </w:rPr>
              <w:t>52,000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宋体" w:hAnsi="宋体" w:cs="宋体" w:eastAsia="宋体" w:hint="default"/>
                <w:sz w:val="18"/>
                <w:szCs w:val="18"/>
              </w:rPr>
            </w:pPr>
            <w:r>
              <w:rPr>
                <w:rFonts w:ascii="宋体"/>
                <w:spacing w:val="-1"/>
                <w:sz w:val="18"/>
              </w:rPr>
              <w:t>58,801,893.23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宋体" w:hAnsi="宋体" w:cs="宋体" w:eastAsia="宋体" w:hint="default"/>
                <w:sz w:val="18"/>
                <w:szCs w:val="18"/>
              </w:rPr>
            </w:pPr>
            <w:r>
              <w:rPr>
                <w:rFonts w:ascii="宋体"/>
                <w:spacing w:val="-1"/>
                <w:sz w:val="18"/>
              </w:rPr>
              <w:t>85,889,307.77</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泰安·新湖绿园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62"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148"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宋体" w:hAnsi="宋体" w:cs="宋体" w:eastAsia="宋体" w:hint="default"/>
                <w:sz w:val="18"/>
                <w:szCs w:val="18"/>
              </w:rPr>
            </w:pPr>
            <w:r>
              <w:rPr>
                <w:rFonts w:ascii="宋体"/>
                <w:spacing w:val="-1"/>
                <w:sz w:val="18"/>
              </w:rPr>
              <w:t>70,571,267.02</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57"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0"/>
                <w:szCs w:val="20"/>
              </w:rPr>
            </w:pPr>
            <w:r>
              <w:rPr>
                <w:rFonts w:ascii="宋体" w:hAnsi="宋体" w:cs="宋体" w:eastAsia="宋体" w:hint="default"/>
                <w:sz w:val="20"/>
                <w:szCs w:val="20"/>
              </w:rPr>
              <w:t>苏州·明珠城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1"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0"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宋体" w:hAnsi="宋体" w:cs="宋体" w:eastAsia="宋体" w:hint="default"/>
                <w:sz w:val="18"/>
                <w:szCs w:val="18"/>
              </w:rPr>
            </w:pPr>
            <w:r>
              <w:rPr>
                <w:rFonts w:ascii="宋体"/>
                <w:sz w:val="18"/>
              </w:rPr>
              <w:t>930,000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宋体" w:hAnsi="宋体" w:cs="宋体" w:eastAsia="宋体" w:hint="default"/>
                <w:sz w:val="18"/>
                <w:szCs w:val="18"/>
              </w:rPr>
            </w:pPr>
            <w:r>
              <w:rPr>
                <w:rFonts w:ascii="宋体"/>
                <w:spacing w:val="-1"/>
                <w:sz w:val="18"/>
              </w:rPr>
              <w:t>1,155,272,217.81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宋体" w:hAnsi="宋体" w:cs="宋体" w:eastAsia="宋体" w:hint="default"/>
                <w:sz w:val="18"/>
                <w:szCs w:val="18"/>
              </w:rPr>
            </w:pPr>
            <w:r>
              <w:rPr>
                <w:rFonts w:ascii="宋体"/>
                <w:spacing w:val="-1"/>
                <w:sz w:val="18"/>
              </w:rPr>
              <w:t>1,540,288,439.06</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上海·青蓝国际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0"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宋体" w:hAnsi="宋体" w:cs="宋体" w:eastAsia="宋体" w:hint="default"/>
                <w:sz w:val="18"/>
                <w:szCs w:val="18"/>
              </w:rPr>
            </w:pPr>
            <w:r>
              <w:rPr>
                <w:rFonts w:ascii="宋体"/>
                <w:spacing w:val="-1"/>
                <w:sz w:val="18"/>
              </w:rPr>
              <w:t>1,083,584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宋体" w:hAnsi="宋体" w:cs="宋体" w:eastAsia="宋体" w:hint="default"/>
                <w:sz w:val="18"/>
                <w:szCs w:val="18"/>
              </w:rPr>
            </w:pPr>
            <w:r>
              <w:rPr>
                <w:rFonts w:ascii="宋体"/>
                <w:spacing w:val="-1"/>
                <w:sz w:val="18"/>
              </w:rPr>
              <w:t>5,823,702,280.89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宋体" w:hAnsi="宋体" w:cs="宋体" w:eastAsia="宋体" w:hint="default"/>
                <w:sz w:val="18"/>
                <w:szCs w:val="18"/>
              </w:rPr>
            </w:pPr>
            <w:r>
              <w:rPr>
                <w:rFonts w:ascii="宋体"/>
                <w:spacing w:val="-1"/>
                <w:sz w:val="18"/>
              </w:rPr>
              <w:t>3,562,023,254.64</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瑞安·金银座公寓</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宋体" w:hAnsi="宋体" w:cs="宋体" w:eastAsia="宋体" w:hint="default"/>
                <w:sz w:val="18"/>
                <w:szCs w:val="18"/>
              </w:rPr>
            </w:pPr>
            <w:r>
              <w:rPr>
                <w:rFonts w:ascii="宋体"/>
                <w:spacing w:val="-1"/>
                <w:sz w:val="18"/>
              </w:rPr>
              <w:t>41,967</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宋体" w:hAnsi="宋体" w:cs="宋体" w:eastAsia="宋体" w:hint="default"/>
                <w:sz w:val="18"/>
                <w:szCs w:val="18"/>
              </w:rPr>
            </w:pPr>
            <w:r>
              <w:rPr>
                <w:rFonts w:ascii="宋体"/>
                <w:spacing w:val="-1"/>
                <w:sz w:val="18"/>
              </w:rPr>
              <w:t>182,063,855.91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宋体" w:hAnsi="宋体" w:cs="宋体" w:eastAsia="宋体" w:hint="default"/>
                <w:sz w:val="18"/>
                <w:szCs w:val="18"/>
              </w:rPr>
            </w:pPr>
            <w:r>
              <w:rPr>
                <w:rFonts w:ascii="宋体"/>
                <w:spacing w:val="-1"/>
                <w:sz w:val="18"/>
              </w:rPr>
              <w:t>255,748,450.09</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杭州·武林国际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62"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148"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宋体" w:hAnsi="宋体" w:cs="宋体" w:eastAsia="宋体" w:hint="default"/>
                <w:sz w:val="18"/>
                <w:szCs w:val="18"/>
              </w:rPr>
            </w:pPr>
            <w:r>
              <w:rPr>
                <w:rFonts w:ascii="宋体"/>
                <w:spacing w:val="-1"/>
                <w:sz w:val="18"/>
              </w:rPr>
              <w:t>86,807,814.62</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丽水·新湖国际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宋体" w:hAnsi="宋体" w:cs="宋体" w:eastAsia="宋体" w:hint="default"/>
                <w:sz w:val="18"/>
                <w:szCs w:val="18"/>
              </w:rPr>
            </w:pPr>
            <w:r>
              <w:rPr>
                <w:rFonts w:ascii="宋体"/>
                <w:sz w:val="18"/>
              </w:rPr>
              <w:t>547,000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宋体" w:hAnsi="宋体" w:cs="宋体" w:eastAsia="宋体" w:hint="default"/>
                <w:sz w:val="18"/>
                <w:szCs w:val="18"/>
              </w:rPr>
            </w:pPr>
            <w:r>
              <w:rPr>
                <w:rFonts w:ascii="宋体"/>
                <w:spacing w:val="-1"/>
                <w:sz w:val="18"/>
              </w:rPr>
              <w:t>2,505,724,105.28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宋体" w:hAnsi="宋体" w:cs="宋体" w:eastAsia="宋体" w:hint="default"/>
                <w:sz w:val="18"/>
                <w:szCs w:val="18"/>
              </w:rPr>
            </w:pPr>
            <w:r>
              <w:rPr>
                <w:rFonts w:ascii="宋体"/>
                <w:spacing w:val="-1"/>
                <w:sz w:val="18"/>
              </w:rPr>
              <w:t>1,524,911,516.45</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南通启阳·长江公园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8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宋体" w:hAnsi="宋体" w:cs="宋体" w:eastAsia="宋体" w:hint="default"/>
                <w:sz w:val="18"/>
                <w:szCs w:val="18"/>
              </w:rPr>
            </w:pPr>
            <w:r>
              <w:rPr>
                <w:rFonts w:ascii="宋体"/>
                <w:sz w:val="18"/>
              </w:rPr>
              <w:t>121,500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宋体" w:hAnsi="宋体" w:cs="宋体" w:eastAsia="宋体" w:hint="default"/>
                <w:sz w:val="18"/>
                <w:szCs w:val="18"/>
              </w:rPr>
            </w:pPr>
            <w:r>
              <w:rPr>
                <w:rFonts w:ascii="宋体"/>
                <w:spacing w:val="-1"/>
                <w:sz w:val="18"/>
              </w:rPr>
              <w:t>229,636,278.56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宋体" w:hAnsi="宋体" w:cs="宋体" w:eastAsia="宋体" w:hint="default"/>
                <w:sz w:val="18"/>
                <w:szCs w:val="18"/>
              </w:rPr>
            </w:pPr>
            <w:r>
              <w:rPr>
                <w:rFonts w:ascii="宋体"/>
                <w:spacing w:val="-1"/>
                <w:sz w:val="18"/>
              </w:rPr>
              <w:t>237,091,383.81</w:t>
            </w:r>
          </w:p>
        </w:tc>
      </w:tr>
      <w:tr>
        <w:trPr>
          <w:trHeight w:val="456"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南通新湖·长江公园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0"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宋体" w:hAnsi="宋体" w:cs="宋体" w:eastAsia="宋体" w:hint="default"/>
                <w:sz w:val="18"/>
                <w:szCs w:val="18"/>
              </w:rPr>
            </w:pPr>
            <w:r>
              <w:rPr>
                <w:rFonts w:ascii="宋体"/>
                <w:sz w:val="18"/>
              </w:rPr>
              <w:t>221,000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宋体" w:hAnsi="宋体" w:cs="宋体" w:eastAsia="宋体" w:hint="default"/>
                <w:sz w:val="18"/>
                <w:szCs w:val="18"/>
              </w:rPr>
            </w:pPr>
            <w:r>
              <w:rPr>
                <w:rFonts w:ascii="宋体"/>
                <w:spacing w:val="-1"/>
                <w:sz w:val="18"/>
              </w:rPr>
              <w:t>841,659,729.04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宋体" w:hAnsi="宋体" w:cs="宋体" w:eastAsia="宋体" w:hint="default"/>
                <w:sz w:val="18"/>
                <w:szCs w:val="18"/>
              </w:rPr>
            </w:pPr>
            <w:r>
              <w:rPr>
                <w:rFonts w:ascii="宋体"/>
                <w:spacing w:val="-1"/>
                <w:sz w:val="18"/>
              </w:rPr>
              <w:t>910,614,631.71</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南通启新·长江公园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8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宋体" w:hAnsi="宋体" w:cs="宋体" w:eastAsia="宋体" w:hint="default"/>
                <w:sz w:val="18"/>
                <w:szCs w:val="18"/>
              </w:rPr>
            </w:pPr>
            <w:r>
              <w:rPr>
                <w:rFonts w:ascii="宋体"/>
                <w:sz w:val="18"/>
              </w:rPr>
              <w:t>459,300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宋体" w:hAnsi="宋体" w:cs="宋体" w:eastAsia="宋体" w:hint="default"/>
                <w:sz w:val="18"/>
                <w:szCs w:val="18"/>
              </w:rPr>
            </w:pPr>
            <w:r>
              <w:rPr>
                <w:rFonts w:ascii="宋体"/>
                <w:spacing w:val="-1"/>
                <w:sz w:val="18"/>
              </w:rPr>
              <w:t>1,222,400,286.12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宋体" w:hAnsi="宋体" w:cs="宋体" w:eastAsia="宋体" w:hint="default"/>
                <w:sz w:val="18"/>
                <w:szCs w:val="18"/>
              </w:rPr>
            </w:pPr>
            <w:r>
              <w:rPr>
                <w:rFonts w:ascii="宋体"/>
                <w:spacing w:val="-1"/>
                <w:sz w:val="18"/>
              </w:rPr>
              <w:t>1,268,827,391.50</w:t>
            </w:r>
          </w:p>
        </w:tc>
      </w:tr>
    </w:tbl>
    <w:p>
      <w:pPr>
        <w:spacing w:after="0" w:line="240" w:lineRule="auto"/>
        <w:jc w:val="right"/>
        <w:rPr>
          <w:rFonts w:ascii="宋体" w:hAnsi="宋体" w:cs="宋体" w:eastAsia="宋体" w:hint="default"/>
          <w:sz w:val="18"/>
          <w:szCs w:val="18"/>
        </w:rPr>
        <w:sectPr>
          <w:footerReference w:type="default" r:id="rId69"/>
          <w:pgSz w:w="11910" w:h="16840"/>
          <w:pgMar w:footer="1195" w:header="0" w:top="1120" w:bottom="1380" w:left="1320" w:right="800"/>
          <w:pgNumType w:start="128"/>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2242"/>
        <w:gridCol w:w="1277"/>
        <w:gridCol w:w="1277"/>
        <w:gridCol w:w="1148"/>
        <w:gridCol w:w="1801"/>
        <w:gridCol w:w="1800"/>
      </w:tblGrid>
      <w:tr>
        <w:trPr>
          <w:trHeight w:val="456"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南通启仁·长江公园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z w:val="18"/>
              </w:rPr>
              <w:t>181,400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495,184,733.83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507,887,322.35</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杭州·金色童年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0"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宋体" w:hAnsi="宋体" w:cs="宋体" w:eastAsia="宋体" w:hint="default"/>
                <w:sz w:val="18"/>
                <w:szCs w:val="18"/>
              </w:rPr>
            </w:pPr>
            <w:r>
              <w:rPr>
                <w:rFonts w:ascii="宋体"/>
                <w:spacing w:val="-1"/>
                <w:sz w:val="18"/>
              </w:rPr>
              <w:t>80,000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296,757,769.98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219,692,111.03</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杭州·香格里拉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1" w:right="0"/>
              <w:jc w:val="lef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z w:val="18"/>
              </w:rPr>
              <w:t>411,475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1,449,685,555.59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919,930,796.75</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衢州·新湖景城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1" w:right="0"/>
              <w:jc w:val="lef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z w:val="18"/>
              </w:rPr>
              <w:t>326,303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672,543,451.20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1,054,188,319.47</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杭州·新湖果岭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0"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z w:val="18"/>
              </w:rPr>
              <w:t>366,176</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666,949,780.32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265,152,388.98</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兰溪·香格里拉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0"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z w:val="18"/>
              </w:rPr>
              <w:t>282,283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590,186,228.46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654,322,872.64</w:t>
            </w:r>
          </w:p>
        </w:tc>
      </w:tr>
      <w:tr>
        <w:trPr>
          <w:trHeight w:val="456"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平阳·四季果岭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宋体" w:hAnsi="宋体" w:cs="宋体" w:eastAsia="宋体" w:hint="default"/>
                <w:sz w:val="18"/>
                <w:szCs w:val="18"/>
              </w:rPr>
            </w:pPr>
            <w:r>
              <w:rPr>
                <w:rFonts w:ascii="宋体"/>
                <w:spacing w:val="-1"/>
                <w:sz w:val="18"/>
              </w:rPr>
              <w:t>32,000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81,557,023.57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119,652,752.92</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上海·新湖明珠城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41" w:right="0"/>
              <w:jc w:val="left"/>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40"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4"/>
              <w:jc w:val="right"/>
              <w:rPr>
                <w:rFonts w:ascii="宋体" w:hAnsi="宋体" w:cs="宋体" w:eastAsia="宋体" w:hint="default"/>
                <w:sz w:val="18"/>
                <w:szCs w:val="18"/>
              </w:rPr>
            </w:pPr>
            <w:r>
              <w:rPr>
                <w:rFonts w:ascii="宋体"/>
                <w:sz w:val="18"/>
              </w:rPr>
              <w:t>950,000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4"/>
              <w:jc w:val="right"/>
              <w:rPr>
                <w:rFonts w:ascii="宋体" w:hAnsi="宋体" w:cs="宋体" w:eastAsia="宋体" w:hint="default"/>
                <w:sz w:val="18"/>
                <w:szCs w:val="18"/>
              </w:rPr>
            </w:pPr>
            <w:r>
              <w:rPr>
                <w:rFonts w:ascii="宋体"/>
                <w:spacing w:val="-1"/>
                <w:sz w:val="18"/>
              </w:rPr>
              <w:t>3,240,924,322.06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pacing w:val="-1"/>
                <w:sz w:val="18"/>
              </w:rPr>
              <w:t>3,447,604,948.03</w:t>
            </w:r>
          </w:p>
        </w:tc>
      </w:tr>
      <w:tr>
        <w:trPr>
          <w:trHeight w:val="650"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3"/>
              <w:ind w:left="103" w:right="130"/>
              <w:jc w:val="left"/>
              <w:rPr>
                <w:rFonts w:ascii="宋体" w:hAnsi="宋体" w:cs="宋体" w:eastAsia="宋体" w:hint="default"/>
                <w:sz w:val="20"/>
                <w:szCs w:val="20"/>
              </w:rPr>
            </w:pPr>
            <w:r>
              <w:rPr>
                <w:rFonts w:ascii="宋体" w:hAnsi="宋体" w:cs="宋体" w:eastAsia="宋体" w:hint="default"/>
                <w:sz w:val="20"/>
                <w:szCs w:val="20"/>
              </w:rPr>
              <w:t>启东·圆陀角岸线综合</w:t>
            </w:r>
            <w:r>
              <w:rPr>
                <w:rFonts w:ascii="宋体" w:hAnsi="宋体" w:cs="宋体" w:eastAsia="宋体" w:hint="default"/>
                <w:w w:val="99"/>
                <w:sz w:val="20"/>
                <w:szCs w:val="20"/>
              </w:rPr>
              <w:t> </w:t>
            </w:r>
            <w:r>
              <w:rPr>
                <w:rFonts w:ascii="宋体" w:hAnsi="宋体" w:cs="宋体" w:eastAsia="宋体" w:hint="default"/>
                <w:sz w:val="20"/>
                <w:szCs w:val="20"/>
              </w:rPr>
              <w:t>整治工程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z w:val="18"/>
              </w:rPr>
              <w:t>154,000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416,615,629.13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446,144,434.65</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九江·庐山国际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z w:val="18"/>
              </w:rPr>
              <w:t>365,000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669,910,845.03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636,629,794.39</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嘉兴·新中花园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z w:val="18"/>
              </w:rPr>
              <w:t>318,500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1,304,097,618.51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963,559,331.23</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平阳·海涂开发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1,020,000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2,985,712,393.94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3,128,725,735.62</w:t>
            </w:r>
          </w:p>
        </w:tc>
      </w:tr>
      <w:tr>
        <w:trPr>
          <w:trHeight w:val="456"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天津·义乌商贸城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4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40"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370,000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1"/>
                <w:sz w:val="18"/>
              </w:rPr>
              <w:t>1,511,255,870.90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1,775,358,242.93</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天津·新湖美丽洲</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宋体" w:hAnsi="宋体" w:cs="宋体" w:eastAsia="宋体" w:hint="default"/>
                <w:sz w:val="18"/>
                <w:szCs w:val="18"/>
              </w:rPr>
            </w:pPr>
            <w:r>
              <w:rPr>
                <w:rFonts w:ascii="宋体"/>
                <w:spacing w:val="-1"/>
                <w:sz w:val="18"/>
              </w:rPr>
              <w:t>70,000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227,262,751.25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253,808,268.15</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乐清·海德花园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z w:val="18"/>
              </w:rPr>
              <w:t>416,000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1,237,520,485.68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1,510,671,774.97</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20"/>
                <w:szCs w:val="20"/>
              </w:rPr>
            </w:pPr>
            <w:r>
              <w:rPr>
                <w:rFonts w:ascii="宋体" w:hAnsi="宋体" w:cs="宋体" w:eastAsia="宋体" w:hint="default"/>
                <w:sz w:val="20"/>
                <w:szCs w:val="20"/>
              </w:rPr>
              <w:t>瑞安·新湖广场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0"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z w:val="18"/>
              </w:rPr>
              <w:t>477,079</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2,601,312,805.60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3,101,826,882.47</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平阳·伟成置业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z w:val="18"/>
              </w:rPr>
              <w:t>565,790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2,333,516,422.75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2,471,658,875.51</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平阳·隆恒置业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z w:val="18"/>
              </w:rPr>
              <w:t>929,193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3,503,448,249.35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3,743,155,623.94</w:t>
            </w:r>
          </w:p>
        </w:tc>
      </w:tr>
      <w:tr>
        <w:trPr>
          <w:trHeight w:val="456"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平阳·安瑞置业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8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322,064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1"/>
                <w:sz w:val="18"/>
              </w:rPr>
              <w:t>1,490,185,183.03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1,599,264,538.34</w:t>
            </w:r>
          </w:p>
        </w:tc>
      </w:tr>
      <w:tr>
        <w:trPr>
          <w:trHeight w:val="535"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上海·玛宝项目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8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sz w:val="18"/>
              </w:rPr>
              <w:t>725,778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284,455,035.25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4,041,370,501.62</w:t>
            </w:r>
          </w:p>
        </w:tc>
      </w:tr>
      <w:tr>
        <w:trPr>
          <w:trHeight w:val="456"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上海·天虹项目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宋体" w:hAnsi="宋体" w:cs="宋体" w:eastAsia="宋体" w:hint="default"/>
                <w:sz w:val="18"/>
                <w:szCs w:val="18"/>
              </w:rPr>
            </w:pPr>
            <w:r>
              <w:rPr>
                <w:rFonts w:ascii="宋体"/>
                <w:sz w:val="18"/>
              </w:rPr>
              <w:t>812,437</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42,126,979.17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2,988,562,660.87</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上海·亚龙项目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8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18"/>
                <w:szCs w:val="18"/>
              </w:rPr>
            </w:pPr>
            <w:r>
              <w:rPr>
                <w:rFonts w:ascii="宋体"/>
                <w:spacing w:val="-1"/>
                <w:sz w:val="18"/>
              </w:rPr>
              <w:t>3,190,300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4"/>
              <w:jc w:val="right"/>
              <w:rPr>
                <w:rFonts w:ascii="宋体" w:hAnsi="宋体" w:cs="宋体" w:eastAsia="宋体" w:hint="default"/>
                <w:sz w:val="18"/>
                <w:szCs w:val="18"/>
              </w:rPr>
            </w:pPr>
            <w:r>
              <w:rPr>
                <w:rFonts w:ascii="宋体"/>
                <w:spacing w:val="-1"/>
                <w:sz w:val="18"/>
              </w:rPr>
              <w:t>1,754,258,603.68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pacing w:val="-1"/>
                <w:sz w:val="18"/>
              </w:rPr>
              <w:t>3,430,828,851.28</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杭州·海创项目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4"/>
              <w:jc w:val="right"/>
              <w:rPr>
                <w:rFonts w:ascii="宋体" w:hAnsi="宋体" w:cs="宋体" w:eastAsia="宋体" w:hint="default"/>
                <w:sz w:val="18"/>
                <w:szCs w:val="18"/>
              </w:rPr>
            </w:pPr>
            <w:r>
              <w:rPr>
                <w:rFonts w:ascii="宋体"/>
                <w:sz w:val="18"/>
              </w:rPr>
              <w:t>160,000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2,830,838.28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155,966,604.16</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温岭·双溪春晓</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宋体" w:hAnsi="宋体" w:cs="宋体" w:eastAsia="宋体" w:hint="default"/>
                <w:sz w:val="18"/>
                <w:szCs w:val="18"/>
              </w:rPr>
            </w:pPr>
            <w:r>
              <w:rPr>
                <w:rFonts w:ascii="宋体"/>
                <w:sz w:val="18"/>
              </w:rPr>
              <w:t>310,507</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1,477,690,308.30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1,694,625,104.63</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三亚·满天星项目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宋体" w:hAnsi="宋体" w:cs="宋体" w:eastAsia="宋体" w:hint="default"/>
                <w:sz w:val="18"/>
                <w:szCs w:val="18"/>
              </w:rPr>
            </w:pPr>
            <w:r>
              <w:rPr>
                <w:rFonts w:ascii="宋体"/>
                <w:sz w:val="18"/>
              </w:rPr>
              <w:t>250,000</w:t>
            </w: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847,871,310.05</w:t>
            </w:r>
          </w:p>
        </w:tc>
      </w:tr>
      <w:tr>
        <w:trPr>
          <w:trHeight w:val="456"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tabs>
                <w:tab w:pos="1051" w:val="left" w:leader="none"/>
              </w:tabs>
              <w:spacing w:line="259" w:lineRule="exact"/>
              <w:ind w:left="650" w:right="0"/>
              <w:jc w:val="left"/>
              <w:rPr>
                <w:rFonts w:ascii="宋体" w:hAnsi="宋体" w:cs="宋体" w:eastAsia="宋体" w:hint="default"/>
                <w:sz w:val="20"/>
                <w:szCs w:val="20"/>
              </w:rPr>
            </w:pPr>
            <w:r>
              <w:rPr>
                <w:rFonts w:ascii="宋体" w:hAnsi="宋体" w:cs="宋体" w:eastAsia="宋体" w:hint="default"/>
                <w:w w:val="95"/>
                <w:sz w:val="20"/>
                <w:szCs w:val="20"/>
              </w:rPr>
              <w:t>小</w:t>
              <w:tab/>
            </w:r>
            <w:r>
              <w:rPr>
                <w:rFonts w:ascii="宋体" w:hAnsi="宋体" w:cs="宋体" w:eastAsia="宋体" w:hint="default"/>
                <w:sz w:val="20"/>
                <w:szCs w:val="20"/>
              </w:rPr>
              <w:t>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43,589,923,559.52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51,417,184,349.08</w:t>
            </w:r>
          </w:p>
        </w:tc>
      </w:tr>
    </w:tbl>
    <w:p>
      <w:pPr>
        <w:spacing w:line="240" w:lineRule="auto" w:before="10"/>
        <w:rPr>
          <w:rFonts w:ascii="宋体" w:hAnsi="宋体" w:cs="宋体" w:eastAsia="宋体" w:hint="default"/>
          <w:sz w:val="17"/>
          <w:szCs w:val="17"/>
        </w:rPr>
      </w:pPr>
    </w:p>
    <w:p>
      <w:pPr>
        <w:spacing w:line="357" w:lineRule="auto" w:before="44"/>
        <w:ind w:left="850" w:right="2396"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z w:val="18"/>
          <w:szCs w:val="18"/>
        </w:rPr>
        <w:t>：该</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个房地产开发项目尚在开发前期阶段，期末余额主要系前期开发成本。 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：该</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个项目为海涂开发项目。</w:t>
      </w:r>
    </w:p>
    <w:p>
      <w:pPr>
        <w:spacing w:line="240" w:lineRule="auto" w:before="4"/>
        <w:rPr>
          <w:rFonts w:ascii="宋体" w:hAnsi="宋体" w:cs="宋体" w:eastAsia="宋体" w:hint="default"/>
          <w:sz w:val="25"/>
          <w:szCs w:val="25"/>
        </w:rPr>
      </w:pPr>
    </w:p>
    <w:p>
      <w:pPr>
        <w:pStyle w:val="BodyText"/>
        <w:spacing w:line="240" w:lineRule="auto"/>
        <w:ind w:left="478" w:right="0"/>
        <w:jc w:val="left"/>
      </w:pPr>
      <w:r>
        <w:rPr>
          <w:rFonts w:ascii="宋体" w:hAnsi="宋体" w:cs="宋体" w:eastAsia="宋体" w:hint="default"/>
        </w:rPr>
        <w:t>2</w:t>
      </w:r>
      <w:r>
        <w:rPr/>
        <w:t>）存货——开发产品</w:t>
      </w:r>
    </w:p>
    <w:p>
      <w:pPr>
        <w:spacing w:after="0" w:line="240" w:lineRule="auto"/>
        <w:jc w:val="left"/>
        <w:sectPr>
          <w:pgSz w:w="11910" w:h="16840"/>
          <w:pgMar w:header="0" w:footer="1195" w:top="1120" w:bottom="1380" w:left="1320" w:right="8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127"/>
        <w:gridCol w:w="1417"/>
        <w:gridCol w:w="1418"/>
        <w:gridCol w:w="1546"/>
        <w:gridCol w:w="1573"/>
        <w:gridCol w:w="1560"/>
      </w:tblGrid>
      <w:tr>
        <w:trPr>
          <w:trHeight w:val="46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936"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宋体" w:hAnsi="宋体" w:cs="宋体" w:eastAsia="宋体" w:hint="default"/>
                <w:sz w:val="15"/>
                <w:szCs w:val="15"/>
              </w:rPr>
            </w:pPr>
            <w:r>
              <w:rPr>
                <w:rFonts w:ascii="宋体" w:hAnsi="宋体" w:cs="宋体" w:eastAsia="宋体" w:hint="default"/>
                <w:sz w:val="15"/>
                <w:szCs w:val="15"/>
              </w:rPr>
              <w:t>竣工时间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41"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32"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43" w:right="0"/>
              <w:jc w:val="left"/>
              <w:rPr>
                <w:rFonts w:ascii="宋体" w:hAnsi="宋体" w:cs="宋体" w:eastAsia="宋体" w:hint="default"/>
                <w:sz w:val="15"/>
                <w:szCs w:val="15"/>
              </w:rPr>
            </w:pPr>
            <w:r>
              <w:rPr>
                <w:rFonts w:ascii="宋体" w:hAnsi="宋体" w:cs="宋体" w:eastAsia="宋体" w:hint="default"/>
                <w:sz w:val="15"/>
                <w:szCs w:val="15"/>
              </w:rPr>
              <w:t>本期减少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center"/>
              <w:rPr>
                <w:rFonts w:ascii="宋体" w:hAnsi="宋体" w:cs="宋体" w:eastAsia="宋体" w:hint="default"/>
                <w:sz w:val="15"/>
                <w:szCs w:val="15"/>
              </w:rPr>
            </w:pPr>
            <w:r>
              <w:rPr>
                <w:rFonts w:ascii="宋体" w:hAnsi="宋体" w:cs="宋体" w:eastAsia="宋体" w:hint="default"/>
                <w:sz w:val="15"/>
                <w:szCs w:val="15"/>
              </w:rPr>
              <w:t>期末数</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7"/>
              <w:ind w:left="101" w:right="0"/>
              <w:jc w:val="left"/>
              <w:rPr>
                <w:rFonts w:ascii="宋体" w:hAnsi="宋体" w:cs="宋体" w:eastAsia="宋体" w:hint="default"/>
                <w:sz w:val="15"/>
                <w:szCs w:val="15"/>
              </w:rPr>
            </w:pPr>
            <w:r>
              <w:rPr>
                <w:rFonts w:ascii="宋体" w:hAnsi="宋体" w:cs="宋体" w:eastAsia="宋体" w:hint="default"/>
                <w:sz w:val="15"/>
                <w:szCs w:val="15"/>
              </w:rPr>
              <w:t>沈阳·北国之春一至六期</w:t>
            </w:r>
          </w:p>
          <w:p>
            <w:pPr>
              <w:pStyle w:val="TableParagraph"/>
              <w:spacing w:line="195" w:lineRule="exact"/>
              <w:ind w:left="101" w:right="0"/>
              <w:jc w:val="lef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7"/>
                <w:sz w:val="15"/>
                <w:szCs w:val="15"/>
              </w:rPr>
              <w:t> </w:t>
            </w:r>
            <w:r>
              <w:rPr>
                <w:rFonts w:ascii="宋体" w:hAnsi="宋体" w:cs="宋体" w:eastAsia="宋体" w:hint="default"/>
                <w:sz w:val="15"/>
                <w:szCs w:val="15"/>
              </w:rPr>
              <w:t>1</w:t>
            </w:r>
            <w:r>
              <w:rPr>
                <w:rFonts w:ascii="宋体" w:hAnsi="宋体" w:cs="宋体" w:eastAsia="宋体" w:hint="default"/>
                <w:sz w:val="15"/>
                <w:szCs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2007</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172,265,744.07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宋体" w:hAnsi="宋体" w:cs="宋体" w:eastAsia="宋体" w:hint="default"/>
                <w:sz w:val="15"/>
                <w:szCs w:val="15"/>
              </w:rPr>
            </w:pPr>
            <w:r>
              <w:rPr>
                <w:rFonts w:ascii="宋体"/>
                <w:spacing w:val="-2"/>
                <w:sz w:val="15"/>
              </w:rPr>
              <w:t>2,080,297.31</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5"/>
                <w:szCs w:val="15"/>
              </w:rPr>
            </w:pPr>
            <w:r>
              <w:rPr>
                <w:rFonts w:ascii="宋体"/>
                <w:spacing w:val="-2"/>
                <w:sz w:val="15"/>
              </w:rPr>
              <w:t>48,895,896.35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125,450,145.03</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1" w:right="0"/>
              <w:jc w:val="left"/>
              <w:rPr>
                <w:rFonts w:ascii="宋体" w:hAnsi="宋体" w:cs="宋体" w:eastAsia="宋体" w:hint="default"/>
                <w:sz w:val="15"/>
                <w:szCs w:val="15"/>
              </w:rPr>
            </w:pPr>
            <w:r>
              <w:rPr>
                <w:rFonts w:ascii="宋体" w:hAnsi="宋体" w:cs="宋体" w:eastAsia="宋体" w:hint="default"/>
                <w:sz w:val="15"/>
                <w:szCs w:val="15"/>
              </w:rPr>
              <w:t>沈阳·北国之春七期［注</w:t>
            </w:r>
            <w:r>
              <w:rPr>
                <w:rFonts w:ascii="宋体" w:hAnsi="宋体" w:cs="宋体" w:eastAsia="宋体" w:hint="default"/>
                <w:spacing w:val="-38"/>
                <w:sz w:val="15"/>
                <w:szCs w:val="15"/>
              </w:rPr>
              <w:t> </w:t>
            </w:r>
            <w:r>
              <w:rPr>
                <w:rFonts w:ascii="宋体" w:hAnsi="宋体" w:cs="宋体" w:eastAsia="宋体" w:hint="default"/>
                <w:sz w:val="15"/>
                <w:szCs w:val="15"/>
              </w:rPr>
              <w:t>1</w:t>
            </w:r>
            <w:r>
              <w:rPr>
                <w:rFonts w:ascii="宋体" w:hAnsi="宋体" w:cs="宋体" w:eastAsia="宋体" w:hint="default"/>
                <w:sz w:val="15"/>
                <w:szCs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2013</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-2015</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219,577,040.80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10,669,365.44</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5"/>
                <w:szCs w:val="15"/>
              </w:rPr>
            </w:pPr>
            <w:r>
              <w:rPr>
                <w:rFonts w:ascii="宋体"/>
                <w:spacing w:val="-2"/>
                <w:sz w:val="15"/>
              </w:rPr>
              <w:t>130,036,884.01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100,209,522.23</w:t>
            </w:r>
          </w:p>
        </w:tc>
      </w:tr>
      <w:tr>
        <w:trPr>
          <w:trHeight w:val="46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1" w:right="0"/>
              <w:jc w:val="left"/>
              <w:rPr>
                <w:rFonts w:ascii="宋体" w:hAnsi="宋体" w:cs="宋体" w:eastAsia="宋体" w:hint="default"/>
                <w:sz w:val="15"/>
                <w:szCs w:val="15"/>
              </w:rPr>
            </w:pPr>
            <w:r>
              <w:rPr>
                <w:rFonts w:ascii="宋体" w:hAnsi="宋体" w:cs="宋体" w:eastAsia="宋体" w:hint="default"/>
                <w:sz w:val="15"/>
                <w:szCs w:val="15"/>
              </w:rPr>
              <w:t>沈阳·新湖花园</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2016</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2"/>
                <w:sz w:val="15"/>
              </w:rPr>
              <w:t>30,886,468.69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2"/>
                <w:sz w:val="15"/>
              </w:rPr>
              <w:t>331,648,139.17</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15"/>
                <w:szCs w:val="15"/>
              </w:rPr>
            </w:pPr>
            <w:r>
              <w:rPr>
                <w:rFonts w:ascii="宋体"/>
                <w:spacing w:val="-2"/>
                <w:sz w:val="15"/>
              </w:rPr>
              <w:t>303,767,675.05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2"/>
                <w:sz w:val="15"/>
              </w:rPr>
              <w:t>58,766,932.81</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1" w:right="0"/>
              <w:jc w:val="left"/>
              <w:rPr>
                <w:rFonts w:ascii="宋体" w:hAnsi="宋体" w:cs="宋体" w:eastAsia="宋体" w:hint="default"/>
                <w:sz w:val="15"/>
                <w:szCs w:val="15"/>
              </w:rPr>
            </w:pPr>
            <w:r>
              <w:rPr>
                <w:rFonts w:ascii="宋体" w:hAnsi="宋体" w:cs="宋体" w:eastAsia="宋体" w:hint="default"/>
                <w:sz w:val="15"/>
                <w:szCs w:val="15"/>
              </w:rPr>
              <w:t>沈阳·仙林金谷</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2013</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168,579,394.04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122,655,960.35</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5"/>
                <w:szCs w:val="15"/>
              </w:rPr>
            </w:pPr>
            <w:r>
              <w:rPr>
                <w:rFonts w:ascii="宋体"/>
                <w:spacing w:val="-2"/>
                <w:sz w:val="15"/>
              </w:rPr>
              <w:t>92,766,200.10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198,469,154.29</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1" w:right="0"/>
              <w:jc w:val="left"/>
              <w:rPr>
                <w:rFonts w:ascii="宋体" w:hAnsi="宋体" w:cs="宋体" w:eastAsia="宋体" w:hint="default"/>
                <w:sz w:val="15"/>
                <w:szCs w:val="15"/>
              </w:rPr>
            </w:pPr>
            <w:r>
              <w:rPr>
                <w:rFonts w:ascii="宋体" w:hAnsi="宋体" w:cs="宋体" w:eastAsia="宋体" w:hint="default"/>
                <w:sz w:val="15"/>
                <w:szCs w:val="15"/>
              </w:rPr>
              <w:t>天津·香格里拉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2010</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-2013</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98,869,555.21</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5"/>
                <w:szCs w:val="15"/>
              </w:rPr>
            </w:pPr>
            <w:r>
              <w:rPr>
                <w:rFonts w:ascii="宋体"/>
                <w:spacing w:val="-2"/>
                <w:sz w:val="15"/>
              </w:rPr>
              <w:t>42,168,880.65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56,700,674.56</w:t>
            </w:r>
          </w:p>
        </w:tc>
      </w:tr>
      <w:tr>
        <w:trPr>
          <w:trHeight w:val="46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1" w:right="0"/>
              <w:jc w:val="left"/>
              <w:rPr>
                <w:rFonts w:ascii="宋体" w:hAnsi="宋体" w:cs="宋体" w:eastAsia="宋体" w:hint="default"/>
                <w:sz w:val="15"/>
                <w:szCs w:val="15"/>
              </w:rPr>
            </w:pPr>
            <w:r>
              <w:rPr>
                <w:rFonts w:ascii="宋体" w:hAnsi="宋体" w:cs="宋体" w:eastAsia="宋体" w:hint="default"/>
                <w:sz w:val="15"/>
                <w:szCs w:val="15"/>
              </w:rPr>
              <w:t>新湖地产·车库</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0"/>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1"/>
                <w:sz w:val="15"/>
              </w:rPr>
              <w:t>494,695.00</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2"/>
                <w:sz w:val="15"/>
              </w:rPr>
              <w:t>494,695.00</w:t>
            </w:r>
          </w:p>
        </w:tc>
      </w:tr>
      <w:tr>
        <w:trPr>
          <w:trHeight w:val="46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1" w:right="0"/>
              <w:jc w:val="left"/>
              <w:rPr>
                <w:rFonts w:ascii="宋体" w:hAnsi="宋体" w:cs="宋体" w:eastAsia="宋体" w:hint="default"/>
                <w:sz w:val="15"/>
                <w:szCs w:val="15"/>
              </w:rPr>
            </w:pPr>
            <w:r>
              <w:rPr>
                <w:rFonts w:ascii="宋体" w:hAnsi="宋体" w:cs="宋体" w:eastAsia="宋体" w:hint="default"/>
                <w:sz w:val="15"/>
                <w:szCs w:val="15"/>
              </w:rPr>
              <w:t>湖州·龙溪苑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6"/>
                <w:szCs w:val="16"/>
              </w:rPr>
            </w:pPr>
            <w:r>
              <w:rPr>
                <w:rFonts w:ascii="宋体" w:hAnsi="宋体" w:cs="宋体" w:eastAsia="宋体" w:hint="default"/>
                <w:sz w:val="16"/>
                <w:szCs w:val="16"/>
              </w:rPr>
              <w:t>2004</w:t>
            </w:r>
            <w:r>
              <w:rPr>
                <w:rFonts w:ascii="宋体" w:hAnsi="宋体" w:cs="宋体" w:eastAsia="宋体" w:hint="default"/>
                <w:spacing w:val="-40"/>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宋体" w:hAnsi="宋体" w:cs="宋体" w:eastAsia="宋体" w:hint="default"/>
                <w:sz w:val="15"/>
                <w:szCs w:val="15"/>
              </w:rPr>
            </w:pPr>
            <w:r>
              <w:rPr>
                <w:rFonts w:ascii="宋体"/>
                <w:spacing w:val="-2"/>
                <w:sz w:val="15"/>
              </w:rPr>
              <w:t>31,926,368.92</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宋体" w:hAnsi="宋体" w:cs="宋体" w:eastAsia="宋体" w:hint="default"/>
                <w:sz w:val="15"/>
                <w:szCs w:val="15"/>
              </w:rPr>
            </w:pPr>
            <w:r>
              <w:rPr>
                <w:rFonts w:ascii="宋体"/>
                <w:spacing w:val="-2"/>
                <w:sz w:val="15"/>
              </w:rPr>
              <w:t>31,926,368.92</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1" w:right="0"/>
              <w:jc w:val="left"/>
              <w:rPr>
                <w:rFonts w:ascii="宋体" w:hAnsi="宋体" w:cs="宋体" w:eastAsia="宋体" w:hint="default"/>
                <w:sz w:val="15"/>
                <w:szCs w:val="15"/>
              </w:rPr>
            </w:pPr>
            <w:r>
              <w:rPr>
                <w:rFonts w:ascii="宋体" w:hAnsi="宋体" w:cs="宋体" w:eastAsia="宋体" w:hint="default"/>
                <w:sz w:val="15"/>
                <w:szCs w:val="15"/>
              </w:rPr>
              <w:t>杭州·香格里拉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501,867,900.88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760,914,467.39</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5"/>
                <w:szCs w:val="15"/>
              </w:rPr>
            </w:pPr>
            <w:r>
              <w:rPr>
                <w:rFonts w:ascii="宋体"/>
                <w:spacing w:val="-2"/>
                <w:sz w:val="15"/>
              </w:rPr>
              <w:t>347,856,038.40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914,926,329.87</w:t>
            </w:r>
          </w:p>
        </w:tc>
      </w:tr>
      <w:tr>
        <w:trPr>
          <w:trHeight w:val="46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1" w:right="0"/>
              <w:jc w:val="left"/>
              <w:rPr>
                <w:rFonts w:ascii="宋体" w:hAnsi="宋体" w:cs="宋体" w:eastAsia="宋体" w:hint="default"/>
                <w:sz w:val="15"/>
                <w:szCs w:val="15"/>
              </w:rPr>
            </w:pPr>
            <w:r>
              <w:rPr>
                <w:rFonts w:ascii="宋体" w:hAnsi="宋体" w:cs="宋体" w:eastAsia="宋体" w:hint="default"/>
                <w:sz w:val="15"/>
                <w:szCs w:val="15"/>
              </w:rPr>
              <w:t>衢州·新湖景城［注</w:t>
            </w:r>
            <w:r>
              <w:rPr>
                <w:rFonts w:ascii="宋体" w:hAnsi="宋体" w:cs="宋体" w:eastAsia="宋体" w:hint="default"/>
                <w:spacing w:val="-38"/>
                <w:sz w:val="15"/>
                <w:szCs w:val="15"/>
              </w:rPr>
              <w:t> </w:t>
            </w:r>
            <w:r>
              <w:rPr>
                <w:rFonts w:ascii="宋体" w:hAnsi="宋体" w:cs="宋体" w:eastAsia="宋体" w:hint="default"/>
                <w:sz w:val="15"/>
                <w:szCs w:val="15"/>
              </w:rPr>
              <w:t>1</w:t>
            </w:r>
            <w:r>
              <w:rPr>
                <w:rFonts w:ascii="宋体" w:hAnsi="宋体" w:cs="宋体" w:eastAsia="宋体" w:hint="default"/>
                <w:sz w:val="15"/>
                <w:szCs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2007</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-2016</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1"/>
                <w:sz w:val="15"/>
              </w:rPr>
              <w:t>209,726,397.70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宋体" w:hAnsi="宋体" w:cs="宋体" w:eastAsia="宋体" w:hint="default"/>
                <w:sz w:val="15"/>
                <w:szCs w:val="15"/>
              </w:rPr>
            </w:pPr>
            <w:r>
              <w:rPr>
                <w:rFonts w:ascii="宋体"/>
                <w:spacing w:val="-2"/>
                <w:sz w:val="15"/>
              </w:rPr>
              <w:t>2,632,078.00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15"/>
                <w:szCs w:val="15"/>
              </w:rPr>
            </w:pPr>
            <w:r>
              <w:rPr>
                <w:rFonts w:ascii="宋体"/>
                <w:spacing w:val="-2"/>
                <w:sz w:val="15"/>
              </w:rPr>
              <w:t>65,097,642.13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2"/>
                <w:sz w:val="15"/>
              </w:rPr>
              <w:t>147,260,833.57</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1" w:right="0"/>
              <w:jc w:val="left"/>
              <w:rPr>
                <w:rFonts w:ascii="宋体" w:hAnsi="宋体" w:cs="宋体" w:eastAsia="宋体" w:hint="default"/>
                <w:sz w:val="15"/>
                <w:szCs w:val="15"/>
              </w:rPr>
            </w:pPr>
            <w:r>
              <w:rPr>
                <w:rFonts w:ascii="宋体" w:hAnsi="宋体" w:cs="宋体" w:eastAsia="宋体" w:hint="default"/>
                <w:sz w:val="15"/>
                <w:szCs w:val="15"/>
              </w:rPr>
              <w:t>九江·柴桑春天［注</w:t>
            </w:r>
            <w:r>
              <w:rPr>
                <w:rFonts w:ascii="宋体" w:hAnsi="宋体" w:cs="宋体" w:eastAsia="宋体" w:hint="default"/>
                <w:spacing w:val="-38"/>
                <w:sz w:val="15"/>
                <w:szCs w:val="15"/>
              </w:rPr>
              <w:t> </w:t>
            </w:r>
            <w:r>
              <w:rPr>
                <w:rFonts w:ascii="宋体" w:hAnsi="宋体" w:cs="宋体" w:eastAsia="宋体" w:hint="default"/>
                <w:sz w:val="15"/>
                <w:szCs w:val="15"/>
              </w:rPr>
              <w:t>2</w:t>
            </w:r>
            <w:r>
              <w:rPr>
                <w:rFonts w:ascii="宋体" w:hAnsi="宋体" w:cs="宋体" w:eastAsia="宋体" w:hint="default"/>
                <w:sz w:val="15"/>
                <w:szCs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2006</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-2016</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249,304,226.02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19,755,894.31</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5"/>
                <w:szCs w:val="15"/>
              </w:rPr>
            </w:pPr>
            <w:r>
              <w:rPr>
                <w:rFonts w:ascii="宋体"/>
                <w:spacing w:val="-2"/>
                <w:sz w:val="15"/>
              </w:rPr>
              <w:t>86,321,283.80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182,738,836.53</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1" w:right="0"/>
              <w:jc w:val="left"/>
              <w:rPr>
                <w:rFonts w:ascii="宋体" w:hAnsi="宋体" w:cs="宋体" w:eastAsia="宋体" w:hint="default"/>
                <w:sz w:val="15"/>
                <w:szCs w:val="15"/>
              </w:rPr>
            </w:pPr>
            <w:r>
              <w:rPr>
                <w:rFonts w:ascii="宋体" w:hAnsi="宋体" w:cs="宋体" w:eastAsia="宋体" w:hint="default"/>
                <w:sz w:val="15"/>
                <w:szCs w:val="15"/>
              </w:rPr>
              <w:t>杭州·新湖果岭</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2010</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283,516,240.15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589,285,035.15</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5"/>
                <w:szCs w:val="15"/>
              </w:rPr>
            </w:pPr>
            <w:r>
              <w:rPr>
                <w:rFonts w:ascii="宋体"/>
                <w:spacing w:val="-2"/>
                <w:sz w:val="15"/>
              </w:rPr>
              <w:t>630,194,530.98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242,606,744.32</w:t>
            </w:r>
          </w:p>
        </w:tc>
      </w:tr>
      <w:tr>
        <w:trPr>
          <w:trHeight w:val="46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1" w:right="0"/>
              <w:jc w:val="left"/>
              <w:rPr>
                <w:rFonts w:ascii="宋体" w:hAnsi="宋体" w:cs="宋体" w:eastAsia="宋体" w:hint="default"/>
                <w:sz w:val="15"/>
                <w:szCs w:val="15"/>
              </w:rPr>
            </w:pPr>
            <w:r>
              <w:rPr>
                <w:rFonts w:ascii="宋体" w:hAnsi="宋体" w:cs="宋体" w:eastAsia="宋体" w:hint="default"/>
                <w:sz w:val="15"/>
                <w:szCs w:val="15"/>
              </w:rPr>
              <w:t>滨州·新湖玫瑰园［注</w:t>
            </w:r>
            <w:r>
              <w:rPr>
                <w:rFonts w:ascii="宋体" w:hAnsi="宋体" w:cs="宋体" w:eastAsia="宋体" w:hint="default"/>
                <w:spacing w:val="-40"/>
                <w:sz w:val="15"/>
                <w:szCs w:val="15"/>
              </w:rPr>
              <w:t> </w:t>
            </w:r>
            <w:r>
              <w:rPr>
                <w:rFonts w:ascii="宋体" w:hAnsi="宋体" w:cs="宋体" w:eastAsia="宋体" w:hint="default"/>
                <w:sz w:val="15"/>
                <w:szCs w:val="15"/>
              </w:rPr>
              <w:t>1</w:t>
            </w:r>
            <w:r>
              <w:rPr>
                <w:rFonts w:ascii="宋体" w:hAnsi="宋体" w:cs="宋体" w:eastAsia="宋体" w:hint="default"/>
                <w:sz w:val="15"/>
                <w:szCs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2012</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2"/>
                <w:sz w:val="15"/>
              </w:rPr>
              <w:t>85,723,034.66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2"/>
                <w:sz w:val="15"/>
              </w:rPr>
              <w:t>36,032.56</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宋体" w:hAnsi="宋体" w:cs="宋体" w:eastAsia="宋体" w:hint="default"/>
                <w:sz w:val="15"/>
                <w:szCs w:val="15"/>
              </w:rPr>
            </w:pPr>
            <w:r>
              <w:rPr>
                <w:rFonts w:ascii="宋体"/>
                <w:spacing w:val="-2"/>
                <w:sz w:val="15"/>
              </w:rPr>
              <w:t>8,631,999.27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2"/>
                <w:sz w:val="15"/>
              </w:rPr>
              <w:t>77,127,067.95</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1" w:right="0"/>
              <w:jc w:val="left"/>
              <w:rPr>
                <w:rFonts w:ascii="宋体" w:hAnsi="宋体" w:cs="宋体" w:eastAsia="宋体" w:hint="default"/>
                <w:sz w:val="15"/>
                <w:szCs w:val="15"/>
              </w:rPr>
            </w:pPr>
            <w:r>
              <w:rPr>
                <w:rFonts w:ascii="宋体" w:hAnsi="宋体" w:cs="宋体" w:eastAsia="宋体" w:hint="default"/>
                <w:sz w:val="15"/>
                <w:szCs w:val="15"/>
              </w:rPr>
              <w:t>泰安·新湖绿园</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2011</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105,284,453.98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121,730,691.12</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5"/>
                <w:szCs w:val="15"/>
              </w:rPr>
            </w:pPr>
            <w:r>
              <w:rPr>
                <w:rFonts w:ascii="宋体"/>
                <w:spacing w:val="-2"/>
                <w:sz w:val="15"/>
              </w:rPr>
              <w:t>149,375,973.91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77,639,171.19</w:t>
            </w:r>
          </w:p>
        </w:tc>
      </w:tr>
      <w:tr>
        <w:trPr>
          <w:trHeight w:val="46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1" w:right="0"/>
              <w:jc w:val="left"/>
              <w:rPr>
                <w:rFonts w:ascii="宋体" w:hAnsi="宋体" w:cs="宋体" w:eastAsia="宋体" w:hint="default"/>
                <w:sz w:val="15"/>
                <w:szCs w:val="15"/>
              </w:rPr>
            </w:pPr>
            <w:r>
              <w:rPr>
                <w:rFonts w:ascii="宋体" w:hAnsi="宋体" w:cs="宋体" w:eastAsia="宋体" w:hint="default"/>
                <w:sz w:val="15"/>
                <w:szCs w:val="15"/>
              </w:rPr>
              <w:t>苏州·明珠城［注</w:t>
            </w:r>
            <w:r>
              <w:rPr>
                <w:rFonts w:ascii="宋体" w:hAnsi="宋体" w:cs="宋体" w:eastAsia="宋体" w:hint="default"/>
                <w:spacing w:val="-40"/>
                <w:sz w:val="15"/>
                <w:szCs w:val="15"/>
              </w:rPr>
              <w:t> </w:t>
            </w:r>
            <w:r>
              <w:rPr>
                <w:rFonts w:ascii="宋体" w:hAnsi="宋体" w:cs="宋体" w:eastAsia="宋体" w:hint="default"/>
                <w:sz w:val="15"/>
                <w:szCs w:val="15"/>
              </w:rPr>
              <w:t>1</w:t>
            </w:r>
            <w:r>
              <w:rPr>
                <w:rFonts w:ascii="宋体" w:hAnsi="宋体" w:cs="宋体" w:eastAsia="宋体" w:hint="default"/>
                <w:sz w:val="15"/>
                <w:szCs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-2016</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宋体" w:hAnsi="宋体" w:cs="宋体" w:eastAsia="宋体" w:hint="default"/>
                <w:sz w:val="15"/>
                <w:szCs w:val="15"/>
              </w:rPr>
            </w:pPr>
            <w:r>
              <w:rPr>
                <w:rFonts w:ascii="宋体"/>
                <w:spacing w:val="-1"/>
                <w:sz w:val="15"/>
              </w:rPr>
              <w:t>325,810,961.19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宋体" w:hAnsi="宋体" w:cs="宋体" w:eastAsia="宋体" w:hint="default"/>
                <w:sz w:val="15"/>
                <w:szCs w:val="15"/>
              </w:rPr>
            </w:pPr>
            <w:r>
              <w:rPr>
                <w:rFonts w:ascii="宋体"/>
                <w:spacing w:val="-2"/>
                <w:sz w:val="15"/>
              </w:rPr>
              <w:t>16,236,572.01</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宋体" w:hAnsi="宋体" w:cs="宋体" w:eastAsia="宋体" w:hint="default"/>
                <w:sz w:val="15"/>
                <w:szCs w:val="15"/>
              </w:rPr>
            </w:pPr>
            <w:r>
              <w:rPr>
                <w:rFonts w:ascii="宋体"/>
                <w:spacing w:val="-2"/>
                <w:sz w:val="15"/>
              </w:rPr>
              <w:t>63,174,340.74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宋体" w:hAnsi="宋体" w:cs="宋体" w:eastAsia="宋体" w:hint="default"/>
                <w:sz w:val="15"/>
                <w:szCs w:val="15"/>
              </w:rPr>
            </w:pPr>
            <w:r>
              <w:rPr>
                <w:rFonts w:ascii="宋体"/>
                <w:spacing w:val="-2"/>
                <w:sz w:val="15"/>
              </w:rPr>
              <w:t>278,873,192.46</w:t>
            </w:r>
          </w:p>
        </w:tc>
      </w:tr>
      <w:tr>
        <w:trPr>
          <w:trHeight w:val="46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1" w:right="0"/>
              <w:jc w:val="left"/>
              <w:rPr>
                <w:rFonts w:ascii="宋体" w:hAnsi="宋体" w:cs="宋体" w:eastAsia="宋体" w:hint="default"/>
                <w:sz w:val="15"/>
                <w:szCs w:val="15"/>
              </w:rPr>
            </w:pPr>
            <w:r>
              <w:rPr>
                <w:rFonts w:ascii="宋体" w:hAnsi="宋体" w:cs="宋体" w:eastAsia="宋体" w:hint="default"/>
                <w:sz w:val="15"/>
                <w:szCs w:val="15"/>
              </w:rPr>
              <w:t>上海·新湖明珠城［注</w:t>
            </w:r>
            <w:r>
              <w:rPr>
                <w:rFonts w:ascii="宋体" w:hAnsi="宋体" w:cs="宋体" w:eastAsia="宋体" w:hint="default"/>
                <w:spacing w:val="-40"/>
                <w:sz w:val="15"/>
                <w:szCs w:val="15"/>
              </w:rPr>
              <w:t> </w:t>
            </w:r>
            <w:r>
              <w:rPr>
                <w:rFonts w:ascii="宋体" w:hAnsi="宋体" w:cs="宋体" w:eastAsia="宋体" w:hint="default"/>
                <w:sz w:val="15"/>
                <w:szCs w:val="15"/>
              </w:rPr>
              <w:t>1</w:t>
            </w:r>
            <w:r>
              <w:rPr>
                <w:rFonts w:ascii="宋体" w:hAnsi="宋体" w:cs="宋体" w:eastAsia="宋体" w:hint="default"/>
                <w:sz w:val="15"/>
                <w:szCs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2005</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-2015</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1"/>
                <w:sz w:val="15"/>
              </w:rPr>
              <w:t>227,937,443.41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2"/>
                <w:sz w:val="15"/>
              </w:rPr>
              <w:t>19,650,927.23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15"/>
                <w:szCs w:val="15"/>
              </w:rPr>
            </w:pPr>
            <w:r>
              <w:rPr>
                <w:rFonts w:ascii="宋体"/>
                <w:spacing w:val="-2"/>
                <w:sz w:val="15"/>
              </w:rPr>
              <w:t>69,206,643.51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1"/>
                <w:sz w:val="15"/>
              </w:rPr>
              <w:t>178,381,727.13</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1" w:right="0"/>
              <w:jc w:val="left"/>
              <w:rPr>
                <w:rFonts w:ascii="宋体" w:hAnsi="宋体" w:cs="宋体" w:eastAsia="宋体" w:hint="default"/>
                <w:sz w:val="15"/>
                <w:szCs w:val="15"/>
              </w:rPr>
            </w:pPr>
            <w:r>
              <w:rPr>
                <w:rFonts w:ascii="宋体" w:hAnsi="宋体" w:cs="宋体" w:eastAsia="宋体" w:hint="default"/>
                <w:sz w:val="15"/>
                <w:szCs w:val="15"/>
              </w:rPr>
              <w:t>兰溪·香格里拉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2013</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425,677,295.30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66,885,400.05</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5"/>
                <w:szCs w:val="15"/>
              </w:rPr>
            </w:pPr>
            <w:r>
              <w:rPr>
                <w:rFonts w:ascii="宋体"/>
                <w:spacing w:val="-2"/>
                <w:sz w:val="15"/>
              </w:rPr>
              <w:t>140,902,354.44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351,660,340.91</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1" w:right="0"/>
              <w:jc w:val="left"/>
              <w:rPr>
                <w:rFonts w:ascii="宋体" w:hAnsi="宋体" w:cs="宋体" w:eastAsia="宋体" w:hint="default"/>
                <w:sz w:val="15"/>
                <w:szCs w:val="15"/>
              </w:rPr>
            </w:pPr>
            <w:r>
              <w:rPr>
                <w:rFonts w:ascii="宋体" w:hAnsi="宋体" w:cs="宋体" w:eastAsia="宋体" w:hint="default"/>
                <w:sz w:val="15"/>
                <w:szCs w:val="15"/>
              </w:rPr>
              <w:t>九江·庐山国际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2013</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892,654,892.28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399,781,348.52</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5"/>
                <w:szCs w:val="15"/>
              </w:rPr>
            </w:pPr>
            <w:r>
              <w:rPr>
                <w:rFonts w:ascii="宋体"/>
                <w:spacing w:val="-2"/>
                <w:sz w:val="15"/>
              </w:rPr>
              <w:t>220,306,049.75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宋体" w:hAnsi="宋体" w:cs="宋体" w:eastAsia="宋体" w:hint="default"/>
                <w:sz w:val="15"/>
                <w:szCs w:val="15"/>
              </w:rPr>
            </w:pPr>
            <w:r>
              <w:rPr>
                <w:rFonts w:ascii="宋体"/>
                <w:spacing w:val="-2"/>
                <w:sz w:val="15"/>
              </w:rPr>
              <w:t>1,072,130,191.05</w:t>
            </w:r>
          </w:p>
        </w:tc>
      </w:tr>
      <w:tr>
        <w:trPr>
          <w:trHeight w:val="46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1" w:right="0"/>
              <w:jc w:val="left"/>
              <w:rPr>
                <w:rFonts w:ascii="宋体" w:hAnsi="宋体" w:cs="宋体" w:eastAsia="宋体" w:hint="default"/>
                <w:sz w:val="15"/>
                <w:szCs w:val="15"/>
              </w:rPr>
            </w:pPr>
            <w:r>
              <w:rPr>
                <w:rFonts w:ascii="宋体" w:hAnsi="宋体" w:cs="宋体" w:eastAsia="宋体" w:hint="default"/>
                <w:sz w:val="15"/>
                <w:szCs w:val="15"/>
              </w:rPr>
              <w:t>杭州·武林国际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1"/>
                <w:sz w:val="15"/>
              </w:rPr>
              <w:t>688,363,605.80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2"/>
                <w:sz w:val="15"/>
              </w:rPr>
              <w:t>124,129,095.27</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15"/>
                <w:szCs w:val="15"/>
              </w:rPr>
            </w:pPr>
            <w:r>
              <w:rPr>
                <w:rFonts w:ascii="宋体"/>
                <w:spacing w:val="-2"/>
                <w:sz w:val="15"/>
              </w:rPr>
              <w:t>338,808,960.91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2"/>
                <w:sz w:val="15"/>
              </w:rPr>
              <w:t>473,683,740.16</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1" w:right="0"/>
              <w:jc w:val="left"/>
              <w:rPr>
                <w:rFonts w:ascii="宋体" w:hAnsi="宋体" w:cs="宋体" w:eastAsia="宋体" w:hint="default"/>
                <w:sz w:val="15"/>
                <w:szCs w:val="15"/>
              </w:rPr>
            </w:pPr>
            <w:r>
              <w:rPr>
                <w:rFonts w:ascii="宋体" w:hAnsi="宋体" w:cs="宋体" w:eastAsia="宋体" w:hint="default"/>
                <w:sz w:val="15"/>
                <w:szCs w:val="15"/>
              </w:rPr>
              <w:t>丽水·新湖国际［注</w:t>
            </w:r>
            <w:r>
              <w:rPr>
                <w:rFonts w:ascii="宋体" w:hAnsi="宋体" w:cs="宋体" w:eastAsia="宋体" w:hint="default"/>
                <w:spacing w:val="-38"/>
                <w:sz w:val="15"/>
                <w:szCs w:val="15"/>
              </w:rPr>
              <w:t> </w:t>
            </w:r>
            <w:r>
              <w:rPr>
                <w:rFonts w:ascii="宋体" w:hAnsi="宋体" w:cs="宋体" w:eastAsia="宋体" w:hint="default"/>
                <w:sz w:val="15"/>
                <w:szCs w:val="15"/>
              </w:rPr>
              <w:t>2</w:t>
            </w:r>
            <w:r>
              <w:rPr>
                <w:rFonts w:ascii="宋体" w:hAnsi="宋体" w:cs="宋体" w:eastAsia="宋体" w:hint="default"/>
                <w:sz w:val="15"/>
                <w:szCs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204,833,388.15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宋体" w:hAnsi="宋体" w:cs="宋体" w:eastAsia="宋体" w:hint="default"/>
                <w:sz w:val="15"/>
                <w:szCs w:val="15"/>
              </w:rPr>
            </w:pPr>
            <w:r>
              <w:rPr>
                <w:rFonts w:ascii="宋体"/>
                <w:spacing w:val="-2"/>
                <w:sz w:val="15"/>
              </w:rPr>
              <w:t>1,271,510,444.93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3"/>
              <w:jc w:val="right"/>
              <w:rPr>
                <w:rFonts w:ascii="宋体" w:hAnsi="宋体" w:cs="宋体" w:eastAsia="宋体" w:hint="default"/>
                <w:sz w:val="15"/>
                <w:szCs w:val="15"/>
              </w:rPr>
            </w:pPr>
            <w:r>
              <w:rPr>
                <w:rFonts w:ascii="宋体"/>
                <w:spacing w:val="-2"/>
                <w:sz w:val="15"/>
              </w:rPr>
              <w:t>1,288,167,492.34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188,176,340.74</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1" w:right="0"/>
              <w:jc w:val="left"/>
              <w:rPr>
                <w:rFonts w:ascii="宋体" w:hAnsi="宋体" w:cs="宋体" w:eastAsia="宋体" w:hint="default"/>
                <w:sz w:val="15"/>
                <w:szCs w:val="15"/>
              </w:rPr>
            </w:pPr>
            <w:r>
              <w:rPr>
                <w:rFonts w:ascii="宋体" w:hAnsi="宋体" w:cs="宋体" w:eastAsia="宋体" w:hint="default"/>
                <w:sz w:val="15"/>
                <w:szCs w:val="15"/>
              </w:rPr>
              <w:t>天津·义乌商贸城［注</w:t>
            </w:r>
            <w:r>
              <w:rPr>
                <w:rFonts w:ascii="宋体" w:hAnsi="宋体" w:cs="宋体" w:eastAsia="宋体" w:hint="default"/>
                <w:spacing w:val="-40"/>
                <w:sz w:val="15"/>
                <w:szCs w:val="15"/>
              </w:rPr>
              <w:t> </w:t>
            </w:r>
            <w:r>
              <w:rPr>
                <w:rFonts w:ascii="宋体" w:hAnsi="宋体" w:cs="宋体" w:eastAsia="宋体" w:hint="default"/>
                <w:sz w:val="15"/>
                <w:szCs w:val="15"/>
              </w:rPr>
              <w:t>1</w:t>
            </w:r>
            <w:r>
              <w:rPr>
                <w:rFonts w:ascii="宋体" w:hAnsi="宋体" w:cs="宋体" w:eastAsia="宋体" w:hint="default"/>
                <w:sz w:val="15"/>
                <w:szCs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-2016</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607,334,025.28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31,157,143.47</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5"/>
                <w:szCs w:val="15"/>
              </w:rPr>
            </w:pPr>
            <w:r>
              <w:rPr>
                <w:rFonts w:ascii="宋体"/>
                <w:spacing w:val="-2"/>
                <w:sz w:val="15"/>
              </w:rPr>
              <w:t>159,158,512.00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479,332,656.75</w:t>
            </w:r>
          </w:p>
        </w:tc>
      </w:tr>
      <w:tr>
        <w:trPr>
          <w:trHeight w:val="46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1" w:right="0"/>
              <w:jc w:val="left"/>
              <w:rPr>
                <w:rFonts w:ascii="宋体" w:hAnsi="宋体" w:cs="宋体" w:eastAsia="宋体" w:hint="default"/>
                <w:sz w:val="15"/>
                <w:szCs w:val="15"/>
              </w:rPr>
            </w:pPr>
            <w:r>
              <w:rPr>
                <w:rFonts w:ascii="宋体" w:hAnsi="宋体" w:cs="宋体" w:eastAsia="宋体" w:hint="default"/>
                <w:sz w:val="15"/>
                <w:szCs w:val="15"/>
              </w:rPr>
              <w:t>舟山·御景国际［注</w:t>
            </w:r>
            <w:r>
              <w:rPr>
                <w:rFonts w:ascii="宋体" w:hAnsi="宋体" w:cs="宋体" w:eastAsia="宋体" w:hint="default"/>
                <w:spacing w:val="-38"/>
                <w:sz w:val="15"/>
                <w:szCs w:val="15"/>
              </w:rPr>
              <w:t> </w:t>
            </w:r>
            <w:r>
              <w:rPr>
                <w:rFonts w:ascii="宋体" w:hAnsi="宋体" w:cs="宋体" w:eastAsia="宋体" w:hint="default"/>
                <w:sz w:val="15"/>
                <w:szCs w:val="15"/>
              </w:rPr>
              <w:t>1</w:t>
            </w:r>
            <w:r>
              <w:rPr>
                <w:rFonts w:ascii="宋体" w:hAnsi="宋体" w:cs="宋体" w:eastAsia="宋体" w:hint="default"/>
                <w:sz w:val="15"/>
                <w:szCs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6"/>
                <w:szCs w:val="16"/>
              </w:rPr>
            </w:pPr>
            <w:r>
              <w:rPr>
                <w:rFonts w:ascii="宋体" w:hAnsi="宋体" w:cs="宋体" w:eastAsia="宋体" w:hint="default"/>
                <w:sz w:val="16"/>
                <w:szCs w:val="16"/>
              </w:rPr>
              <w:t>2016</w:t>
            </w:r>
            <w:r>
              <w:rPr>
                <w:rFonts w:ascii="宋体" w:hAnsi="宋体" w:cs="宋体" w:eastAsia="宋体" w:hint="default"/>
                <w:spacing w:val="-40"/>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2"/>
                <w:sz w:val="15"/>
              </w:rPr>
              <w:t>1,704,530,734.77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2"/>
                <w:sz w:val="15"/>
              </w:rPr>
              <w:t>11,174,811.56</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15"/>
                <w:szCs w:val="15"/>
              </w:rPr>
            </w:pPr>
            <w:r>
              <w:rPr>
                <w:rFonts w:ascii="宋体"/>
                <w:spacing w:val="-2"/>
                <w:sz w:val="15"/>
              </w:rPr>
              <w:t>626,748,510.86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宋体" w:hAnsi="宋体" w:cs="宋体" w:eastAsia="宋体" w:hint="default"/>
                <w:sz w:val="15"/>
                <w:szCs w:val="15"/>
              </w:rPr>
            </w:pPr>
            <w:r>
              <w:rPr>
                <w:rFonts w:ascii="宋体"/>
                <w:spacing w:val="-2"/>
                <w:sz w:val="15"/>
              </w:rPr>
              <w:t>1,088,957,035.47</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1" w:right="0"/>
              <w:jc w:val="left"/>
              <w:rPr>
                <w:rFonts w:ascii="宋体" w:hAnsi="宋体" w:cs="宋体" w:eastAsia="宋体" w:hint="default"/>
                <w:sz w:val="15"/>
                <w:szCs w:val="15"/>
              </w:rPr>
            </w:pPr>
            <w:r>
              <w:rPr>
                <w:rFonts w:ascii="宋体" w:hAnsi="宋体" w:cs="宋体" w:eastAsia="宋体" w:hint="default"/>
                <w:sz w:val="15"/>
                <w:szCs w:val="15"/>
              </w:rPr>
              <w:t>乐清·海德花园［注</w:t>
            </w:r>
            <w:r>
              <w:rPr>
                <w:rFonts w:ascii="宋体" w:hAnsi="宋体" w:cs="宋体" w:eastAsia="宋体" w:hint="default"/>
                <w:spacing w:val="-38"/>
                <w:sz w:val="15"/>
                <w:szCs w:val="15"/>
              </w:rPr>
              <w:t> </w:t>
            </w:r>
            <w:r>
              <w:rPr>
                <w:rFonts w:ascii="宋体" w:hAnsi="宋体" w:cs="宋体" w:eastAsia="宋体" w:hint="default"/>
                <w:sz w:val="15"/>
                <w:szCs w:val="15"/>
              </w:rPr>
              <w:t>1</w:t>
            </w:r>
            <w:r>
              <w:rPr>
                <w:rFonts w:ascii="宋体" w:hAnsi="宋体" w:cs="宋体" w:eastAsia="宋体" w:hint="default"/>
                <w:sz w:val="15"/>
                <w:szCs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2016</w:t>
            </w:r>
            <w:r>
              <w:rPr>
                <w:rFonts w:ascii="宋体" w:hAnsi="宋体" w:cs="宋体" w:eastAsia="宋体" w:hint="default"/>
                <w:spacing w:val="-40"/>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759,047,621.96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436,712.93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5"/>
                <w:szCs w:val="15"/>
              </w:rPr>
            </w:pPr>
            <w:r>
              <w:rPr>
                <w:rFonts w:ascii="宋体"/>
                <w:spacing w:val="-2"/>
                <w:sz w:val="15"/>
              </w:rPr>
              <w:t>226,304,004.85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533,180,330.04</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1" w:right="0"/>
              <w:jc w:val="left"/>
              <w:rPr>
                <w:rFonts w:ascii="宋体" w:hAnsi="宋体" w:cs="宋体" w:eastAsia="宋体" w:hint="default"/>
                <w:sz w:val="15"/>
                <w:szCs w:val="15"/>
              </w:rPr>
            </w:pPr>
            <w:r>
              <w:rPr>
                <w:rFonts w:ascii="宋体" w:hAnsi="宋体" w:cs="宋体" w:eastAsia="宋体" w:hint="default"/>
                <w:sz w:val="15"/>
                <w:szCs w:val="15"/>
              </w:rPr>
              <w:t>嘉兴·新中花园</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2016</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247,015,522.94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522,393,872.67</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5"/>
                <w:szCs w:val="15"/>
              </w:rPr>
            </w:pPr>
            <w:r>
              <w:rPr>
                <w:rFonts w:ascii="宋体"/>
                <w:spacing w:val="-2"/>
                <w:sz w:val="15"/>
              </w:rPr>
              <w:t>652,414,733.45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116,994,662.16</w:t>
            </w:r>
          </w:p>
        </w:tc>
      </w:tr>
      <w:tr>
        <w:trPr>
          <w:trHeight w:val="46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1" w:right="0"/>
              <w:jc w:val="left"/>
              <w:rPr>
                <w:rFonts w:ascii="宋体" w:hAnsi="宋体" w:cs="宋体" w:eastAsia="宋体" w:hint="default"/>
                <w:sz w:val="15"/>
                <w:szCs w:val="15"/>
              </w:rPr>
            </w:pPr>
            <w:r>
              <w:rPr>
                <w:rFonts w:ascii="宋体" w:hAnsi="宋体" w:cs="宋体" w:eastAsia="宋体" w:hint="default"/>
                <w:sz w:val="15"/>
                <w:szCs w:val="15"/>
              </w:rPr>
              <w:t>上海·青蓝国际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40"/>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2"/>
                <w:sz w:val="15"/>
              </w:rPr>
              <w:t>3,519,188,733.22</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15"/>
                <w:szCs w:val="15"/>
              </w:rPr>
            </w:pPr>
            <w:r>
              <w:rPr>
                <w:rFonts w:ascii="宋体"/>
                <w:spacing w:val="-2"/>
                <w:sz w:val="15"/>
              </w:rPr>
              <w:t>2,489,792,736.11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宋体" w:hAnsi="宋体" w:cs="宋体" w:eastAsia="宋体" w:hint="default"/>
                <w:sz w:val="15"/>
                <w:szCs w:val="15"/>
              </w:rPr>
            </w:pPr>
            <w:r>
              <w:rPr>
                <w:rFonts w:ascii="宋体"/>
                <w:spacing w:val="-2"/>
                <w:sz w:val="15"/>
              </w:rPr>
              <w:t>1,029,395,997.11</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552"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宋体" w:hAnsi="宋体" w:cs="宋体" w:eastAsia="宋体" w:hint="default"/>
                <w:sz w:val="15"/>
                <w:szCs w:val="15"/>
              </w:rPr>
            </w:pPr>
            <w:r>
              <w:rPr>
                <w:rFonts w:ascii="宋体"/>
                <w:spacing w:val="-2"/>
                <w:sz w:val="15"/>
              </w:rPr>
              <w:t>8,241,227,011.20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宋体" w:hAnsi="宋体" w:cs="宋体" w:eastAsia="宋体" w:hint="default"/>
                <w:sz w:val="15"/>
                <w:szCs w:val="15"/>
              </w:rPr>
            </w:pPr>
            <w:r>
              <w:rPr>
                <w:rFonts w:ascii="宋体"/>
                <w:spacing w:val="-2"/>
                <w:sz w:val="15"/>
              </w:rPr>
              <w:t>7,943,953,022.66</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15"/>
                <w:szCs w:val="15"/>
              </w:rPr>
            </w:pPr>
            <w:r>
              <w:rPr>
                <w:rFonts w:ascii="宋体"/>
                <w:spacing w:val="-2"/>
                <w:sz w:val="15"/>
              </w:rPr>
              <w:t>8,180,097,343.61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宋体" w:hAnsi="宋体" w:cs="宋体" w:eastAsia="宋体" w:hint="default"/>
                <w:sz w:val="15"/>
                <w:szCs w:val="15"/>
              </w:rPr>
            </w:pPr>
            <w:r>
              <w:rPr>
                <w:rFonts w:ascii="宋体"/>
                <w:spacing w:val="-2"/>
                <w:sz w:val="15"/>
              </w:rPr>
              <w:t>8,005,082,690.25</w:t>
            </w:r>
          </w:p>
        </w:tc>
      </w:tr>
    </w:tbl>
    <w:p>
      <w:pPr>
        <w:spacing w:line="240" w:lineRule="auto" w:before="7"/>
        <w:rPr>
          <w:rFonts w:ascii="宋体" w:hAnsi="宋体" w:cs="宋体" w:eastAsia="宋体" w:hint="default"/>
          <w:sz w:val="7"/>
          <w:szCs w:val="7"/>
        </w:rPr>
      </w:pPr>
    </w:p>
    <w:p>
      <w:pPr>
        <w:spacing w:before="44"/>
        <w:ind w:left="1050" w:right="2848"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z w:val="18"/>
          <w:szCs w:val="18"/>
        </w:rPr>
        <w:t>：沈阳•北国之春一至六期等项目本期增加数系暂估成本差异调整。</w:t>
      </w:r>
    </w:p>
    <w:p>
      <w:pPr>
        <w:spacing w:line="240" w:lineRule="auto" w:before="10"/>
        <w:rPr>
          <w:rFonts w:ascii="宋体" w:hAnsi="宋体" w:cs="宋体" w:eastAsia="宋体" w:hint="default"/>
          <w:sz w:val="15"/>
          <w:szCs w:val="15"/>
        </w:rPr>
      </w:pPr>
    </w:p>
    <w:p>
      <w:pPr>
        <w:spacing w:line="448" w:lineRule="auto" w:before="0"/>
        <w:ind w:left="678" w:right="391" w:firstLine="371"/>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z w:val="18"/>
          <w:szCs w:val="18"/>
        </w:rPr>
        <w:t>：九江•柴桑春天本期增加数中的</w:t>
      </w:r>
      <w:r>
        <w:rPr>
          <w:rFonts w:ascii="宋体" w:hAnsi="宋体" w:cs="宋体" w:eastAsia="宋体" w:hint="default"/>
          <w:spacing w:val="-47"/>
          <w:sz w:val="18"/>
          <w:szCs w:val="18"/>
        </w:rPr>
        <w:t> </w:t>
      </w:r>
      <w:r>
        <w:rPr>
          <w:rFonts w:ascii="宋体" w:hAnsi="宋体" w:cs="宋体" w:eastAsia="宋体" w:hint="default"/>
          <w:sz w:val="18"/>
          <w:szCs w:val="18"/>
        </w:rPr>
        <w:t>17,304,221.89</w:t>
      </w:r>
      <w:r>
        <w:rPr>
          <w:rFonts w:ascii="宋体" w:hAnsi="宋体" w:cs="宋体" w:eastAsia="宋体" w:hint="default"/>
          <w:spacing w:val="-1"/>
          <w:sz w:val="18"/>
          <w:szCs w:val="18"/>
        </w:rPr>
        <w:t> </w:t>
      </w:r>
      <w:r>
        <w:rPr>
          <w:rFonts w:ascii="宋体" w:hAnsi="宋体" w:cs="宋体" w:eastAsia="宋体" w:hint="default"/>
          <w:sz w:val="18"/>
          <w:szCs w:val="18"/>
        </w:rPr>
        <w:t>元和丽水•新湖国际本期增加数中</w:t>
      </w:r>
      <w:r>
        <w:rPr>
          <w:rFonts w:ascii="宋体" w:hAnsi="宋体" w:cs="宋体" w:eastAsia="宋体" w:hint="default"/>
          <w:spacing w:val="-46"/>
          <w:sz w:val="18"/>
          <w:szCs w:val="18"/>
        </w:rPr>
        <w:t> </w:t>
      </w:r>
      <w:r>
        <w:rPr>
          <w:rFonts w:ascii="宋体" w:hAnsi="宋体" w:cs="宋体" w:eastAsia="宋体" w:hint="default"/>
          <w:sz w:val="18"/>
          <w:szCs w:val="18"/>
        </w:rPr>
        <w:t>5,388,473.96</w:t>
      </w:r>
      <w:r>
        <w:rPr>
          <w:rFonts w:ascii="宋体" w:hAnsi="宋体" w:cs="宋体" w:eastAsia="宋体" w:hint="default"/>
          <w:spacing w:val="-3"/>
          <w:sz w:val="18"/>
          <w:szCs w:val="18"/>
        </w:rPr>
        <w:t> </w:t>
      </w:r>
      <w:r>
        <w:rPr>
          <w:rFonts w:ascii="宋体" w:hAnsi="宋体" w:cs="宋体" w:eastAsia="宋体" w:hint="default"/>
          <w:sz w:val="18"/>
          <w:szCs w:val="18"/>
        </w:rPr>
        <w:t>元系 投资性房地产转入。</w:t>
      </w:r>
    </w:p>
    <w:p>
      <w:pPr>
        <w:spacing w:after="0" w:line="448" w:lineRule="auto"/>
        <w:jc w:val="left"/>
        <w:rPr>
          <w:rFonts w:ascii="宋体" w:hAnsi="宋体" w:cs="宋体" w:eastAsia="宋体" w:hint="default"/>
          <w:sz w:val="18"/>
          <w:szCs w:val="18"/>
        </w:rPr>
        <w:sectPr>
          <w:footerReference w:type="default" r:id="rId70"/>
          <w:pgSz w:w="11910" w:h="16840"/>
          <w:pgMar w:footer="1195" w:header="0" w:top="1120" w:bottom="1380" w:left="11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71"/>
          <w:pgSz w:w="11910" w:h="16840"/>
          <w:pgMar w:footer="1195" w:header="0" w:top="1120" w:bottom="1380" w:left="1580" w:right="1040"/>
        </w:sectPr>
      </w:pPr>
    </w:p>
    <w:p>
      <w:pPr>
        <w:pStyle w:val="Heading2"/>
        <w:spacing w:line="240" w:lineRule="auto"/>
        <w:ind w:right="-18"/>
        <w:jc w:val="left"/>
        <w:rPr>
          <w:b w:val="0"/>
          <w:bCs w:val="0"/>
        </w:rPr>
      </w:pPr>
      <w:r>
        <w:rPr>
          <w:rFonts w:ascii="宋体" w:hAnsi="宋体" w:cs="宋体" w:eastAsia="宋体" w:hint="default"/>
        </w:rPr>
        <w:t>9</w:t>
      </w:r>
      <w:r>
        <w:rPr/>
        <w:t>、</w:t>
      </w:r>
      <w:r>
        <w:rPr>
          <w:spacing w:val="-67"/>
        </w:rPr>
        <w:t> </w:t>
      </w:r>
      <w:r>
        <w:rPr/>
        <w:t>一年内到期的非流动资产</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000" w:bottom="280" w:left="1580" w:right="1040"/>
          <w:cols w:num="2" w:equalWidth="0">
            <w:col w:w="3287" w:space="2697"/>
            <w:col w:w="3306"/>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897"/>
        <w:gridCol w:w="2864"/>
      </w:tblGrid>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0"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45"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信托保障基金</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28,676,500.00</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9,500,000.00</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资管计划</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1,000,000.00</w:t>
            </w: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3"/>
              <w:jc w:val="center"/>
              <w:rPr>
                <w:rFonts w:ascii="宋体" w:hAnsi="宋体" w:cs="宋体" w:eastAsia="宋体" w:hint="default"/>
                <w:sz w:val="24"/>
                <w:szCs w:val="24"/>
              </w:rPr>
            </w:pPr>
            <w:r>
              <w:rPr>
                <w:rFonts w:ascii="宋体" w:hAnsi="宋体" w:cs="宋体" w:eastAsia="宋体" w:hint="default"/>
                <w:sz w:val="24"/>
                <w:szCs w:val="24"/>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29,676,500.00</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9,500,000.00</w:t>
            </w:r>
          </w:p>
        </w:tc>
      </w:tr>
    </w:tbl>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00" w:bottom="280" w:left="1580" w:right="1040"/>
        </w:sectPr>
      </w:pPr>
    </w:p>
    <w:p>
      <w:pPr>
        <w:pStyle w:val="Heading2"/>
        <w:spacing w:line="240" w:lineRule="auto"/>
        <w:ind w:right="-18"/>
        <w:jc w:val="left"/>
        <w:rPr>
          <w:b w:val="0"/>
          <w:bCs w:val="0"/>
        </w:rPr>
      </w:pPr>
      <w:r>
        <w:rPr>
          <w:rFonts w:ascii="宋体" w:hAnsi="宋体" w:cs="宋体" w:eastAsia="宋体" w:hint="default"/>
        </w:rPr>
        <w:t>10</w:t>
      </w:r>
      <w:r>
        <w:rPr/>
        <w:t>、</w:t>
      </w:r>
      <w:r>
        <w:rPr>
          <w:spacing w:val="-104"/>
        </w:rPr>
        <w:t> </w:t>
      </w:r>
      <w:r>
        <w:rPr/>
        <w:t>其他流动资产</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000" w:bottom="280" w:left="1580" w:right="1040"/>
          <w:cols w:num="2" w:equalWidth="0">
            <w:col w:w="2167" w:space="4026"/>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319"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5"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0" w:right="0"/>
              <w:jc w:val="left"/>
              <w:rPr>
                <w:rFonts w:ascii="宋体" w:hAnsi="宋体" w:cs="宋体" w:eastAsia="宋体" w:hint="default"/>
                <w:sz w:val="24"/>
                <w:szCs w:val="24"/>
              </w:rPr>
            </w:pPr>
            <w:r>
              <w:rPr>
                <w:rFonts w:ascii="宋体" w:hAnsi="宋体" w:cs="宋体" w:eastAsia="宋体" w:hint="default"/>
                <w:sz w:val="24"/>
                <w:szCs w:val="24"/>
              </w:rPr>
              <w:t>存出保证金</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2,203,095,256.18</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1,150,000,000.00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1,020,000,000.00</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待摊费用</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30,098,138.12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68,380,797.43</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预缴的房产预售相关税金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865,419,077.27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719,447,915.71</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待抵扣增值税进项税额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56,248,531.24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14,600,245.43</w:t>
            </w:r>
          </w:p>
        </w:tc>
      </w:tr>
      <w:tr>
        <w:trPr>
          <w:trHeight w:val="319"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信托保障基金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4,700,000.00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9,900,000.00</w:t>
            </w:r>
          </w:p>
        </w:tc>
      </w:tr>
      <w:tr>
        <w:trPr>
          <w:trHeight w:val="32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3"/>
              <w:jc w:val="center"/>
              <w:rPr>
                <w:rFonts w:ascii="宋体" w:hAnsi="宋体" w:cs="宋体" w:eastAsia="宋体" w:hint="default"/>
                <w:sz w:val="24"/>
                <w:szCs w:val="24"/>
              </w:rPr>
            </w:pPr>
            <w:r>
              <w:rPr>
                <w:rFonts w:ascii="宋体" w:hAnsi="宋体" w:cs="宋体" w:eastAsia="宋体" w:hint="default"/>
                <w:sz w:val="24"/>
                <w:szCs w:val="24"/>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5"/>
              <w:jc w:val="right"/>
              <w:rPr>
                <w:rFonts w:ascii="宋体" w:hAnsi="宋体" w:cs="宋体" w:eastAsia="宋体" w:hint="default"/>
                <w:sz w:val="24"/>
                <w:szCs w:val="24"/>
              </w:rPr>
            </w:pPr>
            <w:r>
              <w:rPr>
                <w:rFonts w:ascii="宋体"/>
                <w:sz w:val="24"/>
              </w:rPr>
              <w:t>2,106,465,746.63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4,035,424,214.75</w:t>
            </w:r>
          </w:p>
        </w:tc>
      </w:tr>
    </w:tbl>
    <w:p>
      <w:pPr>
        <w:spacing w:line="240" w:lineRule="auto" w:before="8"/>
        <w:rPr>
          <w:rFonts w:ascii="宋体" w:hAnsi="宋体" w:cs="宋体" w:eastAsia="宋体" w:hint="default"/>
          <w:sz w:val="18"/>
          <w:szCs w:val="18"/>
        </w:rPr>
      </w:pPr>
    </w:p>
    <w:p>
      <w:pPr>
        <w:pStyle w:val="BodyText"/>
        <w:spacing w:line="313" w:lineRule="exact" w:before="26"/>
        <w:ind w:left="218" w:right="233"/>
        <w:jc w:val="left"/>
      </w:pPr>
      <w:r>
        <w:rPr/>
        <w:t>其他说明</w:t>
      </w:r>
    </w:p>
    <w:p>
      <w:pPr>
        <w:pStyle w:val="BodyText"/>
        <w:spacing w:line="357" w:lineRule="auto"/>
        <w:ind w:left="218" w:right="232" w:firstLine="479"/>
        <w:jc w:val="both"/>
      </w:pPr>
      <w:r>
        <w:rPr>
          <w:spacing w:val="-2"/>
        </w:rPr>
        <w:t>存出保证金系原子公司新湖期货有限公司（以下简称新湖期货）存放在交易所的</w:t>
      </w:r>
      <w:r>
        <w:rPr/>
        <w:t> </w:t>
      </w:r>
      <w:r>
        <w:rPr>
          <w:spacing w:val="-2"/>
        </w:rPr>
        <w:t>交易保证金、结算准备金和结算担保金。因本期处置新湖期货部分股权而失去对其控</w:t>
      </w:r>
      <w:r>
        <w:rPr>
          <w:spacing w:val="-94"/>
        </w:rPr>
        <w:t> </w:t>
      </w:r>
      <w:r>
        <w:rPr>
          <w:spacing w:val="-94"/>
        </w:rPr>
      </w:r>
      <w:r>
        <w:rPr/>
        <w:t>制，期末不再将其纳入合并报告范围。</w:t>
      </w:r>
    </w:p>
    <w:p>
      <w:pPr>
        <w:spacing w:after="0" w:line="357" w:lineRule="auto"/>
        <w:jc w:val="both"/>
        <w:sectPr>
          <w:type w:val="continuous"/>
          <w:pgSz w:w="11910" w:h="16840"/>
          <w:pgMar w:top="1000" w:bottom="2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72"/>
          <w:footerReference w:type="default" r:id="rId73"/>
          <w:pgSz w:w="16840" w:h="11910" w:orient="landscape"/>
          <w:pgMar w:header="882" w:footer="1195" w:top="1120" w:bottom="1380" w:left="1220" w:right="1300"/>
          <w:pgNumType w:start="132"/>
        </w:sectPr>
      </w:pPr>
    </w:p>
    <w:p>
      <w:pPr>
        <w:pStyle w:val="Heading2"/>
        <w:spacing w:line="240" w:lineRule="auto"/>
        <w:ind w:left="220" w:right="-18"/>
        <w:jc w:val="left"/>
        <w:rPr>
          <w:b w:val="0"/>
          <w:bCs w:val="0"/>
        </w:rPr>
      </w:pPr>
      <w:r>
        <w:rPr>
          <w:rFonts w:ascii="宋体" w:hAnsi="宋体" w:cs="宋体" w:eastAsia="宋体" w:hint="default"/>
        </w:rPr>
        <w:t>11</w:t>
      </w:r>
      <w:r>
        <w:rPr/>
        <w:t>、</w:t>
      </w:r>
      <w:r>
        <w:rPr>
          <w:spacing w:val="-103"/>
        </w:rPr>
        <w:t> </w:t>
      </w:r>
      <w:r>
        <w:rPr/>
        <w:t>可供出售金融资产</w:t>
      </w:r>
      <w:r>
        <w:rPr>
          <w:b w:val="0"/>
          <w:bCs w:val="0"/>
        </w:rPr>
      </w:r>
    </w:p>
    <w:p>
      <w:pPr>
        <w:pStyle w:val="Heading2"/>
        <w:spacing w:line="240" w:lineRule="auto" w:before="58"/>
        <w:ind w:left="220" w:right="-18"/>
        <w:jc w:val="left"/>
        <w:rPr>
          <w:b w:val="0"/>
          <w:bCs w:val="0"/>
        </w:rPr>
      </w:pPr>
      <w:r>
        <w:rPr>
          <w:rFonts w:ascii="宋体" w:hAnsi="宋体" w:cs="宋体" w:eastAsia="宋体" w:hint="default"/>
        </w:rPr>
        <w:t>(1).</w:t>
      </w:r>
      <w:r>
        <w:rPr>
          <w:rFonts w:ascii="宋体" w:hAnsi="宋体" w:cs="宋体" w:eastAsia="宋体" w:hint="default"/>
          <w:spacing w:val="36"/>
        </w:rPr>
        <w:t> </w:t>
      </w:r>
      <w:r>
        <w:rPr/>
        <w:t>可供出售金融资产情况</w:t>
      </w:r>
      <w:r>
        <w:rPr>
          <w:b w:val="0"/>
          <w:bCs w:val="0"/>
        </w:rPr>
      </w:r>
    </w:p>
    <w:p>
      <w:pPr>
        <w:pStyle w:val="BodyText"/>
        <w:spacing w:line="240" w:lineRule="auto" w:before="58"/>
        <w:ind w:left="220"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4"/>
          <w:szCs w:val="34"/>
        </w:rPr>
      </w:pPr>
    </w:p>
    <w:p>
      <w:pPr>
        <w:pStyle w:val="BodyText"/>
        <w:tabs>
          <w:tab w:pos="1419" w:val="left" w:leader="none"/>
        </w:tabs>
        <w:spacing w:line="240" w:lineRule="auto"/>
        <w:ind w:left="220" w:right="0"/>
        <w:jc w:val="left"/>
      </w:pPr>
      <w:r>
        <w:rPr/>
        <w:t>单位：元</w:t>
        <w:tab/>
        <w:t>币种：人民币</w:t>
      </w:r>
    </w:p>
    <w:p>
      <w:pPr>
        <w:spacing w:after="0" w:line="240" w:lineRule="auto"/>
        <w:jc w:val="left"/>
        <w:sectPr>
          <w:type w:val="continuous"/>
          <w:pgSz w:w="16840" w:h="11910" w:orient="landscape"/>
          <w:pgMar w:top="1000" w:bottom="280" w:left="1220" w:right="1300"/>
          <w:cols w:num="2" w:equalWidth="0">
            <w:col w:w="3273" w:space="7961"/>
            <w:col w:w="3086"/>
          </w:cols>
        </w:sectPr>
      </w:pPr>
    </w:p>
    <w:p>
      <w:pPr>
        <w:spacing w:line="240" w:lineRule="auto" w:before="10"/>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415"/>
        <w:gridCol w:w="2261"/>
        <w:gridCol w:w="1889"/>
        <w:gridCol w:w="2288"/>
        <w:gridCol w:w="2151"/>
        <w:gridCol w:w="953"/>
        <w:gridCol w:w="1980"/>
      </w:tblGrid>
      <w:tr>
        <w:trPr>
          <w:trHeight w:val="322" w:hRule="exact"/>
        </w:trPr>
        <w:tc>
          <w:tcPr>
            <w:tcW w:w="241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64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50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634" w:hRule="exact"/>
        </w:trPr>
        <w:tc>
          <w:tcPr>
            <w:tcW w:w="2415" w:type="dxa"/>
            <w:vMerge/>
            <w:tcBorders>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43"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58" w:right="0"/>
              <w:jc w:val="left"/>
              <w:rPr>
                <w:rFonts w:ascii="宋体" w:hAnsi="宋体" w:cs="宋体" w:eastAsia="宋体" w:hint="default"/>
                <w:sz w:val="24"/>
                <w:szCs w:val="24"/>
              </w:rPr>
            </w:pPr>
            <w:r>
              <w:rPr>
                <w:rFonts w:ascii="宋体" w:hAnsi="宋体" w:cs="宋体" w:eastAsia="宋体" w:hint="default"/>
                <w:sz w:val="24"/>
                <w:szCs w:val="24"/>
              </w:rPr>
              <w:t>减值准备</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60" w:right="0"/>
              <w:jc w:val="left"/>
              <w:rPr>
                <w:rFonts w:ascii="宋体" w:hAnsi="宋体" w:cs="宋体" w:eastAsia="宋体" w:hint="default"/>
                <w:sz w:val="24"/>
                <w:szCs w:val="24"/>
              </w:rPr>
            </w:pPr>
            <w:r>
              <w:rPr>
                <w:rFonts w:ascii="宋体" w:hAnsi="宋体" w:cs="宋体" w:eastAsia="宋体" w:hint="default"/>
                <w:sz w:val="24"/>
                <w:szCs w:val="24"/>
              </w:rPr>
              <w:t>账面价值</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90"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减值准</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账面价值</w:t>
            </w:r>
          </w:p>
        </w:tc>
      </w:tr>
      <w:tr>
        <w:trPr>
          <w:trHeight w:val="319"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可供出售债务工具：</w:t>
            </w:r>
          </w:p>
        </w:tc>
        <w:tc>
          <w:tcPr>
            <w:tcW w:w="226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可供出售权益工具：</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6"/>
              <w:jc w:val="right"/>
              <w:rPr>
                <w:rFonts w:ascii="宋体" w:hAnsi="宋体" w:cs="宋体" w:eastAsia="宋体" w:hint="default"/>
                <w:sz w:val="24"/>
                <w:szCs w:val="24"/>
              </w:rPr>
            </w:pPr>
            <w:r>
              <w:rPr>
                <w:rFonts w:ascii="宋体"/>
                <w:sz w:val="24"/>
              </w:rPr>
              <w:t>10,972,500,205.99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6"/>
              <w:jc w:val="right"/>
              <w:rPr>
                <w:rFonts w:ascii="宋体" w:hAnsi="宋体" w:cs="宋体" w:eastAsia="宋体" w:hint="default"/>
                <w:sz w:val="24"/>
                <w:szCs w:val="24"/>
              </w:rPr>
            </w:pPr>
            <w:r>
              <w:rPr>
                <w:rFonts w:ascii="宋体"/>
                <w:sz w:val="24"/>
              </w:rPr>
              <w:t>427,693,285.48</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10,544,806,920.51</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6"/>
              <w:jc w:val="right"/>
              <w:rPr>
                <w:rFonts w:ascii="宋体" w:hAnsi="宋体" w:cs="宋体" w:eastAsia="宋体" w:hint="default"/>
                <w:sz w:val="24"/>
                <w:szCs w:val="24"/>
              </w:rPr>
            </w:pPr>
            <w:r>
              <w:rPr>
                <w:rFonts w:ascii="宋体"/>
                <w:sz w:val="24"/>
              </w:rPr>
              <w:t>5,294,886,060.92</w:t>
            </w:r>
          </w:p>
        </w:tc>
        <w:tc>
          <w:tcPr>
            <w:tcW w:w="953"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5,294,886,060.92</w:t>
            </w:r>
          </w:p>
        </w:tc>
      </w:tr>
      <w:tr>
        <w:trPr>
          <w:trHeight w:val="322"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6" w:right="0"/>
              <w:jc w:val="left"/>
              <w:rPr>
                <w:rFonts w:ascii="宋体" w:hAnsi="宋体" w:cs="宋体" w:eastAsia="宋体" w:hint="default"/>
                <w:sz w:val="24"/>
                <w:szCs w:val="24"/>
              </w:rPr>
            </w:pPr>
            <w:r>
              <w:rPr>
                <w:rFonts w:ascii="宋体" w:hAnsi="宋体" w:cs="宋体" w:eastAsia="宋体" w:hint="default"/>
                <w:sz w:val="24"/>
                <w:szCs w:val="24"/>
              </w:rPr>
              <w:t>按公允价值计量的</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1,925,757,793.99</w:t>
            </w:r>
          </w:p>
        </w:tc>
        <w:tc>
          <w:tcPr>
            <w:tcW w:w="1889"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1,925,757,793.99</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1,912,551,608.92</w:t>
            </w:r>
          </w:p>
        </w:tc>
        <w:tc>
          <w:tcPr>
            <w:tcW w:w="953"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1,912,551,608.92</w:t>
            </w:r>
          </w:p>
        </w:tc>
      </w:tr>
      <w:tr>
        <w:trPr>
          <w:trHeight w:val="322"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6" w:right="0"/>
              <w:jc w:val="left"/>
              <w:rPr>
                <w:rFonts w:ascii="宋体" w:hAnsi="宋体" w:cs="宋体" w:eastAsia="宋体" w:hint="default"/>
                <w:sz w:val="24"/>
                <w:szCs w:val="24"/>
              </w:rPr>
            </w:pPr>
            <w:r>
              <w:rPr>
                <w:rFonts w:ascii="宋体" w:hAnsi="宋体" w:cs="宋体" w:eastAsia="宋体" w:hint="default"/>
                <w:sz w:val="24"/>
                <w:szCs w:val="24"/>
              </w:rPr>
              <w:t>按成本计量的</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9,046,742,412.00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427,693,285.48</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8,619,049,126.52</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3,382,334,452.00</w:t>
            </w:r>
          </w:p>
        </w:tc>
        <w:tc>
          <w:tcPr>
            <w:tcW w:w="953"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3,382,334,452.00</w:t>
            </w:r>
          </w:p>
        </w:tc>
      </w:tr>
      <w:tr>
        <w:trPr>
          <w:trHeight w:val="322"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10,972,500,205.99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427,693,285.48</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10,544,806,920.51</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5,294,886,060.92</w:t>
            </w:r>
          </w:p>
        </w:tc>
        <w:tc>
          <w:tcPr>
            <w:tcW w:w="953"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5,294,886,060.92</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6840" w:h="11910" w:orient="landscape"/>
          <w:pgMar w:top="1000" w:bottom="280" w:left="1220" w:right="1300"/>
        </w:sectPr>
      </w:pPr>
    </w:p>
    <w:p>
      <w:pPr>
        <w:pStyle w:val="Heading2"/>
        <w:spacing w:line="240" w:lineRule="auto"/>
        <w:ind w:left="220" w:right="-18"/>
        <w:jc w:val="left"/>
        <w:rPr>
          <w:b w:val="0"/>
          <w:bCs w:val="0"/>
        </w:rPr>
      </w:pPr>
      <w:r>
        <w:rPr>
          <w:rFonts w:ascii="宋体" w:hAnsi="宋体" w:cs="宋体" w:eastAsia="宋体" w:hint="default"/>
        </w:rPr>
        <w:t>(2).</w:t>
      </w:r>
      <w:r>
        <w:rPr>
          <w:rFonts w:ascii="宋体" w:hAnsi="宋体" w:cs="宋体" w:eastAsia="宋体" w:hint="default"/>
          <w:spacing w:val="35"/>
        </w:rPr>
        <w:t> </w:t>
      </w:r>
      <w:r>
        <w:rPr/>
        <w:t>期末按公允价值计量的可供出售金融资产</w:t>
      </w:r>
      <w:r>
        <w:rPr>
          <w:b w:val="0"/>
          <w:bCs w:val="0"/>
        </w:rPr>
      </w:r>
    </w:p>
    <w:p>
      <w:pPr>
        <w:pStyle w:val="BodyText"/>
        <w:spacing w:line="240" w:lineRule="auto" w:before="55"/>
        <w:ind w:left="220"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9" w:val="left" w:leader="none"/>
        </w:tabs>
        <w:spacing w:line="240" w:lineRule="auto"/>
        <w:ind w:left="220" w:right="0"/>
        <w:jc w:val="left"/>
      </w:pPr>
      <w:r>
        <w:rPr/>
        <w:t>单位：元</w:t>
        <w:tab/>
        <w:t>币种：人民币</w:t>
      </w:r>
    </w:p>
    <w:p>
      <w:pPr>
        <w:spacing w:after="0" w:line="240" w:lineRule="auto"/>
        <w:jc w:val="left"/>
        <w:sectPr>
          <w:type w:val="continuous"/>
          <w:pgSz w:w="16840" w:h="11910" w:orient="landscape"/>
          <w:pgMar w:top="1000" w:bottom="280" w:left="1220" w:right="1300"/>
          <w:cols w:num="2" w:equalWidth="0">
            <w:col w:w="5199" w:space="6035"/>
            <w:col w:w="3086"/>
          </w:cols>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557"/>
        <w:gridCol w:w="2904"/>
        <w:gridCol w:w="2828"/>
        <w:gridCol w:w="2801"/>
      </w:tblGrid>
      <w:tr>
        <w:trPr>
          <w:trHeight w:val="322" w:hRule="exact"/>
        </w:trPr>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72" w:right="0"/>
              <w:jc w:val="left"/>
              <w:rPr>
                <w:rFonts w:ascii="宋体" w:hAnsi="宋体" w:cs="宋体" w:eastAsia="宋体" w:hint="default"/>
                <w:sz w:val="24"/>
                <w:szCs w:val="24"/>
              </w:rPr>
            </w:pPr>
            <w:r>
              <w:rPr>
                <w:rFonts w:ascii="宋体" w:hAnsi="宋体" w:cs="宋体" w:eastAsia="宋体" w:hint="default"/>
                <w:sz w:val="24"/>
                <w:szCs w:val="24"/>
              </w:rPr>
              <w:t>可供出售金融资产分类</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4" w:right="0"/>
              <w:jc w:val="left"/>
              <w:rPr>
                <w:rFonts w:ascii="宋体" w:hAnsi="宋体" w:cs="宋体" w:eastAsia="宋体" w:hint="default"/>
                <w:sz w:val="24"/>
                <w:szCs w:val="24"/>
              </w:rPr>
            </w:pPr>
            <w:r>
              <w:rPr>
                <w:rFonts w:ascii="宋体" w:hAnsi="宋体" w:cs="宋体" w:eastAsia="宋体" w:hint="default"/>
                <w:sz w:val="24"/>
                <w:szCs w:val="24"/>
              </w:rPr>
              <w:t>可供出售权益工具</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8" w:right="0"/>
              <w:jc w:val="left"/>
              <w:rPr>
                <w:rFonts w:ascii="宋体" w:hAnsi="宋体" w:cs="宋体" w:eastAsia="宋体" w:hint="default"/>
                <w:sz w:val="24"/>
                <w:szCs w:val="24"/>
              </w:rPr>
            </w:pPr>
            <w:r>
              <w:rPr>
                <w:rFonts w:ascii="宋体" w:hAnsi="宋体" w:cs="宋体" w:eastAsia="宋体" w:hint="default"/>
                <w:sz w:val="24"/>
                <w:szCs w:val="24"/>
              </w:rPr>
              <w:t>可供出售债务工具</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r>
      <w:tr>
        <w:trPr>
          <w:trHeight w:val="319" w:hRule="exact"/>
        </w:trPr>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权益工具的成本</w:t>
            </w:r>
            <w:r>
              <w:rPr>
                <w:rFonts w:ascii="宋体" w:hAnsi="宋体" w:cs="宋体" w:eastAsia="宋体" w:hint="default"/>
                <w:sz w:val="24"/>
                <w:szCs w:val="24"/>
              </w:rPr>
              <w:t>/</w:t>
            </w:r>
            <w:r>
              <w:rPr>
                <w:rFonts w:ascii="宋体" w:hAnsi="宋体" w:cs="宋体" w:eastAsia="宋体" w:hint="default"/>
                <w:sz w:val="24"/>
                <w:szCs w:val="24"/>
              </w:rPr>
              <w:t>债务工具的摊余成本</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1,962,018,337.19</w:t>
            </w:r>
          </w:p>
        </w:tc>
        <w:tc>
          <w:tcPr>
            <w:tcW w:w="2828" w:type="dxa"/>
            <w:tcBorders>
              <w:top w:val="single" w:sz="4" w:space="0" w:color="000000"/>
              <w:left w:val="single" w:sz="4" w:space="0" w:color="000000"/>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1,962,018,337.19</w:t>
            </w:r>
          </w:p>
        </w:tc>
      </w:tr>
      <w:tr>
        <w:trPr>
          <w:trHeight w:val="322" w:hRule="exact"/>
        </w:trPr>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公允价值</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5"/>
              <w:jc w:val="right"/>
              <w:rPr>
                <w:rFonts w:ascii="宋体" w:hAnsi="宋体" w:cs="宋体" w:eastAsia="宋体" w:hint="default"/>
                <w:sz w:val="24"/>
                <w:szCs w:val="24"/>
              </w:rPr>
            </w:pPr>
            <w:r>
              <w:rPr>
                <w:rFonts w:ascii="宋体"/>
                <w:sz w:val="24"/>
              </w:rPr>
              <w:t>1,925,757,793.99</w:t>
            </w:r>
          </w:p>
        </w:tc>
        <w:tc>
          <w:tcPr>
            <w:tcW w:w="2828" w:type="dxa"/>
            <w:tcBorders>
              <w:top w:val="single" w:sz="4" w:space="0" w:color="000000"/>
              <w:left w:val="single" w:sz="4" w:space="0" w:color="000000"/>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1,925,757,793.99</w:t>
            </w:r>
          </w:p>
        </w:tc>
      </w:tr>
      <w:tr>
        <w:trPr>
          <w:trHeight w:val="322" w:hRule="exact"/>
        </w:trPr>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累计计入其他综合收益的公允价值变动金额</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5"/>
              <w:jc w:val="right"/>
              <w:rPr>
                <w:rFonts w:ascii="宋体" w:hAnsi="宋体" w:cs="宋体" w:eastAsia="宋体" w:hint="default"/>
                <w:sz w:val="24"/>
                <w:szCs w:val="24"/>
              </w:rPr>
            </w:pPr>
            <w:r>
              <w:rPr>
                <w:rFonts w:ascii="宋体"/>
                <w:sz w:val="24"/>
              </w:rPr>
              <w:t>-36,695,950.66</w:t>
            </w:r>
          </w:p>
        </w:tc>
        <w:tc>
          <w:tcPr>
            <w:tcW w:w="2828" w:type="dxa"/>
            <w:tcBorders>
              <w:top w:val="single" w:sz="4" w:space="0" w:color="000000"/>
              <w:left w:val="single" w:sz="4" w:space="0" w:color="000000"/>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-36,695,950.66</w:t>
            </w:r>
          </w:p>
        </w:tc>
      </w:tr>
      <w:tr>
        <w:trPr>
          <w:trHeight w:val="322" w:hRule="exact"/>
        </w:trPr>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累计计入其他综合收益的外币折算差额</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435,407.46</w:t>
            </w:r>
          </w:p>
        </w:tc>
        <w:tc>
          <w:tcPr>
            <w:tcW w:w="2828" w:type="dxa"/>
            <w:tcBorders>
              <w:top w:val="single" w:sz="4" w:space="0" w:color="000000"/>
              <w:left w:val="single" w:sz="4" w:space="0" w:color="000000"/>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435,407.46</w:t>
            </w:r>
          </w:p>
        </w:tc>
      </w:tr>
      <w:tr>
        <w:trPr>
          <w:trHeight w:val="322" w:hRule="exact"/>
        </w:trPr>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已计提减值金额</w:t>
            </w:r>
          </w:p>
        </w:tc>
        <w:tc>
          <w:tcPr>
            <w:tcW w:w="2904" w:type="dxa"/>
            <w:tcBorders>
              <w:top w:val="single" w:sz="4" w:space="0" w:color="000000"/>
              <w:left w:val="single" w:sz="4" w:space="0" w:color="000000"/>
              <w:bottom w:val="single" w:sz="4" w:space="0" w:color="000000"/>
              <w:right w:val="single" w:sz="4" w:space="0" w:color="000000"/>
            </w:tcBorders>
          </w:tcPr>
          <w:p>
            <w:pPr/>
          </w:p>
        </w:tc>
        <w:tc>
          <w:tcPr>
            <w:tcW w:w="2828" w:type="dxa"/>
            <w:tcBorders>
              <w:top w:val="single" w:sz="4" w:space="0" w:color="000000"/>
              <w:left w:val="single" w:sz="4" w:space="0" w:color="000000"/>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8"/>
          <w:szCs w:val="18"/>
        </w:rPr>
      </w:pPr>
    </w:p>
    <w:p>
      <w:pPr>
        <w:spacing w:before="36"/>
        <w:ind w:left="220" w:right="0" w:firstLine="0"/>
        <w:jc w:val="left"/>
        <w:rPr>
          <w:rFonts w:ascii="宋体" w:hAnsi="宋体" w:cs="宋体" w:eastAsia="宋体" w:hint="default"/>
          <w:sz w:val="21"/>
          <w:szCs w:val="21"/>
        </w:rPr>
      </w:pPr>
      <w:r>
        <w:rPr>
          <w:rFonts w:ascii="宋体" w:hAnsi="宋体" w:cs="宋体" w:eastAsia="宋体" w:hint="default"/>
          <w:w w:val="100"/>
          <w:sz w:val="21"/>
          <w:szCs w:val="21"/>
        </w:rPr>
        <w:t>注</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,925</w:t>
      </w:r>
      <w:r>
        <w:rPr>
          <w:rFonts w:ascii="宋体" w:hAnsi="宋体" w:cs="宋体" w:eastAsia="宋体" w:hint="default"/>
          <w:spacing w:val="-3"/>
          <w:w w:val="100"/>
          <w:sz w:val="21"/>
          <w:szCs w:val="21"/>
        </w:rPr>
        <w:t>,</w:t>
      </w:r>
      <w:r>
        <w:rPr>
          <w:rFonts w:ascii="宋体" w:hAnsi="宋体" w:cs="宋体" w:eastAsia="宋体" w:hint="default"/>
          <w:w w:val="100"/>
          <w:sz w:val="21"/>
          <w:szCs w:val="21"/>
        </w:rPr>
        <w:t>757</w:t>
      </w:r>
      <w:r>
        <w:rPr>
          <w:rFonts w:ascii="宋体" w:hAnsi="宋体" w:cs="宋体" w:eastAsia="宋体" w:hint="default"/>
          <w:spacing w:val="-3"/>
          <w:w w:val="100"/>
          <w:sz w:val="21"/>
          <w:szCs w:val="21"/>
        </w:rPr>
        <w:t>,7</w:t>
      </w:r>
      <w:r>
        <w:rPr>
          <w:rFonts w:ascii="宋体" w:hAnsi="宋体" w:cs="宋体" w:eastAsia="宋体" w:hint="default"/>
          <w:w w:val="100"/>
          <w:sz w:val="21"/>
          <w:szCs w:val="21"/>
        </w:rPr>
        <w:t>93.99</w:t>
      </w:r>
      <w:r>
        <w:rPr>
          <w:rFonts w:ascii="宋体" w:hAnsi="宋体" w:cs="宋体" w:eastAsia="宋体" w:hint="default"/>
          <w:spacing w:val="-55"/>
          <w:sz w:val="21"/>
          <w:szCs w:val="21"/>
        </w:rPr>
        <w:t> </w:t>
      </w:r>
      <w:r>
        <w:rPr>
          <w:rFonts w:ascii="宋体" w:hAnsi="宋体" w:cs="宋体" w:eastAsia="宋体" w:hint="default"/>
          <w:w w:val="100"/>
          <w:sz w:val="21"/>
          <w:szCs w:val="21"/>
        </w:rPr>
        <w:t>元</w:t>
      </w:r>
      <w:r>
        <w:rPr>
          <w:rFonts w:ascii="宋体" w:hAnsi="宋体" w:cs="宋体" w:eastAsia="宋体" w:hint="default"/>
          <w:spacing w:val="-92"/>
          <w:w w:val="100"/>
          <w:sz w:val="21"/>
          <w:szCs w:val="21"/>
        </w:rPr>
        <w:t>，</w:t>
      </w:r>
      <w:r>
        <w:rPr>
          <w:rFonts w:ascii="宋体" w:hAnsi="宋体" w:cs="宋体" w:eastAsia="宋体" w:hint="default"/>
          <w:w w:val="100"/>
          <w:sz w:val="21"/>
          <w:szCs w:val="21"/>
        </w:rPr>
        <w:t>其</w:t>
      </w:r>
      <w:r>
        <w:rPr>
          <w:rFonts w:ascii="宋体" w:hAnsi="宋体" w:cs="宋体" w:eastAsia="宋体" w:hint="default"/>
          <w:spacing w:val="-3"/>
          <w:w w:val="100"/>
          <w:sz w:val="21"/>
          <w:szCs w:val="21"/>
        </w:rPr>
        <w:t>中</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①</w:t>
      </w:r>
      <w:r>
        <w:rPr>
          <w:rFonts w:ascii="宋体" w:hAnsi="宋体" w:cs="宋体" w:eastAsia="宋体" w:hint="default"/>
          <w:w w:val="100"/>
          <w:sz w:val="21"/>
          <w:szCs w:val="21"/>
        </w:rPr>
        <w:t>公</w:t>
      </w:r>
      <w:r>
        <w:rPr>
          <w:rFonts w:ascii="宋体" w:hAnsi="宋体" w:cs="宋体" w:eastAsia="宋体" w:hint="default"/>
          <w:spacing w:val="-3"/>
          <w:w w:val="100"/>
          <w:sz w:val="21"/>
          <w:szCs w:val="21"/>
        </w:rPr>
        <w:t>司委</w:t>
      </w:r>
      <w:r>
        <w:rPr>
          <w:rFonts w:ascii="宋体" w:hAnsi="宋体" w:cs="宋体" w:eastAsia="宋体" w:hint="default"/>
          <w:w w:val="100"/>
          <w:sz w:val="21"/>
          <w:szCs w:val="21"/>
        </w:rPr>
        <w:t>托国</w:t>
      </w:r>
      <w:r>
        <w:rPr>
          <w:rFonts w:ascii="宋体" w:hAnsi="宋体" w:cs="宋体" w:eastAsia="宋体" w:hint="default"/>
          <w:spacing w:val="-3"/>
          <w:w w:val="100"/>
          <w:sz w:val="21"/>
          <w:szCs w:val="21"/>
        </w:rPr>
        <w:t>投</w:t>
      </w:r>
      <w:r>
        <w:rPr>
          <w:rFonts w:ascii="宋体" w:hAnsi="宋体" w:cs="宋体" w:eastAsia="宋体" w:hint="default"/>
          <w:w w:val="100"/>
          <w:sz w:val="21"/>
          <w:szCs w:val="21"/>
        </w:rPr>
        <w:t>瑞</w:t>
      </w:r>
      <w:r>
        <w:rPr>
          <w:rFonts w:ascii="宋体" w:hAnsi="宋体" w:cs="宋体" w:eastAsia="宋体" w:hint="default"/>
          <w:spacing w:val="-3"/>
          <w:w w:val="100"/>
          <w:sz w:val="21"/>
          <w:szCs w:val="21"/>
        </w:rPr>
        <w:t>银</w:t>
      </w:r>
      <w:r>
        <w:rPr>
          <w:rFonts w:ascii="宋体" w:hAnsi="宋体" w:cs="宋体" w:eastAsia="宋体" w:hint="default"/>
          <w:w w:val="100"/>
          <w:sz w:val="21"/>
          <w:szCs w:val="21"/>
        </w:rPr>
        <w:t>基</w:t>
      </w:r>
      <w:r>
        <w:rPr>
          <w:rFonts w:ascii="宋体" w:hAnsi="宋体" w:cs="宋体" w:eastAsia="宋体" w:hint="default"/>
          <w:spacing w:val="-3"/>
          <w:w w:val="100"/>
          <w:sz w:val="21"/>
          <w:szCs w:val="21"/>
        </w:rPr>
        <w:t>金</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公司</w:t>
      </w:r>
      <w:r>
        <w:rPr>
          <w:rFonts w:ascii="宋体" w:hAnsi="宋体" w:cs="宋体" w:eastAsia="宋体" w:hint="default"/>
          <w:spacing w:val="-3"/>
          <w:w w:val="100"/>
          <w:sz w:val="21"/>
          <w:szCs w:val="21"/>
        </w:rPr>
        <w:t>进</w:t>
      </w:r>
      <w:r>
        <w:rPr>
          <w:rFonts w:ascii="宋体" w:hAnsi="宋体" w:cs="宋体" w:eastAsia="宋体" w:hint="default"/>
          <w:w w:val="100"/>
          <w:sz w:val="21"/>
          <w:szCs w:val="21"/>
        </w:rPr>
        <w:t>行</w:t>
      </w:r>
      <w:r>
        <w:rPr>
          <w:rFonts w:ascii="宋体" w:hAnsi="宋体" w:cs="宋体" w:eastAsia="宋体" w:hint="default"/>
          <w:spacing w:val="-3"/>
          <w:w w:val="100"/>
          <w:sz w:val="21"/>
          <w:szCs w:val="21"/>
        </w:rPr>
        <w:t>境</w:t>
      </w:r>
      <w:r>
        <w:rPr>
          <w:rFonts w:ascii="宋体" w:hAnsi="宋体" w:cs="宋体" w:eastAsia="宋体" w:hint="default"/>
          <w:w w:val="100"/>
          <w:sz w:val="21"/>
          <w:szCs w:val="21"/>
        </w:rPr>
        <w:t>外</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管</w:t>
      </w:r>
      <w:r>
        <w:rPr>
          <w:rFonts w:ascii="宋体" w:hAnsi="宋体" w:cs="宋体" w:eastAsia="宋体" w:hint="default"/>
          <w:w w:val="100"/>
          <w:sz w:val="21"/>
          <w:szCs w:val="21"/>
        </w:rPr>
        <w:t>理计</w:t>
      </w:r>
      <w:r>
        <w:rPr>
          <w:rFonts w:ascii="宋体" w:hAnsi="宋体" w:cs="宋体" w:eastAsia="宋体" w:hint="default"/>
          <w:spacing w:val="-3"/>
          <w:w w:val="100"/>
          <w:sz w:val="21"/>
          <w:szCs w:val="21"/>
        </w:rPr>
        <w:t>划</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该</w:t>
      </w:r>
      <w:r>
        <w:rPr>
          <w:rFonts w:ascii="宋体" w:hAnsi="宋体" w:cs="宋体" w:eastAsia="宋体" w:hint="default"/>
          <w:w w:val="100"/>
          <w:sz w:val="21"/>
          <w:szCs w:val="21"/>
        </w:rPr>
        <w:t>项</w:t>
      </w:r>
      <w:r>
        <w:rPr>
          <w:rFonts w:ascii="宋体" w:hAnsi="宋体" w:cs="宋体" w:eastAsia="宋体" w:hint="default"/>
          <w:spacing w:val="-3"/>
          <w:w w:val="100"/>
          <w:sz w:val="21"/>
          <w:szCs w:val="21"/>
        </w:rPr>
        <w:t>委</w:t>
      </w:r>
      <w:r>
        <w:rPr>
          <w:rFonts w:ascii="宋体" w:hAnsi="宋体" w:cs="宋体" w:eastAsia="宋体" w:hint="default"/>
          <w:w w:val="100"/>
          <w:sz w:val="21"/>
          <w:szCs w:val="21"/>
        </w:rPr>
        <w:t>托</w:t>
      </w:r>
      <w:r>
        <w:rPr>
          <w:rFonts w:ascii="宋体" w:hAnsi="宋体" w:cs="宋体" w:eastAsia="宋体" w:hint="default"/>
          <w:spacing w:val="-3"/>
          <w:w w:val="100"/>
          <w:sz w:val="21"/>
          <w:szCs w:val="21"/>
        </w:rPr>
        <w:t>财</w:t>
      </w:r>
      <w:r>
        <w:rPr>
          <w:rFonts w:ascii="宋体" w:hAnsi="宋体" w:cs="宋体" w:eastAsia="宋体" w:hint="default"/>
          <w:w w:val="100"/>
          <w:sz w:val="21"/>
          <w:szCs w:val="21"/>
        </w:rPr>
        <w:t>产</w:t>
      </w:r>
      <w:r>
        <w:rPr>
          <w:rFonts w:ascii="宋体" w:hAnsi="宋体" w:cs="宋体" w:eastAsia="宋体" w:hint="default"/>
          <w:spacing w:val="-3"/>
          <w:w w:val="100"/>
          <w:sz w:val="21"/>
          <w:szCs w:val="21"/>
        </w:rPr>
        <w:t>期末</w:t>
      </w:r>
      <w:r>
        <w:rPr>
          <w:rFonts w:ascii="宋体" w:hAnsi="宋体" w:cs="宋体" w:eastAsia="宋体" w:hint="default"/>
          <w:w w:val="100"/>
          <w:sz w:val="21"/>
          <w:szCs w:val="21"/>
        </w:rPr>
        <w:t>净</w:t>
      </w:r>
      <w:r>
        <w:rPr>
          <w:rFonts w:ascii="宋体" w:hAnsi="宋体" w:cs="宋体" w:eastAsia="宋体" w:hint="default"/>
          <w:spacing w:val="-3"/>
          <w:w w:val="100"/>
          <w:sz w:val="21"/>
          <w:szCs w:val="21"/>
        </w:rPr>
        <w:t>值</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宋体" w:hAnsi="宋体" w:cs="宋体" w:eastAsia="宋体" w:hint="default"/>
          <w:w w:val="100"/>
          <w:sz w:val="21"/>
          <w:szCs w:val="21"/>
        </w:rPr>
        <w:t>61</w:t>
      </w:r>
      <w:r>
        <w:rPr>
          <w:rFonts w:ascii="宋体" w:hAnsi="宋体" w:cs="宋体" w:eastAsia="宋体" w:hint="default"/>
          <w:spacing w:val="-3"/>
          <w:w w:val="100"/>
          <w:sz w:val="21"/>
          <w:szCs w:val="21"/>
        </w:rPr>
        <w:t>4</w:t>
      </w:r>
      <w:r>
        <w:rPr>
          <w:rFonts w:ascii="宋体" w:hAnsi="宋体" w:cs="宋体" w:eastAsia="宋体" w:hint="default"/>
          <w:w w:val="100"/>
          <w:sz w:val="21"/>
          <w:szCs w:val="21"/>
        </w:rPr>
        <w:t>,93</w:t>
      </w:r>
      <w:r>
        <w:rPr>
          <w:rFonts w:ascii="宋体" w:hAnsi="宋体" w:cs="宋体" w:eastAsia="宋体" w:hint="default"/>
          <w:spacing w:val="-3"/>
          <w:w w:val="100"/>
          <w:sz w:val="21"/>
          <w:szCs w:val="21"/>
        </w:rPr>
        <w:t>0</w:t>
      </w:r>
      <w:r>
        <w:rPr>
          <w:rFonts w:ascii="宋体" w:hAnsi="宋体" w:cs="宋体" w:eastAsia="宋体" w:hint="default"/>
          <w:w w:val="100"/>
          <w:sz w:val="21"/>
          <w:szCs w:val="21"/>
        </w:rPr>
        <w:t>,25</w:t>
      </w:r>
      <w:r>
        <w:rPr>
          <w:rFonts w:ascii="宋体" w:hAnsi="宋体" w:cs="宋体" w:eastAsia="宋体" w:hint="default"/>
          <w:spacing w:val="-3"/>
          <w:w w:val="100"/>
          <w:sz w:val="21"/>
          <w:szCs w:val="21"/>
        </w:rPr>
        <w:t>2</w:t>
      </w:r>
      <w:r>
        <w:rPr>
          <w:rFonts w:ascii="宋体" w:hAnsi="宋体" w:cs="宋体" w:eastAsia="宋体" w:hint="default"/>
          <w:w w:val="100"/>
          <w:sz w:val="21"/>
          <w:szCs w:val="21"/>
        </w:rPr>
        <w:t>.83</w:t>
      </w:r>
    </w:p>
    <w:p>
      <w:pPr>
        <w:spacing w:before="133"/>
        <w:ind w:left="220" w:right="0" w:firstLine="0"/>
        <w:jc w:val="left"/>
        <w:rPr>
          <w:rFonts w:ascii="宋体" w:hAnsi="宋体" w:cs="宋体" w:eastAsia="宋体" w:hint="default"/>
          <w:sz w:val="21"/>
          <w:szCs w:val="21"/>
        </w:rPr>
      </w:pPr>
      <w:r>
        <w:rPr>
          <w:rFonts w:ascii="宋体" w:hAnsi="宋体" w:cs="宋体" w:eastAsia="宋体" w:hint="default"/>
          <w:spacing w:val="-3"/>
          <w:sz w:val="21"/>
          <w:szCs w:val="21"/>
        </w:rPr>
        <w:t>元；②公司委托国投瑞银基金管理有限公司进行境外资产配置</w:t>
      </w:r>
      <w:r>
        <w:rPr>
          <w:rFonts w:ascii="宋体" w:hAnsi="宋体" w:cs="宋体" w:eastAsia="宋体" w:hint="default"/>
          <w:spacing w:val="-25"/>
          <w:sz w:val="21"/>
          <w:szCs w:val="21"/>
        </w:rPr>
        <w:t> </w:t>
      </w:r>
      <w:r>
        <w:rPr>
          <w:rFonts w:ascii="宋体" w:hAnsi="宋体" w:cs="宋体" w:eastAsia="宋体" w:hint="default"/>
          <w:sz w:val="21"/>
          <w:szCs w:val="21"/>
        </w:rPr>
        <w:t>1</w:t>
      </w:r>
      <w:r>
        <w:rPr>
          <w:rFonts w:ascii="宋体" w:hAnsi="宋体" w:cs="宋体" w:eastAsia="宋体" w:hint="default"/>
          <w:spacing w:val="-25"/>
          <w:sz w:val="21"/>
          <w:szCs w:val="21"/>
        </w:rPr>
        <w:t> </w:t>
      </w:r>
      <w:r>
        <w:rPr>
          <w:rFonts w:ascii="宋体" w:hAnsi="宋体" w:cs="宋体" w:eastAsia="宋体" w:hint="default"/>
          <w:spacing w:val="-4"/>
          <w:sz w:val="21"/>
          <w:szCs w:val="21"/>
        </w:rPr>
        <w:t>号资产管理计划，该项委托财产期末净值为</w:t>
      </w:r>
      <w:r>
        <w:rPr>
          <w:rFonts w:ascii="宋体" w:hAnsi="宋体" w:cs="宋体" w:eastAsia="宋体" w:hint="default"/>
          <w:spacing w:val="-25"/>
          <w:sz w:val="21"/>
          <w:szCs w:val="21"/>
        </w:rPr>
        <w:t> </w:t>
      </w:r>
      <w:r>
        <w:rPr>
          <w:rFonts w:ascii="宋体" w:hAnsi="宋体" w:cs="宋体" w:eastAsia="宋体" w:hint="default"/>
          <w:sz w:val="21"/>
          <w:szCs w:val="21"/>
        </w:rPr>
        <w:t>234,762,240.27</w:t>
      </w:r>
      <w:r>
        <w:rPr>
          <w:rFonts w:ascii="宋体" w:hAnsi="宋体" w:cs="宋体" w:eastAsia="宋体" w:hint="default"/>
          <w:spacing w:val="-29"/>
          <w:sz w:val="21"/>
          <w:szCs w:val="21"/>
        </w:rPr>
        <w:t> </w:t>
      </w:r>
      <w:r>
        <w:rPr>
          <w:rFonts w:ascii="宋体" w:hAnsi="宋体" w:cs="宋体" w:eastAsia="宋体" w:hint="default"/>
          <w:spacing w:val="-5"/>
          <w:sz w:val="21"/>
          <w:szCs w:val="21"/>
        </w:rPr>
        <w:t>元；③公司持有星美文化旅</w:t>
      </w:r>
    </w:p>
    <w:p>
      <w:pPr>
        <w:spacing w:after="0"/>
        <w:jc w:val="left"/>
        <w:rPr>
          <w:rFonts w:ascii="宋体" w:hAnsi="宋体" w:cs="宋体" w:eastAsia="宋体" w:hint="default"/>
          <w:sz w:val="21"/>
          <w:szCs w:val="21"/>
        </w:rPr>
        <w:sectPr>
          <w:type w:val="continuous"/>
          <w:pgSz w:w="16840" w:h="11910" w:orient="landscape"/>
          <w:pgMar w:top="1000" w:bottom="2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before="36"/>
        <w:ind w:left="1180" w:right="0" w:firstLine="0"/>
        <w:jc w:val="left"/>
        <w:rPr>
          <w:rFonts w:ascii="宋体" w:hAnsi="宋体" w:cs="宋体" w:eastAsia="宋体" w:hint="default"/>
          <w:sz w:val="21"/>
          <w:szCs w:val="21"/>
        </w:rPr>
      </w:pPr>
      <w:r>
        <w:rPr>
          <w:rFonts w:ascii="宋体" w:hAnsi="宋体" w:cs="宋体" w:eastAsia="宋体" w:hint="default"/>
          <w:sz w:val="21"/>
          <w:szCs w:val="21"/>
        </w:rPr>
        <w:t>游集团控股有限公司</w:t>
      </w:r>
      <w:r>
        <w:rPr>
          <w:rFonts w:ascii="宋体" w:hAnsi="宋体" w:cs="宋体" w:eastAsia="宋体" w:hint="default"/>
          <w:spacing w:val="-53"/>
          <w:sz w:val="21"/>
          <w:szCs w:val="21"/>
        </w:rPr>
        <w:t> </w:t>
      </w:r>
      <w:r>
        <w:rPr>
          <w:rFonts w:ascii="宋体" w:hAnsi="宋体" w:cs="宋体" w:eastAsia="宋体" w:hint="default"/>
          <w:sz w:val="21"/>
          <w:szCs w:val="21"/>
        </w:rPr>
        <w:t>39,945,228</w:t>
      </w:r>
      <w:r>
        <w:rPr>
          <w:rFonts w:ascii="宋体" w:hAnsi="宋体" w:cs="宋体" w:eastAsia="宋体" w:hint="default"/>
          <w:spacing w:val="-53"/>
          <w:sz w:val="21"/>
          <w:szCs w:val="21"/>
        </w:rPr>
        <w:t> </w:t>
      </w:r>
      <w:r>
        <w:rPr>
          <w:rFonts w:ascii="宋体" w:hAnsi="宋体" w:cs="宋体" w:eastAsia="宋体" w:hint="default"/>
          <w:spacing w:val="-13"/>
          <w:sz w:val="21"/>
          <w:szCs w:val="21"/>
        </w:rPr>
        <w:t>股，按照</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月最后一个交易日的收盘价</w:t>
      </w:r>
      <w:r>
        <w:rPr>
          <w:rFonts w:ascii="宋体" w:hAnsi="宋体" w:cs="宋体" w:eastAsia="宋体" w:hint="default"/>
          <w:spacing w:val="-53"/>
          <w:sz w:val="21"/>
          <w:szCs w:val="21"/>
        </w:rPr>
        <w:t> </w:t>
      </w:r>
      <w:r>
        <w:rPr>
          <w:rFonts w:ascii="宋体" w:hAnsi="宋体" w:cs="宋体" w:eastAsia="宋体" w:hint="default"/>
          <w:sz w:val="21"/>
          <w:szCs w:val="21"/>
        </w:rPr>
        <w:t>0.75</w:t>
      </w:r>
      <w:r>
        <w:rPr>
          <w:rFonts w:ascii="宋体" w:hAnsi="宋体" w:cs="宋体" w:eastAsia="宋体" w:hint="default"/>
          <w:spacing w:val="-55"/>
          <w:sz w:val="21"/>
          <w:szCs w:val="21"/>
        </w:rPr>
        <w:t> </w:t>
      </w:r>
      <w:r>
        <w:rPr>
          <w:rFonts w:ascii="宋体" w:hAnsi="宋体" w:cs="宋体" w:eastAsia="宋体" w:hint="default"/>
          <w:sz w:val="21"/>
          <w:szCs w:val="21"/>
        </w:rPr>
        <w:t>港元</w:t>
      </w:r>
      <w:r>
        <w:rPr>
          <w:rFonts w:ascii="宋体" w:hAnsi="宋体" w:cs="宋体" w:eastAsia="宋体" w:hint="default"/>
          <w:sz w:val="21"/>
          <w:szCs w:val="21"/>
        </w:rPr>
        <w:t>/</w:t>
      </w:r>
      <w:r>
        <w:rPr>
          <w:rFonts w:ascii="宋体" w:hAnsi="宋体" w:cs="宋体" w:eastAsia="宋体" w:hint="default"/>
          <w:sz w:val="21"/>
          <w:szCs w:val="21"/>
        </w:rPr>
        <w:t>股计算其公允价值为</w:t>
      </w:r>
      <w:r>
        <w:rPr>
          <w:rFonts w:ascii="宋体" w:hAnsi="宋体" w:cs="宋体" w:eastAsia="宋体" w:hint="default"/>
          <w:spacing w:val="-52"/>
          <w:sz w:val="21"/>
          <w:szCs w:val="21"/>
        </w:rPr>
        <w:t> </w:t>
      </w:r>
      <w:r>
        <w:rPr>
          <w:rFonts w:ascii="宋体" w:hAnsi="宋体" w:cs="宋体" w:eastAsia="宋体" w:hint="default"/>
          <w:sz w:val="21"/>
          <w:szCs w:val="21"/>
        </w:rPr>
        <w:t>25,041,583.14</w:t>
      </w:r>
      <w:r>
        <w:rPr>
          <w:rFonts w:ascii="宋体" w:hAnsi="宋体" w:cs="宋体" w:eastAsia="宋体" w:hint="default"/>
          <w:spacing w:val="-53"/>
          <w:sz w:val="21"/>
          <w:szCs w:val="21"/>
        </w:rPr>
        <w:t> </w:t>
      </w:r>
      <w:r>
        <w:rPr>
          <w:rFonts w:ascii="宋体" w:hAnsi="宋体" w:cs="宋体" w:eastAsia="宋体" w:hint="default"/>
          <w:spacing w:val="-6"/>
          <w:sz w:val="21"/>
          <w:szCs w:val="21"/>
        </w:rPr>
        <w:t>元；④公司持有北京歌</w:t>
      </w:r>
    </w:p>
    <w:p>
      <w:pPr>
        <w:spacing w:before="133"/>
        <w:ind w:left="1180" w:right="0" w:firstLine="0"/>
        <w:jc w:val="left"/>
        <w:rPr>
          <w:rFonts w:ascii="宋体" w:hAnsi="宋体" w:cs="宋体" w:eastAsia="宋体" w:hint="default"/>
          <w:sz w:val="21"/>
          <w:szCs w:val="21"/>
        </w:rPr>
      </w:pPr>
      <w:r>
        <w:rPr>
          <w:rFonts w:ascii="宋体" w:hAnsi="宋体" w:cs="宋体" w:eastAsia="宋体" w:hint="default"/>
          <w:sz w:val="21"/>
          <w:szCs w:val="21"/>
        </w:rPr>
        <w:t>华有线电视网络股份有限公司</w:t>
      </w:r>
      <w:r>
        <w:rPr>
          <w:rFonts w:ascii="宋体" w:hAnsi="宋体" w:cs="宋体" w:eastAsia="宋体" w:hint="default"/>
          <w:spacing w:val="-52"/>
          <w:sz w:val="21"/>
          <w:szCs w:val="21"/>
        </w:rPr>
        <w:t> </w:t>
      </w:r>
      <w:r>
        <w:rPr>
          <w:rFonts w:ascii="宋体" w:hAnsi="宋体" w:cs="宋体" w:eastAsia="宋体" w:hint="default"/>
          <w:sz w:val="21"/>
          <w:szCs w:val="21"/>
        </w:rPr>
        <w:t>20,311,442</w:t>
      </w:r>
      <w:r>
        <w:rPr>
          <w:rFonts w:ascii="宋体" w:hAnsi="宋体" w:cs="宋体" w:eastAsia="宋体" w:hint="default"/>
          <w:spacing w:val="-51"/>
          <w:sz w:val="21"/>
          <w:szCs w:val="21"/>
        </w:rPr>
        <w:t> </w:t>
      </w:r>
      <w:r>
        <w:rPr>
          <w:rFonts w:ascii="宋体" w:hAnsi="宋体" w:cs="宋体" w:eastAsia="宋体" w:hint="default"/>
          <w:spacing w:val="-13"/>
          <w:sz w:val="21"/>
          <w:szCs w:val="21"/>
        </w:rPr>
        <w:t>股，按照</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月最后一个交易日的收盘价</w:t>
      </w:r>
      <w:r>
        <w:rPr>
          <w:rFonts w:ascii="宋体" w:hAnsi="宋体" w:cs="宋体" w:eastAsia="宋体" w:hint="default"/>
          <w:spacing w:val="-52"/>
          <w:sz w:val="21"/>
          <w:szCs w:val="21"/>
        </w:rPr>
        <w:t> </w:t>
      </w:r>
      <w:r>
        <w:rPr>
          <w:rFonts w:ascii="宋体" w:hAnsi="宋体" w:cs="宋体" w:eastAsia="宋体" w:hint="default"/>
          <w:sz w:val="21"/>
          <w:szCs w:val="21"/>
        </w:rPr>
        <w:t>12.99</w:t>
      </w:r>
      <w:r>
        <w:rPr>
          <w:rFonts w:ascii="宋体" w:hAnsi="宋体" w:cs="宋体" w:eastAsia="宋体" w:hint="default"/>
          <w:spacing w:val="-54"/>
          <w:sz w:val="21"/>
          <w:szCs w:val="21"/>
        </w:rPr>
        <w:t> </w:t>
      </w:r>
      <w:r>
        <w:rPr>
          <w:rFonts w:ascii="宋体" w:hAnsi="宋体" w:cs="宋体" w:eastAsia="宋体" w:hint="default"/>
          <w:sz w:val="21"/>
          <w:szCs w:val="21"/>
        </w:rPr>
        <w:t>人民币</w:t>
      </w:r>
      <w:r>
        <w:rPr>
          <w:rFonts w:ascii="宋体" w:hAnsi="宋体" w:cs="宋体" w:eastAsia="宋体" w:hint="default"/>
          <w:sz w:val="21"/>
          <w:szCs w:val="21"/>
        </w:rPr>
        <w:t>/</w:t>
      </w:r>
      <w:r>
        <w:rPr>
          <w:rFonts w:ascii="宋体" w:hAnsi="宋体" w:cs="宋体" w:eastAsia="宋体" w:hint="default"/>
          <w:sz w:val="21"/>
          <w:szCs w:val="21"/>
        </w:rPr>
        <w:t>股计算其公允价值为</w:t>
      </w:r>
      <w:r>
        <w:rPr>
          <w:rFonts w:ascii="宋体" w:hAnsi="宋体" w:cs="宋体" w:eastAsia="宋体" w:hint="default"/>
          <w:spacing w:val="-54"/>
          <w:sz w:val="21"/>
          <w:szCs w:val="21"/>
        </w:rPr>
        <w:t> </w:t>
      </w:r>
      <w:r>
        <w:rPr>
          <w:rFonts w:ascii="宋体" w:hAnsi="宋体" w:cs="宋体" w:eastAsia="宋体" w:hint="default"/>
          <w:sz w:val="21"/>
          <w:szCs w:val="21"/>
        </w:rPr>
        <w:t>263,845,631.58</w:t>
      </w:r>
      <w:r>
        <w:rPr>
          <w:rFonts w:ascii="宋体" w:hAnsi="宋体" w:cs="宋体" w:eastAsia="宋体" w:hint="default"/>
          <w:spacing w:val="-54"/>
          <w:sz w:val="21"/>
          <w:szCs w:val="21"/>
        </w:rPr>
        <w:t> </w:t>
      </w:r>
      <w:r>
        <w:rPr>
          <w:rFonts w:ascii="宋体" w:hAnsi="宋体" w:cs="宋体" w:eastAsia="宋体" w:hint="default"/>
          <w:spacing w:val="-13"/>
          <w:sz w:val="21"/>
          <w:szCs w:val="21"/>
        </w:rPr>
        <w:t>元；⑤期</w:t>
      </w:r>
    </w:p>
    <w:p>
      <w:pPr>
        <w:spacing w:before="133"/>
        <w:ind w:left="1180" w:right="0" w:firstLine="0"/>
        <w:jc w:val="left"/>
        <w:rPr>
          <w:rFonts w:ascii="宋体" w:hAnsi="宋体" w:cs="宋体" w:eastAsia="宋体" w:hint="default"/>
          <w:sz w:val="21"/>
          <w:szCs w:val="21"/>
        </w:rPr>
      </w:pPr>
      <w:r>
        <w:rPr>
          <w:rFonts w:ascii="宋体" w:hAnsi="宋体" w:cs="宋体" w:eastAsia="宋体" w:hint="default"/>
          <w:sz w:val="21"/>
          <w:szCs w:val="21"/>
        </w:rPr>
        <w:t>末，公司持有上海益盟软件技术股份有限公司</w:t>
      </w:r>
      <w:r>
        <w:rPr>
          <w:rFonts w:ascii="宋体" w:hAnsi="宋体" w:cs="宋体" w:eastAsia="宋体" w:hint="default"/>
          <w:spacing w:val="-53"/>
          <w:sz w:val="21"/>
          <w:szCs w:val="21"/>
        </w:rPr>
        <w:t> </w:t>
      </w:r>
      <w:r>
        <w:rPr>
          <w:rFonts w:ascii="宋体" w:hAnsi="宋体" w:cs="宋体" w:eastAsia="宋体" w:hint="default"/>
          <w:sz w:val="21"/>
          <w:szCs w:val="21"/>
        </w:rPr>
        <w:t>5,932,000</w:t>
      </w:r>
      <w:r>
        <w:rPr>
          <w:rFonts w:ascii="宋体" w:hAnsi="宋体" w:cs="宋体" w:eastAsia="宋体" w:hint="default"/>
          <w:spacing w:val="-56"/>
          <w:sz w:val="21"/>
          <w:szCs w:val="21"/>
        </w:rPr>
        <w:t> </w:t>
      </w:r>
      <w:r>
        <w:rPr>
          <w:rFonts w:ascii="宋体" w:hAnsi="宋体" w:cs="宋体" w:eastAsia="宋体" w:hint="default"/>
          <w:sz w:val="21"/>
          <w:szCs w:val="21"/>
        </w:rPr>
        <w:t>股，按照</w:t>
      </w:r>
      <w:r>
        <w:rPr>
          <w:rFonts w:ascii="宋体" w:hAnsi="宋体" w:cs="宋体" w:eastAsia="宋体" w:hint="default"/>
          <w:spacing w:val="-56"/>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月最后一个交易日的收盘价</w:t>
      </w:r>
      <w:r>
        <w:rPr>
          <w:rFonts w:ascii="宋体" w:hAnsi="宋体" w:cs="宋体" w:eastAsia="宋体" w:hint="default"/>
          <w:spacing w:val="-54"/>
          <w:sz w:val="21"/>
          <w:szCs w:val="21"/>
        </w:rPr>
        <w:t> </w:t>
      </w:r>
      <w:r>
        <w:rPr>
          <w:rFonts w:ascii="宋体" w:hAnsi="宋体" w:cs="宋体" w:eastAsia="宋体" w:hint="default"/>
          <w:sz w:val="21"/>
          <w:szCs w:val="21"/>
        </w:rPr>
        <w:t>10.14</w:t>
      </w:r>
      <w:r>
        <w:rPr>
          <w:rFonts w:ascii="宋体" w:hAnsi="宋体" w:cs="宋体" w:eastAsia="宋体" w:hint="default"/>
          <w:spacing w:val="-56"/>
          <w:sz w:val="21"/>
          <w:szCs w:val="21"/>
        </w:rPr>
        <w:t> </w:t>
      </w:r>
      <w:r>
        <w:rPr>
          <w:rFonts w:ascii="宋体" w:hAnsi="宋体" w:cs="宋体" w:eastAsia="宋体" w:hint="default"/>
          <w:sz w:val="21"/>
          <w:szCs w:val="21"/>
        </w:rPr>
        <w:t>人民币</w:t>
      </w:r>
      <w:r>
        <w:rPr>
          <w:rFonts w:ascii="宋体" w:hAnsi="宋体" w:cs="宋体" w:eastAsia="宋体" w:hint="default"/>
          <w:sz w:val="21"/>
          <w:szCs w:val="21"/>
        </w:rPr>
        <w:t>/</w:t>
      </w:r>
      <w:r>
        <w:rPr>
          <w:rFonts w:ascii="宋体" w:hAnsi="宋体" w:cs="宋体" w:eastAsia="宋体" w:hint="default"/>
          <w:sz w:val="21"/>
          <w:szCs w:val="21"/>
        </w:rPr>
        <w:t>股计算其公允价值为</w:t>
      </w:r>
    </w:p>
    <w:p>
      <w:pPr>
        <w:spacing w:before="133"/>
        <w:ind w:left="1180" w:right="0" w:firstLine="0"/>
        <w:jc w:val="left"/>
        <w:rPr>
          <w:rFonts w:ascii="宋体" w:hAnsi="宋体" w:cs="宋体" w:eastAsia="宋体" w:hint="default"/>
          <w:sz w:val="21"/>
          <w:szCs w:val="21"/>
        </w:rPr>
      </w:pPr>
      <w:r>
        <w:rPr>
          <w:rFonts w:ascii="宋体" w:hAnsi="宋体" w:cs="宋体" w:eastAsia="宋体" w:hint="default"/>
          <w:sz w:val="21"/>
          <w:szCs w:val="21"/>
        </w:rPr>
        <w:t>60,150,480.00</w:t>
      </w:r>
      <w:r>
        <w:rPr>
          <w:rFonts w:ascii="宋体" w:hAnsi="宋体" w:cs="宋体" w:eastAsia="宋体" w:hint="default"/>
          <w:spacing w:val="-56"/>
          <w:sz w:val="21"/>
          <w:szCs w:val="21"/>
        </w:rPr>
        <w:t> </w:t>
      </w:r>
      <w:r>
        <w:rPr>
          <w:rFonts w:ascii="宋体" w:hAnsi="宋体" w:cs="宋体" w:eastAsia="宋体" w:hint="default"/>
          <w:sz w:val="21"/>
          <w:szCs w:val="21"/>
        </w:rPr>
        <w:t>元；⑥期末，公司持有浙商银行股份有限公司</w:t>
      </w:r>
      <w:r>
        <w:rPr>
          <w:rFonts w:ascii="宋体" w:hAnsi="宋体" w:cs="宋体" w:eastAsia="宋体" w:hint="default"/>
          <w:spacing w:val="-54"/>
          <w:sz w:val="21"/>
          <w:szCs w:val="21"/>
        </w:rPr>
        <w:t> </w:t>
      </w:r>
      <w:r>
        <w:rPr>
          <w:rFonts w:ascii="宋体" w:hAnsi="宋体" w:cs="宋体" w:eastAsia="宋体" w:hint="default"/>
          <w:sz w:val="21"/>
          <w:szCs w:val="21"/>
        </w:rPr>
        <w:t>199,037,000</w:t>
      </w:r>
      <w:r>
        <w:rPr>
          <w:rFonts w:ascii="宋体" w:hAnsi="宋体" w:cs="宋体" w:eastAsia="宋体" w:hint="default"/>
          <w:spacing w:val="-56"/>
          <w:sz w:val="21"/>
          <w:szCs w:val="21"/>
        </w:rPr>
        <w:t> </w:t>
      </w:r>
      <w:r>
        <w:rPr>
          <w:rFonts w:ascii="宋体" w:hAnsi="宋体" w:cs="宋体" w:eastAsia="宋体" w:hint="default"/>
          <w:sz w:val="21"/>
          <w:szCs w:val="21"/>
        </w:rPr>
        <w:t>股，按照</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月最后一个交易日的收盘价</w:t>
      </w:r>
      <w:r>
        <w:rPr>
          <w:rFonts w:ascii="宋体" w:hAnsi="宋体" w:cs="宋体" w:eastAsia="宋体" w:hint="default"/>
          <w:spacing w:val="-53"/>
          <w:sz w:val="21"/>
          <w:szCs w:val="21"/>
        </w:rPr>
        <w:t> </w:t>
      </w:r>
      <w:r>
        <w:rPr>
          <w:rFonts w:ascii="宋体" w:hAnsi="宋体" w:cs="宋体" w:eastAsia="宋体" w:hint="default"/>
          <w:sz w:val="21"/>
          <w:szCs w:val="21"/>
        </w:rPr>
        <w:t>4.37</w:t>
      </w:r>
      <w:r>
        <w:rPr>
          <w:rFonts w:ascii="宋体" w:hAnsi="宋体" w:cs="宋体" w:eastAsia="宋体" w:hint="default"/>
          <w:spacing w:val="-54"/>
          <w:sz w:val="21"/>
          <w:szCs w:val="21"/>
        </w:rPr>
        <w:t> </w:t>
      </w:r>
      <w:r>
        <w:rPr>
          <w:rFonts w:ascii="宋体" w:hAnsi="宋体" w:cs="宋体" w:eastAsia="宋体" w:hint="default"/>
          <w:sz w:val="21"/>
          <w:szCs w:val="21"/>
        </w:rPr>
        <w:t>港元</w:t>
      </w:r>
      <w:r>
        <w:rPr>
          <w:rFonts w:ascii="宋体" w:hAnsi="宋体" w:cs="宋体" w:eastAsia="宋体" w:hint="default"/>
          <w:sz w:val="21"/>
          <w:szCs w:val="21"/>
        </w:rPr>
        <w:t>/</w:t>
      </w:r>
      <w:r>
        <w:rPr>
          <w:rFonts w:ascii="宋体" w:hAnsi="宋体" w:cs="宋体" w:eastAsia="宋体" w:hint="default"/>
          <w:sz w:val="21"/>
          <w:szCs w:val="21"/>
        </w:rPr>
        <w:t>股计算其公允价</w:t>
      </w:r>
    </w:p>
    <w:p>
      <w:pPr>
        <w:spacing w:before="135"/>
        <w:ind w:left="1180" w:right="0" w:firstLine="0"/>
        <w:jc w:val="left"/>
        <w:rPr>
          <w:rFonts w:ascii="宋体" w:hAnsi="宋体" w:cs="宋体" w:eastAsia="宋体" w:hint="default"/>
          <w:sz w:val="21"/>
          <w:szCs w:val="21"/>
        </w:rPr>
      </w:pPr>
      <w:r>
        <w:rPr>
          <w:rFonts w:ascii="宋体" w:hAnsi="宋体" w:cs="宋体" w:eastAsia="宋体" w:hint="default"/>
          <w:sz w:val="21"/>
          <w:szCs w:val="21"/>
        </w:rPr>
        <w:t>值为</w:t>
      </w:r>
      <w:r>
        <w:rPr>
          <w:rFonts w:ascii="宋体" w:hAnsi="宋体" w:cs="宋体" w:eastAsia="宋体" w:hint="default"/>
          <w:spacing w:val="-53"/>
          <w:sz w:val="21"/>
          <w:szCs w:val="21"/>
        </w:rPr>
        <w:t> </w:t>
      </w:r>
      <w:r>
        <w:rPr>
          <w:rFonts w:ascii="宋体" w:hAnsi="宋体" w:cs="宋体" w:eastAsia="宋体" w:hint="default"/>
          <w:sz w:val="21"/>
          <w:szCs w:val="21"/>
        </w:rPr>
        <w:t>727,027,606.17</w:t>
      </w:r>
      <w:r>
        <w:rPr>
          <w:rFonts w:ascii="宋体" w:hAnsi="宋体" w:cs="宋体" w:eastAsia="宋体" w:hint="default"/>
          <w:spacing w:val="-54"/>
          <w:sz w:val="21"/>
          <w:szCs w:val="21"/>
        </w:rPr>
        <w:t> </w:t>
      </w:r>
      <w:r>
        <w:rPr>
          <w:rFonts w:ascii="宋体" w:hAnsi="宋体" w:cs="宋体" w:eastAsia="宋体" w:hint="default"/>
          <w:sz w:val="21"/>
          <w:szCs w:val="21"/>
        </w:rPr>
        <w:t>元。</w:t>
      </w:r>
    </w:p>
    <w:p>
      <w:pPr>
        <w:spacing w:line="240" w:lineRule="auto" w:before="5"/>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6840" w:h="11910" w:orient="landscape"/>
          <w:pgMar w:header="882" w:footer="1195" w:top="1120" w:bottom="1380" w:left="260" w:right="340"/>
        </w:sectPr>
      </w:pPr>
    </w:p>
    <w:p>
      <w:pPr>
        <w:pStyle w:val="Heading2"/>
        <w:spacing w:line="240" w:lineRule="auto"/>
        <w:ind w:left="1180" w:right="-19"/>
        <w:jc w:val="left"/>
        <w:rPr>
          <w:b w:val="0"/>
          <w:bCs w:val="0"/>
        </w:rPr>
      </w:pPr>
      <w:r>
        <w:rPr>
          <w:rFonts w:ascii="宋体" w:hAnsi="宋体" w:cs="宋体" w:eastAsia="宋体" w:hint="default"/>
        </w:rPr>
        <w:t>(3).</w:t>
      </w:r>
      <w:r>
        <w:rPr>
          <w:rFonts w:ascii="宋体" w:hAnsi="宋体" w:cs="宋体" w:eastAsia="宋体" w:hint="default"/>
          <w:spacing w:val="35"/>
        </w:rPr>
        <w:t> </w:t>
      </w:r>
      <w:r>
        <w:rPr/>
        <w:t>期末按成本计量的可供出售金融资产</w:t>
      </w:r>
      <w:r>
        <w:rPr>
          <w:b w:val="0"/>
          <w:bCs w:val="0"/>
        </w:rPr>
      </w:r>
    </w:p>
    <w:p>
      <w:pPr>
        <w:pStyle w:val="BodyText"/>
        <w:spacing w:line="240" w:lineRule="auto" w:before="58"/>
        <w:ind w:left="1180"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2379" w:val="left" w:leader="none"/>
        </w:tabs>
        <w:spacing w:line="240" w:lineRule="auto"/>
        <w:ind w:left="1180" w:right="0"/>
        <w:jc w:val="left"/>
      </w:pPr>
      <w:r>
        <w:rPr/>
        <w:t>单位：元</w:t>
        <w:tab/>
        <w:t>币种：人民币</w:t>
      </w:r>
    </w:p>
    <w:p>
      <w:pPr>
        <w:spacing w:after="0" w:line="240" w:lineRule="auto"/>
        <w:jc w:val="left"/>
        <w:sectPr>
          <w:type w:val="continuous"/>
          <w:pgSz w:w="16840" w:h="11910" w:orient="landscape"/>
          <w:pgMar w:top="1000" w:bottom="280" w:left="260" w:right="340"/>
          <w:cols w:num="2" w:equalWidth="0">
            <w:col w:w="5677" w:space="5557"/>
            <w:col w:w="5006"/>
          </w:cols>
        </w:sectPr>
      </w:pP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249"/>
        <w:gridCol w:w="1757"/>
        <w:gridCol w:w="1702"/>
        <w:gridCol w:w="1416"/>
        <w:gridCol w:w="1738"/>
        <w:gridCol w:w="614"/>
        <w:gridCol w:w="1561"/>
        <w:gridCol w:w="708"/>
        <w:gridCol w:w="1567"/>
        <w:gridCol w:w="1275"/>
        <w:gridCol w:w="1414"/>
      </w:tblGrid>
      <w:tr>
        <w:trPr>
          <w:trHeight w:val="718" w:hRule="exact"/>
        </w:trPr>
        <w:tc>
          <w:tcPr>
            <w:tcW w:w="22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32" w:lineRule="exact"/>
              <w:ind w:left="847" w:right="850"/>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66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44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6"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37" w:lineRule="auto"/>
              <w:ind w:left="180" w:right="183"/>
              <w:jc w:val="center"/>
              <w:rPr>
                <w:rFonts w:ascii="宋体" w:hAnsi="宋体" w:cs="宋体" w:eastAsia="宋体" w:hint="default"/>
                <w:sz w:val="18"/>
                <w:szCs w:val="18"/>
              </w:rPr>
            </w:pPr>
            <w:r>
              <w:rPr>
                <w:rFonts w:ascii="宋体" w:hAnsi="宋体" w:cs="宋体" w:eastAsia="宋体" w:hint="default"/>
                <w:sz w:val="18"/>
                <w:szCs w:val="18"/>
              </w:rPr>
              <w:t>在被投资单 位持股比例 </w:t>
            </w:r>
            <w:r>
              <w:rPr>
                <w:rFonts w:ascii="宋体" w:hAnsi="宋体" w:cs="宋体" w:eastAsia="宋体" w:hint="default"/>
                <w:sz w:val="18"/>
                <w:szCs w:val="18"/>
              </w:rPr>
              <w:t>(%)</w:t>
            </w:r>
          </w:p>
        </w:tc>
        <w:tc>
          <w:tcPr>
            <w:tcW w:w="14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602" w:hRule="exact"/>
        </w:trPr>
        <w:tc>
          <w:tcPr>
            <w:tcW w:w="2249" w:type="dxa"/>
            <w:vMerge/>
            <w:tcBorders>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65" w:right="665"/>
              <w:jc w:val="center"/>
              <w:rPr>
                <w:rFonts w:ascii="宋体" w:hAnsi="宋体" w:cs="宋体" w:eastAsia="宋体" w:hint="default"/>
                <w:sz w:val="18"/>
                <w:szCs w:val="18"/>
              </w:rPr>
            </w:pPr>
            <w:r>
              <w:rPr>
                <w:rFonts w:ascii="宋体" w:hAnsi="宋体" w:cs="宋体" w:eastAsia="宋体" w:hint="default"/>
                <w:sz w:val="18"/>
                <w:szCs w:val="18"/>
              </w:rPr>
              <w:t>本期 增加</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23" w:right="521"/>
              <w:jc w:val="center"/>
              <w:rPr>
                <w:rFonts w:ascii="宋体" w:hAnsi="宋体" w:cs="宋体" w:eastAsia="宋体" w:hint="default"/>
                <w:sz w:val="18"/>
                <w:szCs w:val="18"/>
              </w:rPr>
            </w:pPr>
            <w:r>
              <w:rPr>
                <w:rFonts w:ascii="宋体" w:hAnsi="宋体" w:cs="宋体" w:eastAsia="宋体" w:hint="default"/>
                <w:sz w:val="18"/>
                <w:szCs w:val="18"/>
              </w:rPr>
              <w:t>本期 减少</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95" w:right="593"/>
              <w:jc w:val="center"/>
              <w:rPr>
                <w:rFonts w:ascii="宋体" w:hAnsi="宋体" w:cs="宋体" w:eastAsia="宋体" w:hint="default"/>
                <w:sz w:val="18"/>
                <w:szCs w:val="18"/>
              </w:rPr>
            </w:pPr>
            <w:r>
              <w:rPr>
                <w:rFonts w:ascii="宋体" w:hAnsi="宋体" w:cs="宋体" w:eastAsia="宋体" w:hint="default"/>
                <w:sz w:val="18"/>
                <w:szCs w:val="18"/>
              </w:rPr>
              <w:t>本期 增加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67" w:right="168"/>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1275" w:type="dxa"/>
            <w:vMerge/>
            <w:tcBorders>
              <w:left w:val="single" w:sz="4" w:space="0" w:color="000000"/>
              <w:bottom w:val="single" w:sz="4" w:space="0" w:color="000000"/>
              <w:right w:val="single" w:sz="4" w:space="0" w:color="000000"/>
            </w:tcBorders>
          </w:tcPr>
          <w:p>
            <w:pPr/>
          </w:p>
        </w:tc>
        <w:tc>
          <w:tcPr>
            <w:tcW w:w="1414" w:type="dxa"/>
            <w:vMerge/>
            <w:tcBorders>
              <w:left w:val="single" w:sz="4" w:space="0" w:color="000000"/>
              <w:bottom w:val="single" w:sz="4" w:space="0" w:color="000000"/>
              <w:right w:val="single" w:sz="4" w:space="0" w:color="000000"/>
            </w:tcBorders>
          </w:tcPr>
          <w:p>
            <w:pPr/>
          </w:p>
        </w:tc>
      </w:tr>
      <w:tr>
        <w:trPr>
          <w:trHeight w:val="248"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长城证券股份有限公司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70,725,600.00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70,725,600.00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0.53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17" w:right="0"/>
              <w:jc w:val="center"/>
              <w:rPr>
                <w:rFonts w:ascii="宋体" w:hAnsi="宋体" w:cs="宋体" w:eastAsia="宋体" w:hint="default"/>
                <w:sz w:val="18"/>
                <w:szCs w:val="18"/>
              </w:rPr>
            </w:pPr>
            <w:r>
              <w:rPr>
                <w:rFonts w:ascii="宋体"/>
                <w:sz w:val="18"/>
              </w:rPr>
              <w:t>1,492,000.00</w:t>
            </w:r>
          </w:p>
        </w:tc>
      </w:tr>
      <w:tr>
        <w:trPr>
          <w:trHeight w:val="247"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上海钻石交易所有限公司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1,958,852.00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1,958,852.00</w:t>
            </w:r>
          </w:p>
        </w:tc>
        <w:tc>
          <w:tcPr>
            <w:tcW w:w="6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5</w:t>
            </w: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湘财证券股份有限公司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68,809,006.25</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178,809,006.25</w:t>
            </w:r>
          </w:p>
        </w:tc>
        <w:tc>
          <w:tcPr>
            <w:tcW w:w="6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3.58</w:t>
            </w: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浙江古纤道新材料股份有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270,000,000.00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270,000,000.00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z w:val="18"/>
              </w:rPr>
              <w:t>4.73</w:t>
            </w: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杭州安睿东枢投资合伙企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业（有限合伙）</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55,000,000.00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55,000,000.00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55,000,000.00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55,000,000.00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28.37[</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北京财智云投资管理有限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7,000,000.00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z w:val="18"/>
              </w:rPr>
              <w:t>8.75</w:t>
            </w: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万得信息技术股份有限公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600,000,000.00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600,000,000.00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372,693,285.48</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372,693,285.48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z w:val="18"/>
              </w:rPr>
              <w:t>1</w:t>
            </w: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阳光保险集团股份有限公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1,890,000,000.00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1,890,000,000.00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8"/>
                <w:szCs w:val="18"/>
              </w:rPr>
            </w:pPr>
            <w:r>
              <w:rPr>
                <w:rFonts w:ascii="宋体"/>
                <w:sz w:val="18"/>
              </w:rPr>
              <w:t>4.06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 w:right="0"/>
              <w:jc w:val="center"/>
              <w:rPr>
                <w:rFonts w:ascii="宋体" w:hAnsi="宋体" w:cs="宋体" w:eastAsia="宋体" w:hint="default"/>
                <w:sz w:val="18"/>
                <w:szCs w:val="18"/>
              </w:rPr>
            </w:pPr>
            <w:r>
              <w:rPr>
                <w:rFonts w:ascii="宋体"/>
                <w:sz w:val="18"/>
              </w:rPr>
              <w:t>25,200,000.00</w:t>
            </w:r>
          </w:p>
        </w:tc>
      </w:tr>
      <w:tr>
        <w:trPr>
          <w:trHeight w:val="475"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恩施裕丰房地产开发有限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30,800,000.00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1" w:right="0"/>
              <w:jc w:val="left"/>
              <w:rPr>
                <w:rFonts w:ascii="宋体" w:hAnsi="宋体" w:cs="宋体" w:eastAsia="宋体" w:hint="default"/>
                <w:sz w:val="18"/>
                <w:szCs w:val="18"/>
              </w:rPr>
            </w:pPr>
            <w:r>
              <w:rPr>
                <w:rFonts w:ascii="宋体"/>
                <w:sz w:val="18"/>
              </w:rPr>
              <w:t>30,800,000.00</w:t>
            </w:r>
          </w:p>
        </w:tc>
        <w:tc>
          <w:tcPr>
            <w:tcW w:w="173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51 CREDIT CARD</w:t>
            </w:r>
            <w:r>
              <w:rPr>
                <w:rFonts w:ascii="宋体"/>
                <w:spacing w:val="-6"/>
                <w:sz w:val="18"/>
              </w:rPr>
              <w:t> </w:t>
            </w:r>
            <w:r>
              <w:rPr>
                <w:rFonts w:ascii="宋体"/>
                <w:sz w:val="18"/>
              </w:rPr>
              <w:t>INC.</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346,850,000.00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988,494,792.88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1,335,344,792.88</w:t>
            </w:r>
          </w:p>
        </w:tc>
        <w:tc>
          <w:tcPr>
            <w:tcW w:w="6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sz w:val="18"/>
                <w:szCs w:val="18"/>
              </w:rPr>
              <w:t>26.56[</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宁波钱潮涌鑫投资管理合</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310,559.00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310,559.00</w:t>
            </w:r>
          </w:p>
        </w:tc>
        <w:tc>
          <w:tcPr>
            <w:tcW w:w="6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3.11</w:t>
            </w:r>
          </w:p>
        </w:tc>
        <w:tc>
          <w:tcPr>
            <w:tcW w:w="141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00" w:bottom="280" w:left="260" w:right="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249"/>
        <w:gridCol w:w="1757"/>
        <w:gridCol w:w="1702"/>
        <w:gridCol w:w="1416"/>
        <w:gridCol w:w="1738"/>
        <w:gridCol w:w="614"/>
        <w:gridCol w:w="1561"/>
        <w:gridCol w:w="708"/>
        <w:gridCol w:w="1567"/>
        <w:gridCol w:w="1275"/>
        <w:gridCol w:w="1414"/>
      </w:tblGrid>
      <w:tr>
        <w:trPr>
          <w:trHeight w:val="247"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伙企业（有限合伙）</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浙江浙商产融投资合伙企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业（有限合伙）</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2,000,000,000.00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2,000,000,000.00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z w:val="18"/>
              </w:rPr>
              <w:t>3.97</w:t>
            </w: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金砖丝路（银川）股权投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资有限合伙企业</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278,646,513.26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278,646,513.26</w:t>
            </w:r>
          </w:p>
        </w:tc>
        <w:tc>
          <w:tcPr>
            <w:tcW w:w="6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z w:val="18"/>
              </w:rPr>
              <w:t>14.43</w:t>
            </w: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中信银行（国际）有限公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1,816,211,088.61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1,816,211,088.61</w:t>
            </w:r>
          </w:p>
        </w:tc>
        <w:tc>
          <w:tcPr>
            <w:tcW w:w="6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z w:val="18"/>
              </w:rPr>
              <w:t>6</w:t>
            </w: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ASIA PACIFIC</w:t>
            </w:r>
            <w:r>
              <w:rPr>
                <w:rFonts w:ascii="宋体"/>
                <w:spacing w:val="-7"/>
                <w:sz w:val="18"/>
              </w:rPr>
              <w:t> </w:t>
            </w:r>
            <w:r>
              <w:rPr>
                <w:rFonts w:ascii="宋体"/>
                <w:sz w:val="18"/>
              </w:rPr>
              <w:t>EXCHANGE</w:t>
            </w:r>
          </w:p>
          <w:p>
            <w:pPr>
              <w:pStyle w:val="TableParagraph"/>
              <w:spacing w:line="234" w:lineRule="exact"/>
              <w:ind w:left="103" w:right="0"/>
              <w:jc w:val="left"/>
              <w:rPr>
                <w:rFonts w:ascii="宋体" w:hAnsi="宋体" w:cs="宋体" w:eastAsia="宋体" w:hint="default"/>
                <w:sz w:val="18"/>
                <w:szCs w:val="18"/>
              </w:rPr>
            </w:pPr>
            <w:r>
              <w:rPr>
                <w:rFonts w:ascii="宋体"/>
                <w:sz w:val="18"/>
              </w:rPr>
              <w:t>PTE</w:t>
            </w:r>
            <w:r>
              <w:rPr>
                <w:rFonts w:ascii="宋体"/>
                <w:spacing w:val="-2"/>
                <w:sz w:val="18"/>
              </w:rPr>
              <w:t> </w:t>
            </w:r>
            <w:r>
              <w:rPr>
                <w:rFonts w:ascii="宋体"/>
                <w:sz w:val="18"/>
              </w:rPr>
              <w:t>LTD.</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522,736,000.00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522,736,000.00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杭州云英网络科技有限公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20,000,000.00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z w:val="18"/>
              </w:rPr>
              <w:t>3.77</w:t>
            </w: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03" w:right="0"/>
              <w:jc w:val="left"/>
              <w:rPr>
                <w:rFonts w:ascii="宋体" w:hAnsi="宋体" w:cs="宋体" w:eastAsia="宋体" w:hint="default"/>
                <w:sz w:val="18"/>
                <w:szCs w:val="18"/>
              </w:rPr>
            </w:pPr>
            <w:r>
              <w:rPr>
                <w:rFonts w:ascii="宋体"/>
                <w:sz w:val="18"/>
              </w:rPr>
              <w:t>3,382,334,452.00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5,695,207,960.00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1" w:right="0"/>
              <w:jc w:val="left"/>
              <w:rPr>
                <w:rFonts w:ascii="宋体" w:hAnsi="宋体" w:cs="宋体" w:eastAsia="宋体" w:hint="default"/>
                <w:sz w:val="18"/>
                <w:szCs w:val="18"/>
              </w:rPr>
            </w:pPr>
            <w:r>
              <w:rPr>
                <w:rFonts w:ascii="宋体"/>
                <w:sz w:val="18"/>
              </w:rPr>
              <w:t>30,800,000.00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9,046,742,412.00</w:t>
            </w:r>
          </w:p>
        </w:tc>
        <w:tc>
          <w:tcPr>
            <w:tcW w:w="6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87" w:right="0"/>
              <w:jc w:val="left"/>
              <w:rPr>
                <w:rFonts w:ascii="宋体" w:hAnsi="宋体" w:cs="宋体" w:eastAsia="宋体" w:hint="default"/>
                <w:sz w:val="18"/>
                <w:szCs w:val="18"/>
              </w:rPr>
            </w:pPr>
            <w:r>
              <w:rPr>
                <w:rFonts w:ascii="宋体"/>
                <w:sz w:val="18"/>
              </w:rPr>
              <w:t>427,693,285.48</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94" w:right="0"/>
              <w:jc w:val="left"/>
              <w:rPr>
                <w:rFonts w:ascii="宋体" w:hAnsi="宋体" w:cs="宋体" w:eastAsia="宋体" w:hint="default"/>
                <w:sz w:val="18"/>
                <w:szCs w:val="18"/>
              </w:rPr>
            </w:pPr>
            <w:r>
              <w:rPr>
                <w:rFonts w:ascii="宋体"/>
                <w:sz w:val="18"/>
              </w:rPr>
              <w:t>427,693,285.48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4"/>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29" w:right="0"/>
              <w:jc w:val="left"/>
              <w:rPr>
                <w:rFonts w:ascii="宋体" w:hAnsi="宋体" w:cs="宋体" w:eastAsia="宋体" w:hint="default"/>
                <w:sz w:val="18"/>
                <w:szCs w:val="18"/>
              </w:rPr>
            </w:pPr>
            <w:r>
              <w:rPr>
                <w:rFonts w:ascii="宋体"/>
                <w:sz w:val="18"/>
              </w:rPr>
              <w:t>26,692,000.00</w:t>
            </w:r>
          </w:p>
        </w:tc>
      </w:tr>
    </w:tbl>
    <w:p>
      <w:pPr>
        <w:spacing w:line="240" w:lineRule="auto" w:before="4"/>
        <w:rPr>
          <w:rFonts w:ascii="宋体" w:hAnsi="宋体" w:cs="宋体" w:eastAsia="宋体" w:hint="default"/>
          <w:sz w:val="18"/>
          <w:szCs w:val="18"/>
        </w:rPr>
      </w:pPr>
    </w:p>
    <w:p>
      <w:pPr>
        <w:spacing w:line="357" w:lineRule="auto" w:before="36"/>
        <w:ind w:left="1180" w:right="1184"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8"/>
          <w:sz w:val="21"/>
          <w:szCs w:val="21"/>
        </w:rPr>
        <w:t> </w:t>
      </w:r>
      <w:r>
        <w:rPr>
          <w:rFonts w:ascii="宋体" w:hAnsi="宋体" w:cs="宋体" w:eastAsia="宋体" w:hint="default"/>
          <w:sz w:val="21"/>
          <w:szCs w:val="21"/>
        </w:rPr>
        <w:t>1</w:t>
      </w:r>
      <w:r>
        <w:rPr>
          <w:rFonts w:ascii="宋体" w:hAnsi="宋体" w:cs="宋体" w:eastAsia="宋体" w:hint="default"/>
          <w:sz w:val="21"/>
          <w:szCs w:val="21"/>
        </w:rPr>
        <w:t>：公司持有杭州安睿东枢投资合伙企业（有限合伙）的股权比例为</w:t>
      </w:r>
      <w:r>
        <w:rPr>
          <w:rFonts w:ascii="宋体" w:hAnsi="宋体" w:cs="宋体" w:eastAsia="宋体" w:hint="default"/>
          <w:spacing w:val="-58"/>
          <w:sz w:val="21"/>
          <w:szCs w:val="21"/>
        </w:rPr>
        <w:t> </w:t>
      </w:r>
      <w:r>
        <w:rPr>
          <w:rFonts w:ascii="宋体" w:hAnsi="宋体" w:cs="宋体" w:eastAsia="宋体" w:hint="default"/>
          <w:sz w:val="21"/>
          <w:szCs w:val="21"/>
        </w:rPr>
        <w:t>28.37%</w:t>
      </w:r>
      <w:r>
        <w:rPr>
          <w:rFonts w:ascii="宋体" w:hAnsi="宋体" w:cs="宋体" w:eastAsia="宋体" w:hint="default"/>
          <w:sz w:val="21"/>
          <w:szCs w:val="21"/>
        </w:rPr>
        <w:t>，根据《合伙协议》规定，公司作为有限合伙人不执行合伙事务，只</w:t>
      </w:r>
      <w:r>
        <w:rPr>
          <w:rFonts w:ascii="宋体" w:hAnsi="宋体" w:cs="宋体" w:eastAsia="宋体" w:hint="default"/>
          <w:w w:val="100"/>
          <w:sz w:val="21"/>
          <w:szCs w:val="21"/>
        </w:rPr>
        <w:t> </w:t>
      </w:r>
      <w:r>
        <w:rPr>
          <w:rFonts w:ascii="宋体" w:hAnsi="宋体" w:cs="宋体" w:eastAsia="宋体" w:hint="default"/>
          <w:spacing w:val="-2"/>
          <w:sz w:val="21"/>
          <w:szCs w:val="21"/>
        </w:rPr>
        <w:t>按合伙协议比例享受利润分配，以其出资额为限对合伙企业的债务承担清偿责任，对该有限合伙企业不具有重大影响，故公司对其投资作为可供出售金</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融资产核算。</w:t>
      </w:r>
    </w:p>
    <w:p>
      <w:pPr>
        <w:spacing w:line="355" w:lineRule="auto" w:before="30"/>
        <w:ind w:left="1180" w:right="1242"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z w:val="21"/>
          <w:szCs w:val="21"/>
        </w:rPr>
        <w:t>：公司持有</w:t>
      </w:r>
      <w:r>
        <w:rPr>
          <w:rFonts w:ascii="宋体" w:hAnsi="宋体" w:cs="宋体" w:eastAsia="宋体" w:hint="default"/>
          <w:spacing w:val="-56"/>
          <w:sz w:val="21"/>
          <w:szCs w:val="21"/>
        </w:rPr>
        <w:t> </w:t>
      </w:r>
      <w:r>
        <w:rPr>
          <w:rFonts w:ascii="宋体" w:hAnsi="宋体" w:cs="宋体" w:eastAsia="宋体" w:hint="default"/>
          <w:sz w:val="21"/>
          <w:szCs w:val="21"/>
        </w:rPr>
        <w:t>51</w:t>
      </w:r>
      <w:r>
        <w:rPr>
          <w:rFonts w:ascii="宋体" w:hAnsi="宋体" w:cs="宋体" w:eastAsia="宋体" w:hint="default"/>
          <w:spacing w:val="-1"/>
          <w:sz w:val="21"/>
          <w:szCs w:val="21"/>
        </w:rPr>
        <w:t> </w:t>
      </w:r>
      <w:r>
        <w:rPr>
          <w:rFonts w:ascii="宋体" w:hAnsi="宋体" w:cs="宋体" w:eastAsia="宋体" w:hint="default"/>
          <w:sz w:val="21"/>
          <w:szCs w:val="21"/>
        </w:rPr>
        <w:t>CREDIT</w:t>
      </w:r>
      <w:r>
        <w:rPr>
          <w:rFonts w:ascii="宋体" w:hAnsi="宋体" w:cs="宋体" w:eastAsia="宋体" w:hint="default"/>
          <w:spacing w:val="-3"/>
          <w:sz w:val="21"/>
          <w:szCs w:val="21"/>
        </w:rPr>
        <w:t> </w:t>
      </w:r>
      <w:r>
        <w:rPr>
          <w:rFonts w:ascii="宋体" w:hAnsi="宋体" w:cs="宋体" w:eastAsia="宋体" w:hint="default"/>
          <w:sz w:val="21"/>
          <w:szCs w:val="21"/>
        </w:rPr>
        <w:t>CARD</w:t>
      </w:r>
      <w:r>
        <w:rPr>
          <w:rFonts w:ascii="宋体" w:hAnsi="宋体" w:cs="宋体" w:eastAsia="宋体" w:hint="default"/>
          <w:spacing w:val="-3"/>
          <w:sz w:val="21"/>
          <w:szCs w:val="21"/>
        </w:rPr>
        <w:t> </w:t>
      </w:r>
      <w:r>
        <w:rPr>
          <w:rFonts w:ascii="宋体" w:hAnsi="宋体" w:cs="宋体" w:eastAsia="宋体" w:hint="default"/>
          <w:sz w:val="21"/>
          <w:szCs w:val="21"/>
        </w:rPr>
        <w:t>INC.</w:t>
      </w:r>
      <w:r>
        <w:rPr>
          <w:rFonts w:ascii="宋体" w:hAnsi="宋体" w:cs="宋体" w:eastAsia="宋体" w:hint="default"/>
          <w:sz w:val="21"/>
          <w:szCs w:val="21"/>
        </w:rPr>
        <w:t>的股权比例为</w:t>
      </w:r>
      <w:r>
        <w:rPr>
          <w:rFonts w:ascii="宋体" w:hAnsi="宋体" w:cs="宋体" w:eastAsia="宋体" w:hint="default"/>
          <w:spacing w:val="-56"/>
          <w:sz w:val="21"/>
          <w:szCs w:val="21"/>
        </w:rPr>
        <w:t> </w:t>
      </w:r>
      <w:r>
        <w:rPr>
          <w:rFonts w:ascii="宋体" w:hAnsi="宋体" w:cs="宋体" w:eastAsia="宋体" w:hint="default"/>
          <w:sz w:val="21"/>
          <w:szCs w:val="21"/>
        </w:rPr>
        <w:t>26.56%</w:t>
      </w:r>
      <w:r>
        <w:rPr>
          <w:rFonts w:ascii="宋体" w:hAnsi="宋体" w:cs="宋体" w:eastAsia="宋体" w:hint="default"/>
          <w:sz w:val="21"/>
          <w:szCs w:val="21"/>
        </w:rPr>
        <w:t>，根据相关协议，约定公司对其股权有回购权力，故公司对其投资作为可供出售金融资</w:t>
      </w:r>
      <w:r>
        <w:rPr>
          <w:rFonts w:ascii="宋体" w:hAnsi="宋体" w:cs="宋体" w:eastAsia="宋体" w:hint="default"/>
          <w:w w:val="100"/>
          <w:sz w:val="21"/>
          <w:szCs w:val="21"/>
        </w:rPr>
        <w:t> </w:t>
      </w:r>
      <w:r>
        <w:rPr>
          <w:rFonts w:ascii="宋体" w:hAnsi="宋体" w:cs="宋体" w:eastAsia="宋体" w:hint="default"/>
          <w:sz w:val="21"/>
          <w:szCs w:val="21"/>
        </w:rPr>
        <w:t>产核算。</w:t>
      </w:r>
    </w:p>
    <w:p>
      <w:pPr>
        <w:spacing w:line="355" w:lineRule="auto" w:before="34"/>
        <w:ind w:left="1180" w:right="1242"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z w:val="21"/>
          <w:szCs w:val="21"/>
        </w:rPr>
        <w:t>：公司持有</w:t>
      </w:r>
      <w:r>
        <w:rPr>
          <w:rFonts w:ascii="宋体" w:hAnsi="宋体" w:cs="宋体" w:eastAsia="宋体" w:hint="default"/>
          <w:spacing w:val="-56"/>
          <w:sz w:val="21"/>
          <w:szCs w:val="21"/>
        </w:rPr>
        <w:t> </w:t>
      </w:r>
      <w:r>
        <w:rPr>
          <w:rFonts w:ascii="宋体" w:hAnsi="宋体" w:cs="宋体" w:eastAsia="宋体" w:hint="default"/>
          <w:sz w:val="21"/>
          <w:szCs w:val="21"/>
        </w:rPr>
        <w:t>ASIA</w:t>
      </w:r>
      <w:r>
        <w:rPr>
          <w:rFonts w:ascii="宋体" w:hAnsi="宋体" w:cs="宋体" w:eastAsia="宋体" w:hint="default"/>
          <w:spacing w:val="-4"/>
          <w:sz w:val="21"/>
          <w:szCs w:val="21"/>
        </w:rPr>
        <w:t> </w:t>
      </w:r>
      <w:r>
        <w:rPr>
          <w:rFonts w:ascii="宋体" w:hAnsi="宋体" w:cs="宋体" w:eastAsia="宋体" w:hint="default"/>
          <w:sz w:val="21"/>
          <w:szCs w:val="21"/>
        </w:rPr>
        <w:t>PACIFIC</w:t>
      </w:r>
      <w:r>
        <w:rPr>
          <w:rFonts w:ascii="宋体" w:hAnsi="宋体" w:cs="宋体" w:eastAsia="宋体" w:hint="default"/>
          <w:spacing w:val="-2"/>
          <w:sz w:val="21"/>
          <w:szCs w:val="21"/>
        </w:rPr>
        <w:t> </w:t>
      </w:r>
      <w:r>
        <w:rPr>
          <w:rFonts w:ascii="宋体" w:hAnsi="宋体" w:cs="宋体" w:eastAsia="宋体" w:hint="default"/>
          <w:sz w:val="21"/>
          <w:szCs w:val="21"/>
        </w:rPr>
        <w:t>EXCHANGE</w:t>
      </w:r>
      <w:r>
        <w:rPr>
          <w:rFonts w:ascii="宋体" w:hAnsi="宋体" w:cs="宋体" w:eastAsia="宋体" w:hint="default"/>
          <w:spacing w:val="-2"/>
          <w:sz w:val="21"/>
          <w:szCs w:val="21"/>
        </w:rPr>
        <w:t> </w:t>
      </w:r>
      <w:r>
        <w:rPr>
          <w:rFonts w:ascii="宋体" w:hAnsi="宋体" w:cs="宋体" w:eastAsia="宋体" w:hint="default"/>
          <w:sz w:val="21"/>
          <w:szCs w:val="21"/>
        </w:rPr>
        <w:t>PTE</w:t>
      </w:r>
      <w:r>
        <w:rPr>
          <w:rFonts w:ascii="宋体" w:hAnsi="宋体" w:cs="宋体" w:eastAsia="宋体" w:hint="default"/>
          <w:spacing w:val="-2"/>
          <w:sz w:val="21"/>
          <w:szCs w:val="21"/>
        </w:rPr>
        <w:t> </w:t>
      </w:r>
      <w:r>
        <w:rPr>
          <w:rFonts w:ascii="宋体" w:hAnsi="宋体" w:cs="宋体" w:eastAsia="宋体" w:hint="default"/>
          <w:sz w:val="21"/>
          <w:szCs w:val="21"/>
        </w:rPr>
        <w:t>LTD.</w:t>
      </w:r>
      <w:r>
        <w:rPr>
          <w:rFonts w:ascii="宋体" w:hAnsi="宋体" w:cs="宋体" w:eastAsia="宋体" w:hint="default"/>
          <w:sz w:val="21"/>
          <w:szCs w:val="21"/>
        </w:rPr>
        <w:t>的股权比例为</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z w:val="21"/>
          <w:szCs w:val="21"/>
        </w:rPr>
        <w:t>，根据约定公司对其股权有回购权力，故公司对其投资作为可供出售金融资产</w:t>
      </w:r>
      <w:r>
        <w:rPr>
          <w:rFonts w:ascii="宋体" w:hAnsi="宋体" w:cs="宋体" w:eastAsia="宋体" w:hint="default"/>
          <w:w w:val="100"/>
          <w:sz w:val="21"/>
          <w:szCs w:val="21"/>
        </w:rPr>
        <w:t> </w:t>
      </w:r>
      <w:r>
        <w:rPr>
          <w:rFonts w:ascii="宋体" w:hAnsi="宋体" w:cs="宋体" w:eastAsia="宋体" w:hint="default"/>
          <w:sz w:val="21"/>
          <w:szCs w:val="21"/>
        </w:rPr>
        <w:t>核算。</w:t>
      </w:r>
    </w:p>
    <w:p>
      <w:pPr>
        <w:spacing w:after="0" w:line="355" w:lineRule="auto"/>
        <w:jc w:val="both"/>
        <w:rPr>
          <w:rFonts w:ascii="宋体" w:hAnsi="宋体" w:cs="宋体" w:eastAsia="宋体" w:hint="default"/>
          <w:sz w:val="21"/>
          <w:szCs w:val="21"/>
        </w:rPr>
        <w:sectPr>
          <w:pgSz w:w="16840" w:h="11910" w:orient="landscape"/>
          <w:pgMar w:header="882" w:footer="1195" w:top="1120" w:bottom="1380" w:left="260" w:right="340"/>
        </w:sectPr>
      </w:pPr>
    </w:p>
    <w:p>
      <w:pPr>
        <w:pStyle w:val="Heading2"/>
        <w:spacing w:line="240" w:lineRule="auto" w:before="86"/>
        <w:ind w:left="1180" w:right="-18"/>
        <w:jc w:val="left"/>
        <w:rPr>
          <w:b w:val="0"/>
          <w:bCs w:val="0"/>
        </w:rPr>
      </w:pPr>
      <w:r>
        <w:rPr>
          <w:rFonts w:ascii="宋体" w:hAnsi="宋体" w:cs="宋体" w:eastAsia="宋体" w:hint="default"/>
        </w:rPr>
        <w:t>(4).</w:t>
      </w:r>
      <w:r>
        <w:rPr>
          <w:rFonts w:ascii="宋体" w:hAnsi="宋体" w:cs="宋体" w:eastAsia="宋体" w:hint="default"/>
          <w:spacing w:val="36"/>
        </w:rPr>
        <w:t> </w:t>
      </w:r>
      <w:r>
        <w:rPr/>
        <w:t>报告期内可供出售金融资产减值的变动情况</w:t>
      </w:r>
      <w:r>
        <w:rPr>
          <w:b w:val="0"/>
          <w:bCs w:val="0"/>
        </w:rPr>
      </w:r>
    </w:p>
    <w:p>
      <w:pPr>
        <w:pStyle w:val="BodyText"/>
        <w:spacing w:line="240" w:lineRule="auto" w:before="58"/>
        <w:ind w:left="1180"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34"/>
          <w:szCs w:val="34"/>
        </w:rPr>
      </w:pPr>
    </w:p>
    <w:p>
      <w:pPr>
        <w:pStyle w:val="BodyText"/>
        <w:tabs>
          <w:tab w:pos="2379" w:val="left" w:leader="none"/>
        </w:tabs>
        <w:spacing w:line="240" w:lineRule="auto"/>
        <w:ind w:left="1180" w:right="0"/>
        <w:jc w:val="left"/>
      </w:pPr>
      <w:r>
        <w:rPr/>
        <w:t>单位：元</w:t>
        <w:tab/>
        <w:t>币种：人民币</w:t>
      </w:r>
    </w:p>
    <w:p>
      <w:pPr>
        <w:spacing w:after="0" w:line="240" w:lineRule="auto"/>
        <w:jc w:val="left"/>
        <w:sectPr>
          <w:type w:val="continuous"/>
          <w:pgSz w:w="16840" w:h="11910" w:orient="landscape"/>
          <w:pgMar w:top="1000" w:bottom="280" w:left="260" w:right="340"/>
          <w:cols w:num="2" w:equalWidth="0">
            <w:col w:w="6401" w:space="4833"/>
            <w:col w:w="5006"/>
          </w:cols>
        </w:sectPr>
      </w:pPr>
    </w:p>
    <w:p>
      <w:pPr>
        <w:spacing w:line="240" w:lineRule="auto" w:before="12"/>
        <w:rPr>
          <w:rFonts w:ascii="宋体" w:hAnsi="宋体" w:cs="宋体" w:eastAsia="宋体" w:hint="default"/>
          <w:sz w:val="2"/>
          <w:szCs w:val="2"/>
        </w:rPr>
      </w:pPr>
    </w:p>
    <w:tbl>
      <w:tblPr>
        <w:tblW w:w="0" w:type="auto"/>
        <w:jc w:val="left"/>
        <w:tblInd w:w="1067" w:type="dxa"/>
        <w:tblLayout w:type="fixed"/>
        <w:tblCellMar>
          <w:top w:w="0" w:type="dxa"/>
          <w:left w:w="0" w:type="dxa"/>
          <w:bottom w:w="0" w:type="dxa"/>
          <w:right w:w="0" w:type="dxa"/>
        </w:tblCellMar>
        <w:tblLook w:val="01E0"/>
      </w:tblPr>
      <w:tblGrid>
        <w:gridCol w:w="4427"/>
        <w:gridCol w:w="3252"/>
        <w:gridCol w:w="3298"/>
        <w:gridCol w:w="3113"/>
      </w:tblGrid>
      <w:tr>
        <w:trPr>
          <w:trHeight w:val="634"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8" w:right="0"/>
              <w:jc w:val="left"/>
              <w:rPr>
                <w:rFonts w:ascii="宋体" w:hAnsi="宋体" w:cs="宋体" w:eastAsia="宋体" w:hint="default"/>
                <w:sz w:val="24"/>
                <w:szCs w:val="24"/>
              </w:rPr>
            </w:pPr>
            <w:r>
              <w:rPr>
                <w:rFonts w:ascii="宋体" w:hAnsi="宋体" w:cs="宋体" w:eastAsia="宋体" w:hint="default"/>
                <w:sz w:val="24"/>
                <w:szCs w:val="24"/>
              </w:rPr>
              <w:t>可供出售金融资产分类</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可供出售权益</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工具</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可供出售债务</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工具</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310" w:right="0"/>
              <w:jc w:val="left"/>
              <w:rPr>
                <w:rFonts w:ascii="宋体" w:hAnsi="宋体" w:cs="宋体" w:eastAsia="宋体" w:hint="default"/>
                <w:sz w:val="24"/>
                <w:szCs w:val="24"/>
              </w:rPr>
            </w:pPr>
            <w:r>
              <w:rPr>
                <w:rFonts w:ascii="宋体" w:hAnsi="宋体" w:cs="宋体" w:eastAsia="宋体" w:hint="default"/>
                <w:sz w:val="24"/>
                <w:szCs w:val="24"/>
              </w:rPr>
              <w:t>合计</w:t>
            </w:r>
          </w:p>
        </w:tc>
      </w:tr>
      <w:tr>
        <w:trPr>
          <w:trHeight w:val="319"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期初已计提减值余额</w:t>
            </w:r>
          </w:p>
        </w:tc>
        <w:tc>
          <w:tcPr>
            <w:tcW w:w="325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本期计提</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459" w:right="0"/>
              <w:jc w:val="left"/>
              <w:rPr>
                <w:rFonts w:ascii="宋体" w:hAnsi="宋体" w:cs="宋体" w:eastAsia="宋体" w:hint="default"/>
                <w:sz w:val="24"/>
                <w:szCs w:val="24"/>
              </w:rPr>
            </w:pPr>
            <w:r>
              <w:rPr>
                <w:rFonts w:ascii="宋体"/>
                <w:sz w:val="24"/>
              </w:rPr>
              <w:t>427,693,285.48</w:t>
            </w:r>
          </w:p>
        </w:tc>
        <w:tc>
          <w:tcPr>
            <w:tcW w:w="3298"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320" w:right="0"/>
              <w:jc w:val="left"/>
              <w:rPr>
                <w:rFonts w:ascii="宋体" w:hAnsi="宋体" w:cs="宋体" w:eastAsia="宋体" w:hint="default"/>
                <w:sz w:val="24"/>
                <w:szCs w:val="24"/>
              </w:rPr>
            </w:pPr>
            <w:r>
              <w:rPr>
                <w:rFonts w:ascii="宋体"/>
                <w:sz w:val="24"/>
              </w:rPr>
              <w:t>427,693,285.48</w:t>
            </w:r>
          </w:p>
        </w:tc>
      </w:tr>
    </w:tbl>
    <w:p>
      <w:pPr>
        <w:spacing w:after="0" w:line="276" w:lineRule="exact"/>
        <w:jc w:val="left"/>
        <w:rPr>
          <w:rFonts w:ascii="宋体" w:hAnsi="宋体" w:cs="宋体" w:eastAsia="宋体" w:hint="default"/>
          <w:sz w:val="24"/>
          <w:szCs w:val="24"/>
        </w:rPr>
        <w:sectPr>
          <w:type w:val="continuous"/>
          <w:pgSz w:w="16840" w:h="11910" w:orient="landscape"/>
          <w:pgMar w:top="1000" w:bottom="280" w:left="260" w:right="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567" w:type="dxa"/>
        <w:tblLayout w:type="fixed"/>
        <w:tblCellMar>
          <w:top w:w="0" w:type="dxa"/>
          <w:left w:w="0" w:type="dxa"/>
          <w:bottom w:w="0" w:type="dxa"/>
          <w:right w:w="0" w:type="dxa"/>
        </w:tblCellMar>
        <w:tblLook w:val="01E0"/>
      </w:tblPr>
      <w:tblGrid>
        <w:gridCol w:w="4427"/>
        <w:gridCol w:w="3252"/>
        <w:gridCol w:w="3298"/>
        <w:gridCol w:w="3113"/>
      </w:tblGrid>
      <w:tr>
        <w:trPr>
          <w:trHeight w:val="322"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其中：从其他综合收益转入</w:t>
            </w:r>
          </w:p>
        </w:tc>
        <w:tc>
          <w:tcPr>
            <w:tcW w:w="325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325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其中：期后公允价值回升转回</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w:t>
            </w:r>
          </w:p>
        </w:tc>
        <w:tc>
          <w:tcPr>
            <w:tcW w:w="3298"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期末已计提减值金余额</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59" w:right="0"/>
              <w:jc w:val="left"/>
              <w:rPr>
                <w:rFonts w:ascii="宋体" w:hAnsi="宋体" w:cs="宋体" w:eastAsia="宋体" w:hint="default"/>
                <w:sz w:val="24"/>
                <w:szCs w:val="24"/>
              </w:rPr>
            </w:pPr>
            <w:r>
              <w:rPr>
                <w:rFonts w:ascii="宋体"/>
                <w:sz w:val="24"/>
              </w:rPr>
              <w:t>427,693,285.48</w:t>
            </w:r>
          </w:p>
        </w:tc>
        <w:tc>
          <w:tcPr>
            <w:tcW w:w="3298"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20" w:right="0"/>
              <w:jc w:val="left"/>
              <w:rPr>
                <w:rFonts w:ascii="宋体" w:hAnsi="宋体" w:cs="宋体" w:eastAsia="宋体" w:hint="default"/>
                <w:sz w:val="24"/>
                <w:szCs w:val="24"/>
              </w:rPr>
            </w:pPr>
            <w:r>
              <w:rPr>
                <w:rFonts w:ascii="宋体"/>
                <w:sz w:val="24"/>
              </w:rPr>
              <w:t>427,693,285.48</w:t>
            </w:r>
          </w:p>
        </w:tc>
      </w:tr>
    </w:tbl>
    <w:p>
      <w:pPr>
        <w:spacing w:line="241" w:lineRule="exact" w:before="0"/>
        <w:ind w:left="110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w:t>
      </w:r>
      <w:r>
        <w:rPr>
          <w:rFonts w:ascii="宋体" w:hAnsi="宋体" w:cs="宋体" w:eastAsia="宋体" w:hint="default"/>
          <w:spacing w:val="10"/>
          <w:sz w:val="21"/>
          <w:szCs w:val="21"/>
        </w:rPr>
        <w:t> </w:t>
      </w:r>
      <w:r>
        <w:rPr>
          <w:rFonts w:ascii="宋体" w:hAnsi="宋体" w:cs="宋体" w:eastAsia="宋体" w:hint="default"/>
          <w:sz w:val="21"/>
          <w:szCs w:val="21"/>
        </w:rPr>
        <w:t>本期计提</w:t>
      </w:r>
      <w:r>
        <w:rPr>
          <w:rFonts w:ascii="宋体" w:hAnsi="宋体" w:cs="宋体" w:eastAsia="宋体" w:hint="default"/>
          <w:spacing w:val="-40"/>
          <w:sz w:val="21"/>
          <w:szCs w:val="21"/>
        </w:rPr>
        <w:t> </w:t>
      </w:r>
      <w:r>
        <w:rPr>
          <w:rFonts w:ascii="宋体" w:hAnsi="宋体" w:cs="宋体" w:eastAsia="宋体" w:hint="default"/>
          <w:sz w:val="21"/>
          <w:szCs w:val="21"/>
        </w:rPr>
        <w:t>427,693,285.48</w:t>
      </w:r>
      <w:r>
        <w:rPr>
          <w:rFonts w:ascii="宋体" w:hAnsi="宋体" w:cs="宋体" w:eastAsia="宋体" w:hint="default"/>
          <w:spacing w:val="-37"/>
          <w:sz w:val="21"/>
          <w:szCs w:val="21"/>
        </w:rPr>
        <w:t> </w:t>
      </w:r>
      <w:r>
        <w:rPr>
          <w:rFonts w:ascii="宋体" w:hAnsi="宋体" w:cs="宋体" w:eastAsia="宋体" w:hint="default"/>
          <w:spacing w:val="-4"/>
          <w:sz w:val="21"/>
          <w:szCs w:val="21"/>
        </w:rPr>
        <w:t>元，其中：①公司对杭州安睿东枢投资合伙企业（有限合伙）的投资成本</w:t>
      </w:r>
      <w:r>
        <w:rPr>
          <w:rFonts w:ascii="宋体" w:hAnsi="宋体" w:cs="宋体" w:eastAsia="宋体" w:hint="default"/>
          <w:spacing w:val="-40"/>
          <w:sz w:val="21"/>
          <w:szCs w:val="21"/>
        </w:rPr>
        <w:t> </w:t>
      </w:r>
      <w:r>
        <w:rPr>
          <w:rFonts w:ascii="宋体" w:hAnsi="宋体" w:cs="宋体" w:eastAsia="宋体" w:hint="default"/>
          <w:sz w:val="21"/>
          <w:szCs w:val="21"/>
        </w:rPr>
        <w:t>5,500</w:t>
      </w:r>
      <w:r>
        <w:rPr>
          <w:rFonts w:ascii="宋体" w:hAnsi="宋体" w:cs="宋体" w:eastAsia="宋体" w:hint="default"/>
          <w:spacing w:val="-40"/>
          <w:sz w:val="21"/>
          <w:szCs w:val="21"/>
        </w:rPr>
        <w:t> </w:t>
      </w:r>
      <w:r>
        <w:rPr>
          <w:rFonts w:ascii="宋体" w:hAnsi="宋体" w:cs="宋体" w:eastAsia="宋体" w:hint="default"/>
          <w:spacing w:val="-3"/>
          <w:sz w:val="21"/>
          <w:szCs w:val="21"/>
        </w:rPr>
        <w:t>万元，因该合伙企业主要投资的项目</w:t>
      </w:r>
    </w:p>
    <w:p>
      <w:pPr>
        <w:spacing w:before="135"/>
        <w:ind w:left="680" w:right="0" w:firstLine="0"/>
        <w:jc w:val="left"/>
        <w:rPr>
          <w:rFonts w:ascii="宋体" w:hAnsi="宋体" w:cs="宋体" w:eastAsia="宋体" w:hint="default"/>
          <w:sz w:val="21"/>
          <w:szCs w:val="21"/>
        </w:rPr>
      </w:pPr>
      <w:r>
        <w:rPr>
          <w:rFonts w:ascii="宋体" w:hAnsi="宋体" w:cs="宋体" w:eastAsia="宋体" w:hint="default"/>
          <w:spacing w:val="-2"/>
          <w:sz w:val="21"/>
          <w:szCs w:val="21"/>
        </w:rPr>
        <w:t>浙江中铁房地产有限公司正在办理破产清算手续，故本期计提减值准备</w:t>
      </w:r>
      <w:r>
        <w:rPr>
          <w:rFonts w:ascii="宋体" w:hAnsi="宋体" w:cs="宋体" w:eastAsia="宋体" w:hint="default"/>
          <w:sz w:val="21"/>
          <w:szCs w:val="21"/>
        </w:rPr>
        <w:t> </w:t>
      </w:r>
      <w:r>
        <w:rPr>
          <w:rFonts w:ascii="宋体" w:hAnsi="宋体" w:cs="宋体" w:eastAsia="宋体" w:hint="default"/>
          <w:spacing w:val="-2"/>
          <w:sz w:val="21"/>
          <w:szCs w:val="21"/>
        </w:rPr>
        <w:t>5,500</w:t>
      </w:r>
      <w:r>
        <w:rPr>
          <w:rFonts w:ascii="宋体" w:hAnsi="宋体" w:cs="宋体" w:eastAsia="宋体" w:hint="default"/>
          <w:spacing w:val="18"/>
          <w:sz w:val="21"/>
          <w:szCs w:val="21"/>
        </w:rPr>
        <w:t> </w:t>
      </w:r>
      <w:r>
        <w:rPr>
          <w:rFonts w:ascii="宋体" w:hAnsi="宋体" w:cs="宋体" w:eastAsia="宋体" w:hint="default"/>
          <w:spacing w:val="-2"/>
          <w:sz w:val="21"/>
          <w:szCs w:val="21"/>
        </w:rPr>
        <w:t>万元；②公司对万得信息技术股份有限公司（以下简称万得信息）的投资</w:t>
      </w:r>
    </w:p>
    <w:p>
      <w:pPr>
        <w:spacing w:before="133"/>
        <w:ind w:left="680" w:right="0" w:firstLine="0"/>
        <w:jc w:val="left"/>
        <w:rPr>
          <w:rFonts w:ascii="宋体" w:hAnsi="宋体" w:cs="宋体" w:eastAsia="宋体" w:hint="default"/>
          <w:sz w:val="21"/>
          <w:szCs w:val="21"/>
        </w:rPr>
      </w:pPr>
      <w:r>
        <w:rPr>
          <w:rFonts w:ascii="宋体" w:hAnsi="宋体" w:cs="宋体" w:eastAsia="宋体" w:hint="default"/>
          <w:w w:val="100"/>
          <w:sz w:val="21"/>
          <w:szCs w:val="21"/>
        </w:rPr>
        <w:t>成本</w:t>
      </w:r>
      <w:r>
        <w:rPr>
          <w:rFonts w:ascii="宋体" w:hAnsi="宋体" w:cs="宋体" w:eastAsia="宋体" w:hint="default"/>
          <w:spacing w:val="-52"/>
          <w:sz w:val="21"/>
          <w:szCs w:val="21"/>
        </w:rPr>
        <w:t> </w:t>
      </w:r>
      <w:r>
        <w:rPr>
          <w:rFonts w:ascii="宋体" w:hAnsi="宋体" w:cs="宋体" w:eastAsia="宋体" w:hint="default"/>
          <w:spacing w:val="-3"/>
          <w:w w:val="100"/>
          <w:sz w:val="21"/>
          <w:szCs w:val="21"/>
        </w:rPr>
        <w:t>6</w:t>
      </w:r>
      <w:r>
        <w:rPr>
          <w:rFonts w:ascii="宋体" w:hAnsi="宋体" w:cs="宋体" w:eastAsia="宋体" w:hint="default"/>
          <w:w w:val="100"/>
          <w:sz w:val="21"/>
          <w:szCs w:val="21"/>
        </w:rPr>
        <w:t>0,0</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104"/>
          <w:w w:val="100"/>
          <w:sz w:val="21"/>
          <w:szCs w:val="21"/>
        </w:rPr>
        <w:t>，</w:t>
      </w:r>
      <w:r>
        <w:rPr>
          <w:rFonts w:ascii="宋体" w:hAnsi="宋体" w:cs="宋体" w:eastAsia="宋体" w:hint="default"/>
          <w:w w:val="100"/>
          <w:sz w:val="21"/>
          <w:szCs w:val="21"/>
        </w:rPr>
        <w:t>基</w:t>
      </w:r>
      <w:r>
        <w:rPr>
          <w:rFonts w:ascii="宋体" w:hAnsi="宋体" w:cs="宋体" w:eastAsia="宋体" w:hint="default"/>
          <w:spacing w:val="-3"/>
          <w:w w:val="100"/>
          <w:sz w:val="21"/>
          <w:szCs w:val="21"/>
        </w:rPr>
        <w:t>于谨</w:t>
      </w:r>
      <w:r>
        <w:rPr>
          <w:rFonts w:ascii="宋体" w:hAnsi="宋体" w:cs="宋体" w:eastAsia="宋体" w:hint="default"/>
          <w:w w:val="100"/>
          <w:sz w:val="21"/>
          <w:szCs w:val="21"/>
        </w:rPr>
        <w:t>慎性</w:t>
      </w:r>
      <w:r>
        <w:rPr>
          <w:rFonts w:ascii="宋体" w:hAnsi="宋体" w:cs="宋体" w:eastAsia="宋体" w:hint="default"/>
          <w:spacing w:val="-3"/>
          <w:w w:val="100"/>
          <w:sz w:val="21"/>
          <w:szCs w:val="21"/>
        </w:rPr>
        <w:t>原</w:t>
      </w:r>
      <w:r>
        <w:rPr>
          <w:rFonts w:ascii="宋体" w:hAnsi="宋体" w:cs="宋体" w:eastAsia="宋体" w:hint="default"/>
          <w:w w:val="100"/>
          <w:sz w:val="21"/>
          <w:szCs w:val="21"/>
        </w:rPr>
        <w:t>则</w:t>
      </w:r>
      <w:r>
        <w:rPr>
          <w:rFonts w:ascii="宋体" w:hAnsi="宋体" w:cs="宋体" w:eastAsia="宋体" w:hint="default"/>
          <w:spacing w:val="-104"/>
          <w:w w:val="100"/>
          <w:sz w:val="21"/>
          <w:szCs w:val="21"/>
        </w:rPr>
        <w:t>，</w:t>
      </w:r>
      <w:r>
        <w:rPr>
          <w:rFonts w:ascii="宋体" w:hAnsi="宋体" w:cs="宋体" w:eastAsia="宋体" w:hint="default"/>
          <w:w w:val="100"/>
          <w:sz w:val="21"/>
          <w:szCs w:val="21"/>
        </w:rPr>
        <w:t>根</w:t>
      </w:r>
      <w:r>
        <w:rPr>
          <w:rFonts w:ascii="宋体" w:hAnsi="宋体" w:cs="宋体" w:eastAsia="宋体" w:hint="default"/>
          <w:spacing w:val="-3"/>
          <w:w w:val="100"/>
          <w:sz w:val="21"/>
          <w:szCs w:val="21"/>
        </w:rPr>
        <w:t>据</w:t>
      </w:r>
      <w:r>
        <w:rPr>
          <w:rFonts w:ascii="宋体" w:hAnsi="宋体" w:cs="宋体" w:eastAsia="宋体" w:hint="default"/>
          <w:w w:val="100"/>
          <w:sz w:val="21"/>
          <w:szCs w:val="21"/>
        </w:rPr>
        <w:t>其</w:t>
      </w:r>
      <w:r>
        <w:rPr>
          <w:rFonts w:ascii="宋体" w:hAnsi="宋体" w:cs="宋体" w:eastAsia="宋体" w:hint="default"/>
          <w:spacing w:val="-3"/>
          <w:w w:val="100"/>
          <w:sz w:val="21"/>
          <w:szCs w:val="21"/>
        </w:rPr>
        <w:t>最</w:t>
      </w:r>
      <w:r>
        <w:rPr>
          <w:rFonts w:ascii="宋体" w:hAnsi="宋体" w:cs="宋体" w:eastAsia="宋体" w:hint="default"/>
          <w:w w:val="100"/>
          <w:sz w:val="21"/>
          <w:szCs w:val="21"/>
        </w:rPr>
        <w:t>近</w:t>
      </w:r>
      <w:r>
        <w:rPr>
          <w:rFonts w:ascii="宋体" w:hAnsi="宋体" w:cs="宋体" w:eastAsia="宋体" w:hint="default"/>
          <w:spacing w:val="-3"/>
          <w:w w:val="100"/>
          <w:sz w:val="21"/>
          <w:szCs w:val="21"/>
        </w:rPr>
        <w:t>的股</w:t>
      </w:r>
      <w:r>
        <w:rPr>
          <w:rFonts w:ascii="宋体" w:hAnsi="宋体" w:cs="宋体" w:eastAsia="宋体" w:hint="default"/>
          <w:w w:val="100"/>
          <w:sz w:val="21"/>
          <w:szCs w:val="21"/>
        </w:rPr>
        <w:t>权转</w:t>
      </w:r>
      <w:r>
        <w:rPr>
          <w:rFonts w:ascii="宋体" w:hAnsi="宋体" w:cs="宋体" w:eastAsia="宋体" w:hint="default"/>
          <w:spacing w:val="-3"/>
          <w:w w:val="100"/>
          <w:sz w:val="21"/>
          <w:szCs w:val="21"/>
        </w:rPr>
        <w:t>让</w:t>
      </w:r>
      <w:r>
        <w:rPr>
          <w:rFonts w:ascii="宋体" w:hAnsi="宋体" w:cs="宋体" w:eastAsia="宋体" w:hint="default"/>
          <w:w w:val="100"/>
          <w:sz w:val="21"/>
          <w:szCs w:val="21"/>
        </w:rPr>
        <w:t>成</w:t>
      </w:r>
      <w:r>
        <w:rPr>
          <w:rFonts w:ascii="宋体" w:hAnsi="宋体" w:cs="宋体" w:eastAsia="宋体" w:hint="default"/>
          <w:spacing w:val="-3"/>
          <w:w w:val="100"/>
          <w:sz w:val="21"/>
          <w:szCs w:val="21"/>
        </w:rPr>
        <w:t>交</w:t>
      </w:r>
      <w:r>
        <w:rPr>
          <w:rFonts w:ascii="宋体" w:hAnsi="宋体" w:cs="宋体" w:eastAsia="宋体" w:hint="default"/>
          <w:w w:val="100"/>
          <w:sz w:val="21"/>
          <w:szCs w:val="21"/>
        </w:rPr>
        <w:t>价</w:t>
      </w:r>
      <w:r>
        <w:rPr>
          <w:rFonts w:ascii="宋体" w:hAnsi="宋体" w:cs="宋体" w:eastAsia="宋体" w:hint="default"/>
          <w:spacing w:val="-3"/>
          <w:w w:val="100"/>
          <w:sz w:val="21"/>
          <w:szCs w:val="21"/>
        </w:rPr>
        <w:t>格</w:t>
      </w:r>
      <w:r>
        <w:rPr>
          <w:rFonts w:ascii="宋体" w:hAnsi="宋体" w:cs="宋体" w:eastAsia="宋体" w:hint="default"/>
          <w:w w:val="100"/>
          <w:sz w:val="21"/>
          <w:szCs w:val="21"/>
        </w:rPr>
        <w:t>估</w:t>
      </w:r>
      <w:r>
        <w:rPr>
          <w:rFonts w:ascii="宋体" w:hAnsi="宋体" w:cs="宋体" w:eastAsia="宋体" w:hint="default"/>
          <w:spacing w:val="-3"/>
          <w:w w:val="100"/>
          <w:sz w:val="21"/>
          <w:szCs w:val="21"/>
        </w:rPr>
        <w:t>算</w:t>
      </w:r>
      <w:r>
        <w:rPr>
          <w:rFonts w:ascii="宋体" w:hAnsi="宋体" w:cs="宋体" w:eastAsia="宋体" w:hint="default"/>
          <w:w w:val="100"/>
          <w:sz w:val="21"/>
          <w:szCs w:val="21"/>
        </w:rPr>
        <w:t>该</w:t>
      </w:r>
      <w:r>
        <w:rPr>
          <w:rFonts w:ascii="宋体" w:hAnsi="宋体" w:cs="宋体" w:eastAsia="宋体" w:hint="default"/>
          <w:spacing w:val="-3"/>
          <w:w w:val="100"/>
          <w:sz w:val="21"/>
          <w:szCs w:val="21"/>
        </w:rPr>
        <w:t>投</w:t>
      </w:r>
      <w:r>
        <w:rPr>
          <w:rFonts w:ascii="宋体" w:hAnsi="宋体" w:cs="宋体" w:eastAsia="宋体" w:hint="default"/>
          <w:w w:val="100"/>
          <w:sz w:val="21"/>
          <w:szCs w:val="21"/>
        </w:rPr>
        <w:t>资的</w:t>
      </w:r>
      <w:r>
        <w:rPr>
          <w:rFonts w:ascii="宋体" w:hAnsi="宋体" w:cs="宋体" w:eastAsia="宋体" w:hint="default"/>
          <w:spacing w:val="-3"/>
          <w:w w:val="100"/>
          <w:sz w:val="21"/>
          <w:szCs w:val="21"/>
        </w:rPr>
        <w:t>可</w:t>
      </w:r>
      <w:r>
        <w:rPr>
          <w:rFonts w:ascii="宋体" w:hAnsi="宋体" w:cs="宋体" w:eastAsia="宋体" w:hint="default"/>
          <w:w w:val="100"/>
          <w:sz w:val="21"/>
          <w:szCs w:val="21"/>
        </w:rPr>
        <w:t>回</w:t>
      </w:r>
      <w:r>
        <w:rPr>
          <w:rFonts w:ascii="宋体" w:hAnsi="宋体" w:cs="宋体" w:eastAsia="宋体" w:hint="default"/>
          <w:spacing w:val="-3"/>
          <w:w w:val="100"/>
          <w:sz w:val="21"/>
          <w:szCs w:val="21"/>
        </w:rPr>
        <w:t>收</w:t>
      </w:r>
      <w:r>
        <w:rPr>
          <w:rFonts w:ascii="宋体" w:hAnsi="宋体" w:cs="宋体" w:eastAsia="宋体" w:hint="default"/>
          <w:w w:val="100"/>
          <w:sz w:val="21"/>
          <w:szCs w:val="21"/>
        </w:rPr>
        <w:t>金</w:t>
      </w:r>
      <w:r>
        <w:rPr>
          <w:rFonts w:ascii="宋体" w:hAnsi="宋体" w:cs="宋体" w:eastAsia="宋体" w:hint="default"/>
          <w:spacing w:val="-3"/>
          <w:w w:val="100"/>
          <w:sz w:val="21"/>
          <w:szCs w:val="21"/>
        </w:rPr>
        <w:t>额</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2,7</w:t>
      </w:r>
      <w:r>
        <w:rPr>
          <w:rFonts w:ascii="宋体" w:hAnsi="宋体" w:cs="宋体" w:eastAsia="宋体" w:hint="default"/>
          <w:spacing w:val="-3"/>
          <w:w w:val="100"/>
          <w:sz w:val="21"/>
          <w:szCs w:val="21"/>
        </w:rPr>
        <w:t>30</w:t>
      </w:r>
      <w:r>
        <w:rPr>
          <w:rFonts w:ascii="宋体" w:hAnsi="宋体" w:cs="宋体" w:eastAsia="宋体" w:hint="default"/>
          <w:w w:val="100"/>
          <w:sz w:val="21"/>
          <w:szCs w:val="21"/>
        </w:rPr>
        <w:t>.67</w:t>
      </w:r>
      <w:r>
        <w:rPr>
          <w:rFonts w:ascii="宋体" w:hAnsi="宋体" w:cs="宋体" w:eastAsia="宋体" w:hint="default"/>
          <w:spacing w:val="-53"/>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104"/>
          <w:w w:val="100"/>
          <w:sz w:val="21"/>
          <w:szCs w:val="21"/>
        </w:rPr>
        <w:t>，</w:t>
      </w:r>
      <w:r>
        <w:rPr>
          <w:rFonts w:ascii="宋体" w:hAnsi="宋体" w:cs="宋体" w:eastAsia="宋体" w:hint="default"/>
          <w:w w:val="100"/>
          <w:sz w:val="21"/>
          <w:szCs w:val="21"/>
        </w:rPr>
        <w:t>故</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计</w:t>
      </w:r>
      <w:r>
        <w:rPr>
          <w:rFonts w:ascii="宋体" w:hAnsi="宋体" w:cs="宋体" w:eastAsia="宋体" w:hint="default"/>
          <w:w w:val="100"/>
          <w:sz w:val="21"/>
          <w:szCs w:val="21"/>
        </w:rPr>
        <w:t>提</w:t>
      </w:r>
      <w:r>
        <w:rPr>
          <w:rFonts w:ascii="宋体" w:hAnsi="宋体" w:cs="宋体" w:eastAsia="宋体" w:hint="default"/>
          <w:spacing w:val="-3"/>
          <w:w w:val="100"/>
          <w:sz w:val="21"/>
          <w:szCs w:val="21"/>
        </w:rPr>
        <w:t>减值</w:t>
      </w:r>
      <w:r>
        <w:rPr>
          <w:rFonts w:ascii="宋体" w:hAnsi="宋体" w:cs="宋体" w:eastAsia="宋体" w:hint="default"/>
          <w:w w:val="100"/>
          <w:sz w:val="21"/>
          <w:szCs w:val="21"/>
        </w:rPr>
        <w:t>准备</w:t>
      </w:r>
      <w:r>
        <w:rPr>
          <w:rFonts w:ascii="宋体" w:hAnsi="宋体" w:cs="宋体" w:eastAsia="宋体" w:hint="default"/>
          <w:spacing w:val="-52"/>
          <w:sz w:val="21"/>
          <w:szCs w:val="21"/>
        </w:rPr>
        <w:t> </w:t>
      </w:r>
      <w:r>
        <w:rPr>
          <w:rFonts w:ascii="宋体" w:hAnsi="宋体" w:cs="宋体" w:eastAsia="宋体" w:hint="default"/>
          <w:spacing w:val="-3"/>
          <w:w w:val="100"/>
          <w:sz w:val="21"/>
          <w:szCs w:val="21"/>
        </w:rPr>
        <w:t>3</w:t>
      </w:r>
      <w:r>
        <w:rPr>
          <w:rFonts w:ascii="宋体" w:hAnsi="宋体" w:cs="宋体" w:eastAsia="宋体" w:hint="default"/>
          <w:w w:val="100"/>
          <w:sz w:val="21"/>
          <w:szCs w:val="21"/>
        </w:rPr>
        <w:t>7,2</w:t>
      </w:r>
      <w:r>
        <w:rPr>
          <w:rFonts w:ascii="宋体" w:hAnsi="宋体" w:cs="宋体" w:eastAsia="宋体" w:hint="default"/>
          <w:spacing w:val="-3"/>
          <w:w w:val="100"/>
          <w:sz w:val="21"/>
          <w:szCs w:val="21"/>
        </w:rPr>
        <w:t>6</w:t>
      </w:r>
      <w:r>
        <w:rPr>
          <w:rFonts w:ascii="宋体" w:hAnsi="宋体" w:cs="宋体" w:eastAsia="宋体" w:hint="default"/>
          <w:w w:val="100"/>
          <w:sz w:val="21"/>
          <w:szCs w:val="21"/>
        </w:rPr>
        <w:t>9.33</w:t>
      </w:r>
      <w:r>
        <w:rPr>
          <w:rFonts w:ascii="宋体" w:hAnsi="宋体" w:cs="宋体" w:eastAsia="宋体" w:hint="default"/>
          <w:spacing w:val="-55"/>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2"/>
        <w:spacing w:line="240" w:lineRule="auto" w:before="0"/>
        <w:ind w:left="680" w:right="0"/>
        <w:jc w:val="left"/>
        <w:rPr>
          <w:b w:val="0"/>
          <w:bCs w:val="0"/>
        </w:rPr>
      </w:pPr>
      <w:r>
        <w:rPr>
          <w:rFonts w:ascii="宋体" w:hAnsi="宋体" w:cs="宋体" w:eastAsia="宋体" w:hint="default"/>
        </w:rPr>
        <w:t>(5).</w:t>
      </w:r>
      <w:r>
        <w:rPr>
          <w:rFonts w:ascii="宋体" w:hAnsi="宋体" w:cs="宋体" w:eastAsia="宋体" w:hint="default"/>
          <w:spacing w:val="33"/>
        </w:rPr>
        <w:t> </w:t>
      </w:r>
      <w:r>
        <w:rPr/>
        <w:t>可供出售权益工具期末公允价值严重下跌或非暂时性下跌但未计提减值准备的相关说明：</w:t>
      </w:r>
      <w:r>
        <w:rPr>
          <w:b w:val="0"/>
          <w:bCs w:val="0"/>
        </w:rPr>
      </w:r>
    </w:p>
    <w:p>
      <w:pPr>
        <w:pStyle w:val="BodyText"/>
        <w:spacing w:line="240" w:lineRule="auto" w:before="55"/>
        <w:ind w:left="680" w:right="0"/>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82" w:footer="1195" w:top="1120" w:bottom="1380" w:left="760" w:right="840"/>
        </w:sectPr>
      </w:pPr>
    </w:p>
    <w:p>
      <w:pPr>
        <w:pStyle w:val="Heading2"/>
        <w:spacing w:line="240" w:lineRule="auto"/>
        <w:ind w:left="680" w:right="-18"/>
        <w:jc w:val="left"/>
        <w:rPr>
          <w:b w:val="0"/>
          <w:bCs w:val="0"/>
        </w:rPr>
      </w:pPr>
      <w:r>
        <w:rPr>
          <w:rFonts w:ascii="宋体" w:hAnsi="宋体" w:cs="宋体" w:eastAsia="宋体" w:hint="default"/>
        </w:rPr>
        <w:t>12</w:t>
      </w:r>
      <w:r>
        <w:rPr/>
        <w:t>、</w:t>
      </w:r>
      <w:r>
        <w:rPr>
          <w:spacing w:val="-103"/>
        </w:rPr>
        <w:t> </w:t>
      </w:r>
      <w:r>
        <w:rPr/>
        <w:t>长期股权投资</w:t>
      </w:r>
      <w:r>
        <w:rPr>
          <w:b w:val="0"/>
          <w:bCs w:val="0"/>
        </w:rPr>
      </w:r>
    </w:p>
    <w:p>
      <w:pPr>
        <w:pStyle w:val="BodyText"/>
        <w:spacing w:line="240" w:lineRule="auto" w:before="56"/>
        <w:ind w:left="680"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879" w:val="left" w:leader="none"/>
        </w:tabs>
        <w:spacing w:line="240" w:lineRule="auto"/>
        <w:ind w:left="680" w:right="0"/>
        <w:jc w:val="left"/>
      </w:pPr>
      <w:r>
        <w:rPr/>
        <w:t>单位：元</w:t>
        <w:tab/>
        <w:t>币种：人民币</w:t>
      </w:r>
    </w:p>
    <w:p>
      <w:pPr>
        <w:spacing w:after="0" w:line="240" w:lineRule="auto"/>
        <w:jc w:val="left"/>
        <w:sectPr>
          <w:type w:val="continuous"/>
          <w:pgSz w:w="16840" w:h="11910" w:orient="landscape"/>
          <w:pgMar w:top="1000" w:bottom="280" w:left="760" w:right="840"/>
          <w:cols w:num="2" w:equalWidth="0">
            <w:col w:w="2629" w:space="8605"/>
            <w:col w:w="4006"/>
          </w:cols>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896"/>
        <w:gridCol w:w="1505"/>
        <w:gridCol w:w="1428"/>
        <w:gridCol w:w="1277"/>
        <w:gridCol w:w="1428"/>
        <w:gridCol w:w="1352"/>
        <w:gridCol w:w="1200"/>
        <w:gridCol w:w="1277"/>
        <w:gridCol w:w="718"/>
        <w:gridCol w:w="1399"/>
        <w:gridCol w:w="1863"/>
        <w:gridCol w:w="670"/>
      </w:tblGrid>
      <w:tr>
        <w:trPr>
          <w:trHeight w:val="204" w:hRule="exact"/>
        </w:trPr>
        <w:tc>
          <w:tcPr>
            <w:tcW w:w="896" w:type="dxa"/>
            <w:vMerge w:val="restart"/>
            <w:tcBorders>
              <w:top w:val="single" w:sz="4" w:space="0" w:color="000000"/>
              <w:left w:val="single" w:sz="4" w:space="0" w:color="000000"/>
              <w:right w:val="single" w:sz="4" w:space="0" w:color="000000"/>
            </w:tcBorders>
          </w:tcPr>
          <w:p>
            <w:pPr>
              <w:pStyle w:val="TableParagraph"/>
              <w:spacing w:line="240" w:lineRule="auto" w:before="79"/>
              <w:ind w:left="367" w:right="140" w:hanging="226"/>
              <w:jc w:val="left"/>
              <w:rPr>
                <w:rFonts w:ascii="宋体" w:hAnsi="宋体" w:cs="宋体" w:eastAsia="宋体" w:hint="default"/>
                <w:sz w:val="15"/>
                <w:szCs w:val="15"/>
              </w:rPr>
            </w:pPr>
            <w:r>
              <w:rPr>
                <w:rFonts w:ascii="宋体" w:hAnsi="宋体" w:cs="宋体" w:eastAsia="宋体" w:hint="default"/>
                <w:sz w:val="15"/>
                <w:szCs w:val="15"/>
              </w:rPr>
              <w:t>被投资单</w:t>
            </w:r>
            <w:r>
              <w:rPr>
                <w:rFonts w:ascii="宋体" w:hAnsi="宋体" w:cs="宋体" w:eastAsia="宋体" w:hint="default"/>
                <w:w w:val="100"/>
                <w:sz w:val="15"/>
                <w:szCs w:val="15"/>
              </w:rPr>
              <w:t> </w:t>
            </w:r>
            <w:r>
              <w:rPr>
                <w:rFonts w:ascii="宋体" w:hAnsi="宋体" w:cs="宋体" w:eastAsia="宋体" w:hint="default"/>
                <w:sz w:val="15"/>
                <w:szCs w:val="15"/>
              </w:rPr>
              <w:t>位</w:t>
            </w:r>
          </w:p>
        </w:tc>
        <w:tc>
          <w:tcPr>
            <w:tcW w:w="1505" w:type="dxa"/>
            <w:vMerge w:val="restart"/>
            <w:tcBorders>
              <w:top w:val="single" w:sz="4" w:space="0" w:color="000000"/>
              <w:left w:val="single" w:sz="4" w:space="0" w:color="000000"/>
              <w:right w:val="single" w:sz="4" w:space="0" w:color="000000"/>
            </w:tcBorders>
          </w:tcPr>
          <w:p>
            <w:pPr>
              <w:pStyle w:val="TableParagraph"/>
              <w:spacing w:line="240" w:lineRule="auto" w:before="79"/>
              <w:ind w:left="597" w:right="593"/>
              <w:jc w:val="center"/>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10079" w:type="dxa"/>
            <w:gridSpan w:val="8"/>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863" w:type="dxa"/>
            <w:vMerge w:val="restart"/>
            <w:tcBorders>
              <w:top w:val="single" w:sz="4" w:space="0" w:color="000000"/>
              <w:left w:val="single" w:sz="4" w:space="0" w:color="000000"/>
              <w:right w:val="single" w:sz="4" w:space="0" w:color="000000"/>
            </w:tcBorders>
          </w:tcPr>
          <w:p>
            <w:pPr>
              <w:pStyle w:val="TableParagraph"/>
              <w:spacing w:line="240" w:lineRule="auto" w:before="79"/>
              <w:ind w:left="777" w:right="771"/>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670" w:type="dxa"/>
            <w:vMerge w:val="restart"/>
            <w:tcBorders>
              <w:top w:val="single" w:sz="4" w:space="0" w:color="000000"/>
              <w:left w:val="single" w:sz="4" w:space="0" w:color="000000"/>
              <w:right w:val="single" w:sz="4" w:space="0" w:color="000000"/>
            </w:tcBorders>
          </w:tcPr>
          <w:p>
            <w:pPr>
              <w:pStyle w:val="TableParagraph"/>
              <w:spacing w:line="194" w:lineRule="exact"/>
              <w:ind w:left="103" w:right="101"/>
              <w:jc w:val="both"/>
              <w:rPr>
                <w:rFonts w:ascii="宋体" w:hAnsi="宋体" w:cs="宋体" w:eastAsia="宋体" w:hint="default"/>
                <w:sz w:val="15"/>
                <w:szCs w:val="15"/>
              </w:rPr>
            </w:pPr>
            <w:r>
              <w:rPr>
                <w:rFonts w:ascii="宋体" w:hAnsi="宋体" w:cs="宋体" w:eastAsia="宋体" w:hint="default"/>
                <w:sz w:val="15"/>
                <w:szCs w:val="15"/>
              </w:rPr>
              <w:t>减值准</w:t>
            </w:r>
            <w:r>
              <w:rPr>
                <w:rFonts w:ascii="宋体" w:hAnsi="宋体" w:cs="宋体" w:eastAsia="宋体" w:hint="default"/>
                <w:spacing w:val="-72"/>
                <w:sz w:val="15"/>
                <w:szCs w:val="15"/>
              </w:rPr>
              <w:t> </w:t>
            </w:r>
            <w:r>
              <w:rPr>
                <w:rFonts w:ascii="宋体" w:hAnsi="宋体" w:cs="宋体" w:eastAsia="宋体" w:hint="default"/>
                <w:sz w:val="15"/>
                <w:szCs w:val="15"/>
              </w:rPr>
              <w:t>备期末</w:t>
            </w:r>
            <w:r>
              <w:rPr>
                <w:rFonts w:ascii="宋体" w:hAnsi="宋体" w:cs="宋体" w:eastAsia="宋体" w:hint="default"/>
                <w:spacing w:val="-72"/>
                <w:sz w:val="15"/>
                <w:szCs w:val="15"/>
              </w:rPr>
              <w:t> </w:t>
            </w:r>
            <w:r>
              <w:rPr>
                <w:rFonts w:ascii="宋体" w:hAnsi="宋体" w:cs="宋体" w:eastAsia="宋体" w:hint="default"/>
                <w:sz w:val="15"/>
                <w:szCs w:val="15"/>
              </w:rPr>
              <w:t>余额</w:t>
            </w:r>
          </w:p>
        </w:tc>
      </w:tr>
      <w:tr>
        <w:trPr>
          <w:trHeight w:val="398" w:hRule="exact"/>
        </w:trPr>
        <w:tc>
          <w:tcPr>
            <w:tcW w:w="896" w:type="dxa"/>
            <w:vMerge/>
            <w:tcBorders>
              <w:left w:val="single" w:sz="4" w:space="0" w:color="000000"/>
              <w:bottom w:val="single" w:sz="4" w:space="0" w:color="000000"/>
              <w:right w:val="single" w:sz="4" w:space="0" w:color="000000"/>
            </w:tcBorders>
          </w:tcPr>
          <w:p>
            <w:pPr/>
          </w:p>
        </w:tc>
        <w:tc>
          <w:tcPr>
            <w:tcW w:w="1505"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05"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34" w:right="0"/>
              <w:jc w:val="left"/>
              <w:rPr>
                <w:rFonts w:ascii="宋体" w:hAnsi="宋体" w:cs="宋体" w:eastAsia="宋体" w:hint="default"/>
                <w:sz w:val="15"/>
                <w:szCs w:val="15"/>
              </w:rPr>
            </w:pPr>
            <w:r>
              <w:rPr>
                <w:rFonts w:ascii="宋体" w:hAnsi="宋体" w:cs="宋体" w:eastAsia="宋体" w:hint="default"/>
                <w:sz w:val="15"/>
                <w:szCs w:val="15"/>
              </w:rPr>
              <w:t>减少投资</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权益法下确认的投</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资损益</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其他综合收益调</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4" w:right="0"/>
              <w:jc w:val="left"/>
              <w:rPr>
                <w:rFonts w:ascii="宋体" w:hAnsi="宋体" w:cs="宋体" w:eastAsia="宋体" w:hint="default"/>
                <w:sz w:val="15"/>
                <w:szCs w:val="15"/>
              </w:rPr>
            </w:pPr>
            <w:r>
              <w:rPr>
                <w:rFonts w:ascii="宋体" w:hAnsi="宋体" w:cs="宋体" w:eastAsia="宋体" w:hint="default"/>
                <w:sz w:val="15"/>
                <w:szCs w:val="15"/>
              </w:rPr>
              <w:t>其他权益变动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 w:right="0"/>
              <w:jc w:val="center"/>
              <w:rPr>
                <w:rFonts w:ascii="宋体" w:hAnsi="宋体" w:cs="宋体" w:eastAsia="宋体" w:hint="default"/>
                <w:sz w:val="15"/>
                <w:szCs w:val="15"/>
              </w:rPr>
            </w:pPr>
            <w:r>
              <w:rPr>
                <w:rFonts w:ascii="宋体" w:hAnsi="宋体" w:cs="宋体" w:eastAsia="宋体" w:hint="default"/>
                <w:sz w:val="15"/>
                <w:szCs w:val="15"/>
              </w:rPr>
              <w:t>宣告发放现金股</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利或利润</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7" w:right="0"/>
              <w:jc w:val="left"/>
              <w:rPr>
                <w:rFonts w:ascii="宋体" w:hAnsi="宋体" w:cs="宋体" w:eastAsia="宋体" w:hint="default"/>
                <w:sz w:val="15"/>
                <w:szCs w:val="15"/>
              </w:rPr>
            </w:pPr>
            <w:r>
              <w:rPr>
                <w:rFonts w:ascii="宋体" w:hAnsi="宋体" w:cs="宋体" w:eastAsia="宋体" w:hint="default"/>
                <w:sz w:val="15"/>
                <w:szCs w:val="15"/>
              </w:rPr>
              <w:t>计提减</w:t>
            </w:r>
          </w:p>
          <w:p>
            <w:pPr>
              <w:pStyle w:val="TableParagraph"/>
              <w:spacing w:line="195" w:lineRule="exact"/>
              <w:ind w:left="127" w:right="0"/>
              <w:jc w:val="left"/>
              <w:rPr>
                <w:rFonts w:ascii="宋体" w:hAnsi="宋体" w:cs="宋体" w:eastAsia="宋体" w:hint="default"/>
                <w:sz w:val="15"/>
                <w:szCs w:val="15"/>
              </w:rPr>
            </w:pPr>
            <w:r>
              <w:rPr>
                <w:rFonts w:ascii="宋体" w:hAnsi="宋体" w:cs="宋体" w:eastAsia="宋体" w:hint="default"/>
                <w:sz w:val="15"/>
                <w:szCs w:val="15"/>
              </w:rPr>
              <w:t>值准备</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863"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r>
      <w:tr>
        <w:trPr>
          <w:trHeight w:val="206" w:hRule="exact"/>
        </w:trPr>
        <w:tc>
          <w:tcPr>
            <w:tcW w:w="15012"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r>
        <w:trPr>
          <w:trHeight w:val="787"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海宁绿城</w:t>
            </w:r>
          </w:p>
          <w:p>
            <w:pPr>
              <w:pStyle w:val="TableParagraph"/>
              <w:spacing w:line="240" w:lineRule="auto"/>
              <w:ind w:left="103" w:right="178"/>
              <w:jc w:val="both"/>
              <w:rPr>
                <w:rFonts w:ascii="宋体" w:hAnsi="宋体" w:cs="宋体" w:eastAsia="宋体" w:hint="default"/>
                <w:sz w:val="15"/>
                <w:szCs w:val="15"/>
              </w:rPr>
            </w:pPr>
            <w:r>
              <w:rPr>
                <w:rFonts w:ascii="宋体" w:hAnsi="宋体" w:cs="宋体" w:eastAsia="宋体" w:hint="default"/>
                <w:sz w:val="15"/>
                <w:szCs w:val="15"/>
              </w:rPr>
              <w:t>新湖房地</w:t>
            </w:r>
            <w:r>
              <w:rPr>
                <w:rFonts w:ascii="宋体" w:hAnsi="宋体" w:cs="宋体" w:eastAsia="宋体" w:hint="default"/>
                <w:w w:val="100"/>
                <w:sz w:val="15"/>
                <w:szCs w:val="15"/>
              </w:rPr>
              <w:t> </w:t>
            </w:r>
            <w:r>
              <w:rPr>
                <w:rFonts w:ascii="宋体" w:hAnsi="宋体" w:cs="宋体" w:eastAsia="宋体" w:hint="default"/>
                <w:sz w:val="15"/>
                <w:szCs w:val="15"/>
              </w:rPr>
              <w:t>产开发有</w:t>
            </w:r>
            <w:r>
              <w:rPr>
                <w:rFonts w:ascii="宋体" w:hAnsi="宋体" w:cs="宋体" w:eastAsia="宋体" w:hint="default"/>
                <w:w w:val="100"/>
                <w:sz w:val="15"/>
                <w:szCs w:val="15"/>
              </w:rPr>
              <w:t> </w:t>
            </w:r>
            <w:r>
              <w:rPr>
                <w:rFonts w:ascii="宋体" w:hAnsi="宋体" w:cs="宋体" w:eastAsia="宋体" w:hint="default"/>
                <w:sz w:val="15"/>
                <w:szCs w:val="15"/>
              </w:rPr>
              <w:t>限公司</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98,220,219.25</w:t>
            </w:r>
          </w:p>
        </w:tc>
        <w:tc>
          <w:tcPr>
            <w:tcW w:w="14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-21,230,788.55</w:t>
            </w:r>
          </w:p>
        </w:tc>
        <w:tc>
          <w:tcPr>
            <w:tcW w:w="135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76,989,430.70</w:t>
            </w: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杭州湖新</w:t>
            </w:r>
          </w:p>
          <w:p>
            <w:pPr>
              <w:pStyle w:val="TableParagraph"/>
              <w:spacing w:line="240" w:lineRule="auto"/>
              <w:ind w:left="103" w:right="178"/>
              <w:jc w:val="left"/>
              <w:rPr>
                <w:rFonts w:ascii="宋体" w:hAnsi="宋体" w:cs="宋体" w:eastAsia="宋体" w:hint="default"/>
                <w:sz w:val="15"/>
                <w:szCs w:val="15"/>
              </w:rPr>
            </w:pPr>
            <w:r>
              <w:rPr>
                <w:rFonts w:ascii="宋体" w:hAnsi="宋体" w:cs="宋体" w:eastAsia="宋体" w:hint="default"/>
                <w:sz w:val="15"/>
                <w:szCs w:val="15"/>
              </w:rPr>
              <w:t>投资有限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50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杭州新想</w:t>
            </w:r>
          </w:p>
          <w:p>
            <w:pPr>
              <w:pStyle w:val="TableParagraph"/>
              <w:spacing w:line="240" w:lineRule="auto"/>
              <w:ind w:left="103" w:right="178"/>
              <w:jc w:val="left"/>
              <w:rPr>
                <w:rFonts w:ascii="宋体" w:hAnsi="宋体" w:cs="宋体" w:eastAsia="宋体" w:hint="default"/>
                <w:sz w:val="15"/>
                <w:szCs w:val="15"/>
              </w:rPr>
            </w:pPr>
            <w:r>
              <w:rPr>
                <w:rFonts w:ascii="宋体" w:hAnsi="宋体" w:cs="宋体" w:eastAsia="宋体" w:hint="default"/>
                <w:sz w:val="15"/>
                <w:szCs w:val="15"/>
              </w:rPr>
              <w:t>投资管理</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150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98,220,219.25</w:t>
            </w:r>
          </w:p>
        </w:tc>
        <w:tc>
          <w:tcPr>
            <w:tcW w:w="14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-21,230,788.55</w:t>
            </w:r>
          </w:p>
        </w:tc>
        <w:tc>
          <w:tcPr>
            <w:tcW w:w="135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76,989,430.70</w:t>
            </w: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5012"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398"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新湖控股</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2"/>
                <w:sz w:val="15"/>
              </w:rPr>
              <w:t>2,723,357,878.04</w:t>
            </w:r>
          </w:p>
        </w:tc>
        <w:tc>
          <w:tcPr>
            <w:tcW w:w="14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-76,284,947.41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3" w:right="0"/>
              <w:jc w:val="left"/>
              <w:rPr>
                <w:rFonts w:ascii="宋体" w:hAnsi="宋体" w:cs="宋体" w:eastAsia="宋体" w:hint="default"/>
                <w:sz w:val="15"/>
                <w:szCs w:val="15"/>
              </w:rPr>
            </w:pPr>
            <w:r>
              <w:rPr>
                <w:rFonts w:ascii="宋体"/>
                <w:sz w:val="15"/>
              </w:rPr>
              <w:t>69,962,910.33</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15"/>
                <w:szCs w:val="15"/>
              </w:rPr>
            </w:pPr>
            <w:r>
              <w:rPr>
                <w:rFonts w:ascii="宋体"/>
                <w:spacing w:val="-2"/>
                <w:sz w:val="15"/>
              </w:rPr>
              <w:t>2,717,035,840.96</w:t>
            </w:r>
          </w:p>
        </w:tc>
        <w:tc>
          <w:tcPr>
            <w:tcW w:w="67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00" w:bottom="280" w:left="76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896"/>
        <w:gridCol w:w="1505"/>
        <w:gridCol w:w="1428"/>
        <w:gridCol w:w="1277"/>
        <w:gridCol w:w="1428"/>
        <w:gridCol w:w="1352"/>
        <w:gridCol w:w="1200"/>
        <w:gridCol w:w="1277"/>
        <w:gridCol w:w="718"/>
        <w:gridCol w:w="1399"/>
        <w:gridCol w:w="1863"/>
        <w:gridCol w:w="670"/>
      </w:tblGrid>
      <w:tr>
        <w:trPr>
          <w:trHeight w:val="787"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内蒙古合</w:t>
            </w:r>
          </w:p>
          <w:p>
            <w:pPr>
              <w:pStyle w:val="TableParagraph"/>
              <w:spacing w:line="240" w:lineRule="auto"/>
              <w:ind w:left="103" w:right="104"/>
              <w:jc w:val="left"/>
              <w:rPr>
                <w:rFonts w:ascii="宋体" w:hAnsi="宋体" w:cs="宋体" w:eastAsia="宋体" w:hint="default"/>
                <w:sz w:val="15"/>
                <w:szCs w:val="15"/>
              </w:rPr>
            </w:pPr>
            <w:r>
              <w:rPr>
                <w:rFonts w:ascii="宋体" w:hAnsi="宋体" w:cs="宋体" w:eastAsia="宋体" w:hint="default"/>
                <w:sz w:val="15"/>
                <w:szCs w:val="15"/>
              </w:rPr>
              <w:t>和置业有</w:t>
            </w:r>
            <w:r>
              <w:rPr>
                <w:rFonts w:ascii="宋体" w:hAnsi="宋体" w:cs="宋体" w:eastAsia="宋体" w:hint="default"/>
                <w:w w:val="100"/>
                <w:sz w:val="15"/>
                <w:szCs w:val="15"/>
              </w:rPr>
              <w:t> </w:t>
            </w:r>
            <w:r>
              <w:rPr>
                <w:rFonts w:ascii="宋体" w:hAnsi="宋体" w:cs="宋体" w:eastAsia="宋体" w:hint="default"/>
                <w:sz w:val="15"/>
                <w:szCs w:val="15"/>
              </w:rPr>
              <w:t>限公司</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w w:val="100"/>
                <w:sz w:val="15"/>
                <w:szCs w:val="15"/>
              </w:rPr>
              <w:t> </w:t>
            </w:r>
            <w:r>
              <w:rPr>
                <w:rFonts w:ascii="宋体" w:hAnsi="宋体" w:cs="宋体" w:eastAsia="宋体" w:hint="default"/>
                <w:sz w:val="15"/>
                <w:szCs w:val="15"/>
              </w:rPr>
              <w:t>1]</w:t>
            </w:r>
          </w:p>
        </w:tc>
        <w:tc>
          <w:tcPr>
            <w:tcW w:w="150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盛京银行</w:t>
            </w:r>
          </w:p>
          <w:p>
            <w:pPr>
              <w:pStyle w:val="TableParagraph"/>
              <w:spacing w:line="240" w:lineRule="auto"/>
              <w:ind w:left="103" w:right="178"/>
              <w:jc w:val="left"/>
              <w:rPr>
                <w:rFonts w:ascii="宋体" w:hAnsi="宋体" w:cs="宋体" w:eastAsia="宋体" w:hint="default"/>
                <w:sz w:val="15"/>
                <w:szCs w:val="15"/>
              </w:rPr>
            </w:pPr>
            <w:r>
              <w:rPr>
                <w:rFonts w:ascii="宋体" w:hAnsi="宋体" w:cs="宋体" w:eastAsia="宋体" w:hint="default"/>
                <w:sz w:val="15"/>
                <w:szCs w:val="15"/>
              </w:rPr>
              <w:t>股份有限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2,419,478,636.30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392,296,355.25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-12,624,760.63</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75,000,000.00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2,724,150,230.92</w:t>
            </w: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甘肃西北</w:t>
            </w:r>
          </w:p>
          <w:p>
            <w:pPr>
              <w:pStyle w:val="TableParagraph"/>
              <w:spacing w:line="240" w:lineRule="auto"/>
              <w:ind w:left="103" w:right="178"/>
              <w:jc w:val="left"/>
              <w:rPr>
                <w:rFonts w:ascii="宋体" w:hAnsi="宋体" w:cs="宋体" w:eastAsia="宋体" w:hint="default"/>
                <w:sz w:val="15"/>
                <w:szCs w:val="15"/>
              </w:rPr>
            </w:pPr>
            <w:r>
              <w:rPr>
                <w:rFonts w:ascii="宋体" w:hAnsi="宋体" w:cs="宋体" w:eastAsia="宋体" w:hint="default"/>
                <w:sz w:val="15"/>
                <w:szCs w:val="15"/>
              </w:rPr>
              <w:t>矿业集团</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715,424,012.76</w:t>
            </w:r>
          </w:p>
        </w:tc>
        <w:tc>
          <w:tcPr>
            <w:tcW w:w="14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-5,627,572.09</w:t>
            </w:r>
          </w:p>
        </w:tc>
        <w:tc>
          <w:tcPr>
            <w:tcW w:w="135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-6,880,000.00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702,916,440.67</w:t>
            </w: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温州银行</w:t>
            </w:r>
          </w:p>
          <w:p>
            <w:pPr>
              <w:pStyle w:val="TableParagraph"/>
              <w:spacing w:line="240" w:lineRule="auto"/>
              <w:ind w:left="103" w:right="178"/>
              <w:jc w:val="left"/>
              <w:rPr>
                <w:rFonts w:ascii="宋体" w:hAnsi="宋体" w:cs="宋体" w:eastAsia="宋体" w:hint="default"/>
                <w:sz w:val="15"/>
                <w:szCs w:val="15"/>
              </w:rPr>
            </w:pPr>
            <w:r>
              <w:rPr>
                <w:rFonts w:ascii="宋体" w:hAnsi="宋体" w:cs="宋体" w:eastAsia="宋体" w:hint="default"/>
                <w:sz w:val="15"/>
                <w:szCs w:val="15"/>
              </w:rPr>
              <w:t>股份有限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1,550,437,475.12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743,662,644.12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127,709,080.02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-3,232,092.40</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35,000,000.00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2,383,577,106.86</w:t>
            </w: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浩韵控股</w:t>
            </w:r>
          </w:p>
          <w:p>
            <w:pPr>
              <w:pStyle w:val="TableParagraph"/>
              <w:spacing w:line="240" w:lineRule="auto"/>
              <w:ind w:left="103" w:right="178"/>
              <w:jc w:val="left"/>
              <w:rPr>
                <w:rFonts w:ascii="宋体" w:hAnsi="宋体" w:cs="宋体" w:eastAsia="宋体" w:hint="default"/>
                <w:sz w:val="15"/>
                <w:szCs w:val="15"/>
              </w:rPr>
            </w:pPr>
            <w:r>
              <w:rPr>
                <w:rFonts w:ascii="宋体" w:hAnsi="宋体" w:cs="宋体" w:eastAsia="宋体" w:hint="default"/>
                <w:sz w:val="15"/>
                <w:szCs w:val="15"/>
              </w:rPr>
              <w:t>集团有限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107,908,668.23</w:t>
            </w:r>
          </w:p>
        </w:tc>
        <w:tc>
          <w:tcPr>
            <w:tcW w:w="14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5"/>
                <w:szCs w:val="15"/>
              </w:rPr>
            </w:pPr>
            <w:r>
              <w:rPr>
                <w:rFonts w:ascii="宋体"/>
                <w:sz w:val="15"/>
              </w:rPr>
              <w:t>105,451,119.99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-2,457,548.24</w:t>
            </w:r>
          </w:p>
        </w:tc>
        <w:tc>
          <w:tcPr>
            <w:tcW w:w="135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江苏新湖</w:t>
            </w:r>
          </w:p>
          <w:p>
            <w:pPr>
              <w:pStyle w:val="TableParagraph"/>
              <w:spacing w:line="240" w:lineRule="auto"/>
              <w:ind w:left="103" w:right="178"/>
              <w:jc w:val="left"/>
              <w:rPr>
                <w:rFonts w:ascii="宋体" w:hAnsi="宋体" w:cs="宋体" w:eastAsia="宋体" w:hint="default"/>
                <w:sz w:val="15"/>
                <w:szCs w:val="15"/>
              </w:rPr>
            </w:pPr>
            <w:r>
              <w:rPr>
                <w:rFonts w:ascii="宋体" w:hAnsi="宋体" w:cs="宋体" w:eastAsia="宋体" w:hint="default"/>
                <w:sz w:val="15"/>
                <w:szCs w:val="15"/>
              </w:rPr>
              <w:t>宝华置业</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446,082,866.18</w:t>
            </w:r>
          </w:p>
        </w:tc>
        <w:tc>
          <w:tcPr>
            <w:tcW w:w="14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-13,737,934.40</w:t>
            </w:r>
          </w:p>
        </w:tc>
        <w:tc>
          <w:tcPr>
            <w:tcW w:w="135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82,008,282.13</w:t>
            </w:r>
          </w:p>
        </w:tc>
        <w:tc>
          <w:tcPr>
            <w:tcW w:w="71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350,336,649.65</w:t>
            </w: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中信银行</w:t>
            </w:r>
          </w:p>
          <w:p>
            <w:pPr>
              <w:pStyle w:val="TableParagraph"/>
              <w:spacing w:line="240" w:lineRule="auto"/>
              <w:ind w:left="103" w:right="178"/>
              <w:jc w:val="left"/>
              <w:rPr>
                <w:rFonts w:ascii="宋体" w:hAnsi="宋体" w:cs="宋体" w:eastAsia="宋体" w:hint="default"/>
                <w:sz w:val="15"/>
                <w:szCs w:val="15"/>
              </w:rPr>
            </w:pPr>
            <w:r>
              <w:rPr>
                <w:rFonts w:ascii="宋体" w:hAnsi="宋体" w:cs="宋体" w:eastAsia="宋体" w:hint="default"/>
                <w:sz w:val="15"/>
                <w:szCs w:val="15"/>
              </w:rPr>
              <w:t>股份有限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16,196,954,841.06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541,771,868.06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2,088,936,941.86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-516,104,371.80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17,046,620.31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498,838,055.00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384,945,880.30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18,214,713,724.79</w:t>
            </w: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通卡联城</w:t>
            </w:r>
          </w:p>
          <w:p>
            <w:pPr>
              <w:pStyle w:val="TableParagraph"/>
              <w:spacing w:line="240" w:lineRule="auto"/>
              <w:ind w:left="103" w:right="178"/>
              <w:jc w:val="left"/>
              <w:rPr>
                <w:rFonts w:ascii="宋体" w:hAnsi="宋体" w:cs="宋体" w:eastAsia="宋体" w:hint="default"/>
                <w:sz w:val="15"/>
                <w:szCs w:val="15"/>
              </w:rPr>
            </w:pPr>
            <w:r>
              <w:rPr>
                <w:rFonts w:ascii="宋体" w:hAnsi="宋体" w:cs="宋体" w:eastAsia="宋体" w:hint="default"/>
                <w:sz w:val="15"/>
                <w:szCs w:val="15"/>
              </w:rPr>
              <w:t>网络科技</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150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35,000,000.00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-4,100,128.05</w:t>
            </w:r>
          </w:p>
        </w:tc>
        <w:tc>
          <w:tcPr>
            <w:tcW w:w="135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30,899,871.95</w:t>
            </w: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新湖期货</w:t>
            </w:r>
          </w:p>
          <w:p>
            <w:pPr>
              <w:pStyle w:val="TableParagraph"/>
              <w:spacing w:line="240" w:lineRule="auto"/>
              <w:ind w:left="103" w:right="178"/>
              <w:jc w:val="left"/>
              <w:rPr>
                <w:rFonts w:ascii="宋体" w:hAnsi="宋体" w:cs="宋体" w:eastAsia="宋体" w:hint="default"/>
                <w:sz w:val="15"/>
                <w:szCs w:val="15"/>
              </w:rPr>
            </w:pPr>
            <w:r>
              <w:rPr>
                <w:rFonts w:ascii="宋体" w:hAnsi="宋体" w:cs="宋体" w:eastAsia="宋体" w:hint="default"/>
                <w:sz w:val="15"/>
                <w:szCs w:val="15"/>
              </w:rPr>
              <w:t>有限公司</w:t>
            </w:r>
            <w:r>
              <w:rPr>
                <w:rFonts w:ascii="宋体" w:hAnsi="宋体" w:cs="宋体" w:eastAsia="宋体" w:hint="default"/>
                <w:w w:val="100"/>
                <w:sz w:val="15"/>
                <w:szCs w:val="15"/>
              </w:rPr>
              <w:t> </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宋体" w:hAnsi="宋体" w:cs="宋体" w:eastAsia="宋体" w:hint="default"/>
                <w:sz w:val="15"/>
                <w:szCs w:val="15"/>
              </w:rPr>
              <w:t>2]</w:t>
            </w:r>
          </w:p>
        </w:tc>
        <w:tc>
          <w:tcPr>
            <w:tcW w:w="150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454,995,785.32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454,995,785.32</w:t>
            </w: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恩施裕丰</w:t>
            </w:r>
          </w:p>
          <w:p>
            <w:pPr>
              <w:pStyle w:val="TableParagraph"/>
              <w:spacing w:line="240" w:lineRule="auto"/>
              <w:ind w:left="103" w:right="178"/>
              <w:jc w:val="both"/>
              <w:rPr>
                <w:rFonts w:ascii="宋体" w:hAnsi="宋体" w:cs="宋体" w:eastAsia="宋体" w:hint="default"/>
                <w:sz w:val="15"/>
                <w:szCs w:val="15"/>
              </w:rPr>
            </w:pPr>
            <w:r>
              <w:rPr>
                <w:rFonts w:ascii="宋体" w:hAnsi="宋体" w:cs="宋体" w:eastAsia="宋体" w:hint="default"/>
                <w:sz w:val="15"/>
                <w:szCs w:val="15"/>
              </w:rPr>
              <w:t>房地产开</w:t>
            </w:r>
            <w:r>
              <w:rPr>
                <w:rFonts w:ascii="宋体" w:hAnsi="宋体" w:cs="宋体" w:eastAsia="宋体" w:hint="default"/>
                <w:w w:val="100"/>
                <w:sz w:val="15"/>
                <w:szCs w:val="15"/>
              </w:rPr>
              <w:t> </w:t>
            </w:r>
            <w:r>
              <w:rPr>
                <w:rFonts w:ascii="宋体" w:hAnsi="宋体" w:cs="宋体" w:eastAsia="宋体" w:hint="default"/>
                <w:sz w:val="15"/>
                <w:szCs w:val="15"/>
              </w:rPr>
              <w:t>发有限公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150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42,630,000.00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-3,116,775.60</w:t>
            </w:r>
          </w:p>
        </w:tc>
        <w:tc>
          <w:tcPr>
            <w:tcW w:w="135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39,513,224.40</w:t>
            </w: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24,159,644,377.69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1,363,064,512.18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2" w:right="0"/>
              <w:jc w:val="left"/>
              <w:rPr>
                <w:rFonts w:ascii="宋体" w:hAnsi="宋体" w:cs="宋体" w:eastAsia="宋体" w:hint="default"/>
                <w:sz w:val="15"/>
                <w:szCs w:val="15"/>
              </w:rPr>
            </w:pPr>
            <w:r>
              <w:rPr>
                <w:rFonts w:ascii="宋体"/>
                <w:sz w:val="15"/>
              </w:rPr>
              <w:t>105,451,119.99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2,503,617,471.34</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-461,998,314.50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10,166,620.31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690,846,337.13</w:t>
            </w:r>
          </w:p>
        </w:tc>
        <w:tc>
          <w:tcPr>
            <w:tcW w:w="71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839,941,665.62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27,618,138,875.52</w:t>
            </w: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9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24,257,864,596.94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2"/>
                <w:sz w:val="15"/>
              </w:rPr>
              <w:t>1,363,064,512.18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12" w:right="0"/>
              <w:jc w:val="left"/>
              <w:rPr>
                <w:rFonts w:ascii="宋体" w:hAnsi="宋体" w:cs="宋体" w:eastAsia="宋体" w:hint="default"/>
                <w:sz w:val="15"/>
                <w:szCs w:val="15"/>
              </w:rPr>
            </w:pPr>
            <w:r>
              <w:rPr>
                <w:rFonts w:ascii="宋体"/>
                <w:sz w:val="15"/>
              </w:rPr>
              <w:t>105,451,119.99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2,482,386,682.79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-461,998,314.50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10,166,620.31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690,846,337.13</w:t>
            </w:r>
          </w:p>
        </w:tc>
        <w:tc>
          <w:tcPr>
            <w:tcW w:w="71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839,941,665.62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27,695,128,306.22</w:t>
            </w:r>
          </w:p>
        </w:tc>
        <w:tc>
          <w:tcPr>
            <w:tcW w:w="6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8"/>
          <w:szCs w:val="18"/>
        </w:rPr>
      </w:pPr>
    </w:p>
    <w:p>
      <w:pPr>
        <w:spacing w:before="36"/>
        <w:ind w:left="110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1"/>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：该公司期末净资产为负数，公司按权益法核算将其长期股权投资账面价值减记至零。</w:t>
      </w:r>
    </w:p>
    <w:p>
      <w:pPr>
        <w:spacing w:before="135"/>
        <w:ind w:left="1100" w:right="0" w:firstLine="0"/>
        <w:jc w:val="left"/>
        <w:rPr>
          <w:rFonts w:ascii="宋体" w:hAnsi="宋体" w:cs="宋体" w:eastAsia="宋体" w:hint="default"/>
          <w:sz w:val="21"/>
          <w:szCs w:val="21"/>
        </w:rPr>
      </w:pPr>
      <w:r>
        <w:rPr>
          <w:rFonts w:ascii="宋体" w:hAnsi="宋体" w:cs="宋体" w:eastAsia="宋体" w:hint="default"/>
          <w:sz w:val="21"/>
          <w:szCs w:val="21"/>
        </w:rPr>
        <w:t>注 </w:t>
      </w:r>
      <w:r>
        <w:rPr>
          <w:rFonts w:ascii="宋体" w:hAnsi="宋体" w:cs="宋体" w:eastAsia="宋体" w:hint="default"/>
          <w:spacing w:val="-2"/>
          <w:sz w:val="21"/>
          <w:szCs w:val="21"/>
        </w:rPr>
        <w:t>2</w:t>
      </w:r>
      <w:r>
        <w:rPr>
          <w:rFonts w:ascii="宋体" w:hAnsi="宋体" w:cs="宋体" w:eastAsia="宋体" w:hint="default"/>
          <w:spacing w:val="-2"/>
          <w:sz w:val="21"/>
          <w:szCs w:val="21"/>
        </w:rPr>
        <w:t>：公司本期将持有的该公司</w:t>
      </w:r>
      <w:r>
        <w:rPr>
          <w:rFonts w:ascii="宋体" w:hAnsi="宋体" w:cs="宋体" w:eastAsia="宋体" w:hint="default"/>
          <w:spacing w:val="11"/>
          <w:sz w:val="21"/>
          <w:szCs w:val="21"/>
        </w:rPr>
        <w:t> </w:t>
      </w:r>
      <w:r>
        <w:rPr>
          <w:rFonts w:ascii="宋体" w:hAnsi="宋体" w:cs="宋体" w:eastAsia="宋体" w:hint="default"/>
          <w:spacing w:val="-2"/>
          <w:sz w:val="21"/>
          <w:szCs w:val="21"/>
        </w:rPr>
        <w:t>54%</w:t>
      </w:r>
      <w:r>
        <w:rPr>
          <w:rFonts w:ascii="宋体" w:hAnsi="宋体" w:cs="宋体" w:eastAsia="宋体" w:hint="default"/>
          <w:spacing w:val="-2"/>
          <w:sz w:val="21"/>
          <w:szCs w:val="21"/>
        </w:rPr>
        <w:t>股权转让给浙江新湖集团股份有限公司，故自转让日起，公司对该公司股权投资由成本法改为权益法核算。</w:t>
      </w:r>
    </w:p>
    <w:p>
      <w:pPr>
        <w:spacing w:after="0"/>
        <w:jc w:val="left"/>
        <w:rPr>
          <w:rFonts w:ascii="宋体" w:hAnsi="宋体" w:cs="宋体" w:eastAsia="宋体" w:hint="default"/>
          <w:sz w:val="21"/>
          <w:szCs w:val="21"/>
        </w:rPr>
        <w:sectPr>
          <w:pgSz w:w="16840" w:h="11910" w:orient="landscape"/>
          <w:pgMar w:header="882" w:footer="1195" w:top="1120" w:bottom="1380" w:left="760" w:right="840"/>
        </w:sectPr>
      </w:pPr>
    </w:p>
    <w:p>
      <w:pPr>
        <w:spacing w:before="28"/>
        <w:ind w:left="0" w:right="39"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1pt;height:.75pt;mso-position-horizontal-relative:char;mso-position-vertical-relative:line" coordorigin="0,0" coordsize="8882,15">
            <v:group style="position:absolute;left:7;top:7;width:8867;height:2" coordorigin="7,7" coordsize="8867,2">
              <v:shape style="position:absolute;left:7;top:7;width:8867;height:2" coordorigin="7,7" coordsize="8867,0" path="m7,7l8874,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4"/>
          <w:footerReference w:type="default" r:id="rId75"/>
          <w:pgSz w:w="11910" w:h="16840"/>
          <w:pgMar w:header="0" w:footer="0" w:top="780" w:bottom="280" w:left="1580" w:right="1040"/>
        </w:sectPr>
      </w:pPr>
    </w:p>
    <w:p>
      <w:pPr>
        <w:spacing w:line="283" w:lineRule="auto" w:before="201"/>
        <w:ind w:left="218" w:right="1809" w:firstLine="0"/>
        <w:jc w:val="left"/>
        <w:rPr>
          <w:rFonts w:ascii="宋体" w:hAnsi="宋体" w:cs="宋体" w:eastAsia="宋体" w:hint="default"/>
          <w:sz w:val="24"/>
          <w:szCs w:val="24"/>
        </w:rPr>
      </w:pPr>
      <w:r>
        <w:rPr>
          <w:rFonts w:ascii="宋体" w:hAnsi="宋体" w:cs="宋体" w:eastAsia="宋体" w:hint="default"/>
          <w:b/>
          <w:bCs/>
          <w:sz w:val="24"/>
          <w:szCs w:val="24"/>
        </w:rPr>
        <w:t>13</w:t>
      </w:r>
      <w:r>
        <w:rPr>
          <w:rFonts w:ascii="宋体" w:hAnsi="宋体" w:cs="宋体" w:eastAsia="宋体" w:hint="default"/>
          <w:b/>
          <w:bCs/>
          <w:sz w:val="24"/>
          <w:szCs w:val="24"/>
        </w:rPr>
        <w:t>、</w:t>
      </w:r>
      <w:r>
        <w:rPr>
          <w:rFonts w:ascii="宋体" w:hAnsi="宋体" w:cs="宋体" w:eastAsia="宋体" w:hint="default"/>
          <w:b/>
          <w:bCs/>
          <w:spacing w:val="-101"/>
          <w:sz w:val="24"/>
          <w:szCs w:val="24"/>
        </w:rPr>
        <w:t> </w:t>
      </w:r>
      <w:r>
        <w:rPr>
          <w:rFonts w:ascii="宋体" w:hAnsi="宋体" w:cs="宋体" w:eastAsia="宋体" w:hint="default"/>
          <w:b/>
          <w:bCs/>
          <w:sz w:val="24"/>
          <w:szCs w:val="24"/>
        </w:rPr>
        <w:t>投资性房地产</w:t>
      </w:r>
      <w:r>
        <w:rPr>
          <w:rFonts w:ascii="宋体" w:hAnsi="宋体" w:cs="宋体" w:eastAsia="宋体" w:hint="default"/>
          <w:b/>
          <w:bCs/>
          <w:w w:val="99"/>
          <w:sz w:val="24"/>
          <w:szCs w:val="24"/>
        </w:rPr>
        <w:t> </w:t>
      </w:r>
      <w:r>
        <w:rPr>
          <w:rFonts w:ascii="宋体" w:hAnsi="宋体" w:cs="宋体" w:eastAsia="宋体" w:hint="default"/>
          <w:sz w:val="24"/>
          <w:szCs w:val="24"/>
        </w:rPr>
        <w:t>投资性房地产计量模式</w:t>
      </w:r>
    </w:p>
    <w:p>
      <w:pPr>
        <w:pStyle w:val="Heading2"/>
        <w:spacing w:line="240" w:lineRule="auto" w:before="12"/>
        <w:ind w:right="-18"/>
        <w:jc w:val="left"/>
        <w:rPr>
          <w:b w:val="0"/>
          <w:bCs w:val="0"/>
        </w:rPr>
      </w:pPr>
      <w:r>
        <w:rPr>
          <w:rFonts w:ascii="宋体" w:hAnsi="宋体" w:cs="宋体" w:eastAsia="宋体" w:hint="default"/>
        </w:rPr>
        <w:t>(1).</w:t>
      </w:r>
      <w:r>
        <w:rPr>
          <w:rFonts w:ascii="宋体" w:hAnsi="宋体" w:cs="宋体" w:eastAsia="宋体" w:hint="default"/>
          <w:spacing w:val="9"/>
        </w:rPr>
        <w:t> </w:t>
      </w:r>
      <w:r>
        <w:rPr/>
        <w:t>采用成本计量模式的投资性房地产</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6"/>
        <w:rPr>
          <w:rFonts w:ascii="宋体" w:hAnsi="宋体" w:cs="宋体" w:eastAsia="宋体" w:hint="default"/>
          <w:b/>
          <w:bCs/>
          <w:sz w:val="28"/>
          <w:szCs w:val="28"/>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000" w:bottom="280" w:left="1580" w:right="1040"/>
          <w:cols w:num="2" w:equalWidth="0">
            <w:col w:w="4448" w:space="1745"/>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01"/>
        <w:gridCol w:w="2136"/>
        <w:gridCol w:w="1776"/>
        <w:gridCol w:w="2137"/>
      </w:tblGrid>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房屋、建筑物</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3" w:right="0"/>
              <w:jc w:val="left"/>
              <w:rPr>
                <w:rFonts w:ascii="宋体" w:hAnsi="宋体" w:cs="宋体" w:eastAsia="宋体" w:hint="default"/>
                <w:sz w:val="24"/>
                <w:szCs w:val="24"/>
              </w:rPr>
            </w:pPr>
            <w:r>
              <w:rPr>
                <w:rFonts w:ascii="宋体" w:hAnsi="宋体" w:cs="宋体" w:eastAsia="宋体" w:hint="default"/>
                <w:sz w:val="24"/>
                <w:szCs w:val="24"/>
              </w:rPr>
              <w:t>土地使用权</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一、账面原值</w:t>
            </w:r>
          </w:p>
        </w:tc>
        <w:tc>
          <w:tcPr>
            <w:tcW w:w="213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期初余额</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437,863,493.51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19,098,274.27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456,961,767.78</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6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本期增加金额</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739,841,940.31</w:t>
            </w:r>
          </w:p>
        </w:tc>
        <w:tc>
          <w:tcPr>
            <w:tcW w:w="177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739,841,940.31</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）外购</w:t>
            </w:r>
          </w:p>
        </w:tc>
        <w:tc>
          <w:tcPr>
            <w:tcW w:w="213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）存货</w:t>
            </w:r>
            <w:r>
              <w:rPr>
                <w:rFonts w:ascii="宋体" w:hAnsi="宋体" w:cs="宋体" w:eastAsia="宋体" w:hint="default"/>
                <w:sz w:val="24"/>
                <w:szCs w:val="24"/>
              </w:rPr>
              <w:t>\</w:t>
            </w:r>
            <w:r>
              <w:rPr>
                <w:rFonts w:ascii="宋体" w:hAnsi="宋体" w:cs="宋体" w:eastAsia="宋体" w:hint="default"/>
                <w:sz w:val="24"/>
                <w:szCs w:val="24"/>
              </w:rPr>
              <w:t>固定资产</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在建工程转入</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739,841,940.31</w:t>
            </w:r>
          </w:p>
        </w:tc>
        <w:tc>
          <w:tcPr>
            <w:tcW w:w="177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739,841,940.31</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）企业合并增加</w:t>
            </w:r>
          </w:p>
        </w:tc>
        <w:tc>
          <w:tcPr>
            <w:tcW w:w="213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本期减少金额</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27,744,857.77</w:t>
            </w:r>
          </w:p>
        </w:tc>
        <w:tc>
          <w:tcPr>
            <w:tcW w:w="177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27,744,857.77</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）处置</w:t>
            </w:r>
          </w:p>
        </w:tc>
        <w:tc>
          <w:tcPr>
            <w:tcW w:w="213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）其他转出</w:t>
            </w:r>
          </w:p>
        </w:tc>
        <w:tc>
          <w:tcPr>
            <w:tcW w:w="213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）转入存货</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27,744,857.77</w:t>
            </w:r>
          </w:p>
        </w:tc>
        <w:tc>
          <w:tcPr>
            <w:tcW w:w="177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27,744,857.77</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期末余额</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1,149,960,576.05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19,098,274.27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1,169,058,850.32</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二、累计折旧和累计摊销</w:t>
            </w:r>
          </w:p>
        </w:tc>
        <w:tc>
          <w:tcPr>
            <w:tcW w:w="213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期初余额</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100,250,135.77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3,337,674.27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103,587,810.04</w:t>
            </w:r>
          </w:p>
        </w:tc>
      </w:tr>
      <w:tr>
        <w:trPr>
          <w:trHeight w:val="319"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本期增加金额</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26,329,542.90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562,065.12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26,891,608.02</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）计提或摊销</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24,584,029.20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562,065.12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25,146,094.32</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）固定资产转入</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1,745,513.70</w:t>
            </w:r>
          </w:p>
        </w:tc>
        <w:tc>
          <w:tcPr>
            <w:tcW w:w="177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1,745,513.70</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本期减少金额</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5,052,161.92</w:t>
            </w:r>
          </w:p>
        </w:tc>
        <w:tc>
          <w:tcPr>
            <w:tcW w:w="177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5,052,161.92</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）处置</w:t>
            </w:r>
          </w:p>
        </w:tc>
        <w:tc>
          <w:tcPr>
            <w:tcW w:w="213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）其他转出</w:t>
            </w:r>
          </w:p>
        </w:tc>
        <w:tc>
          <w:tcPr>
            <w:tcW w:w="213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）转入存货</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5,052,161.92</w:t>
            </w:r>
          </w:p>
        </w:tc>
        <w:tc>
          <w:tcPr>
            <w:tcW w:w="177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5,052,161.92</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8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期末余额</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121,527,516.75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3,899,739.39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125,427,256.14</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三、减值准备</w:t>
            </w:r>
          </w:p>
        </w:tc>
        <w:tc>
          <w:tcPr>
            <w:tcW w:w="213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四、账面价值</w:t>
            </w:r>
          </w:p>
        </w:tc>
        <w:tc>
          <w:tcPr>
            <w:tcW w:w="213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期末账面价值</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1,028,433,059.30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15,198,534.88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1,043,631,594.18</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期初账面价值</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337,613,357.74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15,760,600.00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353,373,957.74</w:t>
            </w:r>
          </w:p>
        </w:tc>
      </w:tr>
    </w:tbl>
    <w:p>
      <w:pPr>
        <w:spacing w:line="240" w:lineRule="auto" w:before="5"/>
        <w:rPr>
          <w:rFonts w:ascii="宋体" w:hAnsi="宋体" w:cs="宋体" w:eastAsia="宋体" w:hint="default"/>
          <w:sz w:val="23"/>
          <w:szCs w:val="23"/>
        </w:rPr>
      </w:pPr>
    </w:p>
    <w:p>
      <w:pPr>
        <w:pStyle w:val="Heading2"/>
        <w:spacing w:line="240" w:lineRule="auto"/>
        <w:ind w:right="233"/>
        <w:jc w:val="left"/>
        <w:rPr>
          <w:b w:val="0"/>
          <w:bCs w:val="0"/>
        </w:rPr>
      </w:pPr>
      <w:r>
        <w:rPr>
          <w:rFonts w:ascii="宋体" w:hAnsi="宋体" w:cs="宋体" w:eastAsia="宋体" w:hint="default"/>
        </w:rPr>
        <w:t>(2).</w:t>
      </w:r>
      <w:r>
        <w:rPr>
          <w:rFonts w:ascii="宋体" w:hAnsi="宋体" w:cs="宋体" w:eastAsia="宋体" w:hint="default"/>
          <w:spacing w:val="9"/>
        </w:rPr>
        <w:t> </w:t>
      </w:r>
      <w:r>
        <w:rPr/>
        <w:t>未办妥产权证书的投资性房地产情况：</w:t>
      </w:r>
      <w:r>
        <w:rPr>
          <w:b w:val="0"/>
          <w:bCs w:val="0"/>
        </w:rPr>
      </w:r>
    </w:p>
    <w:p>
      <w:pPr>
        <w:pStyle w:val="BodyText"/>
        <w:tabs>
          <w:tab w:pos="1177" w:val="left" w:leader="none"/>
        </w:tabs>
        <w:spacing w:line="312" w:lineRule="exact" w:before="86"/>
        <w:ind w:left="167" w:right="7146" w:firstLine="50"/>
        <w:jc w:val="left"/>
      </w:pPr>
      <w:r>
        <w:rPr>
          <w:spacing w:val="-1"/>
        </w:rPr>
        <w:t>□适用</w:t>
        <w:tab/>
      </w:r>
      <w:r>
        <w:rPr/>
        <w:t>√不适用</w:t>
      </w:r>
      <w:r>
        <w:rPr/>
        <w:t> 其他说明</w:t>
      </w:r>
    </w:p>
    <w:p>
      <w:pPr>
        <w:pStyle w:val="BodyText"/>
        <w:tabs>
          <w:tab w:pos="1127" w:val="left" w:leader="none"/>
        </w:tabs>
        <w:spacing w:line="283" w:lineRule="exact"/>
        <w:ind w:left="167" w:right="233"/>
        <w:jc w:val="left"/>
      </w:pPr>
      <w:r>
        <w:rPr/>
        <w:t>□适用</w:t>
        <w:tab/>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0"/>
        <w:ind w:left="0" w:right="17" w:firstLine="0"/>
        <w:jc w:val="center"/>
        <w:rPr>
          <w:rFonts w:ascii="Calibri" w:hAnsi="Calibri" w:cs="Calibri" w:eastAsia="Calibri" w:hint="default"/>
          <w:sz w:val="18"/>
          <w:szCs w:val="18"/>
        </w:rPr>
      </w:pPr>
      <w:r>
        <w:rPr>
          <w:rFonts w:ascii="Calibri"/>
          <w:b/>
          <w:sz w:val="18"/>
        </w:rPr>
        <w:t>137 </w:t>
      </w:r>
      <w:r>
        <w:rPr>
          <w:rFonts w:ascii="Calibri"/>
          <w:sz w:val="18"/>
        </w:rPr>
        <w:t>/</w:t>
      </w:r>
      <w:r>
        <w:rPr>
          <w:rFonts w:ascii="Calibri"/>
          <w:spacing w:val="-5"/>
          <w:sz w:val="18"/>
        </w:rPr>
        <w:t> </w:t>
      </w:r>
      <w:r>
        <w:rPr>
          <w:rFonts w:ascii="Calibri"/>
          <w:b/>
          <w:sz w:val="18"/>
        </w:rPr>
        <w:t>221</w:t>
      </w:r>
      <w:r>
        <w:rPr>
          <w:rFonts w:ascii="Calibri"/>
          <w:sz w:val="18"/>
        </w:rPr>
      </w:r>
    </w:p>
    <w:p>
      <w:pPr>
        <w:spacing w:after="0"/>
        <w:jc w:val="center"/>
        <w:rPr>
          <w:rFonts w:ascii="Calibri" w:hAnsi="Calibri" w:cs="Calibri" w:eastAsia="Calibri" w:hint="default"/>
          <w:sz w:val="18"/>
          <w:szCs w:val="18"/>
        </w:rPr>
        <w:sectPr>
          <w:type w:val="continuous"/>
          <w:pgSz w:w="11910" w:h="16840"/>
          <w:pgMar w:top="1000" w:bottom="280" w:left="1580" w:right="104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11"/>
        <w:rPr>
          <w:rFonts w:ascii="Calibri" w:hAnsi="Calibri" w:cs="Calibri" w:eastAsia="Calibri" w:hint="default"/>
          <w:b/>
          <w:bCs/>
          <w:sz w:val="19"/>
          <w:szCs w:val="19"/>
        </w:rPr>
      </w:pPr>
    </w:p>
    <w:p>
      <w:pPr>
        <w:spacing w:after="0" w:line="240" w:lineRule="auto"/>
        <w:rPr>
          <w:rFonts w:ascii="Calibri" w:hAnsi="Calibri" w:cs="Calibri" w:eastAsia="Calibri" w:hint="default"/>
          <w:sz w:val="19"/>
          <w:szCs w:val="19"/>
        </w:rPr>
        <w:sectPr>
          <w:headerReference w:type="default" r:id="rId76"/>
          <w:footerReference w:type="default" r:id="rId77"/>
          <w:pgSz w:w="16840" w:h="11910" w:orient="landscape"/>
          <w:pgMar w:header="882" w:footer="1195" w:top="1120" w:bottom="1380" w:left="1300" w:right="1380"/>
          <w:pgNumType w:start="138"/>
        </w:sectPr>
      </w:pPr>
    </w:p>
    <w:p>
      <w:pPr>
        <w:pStyle w:val="Heading2"/>
        <w:spacing w:line="240" w:lineRule="auto"/>
        <w:ind w:left="140" w:right="0"/>
        <w:jc w:val="left"/>
        <w:rPr>
          <w:b w:val="0"/>
          <w:bCs w:val="0"/>
        </w:rPr>
      </w:pPr>
      <w:r>
        <w:rPr>
          <w:rFonts w:ascii="宋体" w:hAnsi="宋体" w:cs="宋体" w:eastAsia="宋体" w:hint="default"/>
        </w:rPr>
        <w:t>14</w:t>
      </w:r>
      <w:r>
        <w:rPr/>
        <w:t>、</w:t>
      </w:r>
      <w:r>
        <w:rPr>
          <w:spacing w:val="-101"/>
        </w:rPr>
        <w:t> </w:t>
      </w:r>
      <w:r>
        <w:rPr/>
        <w:t>固定资产</w:t>
      </w:r>
      <w:r>
        <w:rPr>
          <w:b w:val="0"/>
          <w:bCs w:val="0"/>
        </w:rPr>
      </w:r>
    </w:p>
    <w:p>
      <w:pPr>
        <w:pStyle w:val="Heading2"/>
        <w:tabs>
          <w:tab w:pos="980" w:val="left" w:leader="none"/>
        </w:tabs>
        <w:spacing w:line="240" w:lineRule="auto" w:before="58"/>
        <w:ind w:left="140" w:right="0"/>
        <w:jc w:val="left"/>
        <w:rPr>
          <w:b w:val="0"/>
          <w:bCs w:val="0"/>
        </w:rPr>
      </w:pPr>
      <w:r>
        <w:rPr>
          <w:rFonts w:ascii="宋体" w:hAnsi="宋体" w:cs="宋体" w:eastAsia="宋体" w:hint="default"/>
        </w:rPr>
        <w:t>(1).</w:t>
        <w:tab/>
      </w:r>
      <w:r>
        <w:rPr>
          <w:w w:val="95"/>
        </w:rPr>
        <w:t>固定资产情况</w:t>
      </w:r>
      <w:r>
        <w:rPr>
          <w:b w:val="0"/>
          <w:bCs w:val="0"/>
        </w:rPr>
      </w:r>
    </w:p>
    <w:p>
      <w:pPr>
        <w:pStyle w:val="BodyText"/>
        <w:tabs>
          <w:tab w:pos="1100" w:val="left" w:leader="none"/>
        </w:tabs>
        <w:spacing w:line="240" w:lineRule="auto" w:before="58"/>
        <w:ind w:left="140" w:right="0"/>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4"/>
          <w:szCs w:val="34"/>
        </w:rPr>
      </w:pPr>
    </w:p>
    <w:p>
      <w:pPr>
        <w:pStyle w:val="BodyText"/>
        <w:tabs>
          <w:tab w:pos="1339" w:val="left" w:leader="none"/>
        </w:tabs>
        <w:spacing w:line="240" w:lineRule="auto"/>
        <w:ind w:left="140" w:right="0"/>
        <w:jc w:val="left"/>
      </w:pPr>
      <w:r>
        <w:rPr/>
        <w:t>单位：元</w:t>
        <w:tab/>
        <w:t>币种：人民币</w:t>
      </w:r>
    </w:p>
    <w:p>
      <w:pPr>
        <w:spacing w:after="0" w:line="240" w:lineRule="auto"/>
        <w:jc w:val="left"/>
        <w:sectPr>
          <w:type w:val="continuous"/>
          <w:pgSz w:w="16840" w:h="11910" w:orient="landscape"/>
          <w:pgMar w:top="1000" w:bottom="280" w:left="1300" w:right="1380"/>
          <w:cols w:num="2" w:equalWidth="0">
            <w:col w:w="2425" w:space="8809"/>
            <w:col w:w="2926"/>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68"/>
        <w:gridCol w:w="1741"/>
        <w:gridCol w:w="1620"/>
        <w:gridCol w:w="1620"/>
        <w:gridCol w:w="1741"/>
        <w:gridCol w:w="1620"/>
        <w:gridCol w:w="2127"/>
      </w:tblGrid>
      <w:tr>
        <w:trPr>
          <w:trHeight w:val="529"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46"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26" w:right="0"/>
              <w:jc w:val="left"/>
              <w:rPr>
                <w:rFonts w:ascii="宋体" w:hAnsi="宋体" w:cs="宋体" w:eastAsia="宋体" w:hint="default"/>
                <w:sz w:val="24"/>
                <w:szCs w:val="24"/>
              </w:rPr>
            </w:pPr>
            <w:r>
              <w:rPr>
                <w:rFonts w:ascii="宋体" w:hAnsi="宋体" w:cs="宋体" w:eastAsia="宋体" w:hint="default"/>
                <w:sz w:val="24"/>
                <w:szCs w:val="24"/>
              </w:rPr>
              <w:t>通用设备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26" w:right="0"/>
              <w:jc w:val="left"/>
              <w:rPr>
                <w:rFonts w:ascii="宋体" w:hAnsi="宋体" w:cs="宋体" w:eastAsia="宋体" w:hint="default"/>
                <w:sz w:val="24"/>
                <w:szCs w:val="24"/>
              </w:rPr>
            </w:pPr>
            <w:r>
              <w:rPr>
                <w:rFonts w:ascii="宋体" w:hAnsi="宋体" w:cs="宋体" w:eastAsia="宋体" w:hint="default"/>
                <w:sz w:val="24"/>
                <w:szCs w:val="24"/>
              </w:rPr>
              <w:t>专用设备</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86" w:right="0"/>
              <w:jc w:val="left"/>
              <w:rPr>
                <w:rFonts w:ascii="宋体" w:hAnsi="宋体" w:cs="宋体" w:eastAsia="宋体" w:hint="default"/>
                <w:sz w:val="24"/>
                <w:szCs w:val="24"/>
              </w:rPr>
            </w:pPr>
            <w:r>
              <w:rPr>
                <w:rFonts w:ascii="宋体" w:hAnsi="宋体" w:cs="宋体" w:eastAsia="宋体" w:hint="default"/>
                <w:sz w:val="24"/>
                <w:szCs w:val="24"/>
              </w:rPr>
              <w:t>运输工具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26"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4"/>
                <w:szCs w:val="24"/>
              </w:rPr>
            </w:pPr>
            <w:r>
              <w:rPr>
                <w:rFonts w:ascii="宋体" w:hAnsi="宋体" w:cs="宋体" w:eastAsia="宋体" w:hint="default"/>
                <w:sz w:val="24"/>
                <w:szCs w:val="24"/>
              </w:rPr>
              <w:t>合计</w:t>
            </w:r>
          </w:p>
        </w:tc>
      </w:tr>
      <w:tr>
        <w:trPr>
          <w:trHeight w:val="322"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一、账面原值：</w:t>
            </w:r>
          </w:p>
        </w:tc>
        <w:tc>
          <w:tcPr>
            <w:tcW w:w="17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期初余额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205,281,344.91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51,889,243.65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13,158,850.61</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99,863,101.54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13,144,190.10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383,336,730.81</w:t>
            </w:r>
          </w:p>
        </w:tc>
      </w:tr>
      <w:tr>
        <w:trPr>
          <w:trHeight w:val="322"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本期增加金额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285,936,545.04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7,111,078.25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911,830.42</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16,139,873.40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2,254,943.74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312,354,270.85</w:t>
            </w:r>
          </w:p>
        </w:tc>
      </w:tr>
      <w:tr>
        <w:trPr>
          <w:trHeight w:val="322"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6"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）购置</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2,250,357.52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5,981,508.05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911,830.42</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14,355,384.08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2,235,143.74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25,734,223.81</w:t>
            </w:r>
          </w:p>
        </w:tc>
      </w:tr>
      <w:tr>
        <w:trPr>
          <w:trHeight w:val="319"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6"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）在建工程转入</w:t>
            </w:r>
          </w:p>
        </w:tc>
        <w:tc>
          <w:tcPr>
            <w:tcW w:w="17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46"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）企业合并增加</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643,094.30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1,129,570.20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1,784,489.32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19,800.00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3,576,953.82</w:t>
            </w:r>
          </w:p>
        </w:tc>
      </w:tr>
      <w:tr>
        <w:trPr>
          <w:trHeight w:val="322"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6"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）存货转入</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283,043,093.22</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283,043,093.22</w:t>
            </w:r>
          </w:p>
        </w:tc>
      </w:tr>
      <w:tr>
        <w:trPr>
          <w:trHeight w:val="322"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26"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本期减少金额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13,287,551.55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40,678,710.73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44,019.00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15,981,741.28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823,197.96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70,815,220.52</w:t>
            </w:r>
          </w:p>
        </w:tc>
      </w:tr>
      <w:tr>
        <w:trPr>
          <w:trHeight w:val="322"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6"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）处置或报废</w:t>
            </w:r>
          </w:p>
        </w:tc>
        <w:tc>
          <w:tcPr>
            <w:tcW w:w="17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735,284.73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6,840.00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8,434,689.15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810,577.38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9,987,391.26</w:t>
            </w:r>
          </w:p>
        </w:tc>
      </w:tr>
      <w:tr>
        <w:trPr>
          <w:trHeight w:val="322"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6"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）转入投资性房地产</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12,683,697.72</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12,683,697.72</w:t>
            </w:r>
          </w:p>
        </w:tc>
      </w:tr>
      <w:tr>
        <w:trPr>
          <w:trHeight w:val="322"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6"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）企业合并减少</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603,853.83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39,943,426.00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37,179.00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7,547,052.13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12,620.58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48,144,131.54</w:t>
            </w:r>
          </w:p>
        </w:tc>
      </w:tr>
      <w:tr>
        <w:trPr>
          <w:trHeight w:val="319"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期末余额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477,930,338.40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18,321,611.17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14,026,662.03</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100,021,233.66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14,575,935.88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624,875,781.14</w:t>
            </w:r>
          </w:p>
        </w:tc>
      </w:tr>
      <w:tr>
        <w:trPr>
          <w:trHeight w:val="322"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二、累计折旧</w:t>
            </w:r>
          </w:p>
        </w:tc>
        <w:tc>
          <w:tcPr>
            <w:tcW w:w="17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期初余额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54,710,926.87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39,166,970.47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8,870,095.16</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57,065,798.85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9,991,297.93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169,805,089.28</w:t>
            </w:r>
          </w:p>
        </w:tc>
      </w:tr>
      <w:tr>
        <w:trPr>
          <w:trHeight w:val="322"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本期增加金额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10,676,562.18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6,467,832.85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1,216,383.92</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12,151,973.14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1,156,057.26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31,668,809.35</w:t>
            </w:r>
          </w:p>
        </w:tc>
      </w:tr>
      <w:tr>
        <w:trPr>
          <w:trHeight w:val="322"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6"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）计提</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10,498,839.34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5,432,998.86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1,216,383.92</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10,539,926.21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1,146,025.26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28,834,173.59</w:t>
            </w:r>
          </w:p>
        </w:tc>
      </w:tr>
      <w:tr>
        <w:trPr>
          <w:trHeight w:val="322"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6"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）企业合并增加</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177,722.84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1,034,833.99</w:t>
            </w:r>
          </w:p>
        </w:tc>
        <w:tc>
          <w:tcPr>
            <w:tcW w:w="162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1,612,046.93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10,032.00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2,834,635.76</w:t>
            </w:r>
          </w:p>
        </w:tc>
      </w:tr>
      <w:tr>
        <w:trPr>
          <w:trHeight w:val="322"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本期减少金额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2,187,315.46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33,156,941.26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10,422.48</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11,130,207.75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765,964.28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47,250,851.23</w:t>
            </w:r>
          </w:p>
        </w:tc>
      </w:tr>
      <w:tr>
        <w:trPr>
          <w:trHeight w:val="322"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6"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）处置或报废</w:t>
            </w:r>
          </w:p>
        </w:tc>
        <w:tc>
          <w:tcPr>
            <w:tcW w:w="17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622,713.08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6,498.00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7,529,607.76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759,892.50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8,918,711.34</w:t>
            </w:r>
          </w:p>
        </w:tc>
      </w:tr>
    </w:tbl>
    <w:p>
      <w:pPr>
        <w:spacing w:after="0" w:line="274" w:lineRule="exact"/>
        <w:jc w:val="right"/>
        <w:rPr>
          <w:rFonts w:ascii="宋体" w:hAnsi="宋体" w:cs="宋体" w:eastAsia="宋体" w:hint="default"/>
          <w:sz w:val="24"/>
          <w:szCs w:val="24"/>
        </w:rPr>
        <w:sectPr>
          <w:type w:val="continuous"/>
          <w:pgSz w:w="16840" w:h="11910" w:orient="landscape"/>
          <w:pgMar w:top="1000" w:bottom="280" w:left="130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468"/>
        <w:gridCol w:w="1741"/>
        <w:gridCol w:w="1620"/>
        <w:gridCol w:w="1620"/>
        <w:gridCol w:w="1741"/>
        <w:gridCol w:w="1620"/>
        <w:gridCol w:w="2127"/>
      </w:tblGrid>
      <w:tr>
        <w:trPr>
          <w:trHeight w:val="322"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6"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）转入投资性房地产</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1,745,513.70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1,745,513.70</w:t>
            </w:r>
          </w:p>
        </w:tc>
      </w:tr>
      <w:tr>
        <w:trPr>
          <w:trHeight w:val="319"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6"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）企业合并减少</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441,801.76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32,534,228.18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3,924.48</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3,600,599.99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6,071.78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36,586,626.19</w:t>
            </w:r>
          </w:p>
        </w:tc>
      </w:tr>
      <w:tr>
        <w:trPr>
          <w:trHeight w:val="322"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06"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期末余额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63,200,173.59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12,477,862.06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10,076,056.60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58,087,564.24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10,381,390.91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154,223,047.40</w:t>
            </w:r>
          </w:p>
        </w:tc>
      </w:tr>
      <w:tr>
        <w:trPr>
          <w:trHeight w:val="322"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三、减值准备</w:t>
            </w:r>
          </w:p>
        </w:tc>
        <w:tc>
          <w:tcPr>
            <w:tcW w:w="17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四、账面价值</w:t>
            </w:r>
          </w:p>
        </w:tc>
        <w:tc>
          <w:tcPr>
            <w:tcW w:w="17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期末账面价值</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414,730,164.81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5,843,749.11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3,950,605.43</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41,933,669.42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4,194,544.97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470,652,733.74</w:t>
            </w:r>
          </w:p>
        </w:tc>
      </w:tr>
      <w:tr>
        <w:trPr>
          <w:trHeight w:val="322"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期初账面价值</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150,570,418.04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12,722,273.18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4,288,755.45</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42,797,302.69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3,152,892.17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213,531,641.53</w:t>
            </w:r>
          </w:p>
        </w:tc>
      </w:tr>
    </w:tbl>
    <w:p>
      <w:pPr>
        <w:spacing w:line="240" w:lineRule="auto" w:before="5"/>
        <w:rPr>
          <w:rFonts w:ascii="宋体" w:hAnsi="宋体" w:cs="宋体" w:eastAsia="宋体" w:hint="default"/>
          <w:sz w:val="23"/>
          <w:szCs w:val="23"/>
        </w:rPr>
      </w:pPr>
    </w:p>
    <w:p>
      <w:pPr>
        <w:pStyle w:val="Heading2"/>
        <w:tabs>
          <w:tab w:pos="980" w:val="left" w:leader="none"/>
        </w:tabs>
        <w:spacing w:line="240" w:lineRule="auto"/>
        <w:ind w:left="140" w:right="0"/>
        <w:jc w:val="left"/>
        <w:rPr>
          <w:b w:val="0"/>
          <w:bCs w:val="0"/>
        </w:rPr>
      </w:pPr>
      <w:r>
        <w:rPr>
          <w:rFonts w:ascii="宋体" w:hAnsi="宋体" w:cs="宋体" w:eastAsia="宋体" w:hint="default"/>
        </w:rPr>
        <w:t>(2).</w:t>
        <w:tab/>
      </w:r>
      <w:r>
        <w:rPr/>
        <w:t>暂时闲置的固定资产情况</w:t>
      </w:r>
      <w:r>
        <w:rPr>
          <w:b w:val="0"/>
          <w:bCs w:val="0"/>
        </w:rPr>
      </w:r>
    </w:p>
    <w:p>
      <w:pPr>
        <w:pStyle w:val="BodyText"/>
        <w:spacing w:line="240" w:lineRule="auto" w:before="55"/>
        <w:ind w:left="140" w:right="0"/>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tabs>
          <w:tab w:pos="980" w:val="left" w:leader="none"/>
        </w:tabs>
        <w:spacing w:line="240" w:lineRule="auto" w:before="0"/>
        <w:ind w:left="140" w:right="0"/>
        <w:jc w:val="left"/>
        <w:rPr>
          <w:b w:val="0"/>
          <w:bCs w:val="0"/>
        </w:rPr>
      </w:pPr>
      <w:r>
        <w:rPr>
          <w:rFonts w:ascii="宋体" w:hAnsi="宋体" w:cs="宋体" w:eastAsia="宋体" w:hint="default"/>
        </w:rPr>
        <w:t>(3).</w:t>
        <w:tab/>
      </w:r>
      <w:r>
        <w:rPr/>
        <w:t>通过融资租赁租入的固定资产情况</w:t>
      </w:r>
      <w:r>
        <w:rPr>
          <w:b w:val="0"/>
          <w:bCs w:val="0"/>
        </w:rPr>
      </w:r>
    </w:p>
    <w:p>
      <w:pPr>
        <w:pStyle w:val="BodyText"/>
        <w:spacing w:line="240" w:lineRule="auto" w:before="55"/>
        <w:ind w:left="140" w:right="0"/>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tabs>
          <w:tab w:pos="980" w:val="left" w:leader="none"/>
        </w:tabs>
        <w:spacing w:line="240" w:lineRule="auto" w:before="0"/>
        <w:ind w:left="140" w:right="0"/>
        <w:jc w:val="left"/>
        <w:rPr>
          <w:b w:val="0"/>
          <w:bCs w:val="0"/>
        </w:rPr>
      </w:pPr>
      <w:r>
        <w:rPr>
          <w:rFonts w:ascii="宋体" w:hAnsi="宋体" w:cs="宋体" w:eastAsia="宋体" w:hint="default"/>
        </w:rPr>
        <w:t>(4).</w:t>
        <w:tab/>
      </w:r>
      <w:r>
        <w:rPr/>
        <w:t>通过经营租赁租出的固定资产</w:t>
      </w:r>
      <w:r>
        <w:rPr>
          <w:b w:val="0"/>
          <w:bCs w:val="0"/>
        </w:rPr>
      </w:r>
    </w:p>
    <w:p>
      <w:pPr>
        <w:pStyle w:val="BodyText"/>
        <w:spacing w:line="240" w:lineRule="auto" w:before="55"/>
        <w:ind w:left="140" w:right="0"/>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tabs>
          <w:tab w:pos="980" w:val="left" w:leader="none"/>
        </w:tabs>
        <w:spacing w:line="240" w:lineRule="auto" w:before="0"/>
        <w:ind w:left="140" w:right="0"/>
        <w:jc w:val="left"/>
        <w:rPr>
          <w:b w:val="0"/>
          <w:bCs w:val="0"/>
        </w:rPr>
      </w:pPr>
      <w:r>
        <w:rPr>
          <w:rFonts w:ascii="宋体" w:hAnsi="宋体" w:cs="宋体" w:eastAsia="宋体" w:hint="default"/>
        </w:rPr>
        <w:t>(5).</w:t>
        <w:tab/>
      </w:r>
      <w:r>
        <w:rPr/>
        <w:t>未办妥产权证书的固定资产情况</w:t>
      </w:r>
      <w:r>
        <w:rPr>
          <w:b w:val="0"/>
          <w:bCs w:val="0"/>
        </w:rPr>
      </w:r>
    </w:p>
    <w:p>
      <w:pPr>
        <w:pStyle w:val="BodyText"/>
        <w:spacing w:line="240" w:lineRule="auto" w:before="55"/>
        <w:ind w:left="140"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7"/>
          <w:szCs w:val="27"/>
        </w:rPr>
      </w:pPr>
    </w:p>
    <w:p>
      <w:pPr>
        <w:pStyle w:val="Heading2"/>
        <w:spacing w:line="240" w:lineRule="auto" w:before="0"/>
        <w:ind w:left="140" w:right="0"/>
        <w:jc w:val="left"/>
        <w:rPr>
          <w:b w:val="0"/>
          <w:bCs w:val="0"/>
        </w:rPr>
      </w:pPr>
      <w:r>
        <w:rPr>
          <w:rFonts w:ascii="宋体" w:hAnsi="宋体" w:cs="宋体" w:eastAsia="宋体" w:hint="default"/>
        </w:rPr>
        <w:t>15</w:t>
      </w:r>
      <w:r>
        <w:rPr/>
        <w:t>、</w:t>
      </w:r>
      <w:r>
        <w:rPr>
          <w:spacing w:val="-101"/>
        </w:rPr>
        <w:t> </w:t>
      </w:r>
      <w:r>
        <w:rPr/>
        <w:t>在建工程</w:t>
      </w:r>
      <w:r>
        <w:rPr>
          <w:b w:val="0"/>
          <w:bCs w:val="0"/>
        </w:rPr>
      </w:r>
    </w:p>
    <w:p>
      <w:pPr>
        <w:pStyle w:val="Heading2"/>
        <w:tabs>
          <w:tab w:pos="980" w:val="left" w:leader="none"/>
        </w:tabs>
        <w:spacing w:line="240" w:lineRule="auto" w:before="58"/>
        <w:ind w:left="140" w:right="0"/>
        <w:jc w:val="left"/>
        <w:rPr>
          <w:b w:val="0"/>
          <w:bCs w:val="0"/>
        </w:rPr>
      </w:pPr>
      <w:r>
        <w:rPr>
          <w:rFonts w:ascii="宋体" w:hAnsi="宋体" w:cs="宋体" w:eastAsia="宋体" w:hint="default"/>
        </w:rPr>
        <w:t>(1).</w:t>
        <w:tab/>
      </w:r>
      <w:r>
        <w:rPr/>
        <w:t>在建工程情况</w:t>
      </w:r>
      <w:r>
        <w:rPr>
          <w:b w:val="0"/>
          <w:bCs w:val="0"/>
        </w:rPr>
      </w:r>
    </w:p>
    <w:p>
      <w:pPr>
        <w:pStyle w:val="BodyText"/>
        <w:spacing w:line="240" w:lineRule="auto" w:before="58"/>
        <w:ind w:left="140" w:right="0"/>
        <w:jc w:val="left"/>
      </w:pPr>
      <w:r>
        <w:rPr/>
        <w:t>√适用</w:t>
      </w:r>
      <w:r>
        <w:rPr>
          <w:spacing w:val="-1"/>
        </w:rPr>
        <w:t> </w:t>
      </w:r>
      <w:r>
        <w:rPr/>
        <w:t>□不适用</w:t>
      </w:r>
    </w:p>
    <w:p>
      <w:pPr>
        <w:spacing w:after="0" w:line="240" w:lineRule="auto"/>
        <w:jc w:val="left"/>
        <w:sectPr>
          <w:pgSz w:w="16840" w:h="11910" w:orient="landscape"/>
          <w:pgMar w:header="882" w:footer="1195" w:top="1120" w:bottom="1380" w:left="1300" w:right="13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tabs>
          <w:tab w:pos="1199" w:val="left" w:leader="none"/>
        </w:tabs>
        <w:spacing w:line="240" w:lineRule="auto" w:before="26"/>
        <w:ind w:left="0" w:right="222"/>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902"/>
        <w:gridCol w:w="1841"/>
        <w:gridCol w:w="1843"/>
        <w:gridCol w:w="1822"/>
        <w:gridCol w:w="1822"/>
        <w:gridCol w:w="1841"/>
        <w:gridCol w:w="1865"/>
      </w:tblGrid>
      <w:tr>
        <w:trPr>
          <w:trHeight w:val="322" w:hRule="exact"/>
        </w:trPr>
        <w:tc>
          <w:tcPr>
            <w:tcW w:w="2902" w:type="dxa"/>
            <w:vMerge w:val="restart"/>
            <w:tcBorders>
              <w:top w:val="single" w:sz="4" w:space="0" w:color="000000"/>
              <w:left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55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55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902"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6"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6" w:right="0"/>
              <w:jc w:val="left"/>
              <w:rPr>
                <w:rFonts w:ascii="宋体" w:hAnsi="宋体" w:cs="宋体" w:eastAsia="宋体" w:hint="default"/>
                <w:sz w:val="24"/>
                <w:szCs w:val="24"/>
              </w:rPr>
            </w:pPr>
            <w:r>
              <w:rPr>
                <w:rFonts w:ascii="宋体" w:hAnsi="宋体" w:cs="宋体" w:eastAsia="宋体" w:hint="default"/>
                <w:sz w:val="24"/>
                <w:szCs w:val="24"/>
              </w:rPr>
              <w:t>减值准备</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7" w:right="0"/>
              <w:jc w:val="left"/>
              <w:rPr>
                <w:rFonts w:ascii="宋体" w:hAnsi="宋体" w:cs="宋体" w:eastAsia="宋体" w:hint="default"/>
                <w:sz w:val="24"/>
                <w:szCs w:val="24"/>
              </w:rPr>
            </w:pPr>
            <w:r>
              <w:rPr>
                <w:rFonts w:ascii="宋体" w:hAnsi="宋体" w:cs="宋体" w:eastAsia="宋体" w:hint="default"/>
                <w:sz w:val="24"/>
                <w:szCs w:val="24"/>
              </w:rPr>
              <w:t>账面价值</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4"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6" w:right="0"/>
              <w:jc w:val="left"/>
              <w:rPr>
                <w:rFonts w:ascii="宋体" w:hAnsi="宋体" w:cs="宋体" w:eastAsia="宋体" w:hint="default"/>
                <w:sz w:val="24"/>
                <w:szCs w:val="24"/>
              </w:rPr>
            </w:pPr>
            <w:r>
              <w:rPr>
                <w:rFonts w:ascii="宋体" w:hAnsi="宋体" w:cs="宋体" w:eastAsia="宋体" w:hint="default"/>
                <w:sz w:val="24"/>
                <w:szCs w:val="24"/>
              </w:rPr>
              <w:t>减值准备</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6" w:right="0"/>
              <w:jc w:val="left"/>
              <w:rPr>
                <w:rFonts w:ascii="宋体" w:hAnsi="宋体" w:cs="宋体" w:eastAsia="宋体" w:hint="default"/>
                <w:sz w:val="24"/>
                <w:szCs w:val="24"/>
              </w:rPr>
            </w:pPr>
            <w:r>
              <w:rPr>
                <w:rFonts w:ascii="宋体" w:hAnsi="宋体" w:cs="宋体" w:eastAsia="宋体" w:hint="default"/>
                <w:sz w:val="24"/>
                <w:szCs w:val="24"/>
              </w:rPr>
              <w:t>账面价值</w:t>
            </w:r>
          </w:p>
        </w:tc>
      </w:tr>
      <w:tr>
        <w:trPr>
          <w:trHeight w:val="322"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丰宁承龙采矿工程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1" w:right="0"/>
              <w:jc w:val="left"/>
              <w:rPr>
                <w:rFonts w:ascii="宋体" w:hAnsi="宋体" w:cs="宋体" w:eastAsia="宋体" w:hint="default"/>
                <w:sz w:val="24"/>
                <w:szCs w:val="24"/>
              </w:rPr>
            </w:pPr>
            <w:r>
              <w:rPr>
                <w:rFonts w:ascii="宋体"/>
                <w:sz w:val="24"/>
              </w:rPr>
              <w:t>1,159,707.15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74" w:right="0"/>
              <w:jc w:val="left"/>
              <w:rPr>
                <w:rFonts w:ascii="宋体" w:hAnsi="宋体" w:cs="宋体" w:eastAsia="宋体" w:hint="default"/>
                <w:sz w:val="24"/>
                <w:szCs w:val="24"/>
              </w:rPr>
            </w:pPr>
            <w:r>
              <w:rPr>
                <w:rFonts w:ascii="宋体"/>
                <w:sz w:val="24"/>
              </w:rPr>
              <w:t>1,159,707.15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
              <w:jc w:val="right"/>
              <w:rPr>
                <w:rFonts w:ascii="宋体" w:hAnsi="宋体" w:cs="宋体" w:eastAsia="宋体" w:hint="default"/>
                <w:sz w:val="24"/>
                <w:szCs w:val="24"/>
              </w:rPr>
            </w:pPr>
            <w:r>
              <w:rPr>
                <w:rFonts w:ascii="宋体"/>
                <w:sz w:val="24"/>
              </w:rPr>
              <w:t>200,000.00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200,000.00</w:t>
            </w:r>
          </w:p>
        </w:tc>
      </w:tr>
      <w:tr>
        <w:trPr>
          <w:trHeight w:val="322"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虹桥绿谷广场</w:t>
            </w:r>
            <w:r>
              <w:rPr>
                <w:rFonts w:ascii="宋体" w:hAnsi="宋体" w:cs="宋体" w:eastAsia="宋体" w:hint="default"/>
                <w:spacing w:val="-60"/>
                <w:sz w:val="24"/>
                <w:szCs w:val="24"/>
              </w:rPr>
              <w:t> </w:t>
            </w:r>
            <w:r>
              <w:rPr>
                <w:rFonts w:ascii="宋体" w:hAnsi="宋体" w:cs="宋体" w:eastAsia="宋体" w:hint="default"/>
                <w:sz w:val="24"/>
                <w:szCs w:val="24"/>
              </w:rPr>
              <w:t>C</w:t>
            </w:r>
            <w:r>
              <w:rPr>
                <w:rFonts w:ascii="宋体" w:hAnsi="宋体" w:cs="宋体" w:eastAsia="宋体" w:hint="default"/>
                <w:spacing w:val="-60"/>
                <w:sz w:val="24"/>
                <w:szCs w:val="24"/>
              </w:rPr>
              <w:t> </w:t>
            </w:r>
            <w:r>
              <w:rPr>
                <w:rFonts w:ascii="宋体" w:hAnsi="宋体" w:cs="宋体" w:eastAsia="宋体" w:hint="default"/>
                <w:sz w:val="24"/>
                <w:szCs w:val="24"/>
              </w:rPr>
              <w:t>栋</w:t>
            </w: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z w:val="24"/>
                <w:szCs w:val="24"/>
              </w:rPr>
              <w:t>]</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
              <w:jc w:val="right"/>
              <w:rPr>
                <w:rFonts w:ascii="宋体" w:hAnsi="宋体" w:cs="宋体" w:eastAsia="宋体" w:hint="default"/>
                <w:sz w:val="24"/>
                <w:szCs w:val="24"/>
              </w:rPr>
            </w:pPr>
            <w:r>
              <w:rPr>
                <w:rFonts w:ascii="宋体"/>
                <w:sz w:val="24"/>
              </w:rPr>
              <w:t>635,511,326.40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635,511,326.40</w:t>
            </w:r>
          </w:p>
        </w:tc>
      </w:tr>
      <w:tr>
        <w:trPr>
          <w:trHeight w:val="322"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1" w:right="0"/>
              <w:jc w:val="left"/>
              <w:rPr>
                <w:rFonts w:ascii="宋体" w:hAnsi="宋体" w:cs="宋体" w:eastAsia="宋体" w:hint="default"/>
                <w:sz w:val="24"/>
                <w:szCs w:val="24"/>
              </w:rPr>
            </w:pPr>
            <w:r>
              <w:rPr>
                <w:rFonts w:ascii="宋体"/>
                <w:sz w:val="24"/>
              </w:rPr>
              <w:t>240,873.63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240,873.63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
              <w:jc w:val="right"/>
              <w:rPr>
                <w:rFonts w:ascii="宋体" w:hAnsi="宋体" w:cs="宋体" w:eastAsia="宋体" w:hint="default"/>
                <w:sz w:val="24"/>
                <w:szCs w:val="24"/>
              </w:rPr>
            </w:pPr>
            <w:r>
              <w:rPr>
                <w:rFonts w:ascii="宋体"/>
                <w:sz w:val="24"/>
              </w:rPr>
              <w:t>531,495.90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531,495.90</w:t>
            </w:r>
          </w:p>
        </w:tc>
      </w:tr>
      <w:tr>
        <w:trPr>
          <w:trHeight w:val="322"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67" w:right="0"/>
              <w:jc w:val="left"/>
              <w:rPr>
                <w:rFonts w:ascii="宋体" w:hAnsi="宋体" w:cs="宋体" w:eastAsia="宋体" w:hint="default"/>
                <w:sz w:val="24"/>
                <w:szCs w:val="24"/>
              </w:rPr>
            </w:pPr>
            <w:r>
              <w:rPr>
                <w:rFonts w:ascii="宋体"/>
                <w:sz w:val="24"/>
              </w:rPr>
              <w:t>1,400,580.78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1,400,580.78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
              <w:jc w:val="right"/>
              <w:rPr>
                <w:rFonts w:ascii="宋体" w:hAnsi="宋体" w:cs="宋体" w:eastAsia="宋体" w:hint="default"/>
                <w:sz w:val="24"/>
                <w:szCs w:val="24"/>
              </w:rPr>
            </w:pPr>
            <w:r>
              <w:rPr>
                <w:rFonts w:ascii="宋体"/>
                <w:sz w:val="24"/>
              </w:rPr>
              <w:t>636,242,822.30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636,242,822.30</w:t>
            </w:r>
          </w:p>
        </w:tc>
      </w:tr>
    </w:tbl>
    <w:p>
      <w:pPr>
        <w:spacing w:line="241" w:lineRule="exact" w:before="0"/>
        <w:ind w:left="640" w:right="0" w:firstLine="0"/>
        <w:jc w:val="left"/>
        <w:rPr>
          <w:rFonts w:ascii="宋体" w:hAnsi="宋体" w:cs="宋体" w:eastAsia="宋体" w:hint="default"/>
          <w:sz w:val="21"/>
          <w:szCs w:val="21"/>
        </w:rPr>
      </w:pPr>
      <w:r>
        <w:rPr>
          <w:rFonts w:ascii="宋体" w:hAnsi="宋体" w:cs="宋体" w:eastAsia="宋体" w:hint="default"/>
          <w:sz w:val="21"/>
          <w:szCs w:val="21"/>
        </w:rPr>
        <w:t>注：公司控股子公司上海新湖房地产开发有限公司购买的虹桥绿谷广场</w:t>
      </w:r>
      <w:r>
        <w:rPr>
          <w:rFonts w:ascii="宋体" w:hAnsi="宋体" w:cs="宋体" w:eastAsia="宋体" w:hint="default"/>
          <w:spacing w:val="-55"/>
          <w:sz w:val="21"/>
          <w:szCs w:val="21"/>
        </w:rPr>
        <w:t> </w:t>
      </w:r>
      <w:r>
        <w:rPr>
          <w:rFonts w:ascii="宋体" w:hAnsi="宋体" w:cs="宋体" w:eastAsia="宋体" w:hint="default"/>
          <w:sz w:val="21"/>
          <w:szCs w:val="21"/>
        </w:rPr>
        <w:t>C</w:t>
      </w:r>
      <w:r>
        <w:rPr>
          <w:rFonts w:ascii="宋体" w:hAnsi="宋体" w:cs="宋体" w:eastAsia="宋体" w:hint="default"/>
          <w:spacing w:val="-55"/>
          <w:sz w:val="21"/>
          <w:szCs w:val="21"/>
        </w:rPr>
        <w:t> </w:t>
      </w:r>
      <w:r>
        <w:rPr>
          <w:rFonts w:ascii="宋体" w:hAnsi="宋体" w:cs="宋体" w:eastAsia="宋体" w:hint="default"/>
          <w:sz w:val="21"/>
          <w:szCs w:val="21"/>
        </w:rPr>
        <w:t>幢本期已出租转入投资性房地产。</w:t>
      </w:r>
    </w:p>
    <w:p>
      <w:pPr>
        <w:spacing w:line="240" w:lineRule="auto" w:before="10"/>
        <w:rPr>
          <w:rFonts w:ascii="宋体" w:hAnsi="宋体" w:cs="宋体" w:eastAsia="宋体" w:hint="default"/>
          <w:sz w:val="24"/>
          <w:szCs w:val="24"/>
        </w:rPr>
      </w:pPr>
    </w:p>
    <w:p>
      <w:pPr>
        <w:pStyle w:val="Heading2"/>
        <w:tabs>
          <w:tab w:pos="1060" w:val="left" w:leader="none"/>
        </w:tabs>
        <w:spacing w:line="240" w:lineRule="auto" w:before="0"/>
        <w:ind w:left="220" w:right="0"/>
        <w:jc w:val="left"/>
        <w:rPr>
          <w:b w:val="0"/>
          <w:bCs w:val="0"/>
        </w:rPr>
      </w:pPr>
      <w:r>
        <w:rPr>
          <w:rFonts w:ascii="宋体" w:hAnsi="宋体" w:cs="宋体" w:eastAsia="宋体" w:hint="default"/>
        </w:rPr>
        <w:t>(2).</w:t>
        <w:tab/>
      </w:r>
      <w:r>
        <w:rPr/>
        <w:t>重要在建工程项目本期变动情况</w:t>
      </w:r>
      <w:r>
        <w:rPr>
          <w:b w:val="0"/>
          <w:bCs w:val="0"/>
        </w:rPr>
      </w:r>
    </w:p>
    <w:p>
      <w:pPr>
        <w:pStyle w:val="BodyText"/>
        <w:spacing w:line="240" w:lineRule="auto" w:before="55"/>
        <w:ind w:left="220" w:right="0"/>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78"/>
          <w:pgSz w:w="16840" w:h="11910" w:orient="landscape"/>
          <w:pgMar w:footer="1195" w:header="882" w:top="1120" w:bottom="1380" w:left="1220" w:right="1300"/>
        </w:sectPr>
      </w:pPr>
    </w:p>
    <w:p>
      <w:pPr>
        <w:pStyle w:val="Heading2"/>
        <w:spacing w:line="240" w:lineRule="auto"/>
        <w:ind w:left="220" w:right="0"/>
        <w:jc w:val="left"/>
        <w:rPr>
          <w:b w:val="0"/>
          <w:bCs w:val="0"/>
        </w:rPr>
      </w:pPr>
      <w:r>
        <w:rPr>
          <w:rFonts w:ascii="宋体" w:hAnsi="宋体" w:cs="宋体" w:eastAsia="宋体" w:hint="default"/>
        </w:rPr>
        <w:t>16</w:t>
      </w:r>
      <w:r>
        <w:rPr/>
        <w:t>、</w:t>
      </w:r>
      <w:r>
        <w:rPr>
          <w:spacing w:val="-101"/>
        </w:rPr>
        <w:t> </w:t>
      </w:r>
      <w:r>
        <w:rPr/>
        <w:t>无形资产</w:t>
      </w:r>
      <w:r>
        <w:rPr>
          <w:b w:val="0"/>
          <w:bCs w:val="0"/>
        </w:rPr>
      </w:r>
    </w:p>
    <w:p>
      <w:pPr>
        <w:pStyle w:val="Heading2"/>
        <w:tabs>
          <w:tab w:pos="1060" w:val="left" w:leader="none"/>
        </w:tabs>
        <w:spacing w:line="240" w:lineRule="auto" w:before="55"/>
        <w:ind w:left="220" w:right="0"/>
        <w:jc w:val="left"/>
        <w:rPr>
          <w:b w:val="0"/>
          <w:bCs w:val="0"/>
        </w:rPr>
      </w:pPr>
      <w:r>
        <w:rPr>
          <w:rFonts w:ascii="宋体" w:hAnsi="宋体" w:cs="宋体" w:eastAsia="宋体" w:hint="default"/>
        </w:rPr>
        <w:t>(1).</w:t>
        <w:tab/>
      </w:r>
      <w:r>
        <w:rPr>
          <w:w w:val="95"/>
        </w:rPr>
        <w:t>无形资产情况</w:t>
      </w:r>
      <w:r>
        <w:rPr>
          <w:b w:val="0"/>
          <w:bCs w:val="0"/>
        </w:rPr>
      </w:r>
    </w:p>
    <w:p>
      <w:pPr>
        <w:pStyle w:val="BodyText"/>
        <w:tabs>
          <w:tab w:pos="1180" w:val="left" w:leader="none"/>
        </w:tabs>
        <w:spacing w:line="240" w:lineRule="auto" w:before="58"/>
        <w:ind w:left="220" w:right="0"/>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tabs>
          <w:tab w:pos="1419" w:val="left" w:leader="none"/>
        </w:tabs>
        <w:spacing w:line="240" w:lineRule="auto"/>
        <w:ind w:left="220" w:right="0"/>
        <w:jc w:val="left"/>
      </w:pPr>
      <w:r>
        <w:rPr/>
        <w:t>单位：元</w:t>
        <w:tab/>
        <w:t>币种：人民币</w:t>
      </w:r>
    </w:p>
    <w:p>
      <w:pPr>
        <w:spacing w:after="0" w:line="240" w:lineRule="auto"/>
        <w:jc w:val="left"/>
        <w:sectPr>
          <w:type w:val="continuous"/>
          <w:pgSz w:w="16840" w:h="11910" w:orient="landscape"/>
          <w:pgMar w:top="1000" w:bottom="280" w:left="1220" w:right="1300"/>
          <w:cols w:num="2" w:equalWidth="0">
            <w:col w:w="2505" w:space="8729"/>
            <w:col w:w="3086"/>
          </w:cols>
        </w:sectPr>
      </w:pPr>
    </w:p>
    <w:p>
      <w:pPr>
        <w:spacing w:line="240" w:lineRule="auto" w:before="10"/>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528"/>
        <w:gridCol w:w="1582"/>
        <w:gridCol w:w="1862"/>
        <w:gridCol w:w="1899"/>
        <w:gridCol w:w="1582"/>
        <w:gridCol w:w="1477"/>
        <w:gridCol w:w="1476"/>
        <w:gridCol w:w="1685"/>
      </w:tblGrid>
      <w:tr>
        <w:trPr>
          <w:trHeight w:val="67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321" w:right="0"/>
              <w:jc w:val="left"/>
              <w:rPr>
                <w:rFonts w:ascii="宋体" w:hAnsi="宋体" w:cs="宋体" w:eastAsia="宋体" w:hint="default"/>
                <w:sz w:val="21"/>
                <w:szCs w:val="21"/>
              </w:rPr>
            </w:pPr>
            <w:r>
              <w:rPr>
                <w:rFonts w:ascii="宋体" w:hAnsi="宋体" w:cs="宋体" w:eastAsia="宋体" w:hint="default"/>
                <w:sz w:val="21"/>
                <w:szCs w:val="21"/>
              </w:rPr>
              <w:t>特许权</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38" w:right="155" w:hanging="682"/>
              <w:jc w:val="left"/>
              <w:rPr>
                <w:rFonts w:ascii="宋体" w:hAnsi="宋体" w:cs="宋体" w:eastAsia="宋体" w:hint="default"/>
                <w:sz w:val="21"/>
                <w:szCs w:val="21"/>
              </w:rPr>
            </w:pPr>
            <w:r>
              <w:rPr>
                <w:rFonts w:ascii="宋体" w:hAnsi="宋体" w:cs="宋体" w:eastAsia="宋体" w:hint="default"/>
                <w:spacing w:val="-2"/>
                <w:sz w:val="21"/>
                <w:szCs w:val="21"/>
              </w:rPr>
              <w:t>探矿、采矿权</w:t>
            </w:r>
            <w:r>
              <w:rPr>
                <w:rFonts w:ascii="宋体" w:hAnsi="宋体" w:cs="宋体" w:eastAsia="宋体" w:hint="default"/>
                <w:spacing w:val="-2"/>
                <w:sz w:val="21"/>
                <w:szCs w:val="21"/>
              </w:rPr>
              <w:t>[</w:t>
            </w:r>
            <w:r>
              <w:rPr>
                <w:rFonts w:ascii="宋体" w:hAnsi="宋体" w:cs="宋体" w:eastAsia="宋体" w:hint="default"/>
                <w:spacing w:val="-2"/>
                <w:sz w:val="21"/>
                <w:szCs w:val="21"/>
              </w:rPr>
              <w:t>注</w:t>
            </w:r>
            <w:r>
              <w:rPr>
                <w:rFonts w:ascii="宋体" w:hAnsi="宋体" w:cs="宋体" w:eastAsia="宋体" w:hint="default"/>
                <w:spacing w:val="-89"/>
                <w:sz w:val="21"/>
                <w:szCs w:val="21"/>
              </w:rPr>
              <w:t> </w:t>
            </w:r>
            <w:r>
              <w:rPr>
                <w:rFonts w:ascii="宋体" w:hAnsi="宋体" w:cs="宋体" w:eastAsia="宋体" w:hint="default"/>
                <w:sz w:val="21"/>
                <w:szCs w:val="21"/>
              </w:rPr>
              <w:t>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 w:right="0"/>
              <w:jc w:val="center"/>
              <w:rPr>
                <w:rFonts w:ascii="宋体" w:hAnsi="宋体" w:cs="宋体" w:eastAsia="宋体" w:hint="default"/>
                <w:sz w:val="21"/>
                <w:szCs w:val="21"/>
              </w:rPr>
            </w:pPr>
            <w:r>
              <w:rPr>
                <w:rFonts w:ascii="宋体" w:hAnsi="宋体" w:cs="宋体" w:eastAsia="宋体" w:hint="default"/>
                <w:sz w:val="21"/>
                <w:szCs w:val="21"/>
              </w:rPr>
              <w:t>期货会员资格</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车位使用权</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15,271,416.00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sz w:val="21"/>
              </w:rPr>
              <w:t>131,728,841.32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173,400,353.80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20,905,509.36</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1,400,000.00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1,310,000.00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344,016,120.48</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1,456,469.63</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1,456,469.63</w:t>
            </w:r>
          </w:p>
        </w:tc>
      </w:tr>
      <w:tr>
        <w:trPr>
          <w:trHeight w:val="35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1,434,469.63</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1,434,469.63</w:t>
            </w:r>
          </w:p>
        </w:tc>
      </w:tr>
      <w:tr>
        <w:trPr>
          <w:trHeight w:val="348"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p>
        </w:tc>
        <w:tc>
          <w:tcPr>
            <w:tcW w:w="1582"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22,000.00</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22,000.00</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13,971,103.24</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1,400,000.00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15,371,103.24</w:t>
            </w:r>
          </w:p>
        </w:tc>
      </w:tr>
    </w:tbl>
    <w:p>
      <w:pPr>
        <w:spacing w:after="0" w:line="241" w:lineRule="exact"/>
        <w:jc w:val="right"/>
        <w:rPr>
          <w:rFonts w:ascii="宋体" w:hAnsi="宋体" w:cs="宋体" w:eastAsia="宋体" w:hint="default"/>
          <w:sz w:val="21"/>
          <w:szCs w:val="21"/>
        </w:rPr>
        <w:sectPr>
          <w:type w:val="continuous"/>
          <w:pgSz w:w="16840" w:h="11910" w:orient="landscape"/>
          <w:pgMar w:top="1000" w:bottom="2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528"/>
        <w:gridCol w:w="1582"/>
        <w:gridCol w:w="1862"/>
        <w:gridCol w:w="1899"/>
        <w:gridCol w:w="1582"/>
        <w:gridCol w:w="1477"/>
        <w:gridCol w:w="1476"/>
        <w:gridCol w:w="1685"/>
      </w:tblGrid>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）企业合并减少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13,971,103.24</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1,400,000.00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15,371,103.24</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2,756,782.39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131,728,841.32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173,400,353.80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20,905,509.36</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330,101,486.87</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582"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10,914,348.12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56,526,061.52</w:t>
            </w:r>
          </w:p>
        </w:tc>
        <w:tc>
          <w:tcPr>
            <w:tcW w:w="189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2,700,127.98</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262,000.02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70,402,537.64</w:t>
            </w:r>
          </w:p>
        </w:tc>
      </w:tr>
      <w:tr>
        <w:trPr>
          <w:trHeight w:val="35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1,712,604.99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4,175,438.79</w:t>
            </w:r>
          </w:p>
        </w:tc>
        <w:tc>
          <w:tcPr>
            <w:tcW w:w="189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573,844.92</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43,666.68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6,505,555.38</w:t>
            </w:r>
          </w:p>
        </w:tc>
      </w:tr>
      <w:tr>
        <w:trPr>
          <w:trHeight w:val="348"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1,696,716.13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4,175,438.79</w:t>
            </w:r>
          </w:p>
        </w:tc>
        <w:tc>
          <w:tcPr>
            <w:tcW w:w="189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573,844.92</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43,666.68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6,489,666.52</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2</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合</w:t>
            </w:r>
            <w:r>
              <w:rPr>
                <w:rFonts w:ascii="宋体" w:hAnsi="宋体" w:cs="宋体" w:eastAsia="宋体" w:hint="default"/>
                <w:w w:val="100"/>
                <w:sz w:val="21"/>
                <w:szCs w:val="21"/>
              </w:rPr>
              <w:t>并</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15,888.86</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15,888.86</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11,162,484.69</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11,162,484.69</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2</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合</w:t>
            </w:r>
            <w:r>
              <w:rPr>
                <w:rFonts w:ascii="宋体" w:hAnsi="宋体" w:cs="宋体" w:eastAsia="宋体" w:hint="default"/>
                <w:spacing w:val="-1"/>
                <w:w w:val="100"/>
                <w:sz w:val="21"/>
                <w:szCs w:val="21"/>
              </w:rPr>
              <w:t>并</w:t>
            </w:r>
            <w:r>
              <w:rPr>
                <w:rFonts w:ascii="宋体" w:hAnsi="宋体" w:cs="宋体" w:eastAsia="宋体" w:hint="default"/>
                <w:spacing w:val="-3"/>
                <w:w w:val="100"/>
                <w:sz w:val="21"/>
                <w:szCs w:val="21"/>
              </w:rPr>
              <w:t>减少</w:t>
            </w:r>
            <w:r>
              <w:rPr>
                <w:rFonts w:ascii="宋体" w:hAnsi="宋体" w:cs="宋体" w:eastAsia="宋体" w:hint="default"/>
                <w:w w:val="100"/>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11,162,484.69</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11,162,484.69</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1,464,468.42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60,701,500.31</w:t>
            </w:r>
          </w:p>
        </w:tc>
        <w:tc>
          <w:tcPr>
            <w:tcW w:w="189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3,273,972.90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305,666.70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65,745,608.33</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1,292,313.97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71,027,341.01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173,400,353.80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17,631,536.46</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1,004,333.30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264,355,878.54</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4,357,067.88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75,202,779.80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173,400,353.80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18,205,381.38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1,400,000.00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1,047,999.98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273,613,582.84</w:t>
            </w:r>
          </w:p>
        </w:tc>
      </w:tr>
    </w:tbl>
    <w:p>
      <w:pPr>
        <w:spacing w:line="241" w:lineRule="exact" w:before="0"/>
        <w:ind w:left="64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65"/>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：特许权系子公司嘉兴市南湖国际教育投资有限公司根据与嘉兴市秀城区、秀洲区人民政府签订的《特许办学协议》，采用建设经营移交方式</w:t>
      </w:r>
    </w:p>
    <w:p>
      <w:pPr>
        <w:spacing w:before="133"/>
        <w:ind w:left="2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BOT</w:t>
      </w:r>
      <w:r>
        <w:rPr>
          <w:rFonts w:ascii="宋体" w:hAnsi="宋体" w:cs="宋体" w:eastAsia="宋体" w:hint="default"/>
          <w:sz w:val="21"/>
          <w:szCs w:val="21"/>
        </w:rPr>
        <w:t>）取得的嘉兴市南湖国际实验学校、嘉兴高级中学及嘉兴市秀洲现代实验学校的特许办学权。</w:t>
      </w:r>
    </w:p>
    <w:p>
      <w:pPr>
        <w:spacing w:before="133"/>
        <w:ind w:left="64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8"/>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：探矿、采矿权系子公司丰宁承龙矿业有限公司取得的好村沟金银钼矿探矿权，目前已完成采矿权登记手续。</w:t>
      </w:r>
    </w:p>
    <w:p>
      <w:pPr>
        <w:pStyle w:val="BodyText"/>
        <w:spacing w:line="240" w:lineRule="auto" w:before="127"/>
        <w:ind w:left="220" w:right="0"/>
        <w:jc w:val="left"/>
        <w:rPr>
          <w:rFonts w:ascii="宋体" w:hAnsi="宋体" w:cs="宋体" w:eastAsia="宋体" w:hint="default"/>
        </w:rPr>
      </w:pPr>
      <w:r>
        <w:rPr/>
        <w:t>本期末通过公司内部研发形成的无形资产占无形资产余额的比例</w:t>
      </w:r>
      <w:r>
        <w:rPr>
          <w:spacing w:val="-59"/>
        </w:rPr>
        <w:t> </w:t>
      </w:r>
      <w:r>
        <w:rPr>
          <w:rFonts w:ascii="宋体" w:hAnsi="宋体" w:cs="宋体" w:eastAsia="宋体" w:hint="default"/>
        </w:rPr>
        <w:t>0.00%</w:t>
      </w:r>
    </w:p>
    <w:p>
      <w:pPr>
        <w:pStyle w:val="Heading2"/>
        <w:tabs>
          <w:tab w:pos="1060" w:val="left" w:leader="none"/>
        </w:tabs>
        <w:spacing w:line="240" w:lineRule="auto" w:before="214"/>
        <w:ind w:left="220" w:right="0"/>
        <w:jc w:val="left"/>
        <w:rPr>
          <w:b w:val="0"/>
          <w:bCs w:val="0"/>
        </w:rPr>
      </w:pPr>
      <w:r>
        <w:rPr>
          <w:rFonts w:ascii="宋体" w:hAnsi="宋体" w:cs="宋体" w:eastAsia="宋体" w:hint="default"/>
        </w:rPr>
        <w:t>(2).</w:t>
        <w:tab/>
      </w:r>
      <w:r>
        <w:rPr/>
        <w:t>未办妥产权证书的土地使用权情况：</w:t>
      </w:r>
      <w:r>
        <w:rPr>
          <w:b w:val="0"/>
          <w:bCs w:val="0"/>
        </w:rPr>
      </w:r>
    </w:p>
    <w:p>
      <w:pPr>
        <w:pStyle w:val="BodyText"/>
        <w:spacing w:line="240" w:lineRule="auto" w:before="58"/>
        <w:ind w:left="220" w:right="0"/>
        <w:jc w:val="left"/>
      </w:pPr>
      <w:r>
        <w:rPr/>
        <w:t>□适用</w:t>
      </w:r>
      <w:r>
        <w:rPr>
          <w:spacing w:val="-1"/>
        </w:rPr>
        <w:t> </w:t>
      </w:r>
      <w:r>
        <w:rPr/>
        <w:t>√不适用</w:t>
      </w:r>
    </w:p>
    <w:p>
      <w:pPr>
        <w:spacing w:after="0" w:line="240" w:lineRule="auto"/>
        <w:jc w:val="left"/>
        <w:sectPr>
          <w:footerReference w:type="default" r:id="rId79"/>
          <w:pgSz w:w="16840" w:h="11910" w:orient="landscape"/>
          <w:pgMar w:footer="1195" w:header="882"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headerReference w:type="default" r:id="rId80"/>
          <w:footerReference w:type="default" r:id="rId81"/>
          <w:pgSz w:w="11910" w:h="16840"/>
          <w:pgMar w:header="882" w:footer="1195" w:top="1120" w:bottom="1380" w:left="760" w:right="240"/>
          <w:pgNumType w:start="142"/>
        </w:sectPr>
      </w:pPr>
    </w:p>
    <w:p>
      <w:pPr>
        <w:pStyle w:val="Heading2"/>
        <w:spacing w:line="240" w:lineRule="auto"/>
        <w:ind w:left="1038" w:right="-19"/>
        <w:jc w:val="left"/>
        <w:rPr>
          <w:b w:val="0"/>
          <w:bCs w:val="0"/>
        </w:rPr>
      </w:pPr>
      <w:r>
        <w:rPr>
          <w:rFonts w:ascii="宋体" w:hAnsi="宋体" w:cs="宋体" w:eastAsia="宋体" w:hint="default"/>
        </w:rPr>
        <w:t>17</w:t>
      </w:r>
      <w:r>
        <w:rPr/>
        <w:t>、</w:t>
      </w:r>
      <w:r>
        <w:rPr>
          <w:spacing w:val="-100"/>
        </w:rPr>
        <w:t> </w:t>
      </w:r>
      <w:r>
        <w:rPr/>
        <w:t>开发支出</w:t>
      </w:r>
      <w:r>
        <w:rPr>
          <w:b w:val="0"/>
          <w:bCs w:val="0"/>
        </w:rPr>
      </w:r>
    </w:p>
    <w:p>
      <w:pPr>
        <w:pStyle w:val="BodyText"/>
        <w:spacing w:line="240" w:lineRule="auto" w:before="58"/>
        <w:ind w:left="103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2238" w:val="left" w:leader="none"/>
        </w:tabs>
        <w:spacing w:line="240" w:lineRule="auto"/>
        <w:ind w:left="1038" w:right="0"/>
        <w:jc w:val="left"/>
      </w:pPr>
      <w:r>
        <w:rPr/>
        <w:t>单位：元</w:t>
        <w:tab/>
        <w:t>币种：人民币</w:t>
      </w:r>
    </w:p>
    <w:p>
      <w:pPr>
        <w:spacing w:after="0" w:line="240" w:lineRule="auto"/>
        <w:jc w:val="left"/>
        <w:sectPr>
          <w:type w:val="continuous"/>
          <w:pgSz w:w="11910" w:h="16840"/>
          <w:pgMar w:top="1000" w:bottom="280" w:left="760" w:right="240"/>
          <w:cols w:num="2" w:equalWidth="0">
            <w:col w:w="2839" w:space="3354"/>
            <w:col w:w="4717"/>
          </w:cols>
        </w:sectPr>
      </w:pPr>
    </w:p>
    <w:p>
      <w:pPr>
        <w:spacing w:line="240" w:lineRule="auto" w:before="12"/>
        <w:rPr>
          <w:rFonts w:ascii="宋体" w:hAnsi="宋体" w:cs="宋体" w:eastAsia="宋体" w:hint="default"/>
          <w:sz w:val="2"/>
          <w:szCs w:val="2"/>
        </w:rPr>
      </w:pPr>
    </w:p>
    <w:tbl>
      <w:tblPr>
        <w:tblW w:w="0" w:type="auto"/>
        <w:jc w:val="left"/>
        <w:tblInd w:w="365" w:type="dxa"/>
        <w:tblLayout w:type="fixed"/>
        <w:tblCellMar>
          <w:top w:w="0" w:type="dxa"/>
          <w:left w:w="0" w:type="dxa"/>
          <w:bottom w:w="0" w:type="dxa"/>
          <w:right w:w="0" w:type="dxa"/>
        </w:tblCellMar>
        <w:tblLook w:val="01E0"/>
      </w:tblPr>
      <w:tblGrid>
        <w:gridCol w:w="2228"/>
        <w:gridCol w:w="1897"/>
        <w:gridCol w:w="1296"/>
        <w:gridCol w:w="912"/>
        <w:gridCol w:w="967"/>
        <w:gridCol w:w="973"/>
        <w:gridCol w:w="1896"/>
      </w:tblGrid>
      <w:tr>
        <w:trPr>
          <w:trHeight w:val="322" w:hRule="exact"/>
        </w:trPr>
        <w:tc>
          <w:tcPr>
            <w:tcW w:w="222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项目</w:t>
            </w:r>
          </w:p>
        </w:tc>
        <w:tc>
          <w:tcPr>
            <w:tcW w:w="18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312" w:lineRule="exact"/>
              <w:ind w:left="701" w:right="703"/>
              <w:jc w:val="center"/>
              <w:rPr>
                <w:rFonts w:ascii="宋体" w:hAnsi="宋体" w:cs="宋体" w:eastAsia="宋体" w:hint="default"/>
                <w:sz w:val="24"/>
                <w:szCs w:val="24"/>
              </w:rPr>
            </w:pPr>
            <w:r>
              <w:rPr>
                <w:rFonts w:ascii="宋体" w:hAnsi="宋体" w:cs="宋体" w:eastAsia="宋体" w:hint="default"/>
                <w:sz w:val="24"/>
                <w:szCs w:val="24"/>
              </w:rPr>
              <w:t>期初 余额</w:t>
            </w:r>
          </w:p>
        </w:tc>
        <w:tc>
          <w:tcPr>
            <w:tcW w:w="2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76" w:right="0"/>
              <w:jc w:val="left"/>
              <w:rPr>
                <w:rFonts w:ascii="宋体" w:hAnsi="宋体" w:cs="宋体" w:eastAsia="宋体" w:hint="default"/>
                <w:sz w:val="24"/>
                <w:szCs w:val="24"/>
              </w:rPr>
            </w:pPr>
            <w:r>
              <w:rPr>
                <w:rFonts w:ascii="宋体" w:hAnsi="宋体" w:cs="宋体" w:eastAsia="宋体" w:hint="default"/>
                <w:sz w:val="24"/>
                <w:szCs w:val="24"/>
              </w:rPr>
              <w:t>本期增加金额</w:t>
            </w:r>
          </w:p>
        </w:tc>
        <w:tc>
          <w:tcPr>
            <w:tcW w:w="1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4" w:right="0"/>
              <w:jc w:val="left"/>
              <w:rPr>
                <w:rFonts w:ascii="宋体" w:hAnsi="宋体" w:cs="宋体" w:eastAsia="宋体" w:hint="default"/>
                <w:sz w:val="24"/>
                <w:szCs w:val="24"/>
              </w:rPr>
            </w:pPr>
            <w:r>
              <w:rPr>
                <w:rFonts w:ascii="宋体" w:hAnsi="宋体" w:cs="宋体" w:eastAsia="宋体" w:hint="default"/>
                <w:sz w:val="24"/>
                <w:szCs w:val="24"/>
              </w:rPr>
              <w:t>本期减少金额</w:t>
            </w:r>
          </w:p>
        </w:tc>
        <w:tc>
          <w:tcPr>
            <w:tcW w:w="18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312" w:lineRule="exact"/>
              <w:ind w:left="700" w:right="703"/>
              <w:jc w:val="center"/>
              <w:rPr>
                <w:rFonts w:ascii="宋体" w:hAnsi="宋体" w:cs="宋体" w:eastAsia="宋体" w:hint="default"/>
                <w:sz w:val="24"/>
                <w:szCs w:val="24"/>
              </w:rPr>
            </w:pPr>
            <w:r>
              <w:rPr>
                <w:rFonts w:ascii="宋体" w:hAnsi="宋体" w:cs="宋体" w:eastAsia="宋体" w:hint="default"/>
                <w:sz w:val="24"/>
                <w:szCs w:val="24"/>
              </w:rPr>
              <w:t>期末 余额</w:t>
            </w:r>
          </w:p>
        </w:tc>
      </w:tr>
      <w:tr>
        <w:trPr>
          <w:trHeight w:val="943" w:hRule="exact"/>
        </w:trPr>
        <w:tc>
          <w:tcPr>
            <w:tcW w:w="2228" w:type="dxa"/>
            <w:vMerge/>
            <w:tcBorders>
              <w:left w:val="single" w:sz="4" w:space="0" w:color="000000"/>
              <w:bottom w:val="single" w:sz="4" w:space="0" w:color="000000"/>
              <w:right w:val="single" w:sz="4" w:space="0" w:color="000000"/>
            </w:tcBorders>
          </w:tcPr>
          <w:p>
            <w:pPr/>
          </w:p>
        </w:tc>
        <w:tc>
          <w:tcPr>
            <w:tcW w:w="1897"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400" w:right="165" w:hanging="240"/>
              <w:jc w:val="left"/>
              <w:rPr>
                <w:rFonts w:ascii="宋体" w:hAnsi="宋体" w:cs="宋体" w:eastAsia="宋体" w:hint="default"/>
                <w:sz w:val="24"/>
                <w:szCs w:val="24"/>
              </w:rPr>
            </w:pPr>
            <w:r>
              <w:rPr>
                <w:rFonts w:ascii="宋体" w:hAnsi="宋体" w:cs="宋体" w:eastAsia="宋体" w:hint="default"/>
                <w:sz w:val="24"/>
                <w:szCs w:val="24"/>
              </w:rPr>
              <w:t>内部开发 支出</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0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7" w:right="0"/>
              <w:jc w:val="left"/>
              <w:rPr>
                <w:rFonts w:ascii="宋体" w:hAnsi="宋体" w:cs="宋体" w:eastAsia="宋体" w:hint="default"/>
                <w:sz w:val="24"/>
                <w:szCs w:val="24"/>
              </w:rPr>
            </w:pPr>
            <w:r>
              <w:rPr>
                <w:rFonts w:ascii="宋体" w:hAnsi="宋体" w:cs="宋体" w:eastAsia="宋体" w:hint="default"/>
                <w:sz w:val="24"/>
                <w:szCs w:val="24"/>
              </w:rPr>
              <w:t>确认为</w:t>
            </w:r>
          </w:p>
          <w:p>
            <w:pPr>
              <w:pStyle w:val="TableParagraph"/>
              <w:spacing w:line="312" w:lineRule="exact" w:before="29"/>
              <w:ind w:left="357" w:right="119" w:hanging="240"/>
              <w:jc w:val="left"/>
              <w:rPr>
                <w:rFonts w:ascii="宋体" w:hAnsi="宋体" w:cs="宋体" w:eastAsia="宋体" w:hint="default"/>
                <w:sz w:val="24"/>
                <w:szCs w:val="24"/>
              </w:rPr>
            </w:pPr>
            <w:r>
              <w:rPr>
                <w:rFonts w:ascii="宋体" w:hAnsi="宋体" w:cs="宋体" w:eastAsia="宋体" w:hint="default"/>
                <w:sz w:val="24"/>
                <w:szCs w:val="24"/>
              </w:rPr>
              <w:t>无形资 产</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19" w:right="122"/>
              <w:jc w:val="left"/>
              <w:rPr>
                <w:rFonts w:ascii="宋体" w:hAnsi="宋体" w:cs="宋体" w:eastAsia="宋体" w:hint="default"/>
                <w:sz w:val="24"/>
                <w:szCs w:val="24"/>
              </w:rPr>
            </w:pPr>
            <w:r>
              <w:rPr>
                <w:rFonts w:ascii="宋体" w:hAnsi="宋体" w:cs="宋体" w:eastAsia="宋体" w:hint="default"/>
                <w:sz w:val="24"/>
                <w:szCs w:val="24"/>
              </w:rPr>
              <w:t>转入当 期损益</w:t>
            </w:r>
          </w:p>
        </w:tc>
        <w:tc>
          <w:tcPr>
            <w:tcW w:w="1896" w:type="dxa"/>
            <w:vMerge/>
            <w:tcBorders>
              <w:left w:val="single" w:sz="4" w:space="0" w:color="000000"/>
              <w:bottom w:val="single" w:sz="4" w:space="0" w:color="000000"/>
              <w:right w:val="single" w:sz="4" w:space="0" w:color="000000"/>
            </w:tcBorders>
          </w:tcPr>
          <w:p>
            <w:pPr/>
          </w:p>
        </w:tc>
      </w:tr>
      <w:tr>
        <w:trPr>
          <w:trHeight w:val="634"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贵州省纳雍县沙子</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岭煤矿勘探</w:t>
            </w: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z w:val="24"/>
                <w:szCs w:val="24"/>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sz w:val="24"/>
              </w:rPr>
              <w:t>440,939,249.06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5"/>
              <w:jc w:val="right"/>
              <w:rPr>
                <w:rFonts w:ascii="宋体" w:hAnsi="宋体" w:cs="宋体" w:eastAsia="宋体" w:hint="default"/>
                <w:sz w:val="24"/>
                <w:szCs w:val="24"/>
              </w:rPr>
            </w:pPr>
            <w:r>
              <w:rPr>
                <w:rFonts w:ascii="宋体"/>
                <w:sz w:val="24"/>
              </w:rPr>
              <w:t>11,430.00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
              <w:jc w:val="center"/>
              <w:rPr>
                <w:rFonts w:ascii="宋体" w:hAnsi="宋体" w:cs="宋体" w:eastAsia="宋体" w:hint="default"/>
                <w:sz w:val="24"/>
                <w:szCs w:val="24"/>
              </w:rPr>
            </w:pPr>
            <w:r>
              <w:rPr>
                <w:rFonts w:ascii="宋体"/>
                <w:sz w:val="24"/>
              </w:rPr>
              <w:t>440,950,679.06</w:t>
            </w:r>
          </w:p>
        </w:tc>
      </w:tr>
      <w:tr>
        <w:trPr>
          <w:trHeight w:val="632"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贵州省纳雍县旧院</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煤矿勘探</w:t>
            </w: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z w:val="24"/>
                <w:szCs w:val="24"/>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0" w:right="0"/>
              <w:jc w:val="left"/>
              <w:rPr>
                <w:rFonts w:ascii="宋体" w:hAnsi="宋体" w:cs="宋体" w:eastAsia="宋体" w:hint="default"/>
                <w:sz w:val="24"/>
                <w:szCs w:val="24"/>
              </w:rPr>
            </w:pPr>
            <w:r>
              <w:rPr>
                <w:rFonts w:ascii="宋体"/>
                <w:sz w:val="24"/>
              </w:rPr>
              <w:t>431,919,626.21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5"/>
              <w:jc w:val="right"/>
              <w:rPr>
                <w:rFonts w:ascii="宋体" w:hAnsi="宋体" w:cs="宋体" w:eastAsia="宋体" w:hint="default"/>
                <w:sz w:val="24"/>
                <w:szCs w:val="24"/>
              </w:rPr>
            </w:pPr>
            <w:r>
              <w:rPr>
                <w:rFonts w:ascii="宋体"/>
                <w:sz w:val="24"/>
              </w:rPr>
              <w:t>5,170.00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
              <w:jc w:val="center"/>
              <w:rPr>
                <w:rFonts w:ascii="宋体" w:hAnsi="宋体" w:cs="宋体" w:eastAsia="宋体" w:hint="default"/>
                <w:sz w:val="24"/>
                <w:szCs w:val="24"/>
              </w:rPr>
            </w:pPr>
            <w:r>
              <w:rPr>
                <w:rFonts w:ascii="宋体"/>
                <w:sz w:val="24"/>
              </w:rPr>
              <w:t>431,924,796.21</w:t>
            </w:r>
          </w:p>
        </w:tc>
      </w:tr>
      <w:tr>
        <w:trPr>
          <w:trHeight w:val="322"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hAnsi="宋体" w:cs="宋体" w:eastAsia="宋体" w:hint="default"/>
                <w:sz w:val="24"/>
                <w:szCs w:val="24"/>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872,858,875.27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5"/>
              <w:jc w:val="right"/>
              <w:rPr>
                <w:rFonts w:ascii="宋体" w:hAnsi="宋体" w:cs="宋体" w:eastAsia="宋体" w:hint="default"/>
                <w:sz w:val="24"/>
                <w:szCs w:val="24"/>
              </w:rPr>
            </w:pPr>
            <w:r>
              <w:rPr>
                <w:rFonts w:ascii="宋体"/>
                <w:sz w:val="24"/>
              </w:rPr>
              <w:t>16,600.00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sz w:val="24"/>
              </w:rPr>
              <w:t>872,875,475.27</w:t>
            </w:r>
          </w:p>
        </w:tc>
      </w:tr>
    </w:tbl>
    <w:p>
      <w:pPr>
        <w:spacing w:line="240" w:lineRule="auto" w:before="6"/>
        <w:rPr>
          <w:rFonts w:ascii="宋体" w:hAnsi="宋体" w:cs="宋体" w:eastAsia="宋体" w:hint="default"/>
          <w:sz w:val="5"/>
          <w:szCs w:val="5"/>
        </w:rPr>
      </w:pPr>
    </w:p>
    <w:p>
      <w:pPr>
        <w:spacing w:line="386" w:lineRule="auto" w:before="36"/>
        <w:ind w:left="1038" w:right="99" w:firstLine="419"/>
        <w:jc w:val="left"/>
        <w:rPr>
          <w:rFonts w:ascii="宋体" w:hAnsi="宋体" w:cs="宋体" w:eastAsia="宋体" w:hint="default"/>
          <w:sz w:val="21"/>
          <w:szCs w:val="21"/>
        </w:rPr>
      </w:pPr>
      <w:r>
        <w:rPr>
          <w:rFonts w:ascii="宋体" w:hAnsi="宋体" w:cs="宋体" w:eastAsia="宋体" w:hint="default"/>
          <w:spacing w:val="-2"/>
          <w:sz w:val="21"/>
          <w:szCs w:val="21"/>
        </w:rPr>
        <w:t>注：该项目支出系子公司贵州新湖能源有限公司对所属贵州省纳雍县沙子岭煤矿、旧院煤矿</w:t>
      </w:r>
      <w:r>
        <w:rPr>
          <w:rFonts w:ascii="宋体" w:hAnsi="宋体" w:cs="宋体" w:eastAsia="宋体" w:hint="default"/>
          <w:w w:val="100"/>
          <w:sz w:val="21"/>
          <w:szCs w:val="21"/>
        </w:rPr>
        <w:t> </w:t>
      </w:r>
      <w:r>
        <w:rPr>
          <w:rFonts w:ascii="宋体" w:hAnsi="宋体" w:cs="宋体" w:eastAsia="宋体" w:hint="default"/>
          <w:sz w:val="21"/>
          <w:szCs w:val="21"/>
        </w:rPr>
        <w:t>探矿支出。</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00" w:bottom="280" w:left="760" w:right="240"/>
        </w:sectPr>
      </w:pPr>
    </w:p>
    <w:p>
      <w:pPr>
        <w:pStyle w:val="Heading2"/>
        <w:spacing w:line="240" w:lineRule="auto"/>
        <w:ind w:left="1038" w:right="-18"/>
        <w:jc w:val="left"/>
        <w:rPr>
          <w:b w:val="0"/>
          <w:bCs w:val="0"/>
        </w:rPr>
      </w:pPr>
      <w:r>
        <w:rPr>
          <w:rFonts w:ascii="宋体" w:hAnsi="宋体" w:cs="宋体" w:eastAsia="宋体" w:hint="default"/>
        </w:rPr>
        <w:t>18</w:t>
      </w:r>
      <w:r>
        <w:rPr/>
        <w:t>、</w:t>
      </w:r>
      <w:r>
        <w:rPr>
          <w:spacing w:val="-104"/>
        </w:rPr>
        <w:t> </w:t>
      </w:r>
      <w:r>
        <w:rPr/>
        <w:t>长期待摊费用</w:t>
      </w:r>
      <w:r>
        <w:rPr>
          <w:b w:val="0"/>
          <w:bCs w:val="0"/>
        </w:rPr>
      </w:r>
    </w:p>
    <w:p>
      <w:pPr>
        <w:pStyle w:val="BodyText"/>
        <w:spacing w:line="240" w:lineRule="auto" w:before="55"/>
        <w:ind w:left="103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2238" w:val="left" w:leader="none"/>
        </w:tabs>
        <w:spacing w:line="240" w:lineRule="auto"/>
        <w:ind w:left="1038" w:right="0"/>
        <w:jc w:val="left"/>
      </w:pPr>
      <w:r>
        <w:rPr/>
        <w:t>单位：元</w:t>
        <w:tab/>
        <w:t>币种：人民币</w:t>
      </w:r>
    </w:p>
    <w:p>
      <w:pPr>
        <w:spacing w:after="0" w:line="240" w:lineRule="auto"/>
        <w:jc w:val="left"/>
        <w:sectPr>
          <w:type w:val="continuous"/>
          <w:pgSz w:w="11910" w:h="16840"/>
          <w:pgMar w:top="1000" w:bottom="280" w:left="760" w:right="240"/>
          <w:cols w:num="2" w:equalWidth="0">
            <w:col w:w="2987" w:space="3206"/>
            <w:col w:w="4717"/>
          </w:cols>
        </w:sectPr>
      </w:pPr>
    </w:p>
    <w:p>
      <w:pPr>
        <w:spacing w:line="240" w:lineRule="auto" w:before="12"/>
        <w:rPr>
          <w:rFonts w:ascii="宋体" w:hAnsi="宋体" w:cs="宋体" w:eastAsia="宋体" w:hint="default"/>
          <w:sz w:val="2"/>
          <w:szCs w:val="2"/>
        </w:rPr>
      </w:pPr>
    </w:p>
    <w:tbl>
      <w:tblPr>
        <w:tblW w:w="0" w:type="auto"/>
        <w:jc w:val="left"/>
        <w:tblInd w:w="437" w:type="dxa"/>
        <w:tblLayout w:type="fixed"/>
        <w:tblCellMar>
          <w:top w:w="0" w:type="dxa"/>
          <w:left w:w="0" w:type="dxa"/>
          <w:bottom w:w="0" w:type="dxa"/>
          <w:right w:w="0" w:type="dxa"/>
        </w:tblCellMar>
        <w:tblLook w:val="01E0"/>
      </w:tblPr>
      <w:tblGrid>
        <w:gridCol w:w="1743"/>
        <w:gridCol w:w="1657"/>
        <w:gridCol w:w="1776"/>
        <w:gridCol w:w="1656"/>
        <w:gridCol w:w="1417"/>
        <w:gridCol w:w="1776"/>
      </w:tblGrid>
      <w:tr>
        <w:trPr>
          <w:trHeight w:val="632"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624"/>
              <w:jc w:val="right"/>
              <w:rPr>
                <w:rFonts w:ascii="宋体" w:hAnsi="宋体" w:cs="宋体" w:eastAsia="宋体" w:hint="default"/>
                <w:sz w:val="24"/>
                <w:szCs w:val="24"/>
              </w:rPr>
            </w:pPr>
            <w:r>
              <w:rPr>
                <w:rFonts w:ascii="宋体" w:hAnsi="宋体" w:cs="宋体" w:eastAsia="宋体" w:hint="default"/>
                <w:sz w:val="24"/>
                <w:szCs w:val="24"/>
              </w:rPr>
              <w:t>项目</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43"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61"/>
              <w:jc w:val="right"/>
              <w:rPr>
                <w:rFonts w:ascii="宋体" w:hAnsi="宋体" w:cs="宋体" w:eastAsia="宋体" w:hint="default"/>
                <w:sz w:val="24"/>
                <w:szCs w:val="24"/>
              </w:rPr>
            </w:pPr>
            <w:r>
              <w:rPr>
                <w:rFonts w:ascii="宋体" w:hAnsi="宋体" w:cs="宋体" w:eastAsia="宋体" w:hint="default"/>
                <w:sz w:val="24"/>
                <w:szCs w:val="24"/>
              </w:rPr>
              <w:t>本期增加金额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24"/>
                <w:szCs w:val="24"/>
              </w:rPr>
            </w:pPr>
            <w:r>
              <w:rPr>
                <w:rFonts w:ascii="宋体" w:hAnsi="宋体" w:cs="宋体" w:eastAsia="宋体" w:hint="default"/>
                <w:sz w:val="24"/>
                <w:szCs w:val="24"/>
              </w:rPr>
              <w:t>本期摊销金额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其他减少金</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额</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03"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634"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装修、房屋改</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良支出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4,211,046.08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15,794,413.93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2,492,824.75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896,069.35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16,616,565.91</w:t>
            </w:r>
          </w:p>
        </w:tc>
      </w:tr>
      <w:tr>
        <w:trPr>
          <w:trHeight w:val="322"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54,938.25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24,500.00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31,225.78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48,212.47</w:t>
            </w:r>
          </w:p>
        </w:tc>
      </w:tr>
      <w:tr>
        <w:trPr>
          <w:trHeight w:val="322"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24"/>
              <w:jc w:val="right"/>
              <w:rPr>
                <w:rFonts w:ascii="宋体" w:hAnsi="宋体" w:cs="宋体" w:eastAsia="宋体" w:hint="default"/>
                <w:sz w:val="24"/>
                <w:szCs w:val="24"/>
              </w:rPr>
            </w:pPr>
            <w:r>
              <w:rPr>
                <w:rFonts w:ascii="宋体" w:hAnsi="宋体" w:cs="宋体" w:eastAsia="宋体" w:hint="default"/>
                <w:sz w:val="24"/>
                <w:szCs w:val="24"/>
              </w:rPr>
              <w:t>合计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4,265,984.33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15,818,913.93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2,524,050.53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896,069.35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16,664,778.38</w:t>
            </w:r>
          </w:p>
        </w:tc>
      </w:tr>
    </w:tbl>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00" w:bottom="280" w:left="760" w:right="240"/>
        </w:sectPr>
      </w:pPr>
    </w:p>
    <w:p>
      <w:pPr>
        <w:pStyle w:val="Heading2"/>
        <w:spacing w:line="283" w:lineRule="auto"/>
        <w:ind w:left="1038" w:right="-16"/>
        <w:jc w:val="left"/>
        <w:rPr>
          <w:b w:val="0"/>
          <w:bCs w:val="0"/>
        </w:rPr>
      </w:pPr>
      <w:r>
        <w:rPr>
          <w:rFonts w:ascii="宋体" w:hAnsi="宋体" w:cs="宋体" w:eastAsia="宋体" w:hint="default"/>
        </w:rPr>
        <w:t>19</w:t>
      </w:r>
      <w:r>
        <w:rPr/>
        <w:t>、</w:t>
      </w:r>
      <w:r>
        <w:rPr>
          <w:spacing w:val="-101"/>
        </w:rPr>
        <w:t> </w:t>
      </w:r>
      <w:r>
        <w:rPr/>
        <w:t>递延所得税资产</w:t>
      </w:r>
      <w:r>
        <w:rPr>
          <w:rFonts w:ascii="宋体" w:hAnsi="宋体" w:cs="宋体" w:eastAsia="宋体" w:hint="default"/>
        </w:rPr>
        <w:t>/</w:t>
      </w:r>
      <w:r>
        <w:rPr>
          <w:rFonts w:ascii="宋体" w:hAnsi="宋体" w:cs="宋体" w:eastAsia="宋体" w:hint="default"/>
          <w:spacing w:val="-4"/>
        </w:rPr>
        <w:t> </w:t>
      </w:r>
      <w:r>
        <w:rPr/>
        <w:t>递延所得税负债</w:t>
      </w:r>
      <w:r>
        <w:rPr>
          <w:w w:val="99"/>
        </w:rPr>
        <w:t> </w:t>
      </w:r>
      <w:r>
        <w:rPr>
          <w:rFonts w:ascii="宋体" w:hAnsi="宋体" w:cs="宋体" w:eastAsia="宋体" w:hint="default"/>
        </w:rPr>
        <w:t>(1).</w:t>
      </w:r>
      <w:r>
        <w:rPr>
          <w:rFonts w:ascii="宋体" w:hAnsi="宋体" w:cs="宋体" w:eastAsia="宋体" w:hint="default"/>
          <w:spacing w:val="-20"/>
        </w:rPr>
        <w:t> </w:t>
      </w:r>
      <w:r>
        <w:rPr/>
        <w:t>未经抵销的递延所得税资产</w:t>
      </w:r>
      <w:r>
        <w:rPr>
          <w:b w:val="0"/>
          <w:bCs w:val="0"/>
        </w:rPr>
      </w:r>
    </w:p>
    <w:p>
      <w:pPr>
        <w:pStyle w:val="BodyText"/>
        <w:spacing w:line="240" w:lineRule="auto" w:before="14"/>
        <w:ind w:left="1038"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tabs>
          <w:tab w:pos="2238" w:val="left" w:leader="none"/>
        </w:tabs>
        <w:spacing w:line="240" w:lineRule="auto"/>
        <w:ind w:left="1038" w:right="0"/>
        <w:jc w:val="left"/>
      </w:pPr>
      <w:r>
        <w:rPr/>
        <w:t>单位：元</w:t>
        <w:tab/>
        <w:t>币种：人民币</w:t>
      </w:r>
    </w:p>
    <w:p>
      <w:pPr>
        <w:spacing w:after="0" w:line="240" w:lineRule="auto"/>
        <w:jc w:val="left"/>
        <w:sectPr>
          <w:type w:val="continuous"/>
          <w:pgSz w:w="11910" w:h="16840"/>
          <w:pgMar w:top="1000" w:bottom="280" w:left="760" w:right="240"/>
          <w:cols w:num="2" w:equalWidth="0">
            <w:col w:w="5157" w:space="1036"/>
            <w:col w:w="4717"/>
          </w:cols>
        </w:sectPr>
      </w:pP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696"/>
        <w:gridCol w:w="2137"/>
        <w:gridCol w:w="1899"/>
        <w:gridCol w:w="2139"/>
        <w:gridCol w:w="1808"/>
      </w:tblGrid>
      <w:tr>
        <w:trPr>
          <w:trHeight w:val="295" w:hRule="exact"/>
        </w:trPr>
        <w:tc>
          <w:tcPr>
            <w:tcW w:w="269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0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696" w:type="dxa"/>
            <w:vMerge/>
            <w:tcBorders>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128,894,043.33</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32,223,510.85</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114,986,230.84</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28,746,557.71</w:t>
            </w:r>
          </w:p>
        </w:tc>
      </w:tr>
      <w:tr>
        <w:trPr>
          <w:trHeight w:val="29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2137"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173,417,343.93</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43,354,336.00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595,622,855.12</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148,905,713.78</w:t>
            </w:r>
          </w:p>
        </w:tc>
      </w:tr>
      <w:tr>
        <w:trPr>
          <w:trHeight w:val="29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预提费用（成本）</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79,617,334.52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19,904,333.63</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80,187,932.80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20,046,983.20</w:t>
            </w:r>
          </w:p>
        </w:tc>
      </w:tr>
      <w:tr>
        <w:trPr>
          <w:trHeight w:val="29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未来可抵扣的费用</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3,830,349.40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957,587.35</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1,333,920.28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333,480.07</w:t>
            </w:r>
          </w:p>
        </w:tc>
      </w:tr>
      <w:tr>
        <w:trPr>
          <w:trHeight w:val="29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视同销售转入固定资产</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526,728.60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131,682.15</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575,114.56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143,778.64</w:t>
            </w:r>
          </w:p>
        </w:tc>
      </w:tr>
      <w:tr>
        <w:trPr>
          <w:trHeight w:val="29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出租开发产品累计摊销</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41,096,640.48</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10,274,160.12</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31,035,476.72</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7,758,869.18</w:t>
            </w:r>
          </w:p>
        </w:tc>
      </w:tr>
      <w:tr>
        <w:trPr>
          <w:trHeight w:val="296"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预售款预计利润影响</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1,039,035,452.42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259,758,863.12</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866,658,242.08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216,664,560.52</w:t>
            </w:r>
          </w:p>
        </w:tc>
      </w:tr>
      <w:tr>
        <w:trPr>
          <w:trHeight w:val="29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预提土地增值税清算准备</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922,142,500.80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230,535,625.20</w:t>
            </w:r>
          </w:p>
        </w:tc>
        <w:tc>
          <w:tcPr>
            <w:tcW w:w="2139"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00" w:bottom="280" w:left="760" w:right="2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2696"/>
        <w:gridCol w:w="2137"/>
        <w:gridCol w:w="1899"/>
        <w:gridCol w:w="2139"/>
        <w:gridCol w:w="1808"/>
      </w:tblGrid>
      <w:tr>
        <w:trPr>
          <w:trHeight w:val="296"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25,791,027.76</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6,447,756.94</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33,342,274.64</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8,335,568.66</w:t>
            </w:r>
          </w:p>
        </w:tc>
      </w:tr>
      <w:tr>
        <w:trPr>
          <w:trHeight w:val="29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2,414,351,421.24</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603,587,855.36</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1,723,742,047.04</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430,935,511.76</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760" w:right="240"/>
        </w:sectPr>
      </w:pPr>
    </w:p>
    <w:p>
      <w:pPr>
        <w:pStyle w:val="Heading2"/>
        <w:spacing w:line="240" w:lineRule="auto"/>
        <w:ind w:left="1038" w:right="-18"/>
        <w:jc w:val="left"/>
        <w:rPr>
          <w:b w:val="0"/>
          <w:bCs w:val="0"/>
        </w:rPr>
      </w:pPr>
      <w:r>
        <w:rPr>
          <w:rFonts w:ascii="宋体" w:hAnsi="宋体" w:cs="宋体" w:eastAsia="宋体" w:hint="default"/>
        </w:rPr>
        <w:t>(2).</w:t>
      </w:r>
      <w:r>
        <w:rPr>
          <w:rFonts w:ascii="宋体" w:hAnsi="宋体" w:cs="宋体" w:eastAsia="宋体" w:hint="default"/>
          <w:spacing w:val="-20"/>
        </w:rPr>
        <w:t> </w:t>
      </w:r>
      <w:r>
        <w:rPr/>
        <w:t>未经抵销的递延所得税负债</w:t>
      </w:r>
      <w:r>
        <w:rPr>
          <w:b w:val="0"/>
          <w:bCs w:val="0"/>
        </w:rPr>
      </w:r>
    </w:p>
    <w:p>
      <w:pPr>
        <w:pStyle w:val="BodyText"/>
        <w:spacing w:line="240" w:lineRule="auto" w:before="58"/>
        <w:ind w:left="103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2238" w:val="left" w:leader="none"/>
        </w:tabs>
        <w:spacing w:line="240" w:lineRule="auto"/>
        <w:ind w:left="1038" w:right="0"/>
        <w:jc w:val="left"/>
      </w:pPr>
      <w:r>
        <w:rPr/>
        <w:t>单位：元</w:t>
        <w:tab/>
        <w:t>币种：人民币</w:t>
      </w:r>
    </w:p>
    <w:p>
      <w:pPr>
        <w:spacing w:after="0" w:line="240" w:lineRule="auto"/>
        <w:jc w:val="left"/>
        <w:sectPr>
          <w:type w:val="continuous"/>
          <w:pgSz w:w="11910" w:h="16840"/>
          <w:pgMar w:top="1000" w:bottom="280" w:left="760" w:right="240"/>
          <w:cols w:num="2" w:equalWidth="0">
            <w:col w:w="4517" w:space="1676"/>
            <w:col w:w="4717"/>
          </w:cols>
        </w:sectPr>
      </w:pPr>
    </w:p>
    <w:p>
      <w:pPr>
        <w:spacing w:line="240" w:lineRule="auto" w:before="12"/>
        <w:rPr>
          <w:rFonts w:ascii="宋体" w:hAnsi="宋体" w:cs="宋体" w:eastAsia="宋体" w:hint="default"/>
          <w:sz w:val="2"/>
          <w:szCs w:val="2"/>
        </w:rPr>
      </w:pPr>
    </w:p>
    <w:tbl>
      <w:tblPr>
        <w:tblW w:w="0" w:type="auto"/>
        <w:jc w:val="left"/>
        <w:tblInd w:w="480" w:type="dxa"/>
        <w:tblLayout w:type="fixed"/>
        <w:tblCellMar>
          <w:top w:w="0" w:type="dxa"/>
          <w:left w:w="0" w:type="dxa"/>
          <w:bottom w:w="0" w:type="dxa"/>
          <w:right w:w="0" w:type="dxa"/>
        </w:tblCellMar>
        <w:tblLook w:val="01E0"/>
      </w:tblPr>
      <w:tblGrid>
        <w:gridCol w:w="2951"/>
        <w:gridCol w:w="1896"/>
        <w:gridCol w:w="1779"/>
        <w:gridCol w:w="1657"/>
        <w:gridCol w:w="1656"/>
      </w:tblGrid>
      <w:tr>
        <w:trPr>
          <w:trHeight w:val="322" w:hRule="exact"/>
        </w:trPr>
        <w:tc>
          <w:tcPr>
            <w:tcW w:w="2951" w:type="dxa"/>
            <w:vMerge w:val="restart"/>
            <w:tcBorders>
              <w:top w:val="single" w:sz="4" w:space="0" w:color="000000"/>
              <w:left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634" w:hRule="exact"/>
        </w:trPr>
        <w:tc>
          <w:tcPr>
            <w:tcW w:w="2951"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应纳税暂时性差</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异</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sz w:val="24"/>
                <w:szCs w:val="24"/>
              </w:rPr>
              <w:t>递延所得税</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负债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
              <w:jc w:val="center"/>
              <w:rPr>
                <w:rFonts w:ascii="宋体" w:hAnsi="宋体" w:cs="宋体" w:eastAsia="宋体" w:hint="default"/>
                <w:sz w:val="24"/>
                <w:szCs w:val="24"/>
              </w:rPr>
            </w:pPr>
            <w:r>
              <w:rPr>
                <w:rFonts w:ascii="宋体" w:hAnsi="宋体" w:cs="宋体" w:eastAsia="宋体" w:hint="default"/>
                <w:sz w:val="24"/>
                <w:szCs w:val="24"/>
              </w:rPr>
              <w:t>应纳税暂时性</w:t>
            </w:r>
          </w:p>
          <w:p>
            <w:pPr>
              <w:pStyle w:val="TableParagraph"/>
              <w:spacing w:line="313" w:lineRule="exact"/>
              <w:ind w:right="3"/>
              <w:jc w:val="center"/>
              <w:rPr>
                <w:rFonts w:ascii="宋体" w:hAnsi="宋体" w:cs="宋体" w:eastAsia="宋体" w:hint="default"/>
                <w:sz w:val="24"/>
                <w:szCs w:val="24"/>
              </w:rPr>
            </w:pPr>
            <w:r>
              <w:rPr>
                <w:rFonts w:ascii="宋体" w:hAnsi="宋体" w:cs="宋体" w:eastAsia="宋体" w:hint="default"/>
                <w:sz w:val="24"/>
                <w:szCs w:val="24"/>
              </w:rPr>
              <w:t>差异</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递延所得税</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负债</w:t>
            </w:r>
          </w:p>
        </w:tc>
      </w:tr>
      <w:tr>
        <w:trPr>
          <w:trHeight w:val="944"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w:t>
            </w:r>
          </w:p>
          <w:p>
            <w:pPr>
              <w:pStyle w:val="TableParagraph"/>
              <w:spacing w:line="312" w:lineRule="exact" w:before="28"/>
              <w:ind w:left="103" w:right="195"/>
              <w:jc w:val="left"/>
              <w:rPr>
                <w:rFonts w:ascii="宋体" w:hAnsi="宋体" w:cs="宋体" w:eastAsia="宋体" w:hint="default"/>
                <w:sz w:val="24"/>
                <w:szCs w:val="24"/>
              </w:rPr>
            </w:pPr>
            <w:r>
              <w:rPr>
                <w:rFonts w:ascii="宋体" w:hAnsi="宋体" w:cs="宋体" w:eastAsia="宋体" w:hint="default"/>
                <w:sz w:val="24"/>
                <w:szCs w:val="24"/>
              </w:rPr>
              <w:t>计入当期损益的金融资产 公允价值变动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4"/>
                <w:szCs w:val="24"/>
              </w:rPr>
            </w:pPr>
            <w:r>
              <w:rPr>
                <w:rFonts w:ascii="宋体"/>
                <w:sz w:val="24"/>
              </w:rPr>
              <w:t>242,823.82</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24"/>
                <w:szCs w:val="24"/>
              </w:rPr>
            </w:pPr>
            <w:r>
              <w:rPr>
                <w:rFonts w:ascii="宋体"/>
                <w:sz w:val="24"/>
              </w:rPr>
              <w:t>60,705.96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4"/>
              <w:jc w:val="right"/>
              <w:rPr>
                <w:rFonts w:ascii="宋体" w:hAnsi="宋体" w:cs="宋体" w:eastAsia="宋体" w:hint="default"/>
                <w:sz w:val="24"/>
                <w:szCs w:val="24"/>
              </w:rPr>
            </w:pPr>
            <w:r>
              <w:rPr>
                <w:rFonts w:ascii="宋体"/>
                <w:sz w:val="24"/>
              </w:rPr>
              <w:t>4,303,970.53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4"/>
                <w:szCs w:val="24"/>
              </w:rPr>
            </w:pPr>
            <w:r>
              <w:rPr>
                <w:rFonts w:ascii="宋体"/>
                <w:sz w:val="24"/>
              </w:rPr>
              <w:t>1,075,992.63</w:t>
            </w:r>
          </w:p>
        </w:tc>
      </w:tr>
      <w:tr>
        <w:trPr>
          <w:trHeight w:val="322"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1"/>
              <w:jc w:val="center"/>
              <w:rPr>
                <w:rFonts w:ascii="宋体" w:hAnsi="宋体" w:cs="宋体" w:eastAsia="宋体" w:hint="default"/>
                <w:sz w:val="24"/>
                <w:szCs w:val="24"/>
              </w:rPr>
            </w:pPr>
            <w:r>
              <w:rPr>
                <w:rFonts w:ascii="宋体" w:hAnsi="宋体" w:cs="宋体" w:eastAsia="宋体" w:hint="default"/>
                <w:sz w:val="24"/>
                <w:szCs w:val="24"/>
              </w:rPr>
              <w:t>预提土地增值税清算准备</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115,476,691.05</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28,869,172.77</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115,719,514.87</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28,929,878.73</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4,303,970.53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1,075,992.63</w:t>
            </w:r>
          </w:p>
        </w:tc>
      </w:tr>
    </w:tbl>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00" w:bottom="280" w:left="760" w:right="240"/>
        </w:sectPr>
      </w:pPr>
    </w:p>
    <w:p>
      <w:pPr>
        <w:pStyle w:val="Heading2"/>
        <w:spacing w:line="240" w:lineRule="auto"/>
        <w:ind w:left="1038" w:right="-18"/>
        <w:jc w:val="left"/>
        <w:rPr>
          <w:b w:val="0"/>
          <w:bCs w:val="0"/>
        </w:rPr>
      </w:pPr>
      <w:r>
        <w:rPr>
          <w:rFonts w:ascii="宋体" w:hAnsi="宋体" w:cs="宋体" w:eastAsia="宋体" w:hint="default"/>
        </w:rPr>
        <w:t>(3).</w:t>
      </w:r>
      <w:r>
        <w:rPr>
          <w:rFonts w:ascii="宋体" w:hAnsi="宋体" w:cs="宋体" w:eastAsia="宋体" w:hint="default"/>
          <w:spacing w:val="-21"/>
        </w:rPr>
        <w:t> </w:t>
      </w:r>
      <w:r>
        <w:rPr/>
        <w:t>以抵销后净额列示的递延所得税资产或负债：</w:t>
      </w:r>
      <w:r>
        <w:rPr>
          <w:b w:val="0"/>
          <w:bCs w:val="0"/>
        </w:rPr>
      </w:r>
    </w:p>
    <w:p>
      <w:pPr>
        <w:pStyle w:val="BodyText"/>
        <w:spacing w:line="240" w:lineRule="auto" w:before="58"/>
        <w:ind w:left="1038" w:right="-18"/>
        <w:jc w:val="left"/>
      </w:pPr>
      <w:r>
        <w:rPr/>
        <w:t>□适用</w:t>
      </w:r>
      <w:r>
        <w:rPr>
          <w:spacing w:val="-1"/>
        </w:rPr>
        <w:t> </w:t>
      </w:r>
      <w:r>
        <w:rPr/>
        <w:t>√不适用</w:t>
      </w:r>
    </w:p>
    <w:p>
      <w:pPr>
        <w:pStyle w:val="Heading2"/>
        <w:spacing w:line="240" w:lineRule="auto" w:before="58"/>
        <w:ind w:left="1038" w:right="-18"/>
        <w:jc w:val="left"/>
        <w:rPr>
          <w:b w:val="0"/>
          <w:bCs w:val="0"/>
        </w:rPr>
      </w:pPr>
      <w:r>
        <w:rPr>
          <w:rFonts w:ascii="宋体" w:hAnsi="宋体" w:cs="宋体" w:eastAsia="宋体" w:hint="default"/>
        </w:rPr>
        <w:t>(4).</w:t>
      </w:r>
      <w:r>
        <w:rPr>
          <w:rFonts w:ascii="宋体" w:hAnsi="宋体" w:cs="宋体" w:eastAsia="宋体" w:hint="default"/>
          <w:spacing w:val="-19"/>
        </w:rPr>
        <w:t> </w:t>
      </w:r>
      <w:r>
        <w:rPr/>
        <w:t>未确认递延所得税资产明细</w:t>
      </w:r>
      <w:r>
        <w:rPr>
          <w:b w:val="0"/>
          <w:bCs w:val="0"/>
        </w:rPr>
      </w:r>
    </w:p>
    <w:p>
      <w:pPr>
        <w:pStyle w:val="BodyText"/>
        <w:spacing w:line="240" w:lineRule="auto" w:before="55"/>
        <w:ind w:left="103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948" w:val="left" w:leader="none"/>
        </w:tabs>
        <w:spacing w:line="240" w:lineRule="auto" w:before="195"/>
        <w:ind w:left="747" w:right="0"/>
        <w:jc w:val="left"/>
      </w:pPr>
      <w:r>
        <w:rPr/>
        <w:t>单位：元</w:t>
        <w:tab/>
        <w:t>币种：人民币</w:t>
      </w:r>
    </w:p>
    <w:p>
      <w:pPr>
        <w:spacing w:after="0" w:line="240" w:lineRule="auto"/>
        <w:jc w:val="left"/>
        <w:sectPr>
          <w:type w:val="continuous"/>
          <w:pgSz w:w="11910" w:h="16840"/>
          <w:pgMar w:top="1000" w:bottom="280" w:left="760" w:right="240"/>
          <w:cols w:num="2" w:equalWidth="0">
            <w:col w:w="6444" w:space="40"/>
            <w:col w:w="4426"/>
          </w:cols>
        </w:sectPr>
      </w:pPr>
    </w:p>
    <w:p>
      <w:pPr>
        <w:spacing w:line="240" w:lineRule="auto" w:before="12"/>
        <w:rPr>
          <w:rFonts w:ascii="宋体" w:hAnsi="宋体" w:cs="宋体" w:eastAsia="宋体" w:hint="default"/>
          <w:sz w:val="2"/>
          <w:szCs w:val="2"/>
        </w:rPr>
      </w:pPr>
    </w:p>
    <w:tbl>
      <w:tblPr>
        <w:tblW w:w="0" w:type="auto"/>
        <w:jc w:val="left"/>
        <w:tblInd w:w="925" w:type="dxa"/>
        <w:tblLayout w:type="fixed"/>
        <w:tblCellMar>
          <w:top w:w="0" w:type="dxa"/>
          <w:left w:w="0" w:type="dxa"/>
          <w:bottom w:w="0" w:type="dxa"/>
          <w:right w:w="0" w:type="dxa"/>
        </w:tblCellMar>
        <w:tblLook w:val="01E0"/>
      </w:tblPr>
      <w:tblGrid>
        <w:gridCol w:w="2890"/>
        <w:gridCol w:w="3082"/>
        <w:gridCol w:w="3077"/>
      </w:tblGrid>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150,018,265.96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79,070,695.44</w:t>
            </w:r>
          </w:p>
        </w:tc>
      </w:tr>
      <w:tr>
        <w:trPr>
          <w:trHeight w:val="319"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340,008,793.65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267,507,745.93</w:t>
            </w:r>
          </w:p>
        </w:tc>
      </w:tr>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490,027,059.61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346,578,441.37</w:t>
            </w:r>
          </w:p>
        </w:tc>
      </w:tr>
    </w:tbl>
    <w:p>
      <w:pPr>
        <w:spacing w:line="240" w:lineRule="auto" w:before="5"/>
        <w:rPr>
          <w:rFonts w:ascii="宋体" w:hAnsi="宋体" w:cs="宋体" w:eastAsia="宋体" w:hint="default"/>
          <w:sz w:val="23"/>
          <w:szCs w:val="23"/>
        </w:rPr>
      </w:pPr>
    </w:p>
    <w:p>
      <w:pPr>
        <w:pStyle w:val="Heading2"/>
        <w:spacing w:line="240" w:lineRule="auto"/>
        <w:ind w:left="1038" w:right="99"/>
        <w:jc w:val="left"/>
        <w:rPr>
          <w:b w:val="0"/>
          <w:bCs w:val="0"/>
        </w:rPr>
      </w:pPr>
      <w:r>
        <w:rPr>
          <w:rFonts w:ascii="宋体" w:hAnsi="宋体" w:cs="宋体" w:eastAsia="宋体" w:hint="default"/>
        </w:rPr>
        <w:t>(5).</w:t>
      </w:r>
      <w:r>
        <w:rPr>
          <w:rFonts w:ascii="宋体" w:hAnsi="宋体" w:cs="宋体" w:eastAsia="宋体" w:hint="default"/>
          <w:spacing w:val="-21"/>
        </w:rPr>
        <w:t> </w:t>
      </w:r>
      <w:r>
        <w:rPr/>
        <w:t>未确认递延所得税资产的可抵扣亏损将于以下年度到期</w:t>
      </w:r>
      <w:r>
        <w:rPr>
          <w:b w:val="0"/>
          <w:bCs w:val="0"/>
        </w:rPr>
      </w:r>
    </w:p>
    <w:p>
      <w:pPr>
        <w:pStyle w:val="BodyText"/>
        <w:spacing w:line="240" w:lineRule="auto" w:before="58"/>
        <w:ind w:left="1038" w:right="99"/>
        <w:jc w:val="left"/>
      </w:pPr>
      <w:r>
        <w:rPr/>
        <w:t>√适用</w:t>
      </w:r>
      <w:r>
        <w:rPr>
          <w:spacing w:val="-1"/>
        </w:rPr>
        <w:t> </w:t>
      </w:r>
      <w:r>
        <w:rPr/>
        <w:t>□不适用</w:t>
      </w:r>
    </w:p>
    <w:p>
      <w:pPr>
        <w:pStyle w:val="BodyText"/>
        <w:tabs>
          <w:tab w:pos="8376" w:val="left" w:leader="none"/>
        </w:tabs>
        <w:spacing w:line="310" w:lineRule="exact"/>
        <w:ind w:left="7175" w:right="99"/>
        <w:jc w:val="left"/>
      </w:pPr>
      <w:r>
        <w:rPr/>
        <w:t>单位：元</w:t>
        <w:tab/>
        <w:t>币种：人民币</w:t>
      </w:r>
    </w:p>
    <w:p>
      <w:pPr>
        <w:spacing w:line="240" w:lineRule="auto" w:before="12"/>
        <w:rPr>
          <w:rFonts w:ascii="宋体" w:hAnsi="宋体" w:cs="宋体" w:eastAsia="宋体" w:hint="default"/>
          <w:sz w:val="2"/>
          <w:szCs w:val="2"/>
        </w:rPr>
      </w:pPr>
    </w:p>
    <w:tbl>
      <w:tblPr>
        <w:tblW w:w="0" w:type="auto"/>
        <w:jc w:val="left"/>
        <w:tblInd w:w="925" w:type="dxa"/>
        <w:tblLayout w:type="fixed"/>
        <w:tblCellMar>
          <w:top w:w="0" w:type="dxa"/>
          <w:left w:w="0" w:type="dxa"/>
          <w:bottom w:w="0" w:type="dxa"/>
          <w:right w:w="0" w:type="dxa"/>
        </w:tblCellMar>
        <w:tblLook w:val="01E0"/>
      </w:tblPr>
      <w:tblGrid>
        <w:gridCol w:w="2083"/>
        <w:gridCol w:w="2288"/>
        <w:gridCol w:w="2324"/>
        <w:gridCol w:w="2355"/>
      </w:tblGrid>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94"/>
              <w:jc w:val="right"/>
              <w:rPr>
                <w:rFonts w:ascii="宋体" w:hAnsi="宋体" w:cs="宋体" w:eastAsia="宋体" w:hint="default"/>
                <w:sz w:val="24"/>
                <w:szCs w:val="24"/>
              </w:rPr>
            </w:pPr>
            <w:r>
              <w:rPr>
                <w:rFonts w:ascii="宋体" w:hAnsi="宋体" w:cs="宋体" w:eastAsia="宋体" w:hint="default"/>
                <w:sz w:val="24"/>
                <w:szCs w:val="24"/>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58" w:right="0"/>
              <w:jc w:val="left"/>
              <w:rPr>
                <w:rFonts w:ascii="宋体" w:hAnsi="宋体" w:cs="宋体" w:eastAsia="宋体" w:hint="default"/>
                <w:sz w:val="24"/>
                <w:szCs w:val="24"/>
              </w:rPr>
            </w:pPr>
            <w:r>
              <w:rPr>
                <w:rFonts w:ascii="宋体" w:hAnsi="宋体" w:cs="宋体" w:eastAsia="宋体" w:hint="default"/>
                <w:sz w:val="24"/>
                <w:szCs w:val="24"/>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7" w:right="0"/>
              <w:jc w:val="left"/>
              <w:rPr>
                <w:rFonts w:ascii="宋体" w:hAnsi="宋体" w:cs="宋体" w:eastAsia="宋体" w:hint="default"/>
                <w:sz w:val="24"/>
                <w:szCs w:val="24"/>
              </w:rPr>
            </w:pPr>
            <w:r>
              <w:rPr>
                <w:rFonts w:ascii="宋体" w:hAnsi="宋体" w:cs="宋体" w:eastAsia="宋体" w:hint="default"/>
                <w:sz w:val="24"/>
                <w:szCs w:val="24"/>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备注</w:t>
            </w: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30,691,068.85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39,875,543.30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49,396,725.59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222,158,090.69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230,952,262.82</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2020</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301,132,275.94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340,024,454.41</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2021</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446,729,975.49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418,966,471.76</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2022</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350,139,289.02</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94"/>
              <w:jc w:val="right"/>
              <w:rPr>
                <w:rFonts w:ascii="宋体" w:hAnsi="宋体" w:cs="宋体" w:eastAsia="宋体" w:hint="default"/>
                <w:sz w:val="24"/>
                <w:szCs w:val="24"/>
              </w:rPr>
            </w:pPr>
            <w:r>
              <w:rPr>
                <w:rFonts w:ascii="宋体" w:hAnsi="宋体" w:cs="宋体" w:eastAsia="宋体" w:hint="default"/>
                <w:sz w:val="24"/>
                <w:szCs w:val="24"/>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1,360,035,174.44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1,070,030,983.43</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sz w:val="24"/>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00" w:bottom="280" w:left="760" w:right="240"/>
        </w:sectPr>
      </w:pPr>
    </w:p>
    <w:p>
      <w:pPr>
        <w:pStyle w:val="Heading2"/>
        <w:spacing w:line="240" w:lineRule="auto" w:before="168"/>
        <w:ind w:left="1038" w:right="-17"/>
        <w:jc w:val="left"/>
        <w:rPr>
          <w:b w:val="0"/>
          <w:bCs w:val="0"/>
        </w:rPr>
      </w:pPr>
      <w:r>
        <w:rPr>
          <w:rFonts w:ascii="宋体" w:hAnsi="宋体" w:cs="宋体" w:eastAsia="宋体" w:hint="default"/>
        </w:rPr>
        <w:t>20</w:t>
      </w:r>
      <w:r>
        <w:rPr/>
        <w:t>、</w:t>
      </w:r>
      <w:r>
        <w:rPr>
          <w:spacing w:val="-103"/>
        </w:rPr>
        <w:t> </w:t>
      </w:r>
      <w:r>
        <w:rPr/>
        <w:t>其他非流动资产</w:t>
      </w:r>
      <w:r>
        <w:rPr>
          <w:b w:val="0"/>
          <w:bCs w:val="0"/>
        </w:rPr>
      </w:r>
    </w:p>
    <w:p>
      <w:pPr>
        <w:pStyle w:val="BodyText"/>
        <w:spacing w:line="240" w:lineRule="auto" w:before="58"/>
        <w:ind w:left="1038"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7"/>
          <w:szCs w:val="17"/>
        </w:rPr>
      </w:pPr>
    </w:p>
    <w:p>
      <w:pPr>
        <w:pStyle w:val="BodyText"/>
        <w:tabs>
          <w:tab w:pos="2238" w:val="left" w:leader="none"/>
        </w:tabs>
        <w:spacing w:line="240" w:lineRule="auto"/>
        <w:ind w:left="1038" w:right="0"/>
        <w:jc w:val="left"/>
      </w:pPr>
      <w:r>
        <w:rPr/>
        <w:t>单位：元</w:t>
        <w:tab/>
        <w:t>币种：人民币</w:t>
      </w:r>
    </w:p>
    <w:p>
      <w:pPr>
        <w:spacing w:after="0" w:line="240" w:lineRule="auto"/>
        <w:jc w:val="left"/>
        <w:sectPr>
          <w:type w:val="continuous"/>
          <w:pgSz w:w="11910" w:h="16840"/>
          <w:pgMar w:top="1000" w:bottom="280" w:left="760" w:right="240"/>
          <w:cols w:num="2" w:equalWidth="0">
            <w:col w:w="3229" w:space="2964"/>
            <w:col w:w="471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816"/>
        <w:gridCol w:w="3080"/>
        <w:gridCol w:w="3001"/>
      </w:tblGrid>
      <w:tr>
        <w:trPr>
          <w:trHeight w:val="322"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160"/>
              <w:jc w:val="right"/>
              <w:rPr>
                <w:rFonts w:ascii="宋体" w:hAnsi="宋体" w:cs="宋体" w:eastAsia="宋体" w:hint="default"/>
                <w:sz w:val="24"/>
                <w:szCs w:val="24"/>
              </w:rPr>
            </w:pPr>
            <w:r>
              <w:rPr>
                <w:rFonts w:ascii="宋体" w:hAnsi="宋体" w:cs="宋体" w:eastAsia="宋体" w:hint="default"/>
                <w:sz w:val="24"/>
                <w:szCs w:val="24"/>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预付投资款</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685,580,000.00</w:t>
            </w:r>
          </w:p>
        </w:tc>
      </w:tr>
      <w:tr>
        <w:trPr>
          <w:trHeight w:val="322"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信托保障基金</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20,816,000.00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51,448,000.00</w:t>
            </w:r>
          </w:p>
        </w:tc>
      </w:tr>
      <w:tr>
        <w:trPr>
          <w:trHeight w:val="322"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基金及资管计划</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890,000,000.00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224,000,000.00</w:t>
            </w:r>
          </w:p>
        </w:tc>
      </w:tr>
      <w:tr>
        <w:trPr>
          <w:trHeight w:val="322"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884,120.00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6,890,825.67</w:t>
            </w:r>
          </w:p>
        </w:tc>
      </w:tr>
      <w:tr>
        <w:trPr>
          <w:trHeight w:val="322"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60"/>
              <w:jc w:val="right"/>
              <w:rPr>
                <w:rFonts w:ascii="宋体" w:hAnsi="宋体" w:cs="宋体" w:eastAsia="宋体" w:hint="default"/>
                <w:sz w:val="24"/>
                <w:szCs w:val="24"/>
              </w:rPr>
            </w:pPr>
            <w:r>
              <w:rPr>
                <w:rFonts w:ascii="宋体" w:hAnsi="宋体" w:cs="宋体" w:eastAsia="宋体" w:hint="default"/>
                <w:sz w:val="24"/>
                <w:szCs w:val="24"/>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911,700,120.00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967,918,825.67</w:t>
            </w:r>
          </w:p>
        </w:tc>
      </w:tr>
    </w:tbl>
    <w:p>
      <w:pPr>
        <w:spacing w:line="240" w:lineRule="auto" w:before="8"/>
        <w:rPr>
          <w:rFonts w:ascii="宋体" w:hAnsi="宋体" w:cs="宋体" w:eastAsia="宋体" w:hint="default"/>
          <w:sz w:val="18"/>
          <w:szCs w:val="18"/>
        </w:rPr>
      </w:pPr>
    </w:p>
    <w:p>
      <w:pPr>
        <w:pStyle w:val="BodyText"/>
        <w:spacing w:line="313" w:lineRule="exact" w:before="26"/>
        <w:ind w:left="218" w:right="233"/>
        <w:jc w:val="left"/>
      </w:pPr>
      <w:r>
        <w:rPr/>
        <w:t>其他说明：</w:t>
      </w:r>
    </w:p>
    <w:p>
      <w:pPr>
        <w:pStyle w:val="BodyText"/>
        <w:spacing w:line="357" w:lineRule="auto"/>
        <w:ind w:left="218" w:right="289" w:firstLine="479"/>
        <w:jc w:val="left"/>
      </w:pPr>
      <w:r>
        <w:rPr/>
        <w:t>公司全资子公司新湖地产认购“中信•新湖上海棚改契约型基金”</w:t>
      </w:r>
      <w:r>
        <w:rPr>
          <w:rFonts w:ascii="宋体" w:hAnsi="宋体" w:cs="宋体" w:eastAsia="宋体" w:hint="default"/>
        </w:rPr>
        <w:t>89,000</w:t>
      </w:r>
      <w:r>
        <w:rPr/>
        <w:t>万份， 每份基金价格</w:t>
      </w:r>
      <w:r>
        <w:rPr>
          <w:rFonts w:ascii="宋体" w:hAnsi="宋体" w:cs="宋体" w:eastAsia="宋体" w:hint="default"/>
        </w:rPr>
        <w:t>1</w:t>
      </w:r>
      <w:r>
        <w:rPr/>
        <w:t>元，合计</w:t>
      </w:r>
      <w:r>
        <w:rPr>
          <w:rFonts w:ascii="宋体" w:hAnsi="宋体" w:cs="宋体" w:eastAsia="宋体" w:hint="default"/>
        </w:rPr>
        <w:t>89,000</w:t>
      </w:r>
      <w:r>
        <w:rPr/>
        <w:t>万元。</w:t>
      </w: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21</w:t>
      </w:r>
      <w:r>
        <w:rPr/>
        <w:t>、</w:t>
      </w:r>
      <w:r>
        <w:rPr>
          <w:spacing w:val="-102"/>
        </w:rPr>
        <w:t> </w:t>
      </w:r>
      <w:r>
        <w:rPr/>
        <w:t>短期借款</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23"/>
        </w:rPr>
        <w:t> </w:t>
      </w:r>
      <w:r>
        <w:rPr/>
        <w:t>短期借款分类</w:t>
      </w:r>
      <w:r>
        <w:rPr>
          <w:b w:val="0"/>
          <w:bCs w:val="0"/>
        </w:rPr>
      </w:r>
    </w:p>
    <w:p>
      <w:pPr>
        <w:pStyle w:val="BodyText"/>
        <w:spacing w:line="240" w:lineRule="auto" w:before="55"/>
        <w:ind w:left="21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000" w:bottom="280" w:left="1580" w:right="1040"/>
          <w:cols w:num="2" w:equalWidth="0">
            <w:col w:w="2294" w:space="3899"/>
            <w:col w:w="3097"/>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71"/>
        <w:gridCol w:w="3005"/>
        <w:gridCol w:w="3020"/>
      </w:tblGrid>
      <w:tr>
        <w:trPr>
          <w:trHeight w:val="319"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4"/>
              <w:jc w:val="right"/>
              <w:rPr>
                <w:rFonts w:ascii="宋体" w:hAnsi="宋体" w:cs="宋体" w:eastAsia="宋体" w:hint="default"/>
                <w:sz w:val="24"/>
                <w:szCs w:val="24"/>
              </w:rPr>
            </w:pPr>
            <w:r>
              <w:rPr>
                <w:rFonts w:ascii="宋体"/>
                <w:sz w:val="24"/>
              </w:rPr>
              <w:t>50,000,000.00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6"/>
              <w:jc w:val="right"/>
              <w:rPr>
                <w:rFonts w:ascii="宋体" w:hAnsi="宋体" w:cs="宋体" w:eastAsia="宋体" w:hint="default"/>
                <w:sz w:val="24"/>
                <w:szCs w:val="24"/>
              </w:rPr>
            </w:pPr>
            <w:r>
              <w:rPr>
                <w:rFonts w:ascii="宋体"/>
                <w:sz w:val="24"/>
              </w:rPr>
              <w:t>294,400,000.00</w:t>
            </w:r>
          </w:p>
        </w:tc>
      </w:tr>
      <w:tr>
        <w:trPr>
          <w:trHeight w:val="322"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抵押借款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4"/>
              <w:jc w:val="right"/>
              <w:rPr>
                <w:rFonts w:ascii="宋体" w:hAnsi="宋体" w:cs="宋体" w:eastAsia="宋体" w:hint="default"/>
                <w:sz w:val="24"/>
                <w:szCs w:val="24"/>
              </w:rPr>
            </w:pPr>
            <w:r>
              <w:rPr>
                <w:rFonts w:ascii="宋体"/>
                <w:sz w:val="24"/>
              </w:rPr>
              <w:t>130,000,000.00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6"/>
              <w:jc w:val="right"/>
              <w:rPr>
                <w:rFonts w:ascii="宋体" w:hAnsi="宋体" w:cs="宋体" w:eastAsia="宋体" w:hint="default"/>
                <w:sz w:val="24"/>
                <w:szCs w:val="24"/>
              </w:rPr>
            </w:pPr>
            <w:r>
              <w:rPr>
                <w:rFonts w:ascii="宋体"/>
                <w:sz w:val="24"/>
              </w:rPr>
              <w:t>291,970,000.00</w:t>
            </w:r>
          </w:p>
        </w:tc>
      </w:tr>
      <w:tr>
        <w:trPr>
          <w:trHeight w:val="322"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保证借款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4"/>
              <w:jc w:val="right"/>
              <w:rPr>
                <w:rFonts w:ascii="宋体" w:hAnsi="宋体" w:cs="宋体" w:eastAsia="宋体" w:hint="default"/>
                <w:sz w:val="24"/>
                <w:szCs w:val="24"/>
              </w:rPr>
            </w:pPr>
            <w:r>
              <w:rPr>
                <w:rFonts w:ascii="宋体"/>
                <w:sz w:val="24"/>
              </w:rPr>
              <w:t>1,055,000,000.00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6"/>
              <w:jc w:val="right"/>
              <w:rPr>
                <w:rFonts w:ascii="宋体" w:hAnsi="宋体" w:cs="宋体" w:eastAsia="宋体" w:hint="default"/>
                <w:sz w:val="24"/>
                <w:szCs w:val="24"/>
              </w:rPr>
            </w:pPr>
            <w:r>
              <w:rPr>
                <w:rFonts w:ascii="宋体"/>
                <w:sz w:val="24"/>
              </w:rPr>
              <w:t>2,412,030,000.00</w:t>
            </w:r>
          </w:p>
        </w:tc>
      </w:tr>
      <w:tr>
        <w:trPr>
          <w:trHeight w:val="322"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4"/>
              <w:jc w:val="right"/>
              <w:rPr>
                <w:rFonts w:ascii="宋体" w:hAnsi="宋体" w:cs="宋体" w:eastAsia="宋体" w:hint="default"/>
                <w:sz w:val="24"/>
                <w:szCs w:val="24"/>
              </w:rPr>
            </w:pPr>
            <w:r>
              <w:rPr>
                <w:rFonts w:ascii="宋体"/>
                <w:sz w:val="24"/>
              </w:rPr>
              <w:t>454,260,000.00</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抵押并保证借款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4"/>
              <w:jc w:val="right"/>
              <w:rPr>
                <w:rFonts w:ascii="宋体" w:hAnsi="宋体" w:cs="宋体" w:eastAsia="宋体" w:hint="default"/>
                <w:sz w:val="24"/>
                <w:szCs w:val="24"/>
              </w:rPr>
            </w:pPr>
            <w:r>
              <w:rPr>
                <w:rFonts w:ascii="宋体"/>
                <w:sz w:val="24"/>
              </w:rPr>
              <w:t>764,798,176.24</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6"/>
              <w:jc w:val="right"/>
              <w:rPr>
                <w:rFonts w:ascii="宋体" w:hAnsi="宋体" w:cs="宋体" w:eastAsia="宋体" w:hint="default"/>
                <w:sz w:val="24"/>
                <w:szCs w:val="24"/>
              </w:rPr>
            </w:pPr>
            <w:r>
              <w:rPr>
                <w:rFonts w:ascii="宋体"/>
                <w:sz w:val="24"/>
              </w:rPr>
              <w:t>859,200,000.00</w:t>
            </w:r>
          </w:p>
        </w:tc>
      </w:tr>
      <w:tr>
        <w:trPr>
          <w:trHeight w:val="322"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抵押并质押借款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4"/>
              <w:jc w:val="right"/>
              <w:rPr>
                <w:rFonts w:ascii="宋体" w:hAnsi="宋体" w:cs="宋体" w:eastAsia="宋体" w:hint="default"/>
                <w:sz w:val="24"/>
                <w:szCs w:val="24"/>
              </w:rPr>
            </w:pPr>
            <w:r>
              <w:rPr>
                <w:rFonts w:ascii="宋体"/>
                <w:sz w:val="24"/>
              </w:rPr>
              <w:t>60,000,000.00</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质押并保证借款</w:t>
            </w:r>
          </w:p>
        </w:tc>
        <w:tc>
          <w:tcPr>
            <w:tcW w:w="3005"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6"/>
              <w:jc w:val="right"/>
              <w:rPr>
                <w:rFonts w:ascii="宋体" w:hAnsi="宋体" w:cs="宋体" w:eastAsia="宋体" w:hint="default"/>
                <w:sz w:val="24"/>
                <w:szCs w:val="24"/>
              </w:rPr>
            </w:pPr>
            <w:r>
              <w:rPr>
                <w:rFonts w:ascii="宋体"/>
                <w:sz w:val="24"/>
              </w:rPr>
              <w:t>305,000,000.00</w:t>
            </w:r>
          </w:p>
        </w:tc>
      </w:tr>
      <w:tr>
        <w:trPr>
          <w:trHeight w:val="322"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抵押、质押并保证借款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4"/>
              <w:jc w:val="right"/>
              <w:rPr>
                <w:rFonts w:ascii="宋体" w:hAnsi="宋体" w:cs="宋体" w:eastAsia="宋体" w:hint="default"/>
                <w:sz w:val="24"/>
                <w:szCs w:val="24"/>
              </w:rPr>
            </w:pPr>
            <w:r>
              <w:rPr>
                <w:rFonts w:ascii="宋体"/>
                <w:sz w:val="24"/>
              </w:rPr>
              <w:t>220,000,000.00</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4"/>
              <w:jc w:val="right"/>
              <w:rPr>
                <w:rFonts w:ascii="宋体" w:hAnsi="宋体" w:cs="宋体" w:eastAsia="宋体" w:hint="default"/>
                <w:sz w:val="24"/>
                <w:szCs w:val="24"/>
              </w:rPr>
            </w:pPr>
            <w:r>
              <w:rPr>
                <w:rFonts w:ascii="宋体"/>
                <w:sz w:val="24"/>
              </w:rPr>
              <w:t>2,734,058,176.24</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6"/>
              <w:jc w:val="right"/>
              <w:rPr>
                <w:rFonts w:ascii="宋体" w:hAnsi="宋体" w:cs="宋体" w:eastAsia="宋体" w:hint="default"/>
                <w:sz w:val="24"/>
                <w:szCs w:val="24"/>
              </w:rPr>
            </w:pPr>
            <w:r>
              <w:rPr>
                <w:rFonts w:ascii="宋体"/>
                <w:sz w:val="24"/>
              </w:rPr>
              <w:t>4,162,600,000.00</w:t>
            </w:r>
          </w:p>
        </w:tc>
      </w:tr>
    </w:tbl>
    <w:p>
      <w:pPr>
        <w:spacing w:line="240" w:lineRule="auto" w:before="5"/>
        <w:rPr>
          <w:rFonts w:ascii="宋体" w:hAnsi="宋体" w:cs="宋体" w:eastAsia="宋体" w:hint="default"/>
          <w:sz w:val="23"/>
          <w:szCs w:val="23"/>
        </w:rPr>
      </w:pPr>
    </w:p>
    <w:p>
      <w:pPr>
        <w:pStyle w:val="Heading2"/>
        <w:spacing w:line="240" w:lineRule="auto"/>
        <w:ind w:right="233"/>
        <w:jc w:val="left"/>
        <w:rPr>
          <w:b w:val="0"/>
          <w:bCs w:val="0"/>
        </w:rPr>
      </w:pPr>
      <w:r>
        <w:rPr>
          <w:rFonts w:ascii="宋体" w:hAnsi="宋体" w:cs="宋体" w:eastAsia="宋体" w:hint="default"/>
        </w:rPr>
        <w:t>(2).</w:t>
      </w:r>
      <w:r>
        <w:rPr>
          <w:rFonts w:ascii="宋体" w:hAnsi="宋体" w:cs="宋体" w:eastAsia="宋体" w:hint="default"/>
          <w:spacing w:val="23"/>
        </w:rPr>
        <w:t> </w:t>
      </w:r>
      <w:r>
        <w:rPr/>
        <w:t>已逾期未偿还的短期借款情况</w:t>
      </w:r>
      <w:r>
        <w:rPr>
          <w:b w:val="0"/>
          <w:bCs w:val="0"/>
        </w:rPr>
      </w:r>
    </w:p>
    <w:p>
      <w:pPr>
        <w:pStyle w:val="BodyText"/>
        <w:spacing w:line="240" w:lineRule="auto" w:before="58"/>
        <w:ind w:left="218" w:right="233"/>
        <w:jc w:val="left"/>
      </w:pPr>
      <w:r>
        <w:rPr/>
        <w:t>□适用</w:t>
      </w:r>
      <w:r>
        <w:rPr>
          <w:spacing w:val="-1"/>
        </w:rPr>
        <w:t> </w:t>
      </w:r>
      <w:r>
        <w:rPr/>
        <w:t>√不适用</w:t>
      </w:r>
    </w:p>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000" w:bottom="280" w:left="1580" w:right="1040"/>
        </w:sectPr>
      </w:pPr>
    </w:p>
    <w:p>
      <w:pPr>
        <w:pStyle w:val="Heading2"/>
        <w:spacing w:line="240" w:lineRule="auto"/>
        <w:ind w:right="-16"/>
        <w:jc w:val="left"/>
        <w:rPr>
          <w:b w:val="0"/>
          <w:bCs w:val="0"/>
        </w:rPr>
      </w:pPr>
      <w:r>
        <w:rPr>
          <w:rFonts w:ascii="宋体" w:hAnsi="宋体" w:cs="宋体" w:eastAsia="宋体" w:hint="default"/>
        </w:rPr>
        <w:t>22</w:t>
      </w:r>
      <w:r>
        <w:rPr/>
        <w:t>、</w:t>
      </w:r>
      <w:r>
        <w:rPr>
          <w:spacing w:val="-105"/>
        </w:rPr>
        <w:t> </w:t>
      </w:r>
      <w:r>
        <w:rPr/>
        <w:t>以公允价值计量且其变动计入当期损益的金融负债</w:t>
      </w:r>
      <w:r>
        <w:rPr>
          <w:b w:val="0"/>
          <w:bCs w:val="0"/>
        </w:rPr>
      </w:r>
    </w:p>
    <w:p>
      <w:pPr>
        <w:pStyle w:val="BodyText"/>
        <w:spacing w:line="240" w:lineRule="auto" w:before="58"/>
        <w:ind w:left="218"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000" w:bottom="280" w:left="1580" w:right="1040"/>
          <w:cols w:num="2" w:equalWidth="0">
            <w:col w:w="6022" w:space="170"/>
            <w:col w:w="3098"/>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98"/>
        <w:gridCol w:w="2890"/>
        <w:gridCol w:w="2861"/>
      </w:tblGrid>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0"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45"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交易性金融负债</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39,726.59</w:t>
            </w: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其中：发行的交易性债券</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衍生金融负债</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39,726.59</w:t>
            </w:r>
          </w:p>
        </w:tc>
      </w:tr>
      <w:tr>
        <w:trPr>
          <w:trHeight w:val="319"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39,726.59</w:t>
            </w:r>
          </w:p>
        </w:tc>
      </w:tr>
    </w:tbl>
    <w:p>
      <w:pPr>
        <w:spacing w:line="240" w:lineRule="auto" w:before="5"/>
        <w:rPr>
          <w:rFonts w:ascii="宋体" w:hAnsi="宋体" w:cs="宋体" w:eastAsia="宋体" w:hint="default"/>
          <w:sz w:val="23"/>
          <w:szCs w:val="23"/>
        </w:rPr>
      </w:pPr>
    </w:p>
    <w:p>
      <w:pPr>
        <w:pStyle w:val="Heading2"/>
        <w:spacing w:line="240" w:lineRule="auto"/>
        <w:ind w:right="233"/>
        <w:jc w:val="left"/>
        <w:rPr>
          <w:b w:val="0"/>
          <w:bCs w:val="0"/>
        </w:rPr>
      </w:pPr>
      <w:r>
        <w:rPr>
          <w:rFonts w:ascii="宋体" w:hAnsi="宋体" w:cs="宋体" w:eastAsia="宋体" w:hint="default"/>
        </w:rPr>
        <w:t>23</w:t>
      </w:r>
      <w:r>
        <w:rPr/>
        <w:t>、</w:t>
      </w:r>
      <w:r>
        <w:rPr>
          <w:spacing w:val="-102"/>
        </w:rPr>
        <w:t> </w:t>
      </w:r>
      <w:r>
        <w:rPr/>
        <w:t>应付票据</w:t>
      </w:r>
      <w:r>
        <w:rPr>
          <w:b w:val="0"/>
          <w:bCs w:val="0"/>
        </w:rPr>
      </w:r>
    </w:p>
    <w:p>
      <w:pPr>
        <w:pStyle w:val="BodyText"/>
        <w:spacing w:line="240" w:lineRule="auto" w:before="58"/>
        <w:ind w:left="218" w:right="233"/>
        <w:jc w:val="left"/>
      </w:pPr>
      <w:r>
        <w:rPr/>
        <w:t>√适用</w:t>
      </w:r>
      <w:r>
        <w:rPr>
          <w:spacing w:val="-1"/>
        </w:rPr>
        <w:t> </w:t>
      </w:r>
      <w:r>
        <w:rPr/>
        <w:t>□不适用</w:t>
      </w:r>
    </w:p>
    <w:p>
      <w:pPr>
        <w:spacing w:after="0" w:line="240" w:lineRule="auto"/>
        <w:jc w:val="left"/>
        <w:sectPr>
          <w:type w:val="continuous"/>
          <w:pgSz w:w="11910" w:h="16840"/>
          <w:pgMar w:top="1000" w:bottom="280" w:left="1580" w:right="1040"/>
        </w:sectPr>
      </w:pPr>
    </w:p>
    <w:p>
      <w:pPr>
        <w:spacing w:line="240" w:lineRule="auto" w:before="5"/>
        <w:rPr>
          <w:rFonts w:ascii="宋体" w:hAnsi="宋体" w:cs="宋体" w:eastAsia="宋体" w:hint="default"/>
          <w:sz w:val="25"/>
          <w:szCs w:val="25"/>
        </w:rPr>
      </w:pPr>
    </w:p>
    <w:p>
      <w:pPr>
        <w:pStyle w:val="BodyText"/>
        <w:tabs>
          <w:tab w:pos="1200" w:val="left" w:leader="none"/>
        </w:tabs>
        <w:spacing w:line="240" w:lineRule="auto" w:before="26"/>
        <w:ind w:left="0" w:right="25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312"/>
        <w:gridCol w:w="3339"/>
        <w:gridCol w:w="3245"/>
      </w:tblGrid>
      <w:tr>
        <w:trPr>
          <w:trHeight w:val="32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08"/>
              <w:jc w:val="right"/>
              <w:rPr>
                <w:rFonts w:ascii="宋体" w:hAnsi="宋体" w:cs="宋体" w:eastAsia="宋体" w:hint="default"/>
                <w:sz w:val="24"/>
                <w:szCs w:val="24"/>
              </w:rPr>
            </w:pPr>
            <w:r>
              <w:rPr>
                <w:rFonts w:ascii="宋体" w:hAnsi="宋体" w:cs="宋体" w:eastAsia="宋体" w:hint="default"/>
                <w:sz w:val="24"/>
                <w:szCs w:val="24"/>
              </w:rPr>
              <w:t>种类</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33"/>
              <w:jc w:val="right"/>
              <w:rPr>
                <w:rFonts w:ascii="宋体" w:hAnsi="宋体" w:cs="宋体" w:eastAsia="宋体" w:hint="default"/>
                <w:sz w:val="24"/>
                <w:szCs w:val="24"/>
              </w:rPr>
            </w:pPr>
            <w:r>
              <w:rPr>
                <w:rFonts w:ascii="宋体" w:hAnsi="宋体" w:cs="宋体" w:eastAsia="宋体" w:hint="default"/>
                <w:sz w:val="24"/>
                <w:szCs w:val="24"/>
              </w:rPr>
              <w:t>商业承兑汇票</w:t>
            </w:r>
          </w:p>
        </w:tc>
        <w:tc>
          <w:tcPr>
            <w:tcW w:w="3339" w:type="dxa"/>
            <w:tcBorders>
              <w:top w:val="single" w:sz="4" w:space="0" w:color="000000"/>
              <w:left w:val="single" w:sz="4" w:space="0" w:color="000000"/>
              <w:bottom w:val="single" w:sz="4" w:space="0" w:color="000000"/>
              <w:right w:val="single" w:sz="4" w:space="0" w:color="000000"/>
            </w:tcBorders>
          </w:tcPr>
          <w:p>
            <w:pPr/>
          </w:p>
        </w:tc>
        <w:tc>
          <w:tcPr>
            <w:tcW w:w="32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33"/>
              <w:jc w:val="right"/>
              <w:rPr>
                <w:rFonts w:ascii="宋体" w:hAnsi="宋体" w:cs="宋体" w:eastAsia="宋体" w:hint="default"/>
                <w:sz w:val="24"/>
                <w:szCs w:val="24"/>
              </w:rPr>
            </w:pPr>
            <w:r>
              <w:rPr>
                <w:rFonts w:ascii="宋体" w:hAnsi="宋体" w:cs="宋体" w:eastAsia="宋体" w:hint="default"/>
                <w:sz w:val="24"/>
                <w:szCs w:val="24"/>
              </w:rPr>
              <w:t>银行承兑汇票</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6"/>
              <w:jc w:val="right"/>
              <w:rPr>
                <w:rFonts w:ascii="宋体" w:hAnsi="宋体" w:cs="宋体" w:eastAsia="宋体" w:hint="default"/>
                <w:sz w:val="24"/>
                <w:szCs w:val="24"/>
              </w:rPr>
            </w:pPr>
            <w:r>
              <w:rPr>
                <w:rFonts w:ascii="宋体"/>
                <w:sz w:val="24"/>
              </w:rPr>
              <w:t>7,280,000.00</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163,870,000.00</w:t>
            </w: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08"/>
              <w:jc w:val="right"/>
              <w:rPr>
                <w:rFonts w:ascii="宋体" w:hAnsi="宋体" w:cs="宋体" w:eastAsia="宋体" w:hint="default"/>
                <w:sz w:val="24"/>
                <w:szCs w:val="24"/>
              </w:rPr>
            </w:pPr>
            <w:r>
              <w:rPr>
                <w:rFonts w:ascii="宋体" w:hAnsi="宋体" w:cs="宋体" w:eastAsia="宋体" w:hint="default"/>
                <w:sz w:val="24"/>
                <w:szCs w:val="24"/>
              </w:rPr>
              <w:t>合计</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7,280,000.00</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163,870,000.00</w:t>
            </w:r>
          </w:p>
        </w:tc>
      </w:tr>
    </w:tbl>
    <w:p>
      <w:pPr>
        <w:spacing w:line="240" w:lineRule="auto" w:before="8"/>
        <w:rPr>
          <w:rFonts w:ascii="宋体" w:hAnsi="宋体" w:cs="宋体" w:eastAsia="宋体" w:hint="default"/>
          <w:sz w:val="18"/>
          <w:szCs w:val="18"/>
        </w:rPr>
      </w:pPr>
    </w:p>
    <w:p>
      <w:pPr>
        <w:pStyle w:val="BodyText"/>
        <w:spacing w:line="240" w:lineRule="auto" w:before="26"/>
        <w:ind w:left="238" w:right="102"/>
        <w:jc w:val="left"/>
      </w:pPr>
      <w:r>
        <w:rPr/>
        <w:t>本期末已到期未支付的应付票据总额为 </w:t>
      </w:r>
      <w:r>
        <w:rPr>
          <w:rFonts w:ascii="宋体" w:hAnsi="宋体" w:cs="宋体" w:eastAsia="宋体" w:hint="default"/>
        </w:rPr>
        <w:t>0.00</w:t>
      </w:r>
      <w:r>
        <w:rPr>
          <w:rFonts w:ascii="宋体" w:hAnsi="宋体" w:cs="宋体" w:eastAsia="宋体" w:hint="default"/>
          <w:spacing w:val="-60"/>
        </w:rPr>
        <w:t> </w:t>
      </w:r>
      <w:r>
        <w:rPr/>
        <w:t>元。</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560" w:right="1020"/>
        </w:sectPr>
      </w:pPr>
    </w:p>
    <w:p>
      <w:pPr>
        <w:pStyle w:val="Heading2"/>
        <w:spacing w:line="240" w:lineRule="auto"/>
        <w:ind w:left="238" w:right="0"/>
        <w:jc w:val="left"/>
        <w:rPr>
          <w:b w:val="0"/>
          <w:bCs w:val="0"/>
        </w:rPr>
      </w:pPr>
      <w:r>
        <w:rPr>
          <w:rFonts w:ascii="宋体" w:hAnsi="宋体" w:cs="宋体" w:eastAsia="宋体" w:hint="default"/>
        </w:rPr>
        <w:t>24</w:t>
      </w:r>
      <w:r>
        <w:rPr/>
        <w:t>、</w:t>
      </w:r>
      <w:r>
        <w:rPr>
          <w:spacing w:val="-100"/>
        </w:rPr>
        <w:t> </w:t>
      </w:r>
      <w:r>
        <w:rPr/>
        <w:t>应付账款</w:t>
      </w:r>
      <w:r>
        <w:rPr>
          <w:b w:val="0"/>
          <w:bCs w:val="0"/>
        </w:rPr>
      </w:r>
    </w:p>
    <w:p>
      <w:pPr>
        <w:pStyle w:val="Heading2"/>
        <w:tabs>
          <w:tab w:pos="1077" w:val="left" w:leader="none"/>
        </w:tabs>
        <w:spacing w:line="240" w:lineRule="auto" w:before="55"/>
        <w:ind w:left="238" w:right="0"/>
        <w:jc w:val="left"/>
        <w:rPr>
          <w:b w:val="0"/>
          <w:bCs w:val="0"/>
        </w:rPr>
      </w:pPr>
      <w:r>
        <w:rPr>
          <w:rFonts w:ascii="宋体" w:hAnsi="宋体" w:cs="宋体" w:eastAsia="宋体" w:hint="default"/>
        </w:rPr>
        <w:t>(1).</w:t>
        <w:tab/>
      </w:r>
      <w:r>
        <w:rPr>
          <w:w w:val="95"/>
        </w:rPr>
        <w:t>应付账款列示</w:t>
      </w:r>
      <w:r>
        <w:rPr>
          <w:b w:val="0"/>
          <w:bCs w:val="0"/>
        </w:rPr>
      </w:r>
    </w:p>
    <w:p>
      <w:pPr>
        <w:pStyle w:val="BodyText"/>
        <w:spacing w:line="240" w:lineRule="auto" w:before="58"/>
        <w:ind w:left="238"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tabs>
          <w:tab w:pos="1438" w:val="left" w:leader="none"/>
        </w:tabs>
        <w:spacing w:line="240" w:lineRule="auto"/>
        <w:ind w:left="238" w:right="0"/>
        <w:jc w:val="left"/>
      </w:pPr>
      <w:r>
        <w:rPr/>
        <w:t>单位：元</w:t>
        <w:tab/>
        <w:t>币种：人民币</w:t>
      </w:r>
    </w:p>
    <w:p>
      <w:pPr>
        <w:spacing w:after="0" w:line="240" w:lineRule="auto"/>
        <w:jc w:val="left"/>
        <w:sectPr>
          <w:type w:val="continuous"/>
          <w:pgSz w:w="11910" w:h="16840"/>
          <w:pgMar w:top="1000" w:bottom="280" w:left="1560" w:right="1020"/>
          <w:cols w:num="2" w:equalWidth="0">
            <w:col w:w="2523" w:space="3670"/>
            <w:col w:w="3137"/>
          </w:cols>
        </w:sectPr>
      </w:pPr>
    </w:p>
    <w:p>
      <w:pPr>
        <w:spacing w:line="240" w:lineRule="auto" w:before="12"/>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42"/>
        <w:gridCol w:w="2866"/>
        <w:gridCol w:w="3341"/>
      </w:tblGrid>
      <w:tr>
        <w:trPr>
          <w:trHeight w:val="319"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74"/>
              <w:jc w:val="right"/>
              <w:rPr>
                <w:rFonts w:ascii="宋体" w:hAnsi="宋体" w:cs="宋体" w:eastAsia="宋体" w:hint="default"/>
                <w:sz w:val="24"/>
                <w:szCs w:val="24"/>
              </w:rPr>
            </w:pPr>
            <w:r>
              <w:rPr>
                <w:rFonts w:ascii="宋体" w:hAnsi="宋体" w:cs="宋体" w:eastAsia="宋体" w:hint="default"/>
                <w:sz w:val="24"/>
                <w:szCs w:val="24"/>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45"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货款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23,168,227.75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21,570,543.53</w:t>
            </w:r>
          </w:p>
        </w:tc>
      </w:tr>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工程款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1,931,167,768.18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1,537,387,064.50</w:t>
            </w:r>
          </w:p>
        </w:tc>
      </w:tr>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19,842,139.41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18,857,958.38</w:t>
            </w:r>
          </w:p>
        </w:tc>
      </w:tr>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74"/>
              <w:jc w:val="right"/>
              <w:rPr>
                <w:rFonts w:ascii="宋体" w:hAnsi="宋体" w:cs="宋体" w:eastAsia="宋体" w:hint="default"/>
                <w:sz w:val="24"/>
                <w:szCs w:val="24"/>
              </w:rPr>
            </w:pPr>
            <w:r>
              <w:rPr>
                <w:rFonts w:ascii="宋体" w:hAnsi="宋体" w:cs="宋体" w:eastAsia="宋体" w:hint="default"/>
                <w:sz w:val="24"/>
                <w:szCs w:val="24"/>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1,974,178,135.34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1,577,815,566.41</w:t>
            </w:r>
          </w:p>
        </w:tc>
      </w:tr>
    </w:tbl>
    <w:p>
      <w:pPr>
        <w:spacing w:line="240" w:lineRule="auto" w:before="5"/>
        <w:rPr>
          <w:rFonts w:ascii="宋体" w:hAnsi="宋体" w:cs="宋体" w:eastAsia="宋体" w:hint="default"/>
          <w:sz w:val="23"/>
          <w:szCs w:val="23"/>
        </w:rPr>
      </w:pPr>
    </w:p>
    <w:p>
      <w:pPr>
        <w:pStyle w:val="Heading2"/>
        <w:tabs>
          <w:tab w:pos="1077" w:val="left" w:leader="none"/>
        </w:tabs>
        <w:spacing w:line="240" w:lineRule="auto"/>
        <w:ind w:left="238" w:right="102"/>
        <w:jc w:val="left"/>
        <w:rPr>
          <w:b w:val="0"/>
          <w:bCs w:val="0"/>
        </w:rPr>
      </w:pPr>
      <w:r>
        <w:rPr>
          <w:rFonts w:ascii="宋体" w:hAnsi="宋体" w:cs="宋体" w:eastAsia="宋体" w:hint="default"/>
        </w:rPr>
        <w:t>(2).</w:t>
        <w:tab/>
      </w:r>
      <w:r>
        <w:rPr/>
        <w:t>账龄超过</w:t>
      </w:r>
      <w:r>
        <w:rPr>
          <w:spacing w:val="-60"/>
        </w:rPr>
        <w:t> </w:t>
      </w:r>
      <w:r>
        <w:rPr>
          <w:rFonts w:ascii="Cambria" w:hAnsi="Cambria" w:cs="Cambria" w:eastAsia="Cambria" w:hint="default"/>
        </w:rPr>
        <w:t>1</w:t>
      </w:r>
      <w:r>
        <w:rPr>
          <w:rFonts w:ascii="Cambria" w:hAnsi="Cambria" w:cs="Cambria" w:eastAsia="Cambria" w:hint="default"/>
          <w:spacing w:val="3"/>
        </w:rPr>
        <w:t> </w:t>
      </w:r>
      <w:r>
        <w:rPr/>
        <w:t>年的重要应付账款</w:t>
      </w:r>
      <w:r>
        <w:rPr>
          <w:b w:val="0"/>
          <w:bCs w:val="0"/>
        </w:rPr>
      </w:r>
    </w:p>
    <w:p>
      <w:pPr>
        <w:pStyle w:val="BodyText"/>
        <w:spacing w:line="240" w:lineRule="auto" w:before="36"/>
        <w:ind w:left="238" w:right="102"/>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000" w:bottom="280" w:left="1560" w:right="1020"/>
        </w:sectPr>
      </w:pPr>
    </w:p>
    <w:p>
      <w:pPr>
        <w:pStyle w:val="Heading2"/>
        <w:spacing w:line="240" w:lineRule="auto"/>
        <w:ind w:left="238" w:right="-18"/>
        <w:jc w:val="left"/>
        <w:rPr>
          <w:b w:val="0"/>
          <w:bCs w:val="0"/>
        </w:rPr>
      </w:pPr>
      <w:r>
        <w:rPr>
          <w:rFonts w:ascii="宋体" w:hAnsi="宋体" w:cs="宋体" w:eastAsia="宋体" w:hint="default"/>
        </w:rPr>
        <w:t>25</w:t>
      </w:r>
      <w:r>
        <w:rPr/>
        <w:t>、</w:t>
      </w:r>
      <w:r>
        <w:rPr>
          <w:spacing w:val="-102"/>
        </w:rPr>
        <w:t> </w:t>
      </w:r>
      <w:r>
        <w:rPr/>
        <w:t>预收款项</w:t>
      </w:r>
      <w:r>
        <w:rPr>
          <w:b w:val="0"/>
          <w:bCs w:val="0"/>
        </w:rPr>
      </w:r>
    </w:p>
    <w:p>
      <w:pPr>
        <w:pStyle w:val="Heading2"/>
        <w:spacing w:line="240" w:lineRule="auto" w:before="55"/>
        <w:ind w:left="238" w:right="-18"/>
        <w:jc w:val="left"/>
        <w:rPr>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tabs>
          <w:tab w:pos="1438" w:val="left" w:leader="none"/>
        </w:tabs>
        <w:spacing w:line="240" w:lineRule="auto"/>
        <w:ind w:left="238" w:right="0"/>
        <w:jc w:val="left"/>
      </w:pPr>
      <w:r>
        <w:rPr/>
        <w:t>单位：元</w:t>
        <w:tab/>
        <w:t>币种：人民币</w:t>
      </w:r>
    </w:p>
    <w:p>
      <w:pPr>
        <w:spacing w:after="0" w:line="240" w:lineRule="auto"/>
        <w:jc w:val="left"/>
        <w:sectPr>
          <w:type w:val="continuous"/>
          <w:pgSz w:w="11910" w:h="16840"/>
          <w:pgMar w:top="1000" w:bottom="280" w:left="1560" w:right="1020"/>
          <w:cols w:num="2" w:equalWidth="0">
            <w:col w:w="2530" w:space="3663"/>
            <w:col w:w="3137"/>
          </w:cols>
        </w:sectPr>
      </w:pPr>
    </w:p>
    <w:p>
      <w:pPr>
        <w:spacing w:line="240" w:lineRule="auto" w:before="10"/>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937"/>
        <w:gridCol w:w="2693"/>
        <w:gridCol w:w="2420"/>
      </w:tblGrid>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62"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25"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预售房款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13,784,027,913.60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12,430,087,336.19</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启东圆陀角岸线海涂开发预收款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318,054,688.46</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387,313,792.29</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温州西湾项目基础设施建设预收款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1,454,608,601.00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471,139,221.00</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19,972,695.67</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40,962,450.08</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15,576,663,898.73</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13,329,502,799.56</w:t>
            </w:r>
          </w:p>
        </w:tc>
      </w:tr>
    </w:tbl>
    <w:p>
      <w:pPr>
        <w:spacing w:line="240" w:lineRule="auto" w:before="2"/>
        <w:rPr>
          <w:rFonts w:ascii="宋体" w:hAnsi="宋体" w:cs="宋体" w:eastAsia="宋体" w:hint="default"/>
          <w:sz w:val="23"/>
          <w:szCs w:val="23"/>
        </w:rPr>
      </w:pPr>
    </w:p>
    <w:p>
      <w:pPr>
        <w:pStyle w:val="Heading2"/>
        <w:spacing w:line="240" w:lineRule="auto"/>
        <w:ind w:left="238" w:right="102"/>
        <w:jc w:val="left"/>
        <w:rPr>
          <w:b w:val="0"/>
          <w:bCs w:val="0"/>
        </w:rPr>
      </w:pPr>
      <w:r>
        <w:rPr>
          <w:rFonts w:ascii="宋体" w:hAnsi="宋体" w:cs="宋体" w:eastAsia="宋体" w:hint="default"/>
        </w:rPr>
        <w:t>(2).</w:t>
      </w:r>
      <w:r>
        <w:rPr>
          <w:rFonts w:ascii="宋体" w:hAnsi="宋体" w:cs="宋体" w:eastAsia="宋体" w:hint="default"/>
          <w:spacing w:val="-2"/>
        </w:rPr>
        <w:t> </w:t>
      </w:r>
      <w:r>
        <w:rPr/>
        <w:t>账龄超过</w:t>
      </w:r>
      <w:r>
        <w:rPr>
          <w:spacing w:val="-59"/>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313" w:lineRule="exact" w:before="38"/>
        <w:ind w:left="238" w:right="102"/>
        <w:jc w:val="left"/>
      </w:pPr>
      <w:r>
        <w:rPr/>
        <w:t>√适用</w:t>
      </w:r>
      <w:r>
        <w:rPr>
          <w:spacing w:val="-1"/>
        </w:rPr>
        <w:t> </w:t>
      </w:r>
      <w:r>
        <w:rPr/>
        <w:t>□不适用</w:t>
      </w:r>
    </w:p>
    <w:p>
      <w:pPr>
        <w:pStyle w:val="BodyText"/>
        <w:spacing w:line="355" w:lineRule="auto"/>
        <w:ind w:left="238" w:right="309" w:firstLine="479"/>
        <w:jc w:val="left"/>
      </w:pPr>
      <w:r>
        <w:rPr/>
        <w:t>账龄超过 </w:t>
      </w:r>
      <w:r>
        <w:rPr>
          <w:rFonts w:ascii="宋体" w:hAnsi="宋体" w:cs="宋体" w:eastAsia="宋体" w:hint="default"/>
        </w:rPr>
        <w:t>1 </w:t>
      </w:r>
      <w:r>
        <w:rPr/>
        <w:t>年的大额预收款项未结转原因主要系部分子公司预售房产而预收客 户的购房款，房产按合同尚未到期交付所致。</w:t>
      </w:r>
    </w:p>
    <w:p>
      <w:pPr>
        <w:pStyle w:val="Heading2"/>
        <w:spacing w:line="240" w:lineRule="auto" w:before="98"/>
        <w:ind w:left="238" w:right="102"/>
        <w:jc w:val="left"/>
        <w:rPr>
          <w:b w:val="0"/>
          <w:bCs w:val="0"/>
        </w:rPr>
      </w:pPr>
      <w:r>
        <w:rPr>
          <w:rFonts w:ascii="宋体" w:hAnsi="宋体" w:cs="宋体" w:eastAsia="宋体" w:hint="default"/>
        </w:rPr>
        <w:t>(3).</w:t>
      </w:r>
      <w:r>
        <w:rPr>
          <w:rFonts w:ascii="宋体" w:hAnsi="宋体" w:cs="宋体" w:eastAsia="宋体" w:hint="default"/>
          <w:spacing w:val="1"/>
        </w:rPr>
        <w:t> </w:t>
      </w:r>
      <w:r>
        <w:rPr/>
        <w:t>其他说明</w:t>
      </w:r>
      <w:r>
        <w:rPr>
          <w:b w:val="0"/>
          <w:bCs w:val="0"/>
        </w:rPr>
      </w:r>
    </w:p>
    <w:p>
      <w:pPr>
        <w:spacing w:line="240" w:lineRule="auto" w:before="7"/>
        <w:rPr>
          <w:rFonts w:ascii="宋体" w:hAnsi="宋体" w:cs="宋体" w:eastAsia="宋体"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2518"/>
        <w:gridCol w:w="1841"/>
        <w:gridCol w:w="1762"/>
        <w:gridCol w:w="1558"/>
        <w:gridCol w:w="1418"/>
      </w:tblGrid>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8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hAnsi="宋体" w:cs="宋体" w:eastAsia="宋体" w:hint="default"/>
                <w:sz w:val="18"/>
                <w:szCs w:val="18"/>
              </w:rPr>
              <w:t>预计竣工时间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6" w:right="0"/>
              <w:jc w:val="center"/>
              <w:rPr>
                <w:rFonts w:ascii="宋体" w:hAnsi="宋体" w:cs="宋体" w:eastAsia="宋体" w:hint="default"/>
                <w:sz w:val="18"/>
                <w:szCs w:val="18"/>
              </w:rPr>
            </w:pPr>
            <w:r>
              <w:rPr>
                <w:rFonts w:ascii="宋体" w:hAnsi="宋体" w:cs="宋体" w:eastAsia="宋体" w:hint="default"/>
                <w:sz w:val="18"/>
                <w:szCs w:val="18"/>
              </w:rPr>
              <w:t>预售比例</w:t>
            </w:r>
            <w:r>
              <w:rPr>
                <w:rFonts w:ascii="宋体" w:hAnsi="宋体" w:cs="宋体" w:eastAsia="宋体" w:hint="default"/>
                <w:sz w:val="18"/>
                <w:szCs w:val="18"/>
              </w:rPr>
              <w:t>(%)</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沈阳·北国之春五、六期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4,322,857.14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6,120,224.00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1"/>
              <w:jc w:val="center"/>
              <w:rPr>
                <w:rFonts w:ascii="宋体" w:hAnsi="宋体" w:cs="宋体" w:eastAsia="宋体" w:hint="default"/>
                <w:sz w:val="18"/>
                <w:szCs w:val="18"/>
              </w:rPr>
            </w:pPr>
            <w:r>
              <w:rPr>
                <w:rFonts w:ascii="宋体"/>
                <w:sz w:val="18"/>
              </w:rPr>
              <w:t>94.18</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沈阳·北国之春七期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151,102,138.95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33,599,723.63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1"/>
              <w:jc w:val="center"/>
              <w:rPr>
                <w:rFonts w:ascii="宋体" w:hAnsi="宋体" w:cs="宋体" w:eastAsia="宋体" w:hint="default"/>
                <w:sz w:val="18"/>
                <w:szCs w:val="18"/>
              </w:rPr>
            </w:pPr>
            <w:r>
              <w:rPr>
                <w:rFonts w:ascii="宋体"/>
                <w:sz w:val="18"/>
              </w:rPr>
              <w:t>78.24</w:t>
            </w:r>
          </w:p>
        </w:tc>
      </w:tr>
    </w:tbl>
    <w:p>
      <w:pPr>
        <w:spacing w:after="0" w:line="203" w:lineRule="exact"/>
        <w:jc w:val="center"/>
        <w:rPr>
          <w:rFonts w:ascii="宋体" w:hAnsi="宋体" w:cs="宋体" w:eastAsia="宋体" w:hint="default"/>
          <w:sz w:val="18"/>
          <w:szCs w:val="18"/>
        </w:rPr>
        <w:sectPr>
          <w:type w:val="continuous"/>
          <w:pgSz w:w="11910" w:h="16840"/>
          <w:pgMar w:top="1000" w:bottom="280" w:left="15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901" w:type="dxa"/>
        <w:tblLayout w:type="fixed"/>
        <w:tblCellMar>
          <w:top w:w="0" w:type="dxa"/>
          <w:left w:w="0" w:type="dxa"/>
          <w:bottom w:w="0" w:type="dxa"/>
          <w:right w:w="0" w:type="dxa"/>
        </w:tblCellMar>
        <w:tblLook w:val="01E0"/>
      </w:tblPr>
      <w:tblGrid>
        <w:gridCol w:w="2518"/>
        <w:gridCol w:w="1841"/>
        <w:gridCol w:w="1762"/>
        <w:gridCol w:w="1558"/>
        <w:gridCol w:w="1418"/>
      </w:tblGrid>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沈阳·新湖花园</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153,120,612.43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312,290,968.07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7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36" w:right="0"/>
              <w:jc w:val="left"/>
              <w:rPr>
                <w:rFonts w:ascii="宋体" w:hAnsi="宋体" w:cs="宋体" w:eastAsia="宋体" w:hint="default"/>
                <w:sz w:val="18"/>
                <w:szCs w:val="18"/>
              </w:rPr>
            </w:pPr>
            <w:r>
              <w:rPr>
                <w:rFonts w:ascii="宋体"/>
                <w:sz w:val="18"/>
              </w:rPr>
              <w:t>76.61</w:t>
            </w:r>
          </w:p>
        </w:tc>
      </w:tr>
      <w:tr>
        <w:trPr>
          <w:trHeight w:val="36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沈阳·仙林金谷一期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350,000.00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3,258,000.00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9"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6" w:right="0"/>
              <w:jc w:val="left"/>
              <w:rPr>
                <w:rFonts w:ascii="宋体" w:hAnsi="宋体" w:cs="宋体" w:eastAsia="宋体" w:hint="default"/>
                <w:sz w:val="18"/>
                <w:szCs w:val="18"/>
              </w:rPr>
            </w:pPr>
            <w:r>
              <w:rPr>
                <w:rFonts w:ascii="宋体"/>
                <w:sz w:val="18"/>
              </w:rPr>
              <w:t>31.71</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沈阳·仙林金谷二期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18,321,822.42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15,485,597.86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79"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6" w:right="0"/>
              <w:jc w:val="left"/>
              <w:rPr>
                <w:rFonts w:ascii="宋体" w:hAnsi="宋体" w:cs="宋体" w:eastAsia="宋体" w:hint="default"/>
                <w:sz w:val="18"/>
                <w:szCs w:val="18"/>
              </w:rPr>
            </w:pPr>
            <w:r>
              <w:rPr>
                <w:rFonts w:ascii="宋体"/>
                <w:sz w:val="18"/>
              </w:rPr>
              <w:t>87.10</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天津新湖·香格里拉一期</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03"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93" w:right="0"/>
              <w:jc w:val="left"/>
              <w:rPr>
                <w:rFonts w:ascii="宋体" w:hAnsi="宋体" w:cs="宋体" w:eastAsia="宋体" w:hint="default"/>
                <w:sz w:val="18"/>
                <w:szCs w:val="18"/>
              </w:rPr>
            </w:pPr>
            <w:r>
              <w:rPr>
                <w:rFonts w:ascii="宋体"/>
                <w:sz w:val="18"/>
              </w:rPr>
              <w:t>100.00</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天津新湖·香格里拉二期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97,895,827.12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54,216,442.57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7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6" w:right="0"/>
              <w:jc w:val="left"/>
              <w:rPr>
                <w:rFonts w:ascii="宋体" w:hAnsi="宋体" w:cs="宋体" w:eastAsia="宋体" w:hint="default"/>
                <w:sz w:val="18"/>
                <w:szCs w:val="18"/>
              </w:rPr>
            </w:pPr>
            <w:r>
              <w:rPr>
                <w:rFonts w:ascii="宋体"/>
                <w:sz w:val="18"/>
              </w:rPr>
              <w:t>61.98</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杭州·香格里拉</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266,613,739.89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190,651,962.89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79"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6" w:right="0"/>
              <w:jc w:val="left"/>
              <w:rPr>
                <w:rFonts w:ascii="宋体" w:hAnsi="宋体" w:cs="宋体" w:eastAsia="宋体" w:hint="default"/>
                <w:sz w:val="18"/>
                <w:szCs w:val="18"/>
              </w:rPr>
            </w:pPr>
            <w:r>
              <w:rPr>
                <w:rFonts w:ascii="宋体"/>
                <w:sz w:val="18"/>
              </w:rPr>
              <w:t>84.11</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衢州·新湖景城一期兰馨苑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116,000.00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350,000.00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03"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6" w:right="0"/>
              <w:jc w:val="left"/>
              <w:rPr>
                <w:rFonts w:ascii="宋体" w:hAnsi="宋体" w:cs="宋体" w:eastAsia="宋体" w:hint="default"/>
                <w:sz w:val="18"/>
                <w:szCs w:val="18"/>
              </w:rPr>
            </w:pPr>
            <w:r>
              <w:rPr>
                <w:rFonts w:ascii="宋体"/>
                <w:sz w:val="18"/>
              </w:rPr>
              <w:t>97.47</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衢州·新湖景城二期玫瑰园</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1,070,036.00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14,351,067.00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03"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6" w:right="0"/>
              <w:jc w:val="left"/>
              <w:rPr>
                <w:rFonts w:ascii="宋体" w:hAnsi="宋体" w:cs="宋体" w:eastAsia="宋体" w:hint="default"/>
                <w:sz w:val="18"/>
                <w:szCs w:val="18"/>
              </w:rPr>
            </w:pPr>
            <w:r>
              <w:rPr>
                <w:rFonts w:ascii="宋体"/>
                <w:sz w:val="18"/>
              </w:rPr>
              <w:t>80.61</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0" w:right="0"/>
              <w:jc w:val="left"/>
              <w:rPr>
                <w:rFonts w:ascii="宋体" w:hAnsi="宋体" w:cs="宋体" w:eastAsia="宋体" w:hint="default"/>
                <w:sz w:val="18"/>
                <w:szCs w:val="18"/>
              </w:rPr>
            </w:pPr>
            <w:r>
              <w:rPr>
                <w:rFonts w:ascii="宋体" w:hAnsi="宋体" w:cs="宋体" w:eastAsia="宋体" w:hint="default"/>
                <w:spacing w:val="-3"/>
                <w:sz w:val="18"/>
                <w:szCs w:val="18"/>
              </w:rPr>
              <w:t>衢州·新湖景城三期郁金香郡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1,100,958,870.00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693,171,750.00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7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6" w:right="0"/>
              <w:jc w:val="left"/>
              <w:rPr>
                <w:rFonts w:ascii="宋体" w:hAnsi="宋体" w:cs="宋体" w:eastAsia="宋体" w:hint="default"/>
                <w:sz w:val="18"/>
                <w:szCs w:val="18"/>
              </w:rPr>
            </w:pPr>
            <w:r>
              <w:rPr>
                <w:rFonts w:ascii="宋体"/>
                <w:sz w:val="18"/>
              </w:rPr>
              <w:t>75.73</w:t>
            </w:r>
          </w:p>
        </w:tc>
      </w:tr>
      <w:tr>
        <w:trPr>
          <w:trHeight w:val="36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衢州·新湖景城四期牡丹园</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1,039,326,695.00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302,256,913.00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7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36" w:right="0"/>
              <w:jc w:val="left"/>
              <w:rPr>
                <w:rFonts w:ascii="宋体" w:hAnsi="宋体" w:cs="宋体" w:eastAsia="宋体" w:hint="default"/>
                <w:sz w:val="18"/>
                <w:szCs w:val="18"/>
              </w:rPr>
            </w:pPr>
            <w:r>
              <w:rPr>
                <w:rFonts w:ascii="宋体"/>
                <w:sz w:val="18"/>
              </w:rPr>
              <w:t>66.80</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九江·柴桑春天</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16,042,829.00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6,706,034.00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03"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6" w:right="0"/>
              <w:jc w:val="left"/>
              <w:rPr>
                <w:rFonts w:ascii="宋体" w:hAnsi="宋体" w:cs="宋体" w:eastAsia="宋体" w:hint="default"/>
                <w:sz w:val="18"/>
                <w:szCs w:val="18"/>
              </w:rPr>
            </w:pPr>
            <w:r>
              <w:rPr>
                <w:rFonts w:ascii="宋体"/>
                <w:sz w:val="18"/>
              </w:rPr>
              <w:t>95.16</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九江·庐山国际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808,406,984.00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127,725,372.00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7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6" w:right="0"/>
              <w:jc w:val="left"/>
              <w:rPr>
                <w:rFonts w:ascii="宋体" w:hAnsi="宋体" w:cs="宋体" w:eastAsia="宋体" w:hint="default"/>
                <w:sz w:val="18"/>
                <w:szCs w:val="18"/>
              </w:rPr>
            </w:pPr>
            <w:r>
              <w:rPr>
                <w:rFonts w:ascii="宋体"/>
                <w:sz w:val="18"/>
              </w:rPr>
              <w:t>84.47</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苏州·明珠城</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1,298,709,375.00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699,219,331.00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79"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6" w:right="0"/>
              <w:jc w:val="left"/>
              <w:rPr>
                <w:rFonts w:ascii="宋体" w:hAnsi="宋体" w:cs="宋体" w:eastAsia="宋体" w:hint="default"/>
                <w:sz w:val="18"/>
                <w:szCs w:val="18"/>
              </w:rPr>
            </w:pPr>
            <w:r>
              <w:rPr>
                <w:rFonts w:ascii="宋体"/>
                <w:sz w:val="18"/>
              </w:rPr>
              <w:t>95.83</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杭州·新湖果岭怡庭</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19,076,426.00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03"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93" w:right="0"/>
              <w:jc w:val="left"/>
              <w:rPr>
                <w:rFonts w:ascii="宋体" w:hAnsi="宋体" w:cs="宋体" w:eastAsia="宋体" w:hint="default"/>
                <w:sz w:val="18"/>
                <w:szCs w:val="18"/>
              </w:rPr>
            </w:pPr>
            <w:r>
              <w:rPr>
                <w:rFonts w:ascii="宋体"/>
                <w:sz w:val="18"/>
              </w:rPr>
              <w:t>100.00</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杭州·新湖果岭美山居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6,888,718.00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523,141,651.00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03"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6" w:right="0"/>
              <w:jc w:val="left"/>
              <w:rPr>
                <w:rFonts w:ascii="宋体" w:hAnsi="宋体" w:cs="宋体" w:eastAsia="宋体" w:hint="default"/>
                <w:sz w:val="18"/>
                <w:szCs w:val="18"/>
              </w:rPr>
            </w:pPr>
            <w:r>
              <w:rPr>
                <w:rFonts w:ascii="宋体"/>
                <w:sz w:val="18"/>
              </w:rPr>
              <w:t>97.04</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上海·新湖明珠城</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78,569,598.09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66,947,620.00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9"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6" w:right="0"/>
              <w:jc w:val="left"/>
              <w:rPr>
                <w:rFonts w:ascii="宋体" w:hAnsi="宋体" w:cs="宋体" w:eastAsia="宋体" w:hint="default"/>
                <w:sz w:val="18"/>
                <w:szCs w:val="18"/>
              </w:rPr>
            </w:pPr>
            <w:r>
              <w:rPr>
                <w:rFonts w:ascii="宋体"/>
                <w:sz w:val="18"/>
              </w:rPr>
              <w:t>96.07</w:t>
            </w:r>
          </w:p>
        </w:tc>
      </w:tr>
      <w:tr>
        <w:trPr>
          <w:trHeight w:val="36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泰安·新湖绿园</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31,695,169.50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39,317,290.00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3"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6" w:right="0"/>
              <w:jc w:val="left"/>
              <w:rPr>
                <w:rFonts w:ascii="宋体" w:hAnsi="宋体" w:cs="宋体" w:eastAsia="宋体" w:hint="default"/>
                <w:sz w:val="18"/>
                <w:szCs w:val="18"/>
              </w:rPr>
            </w:pPr>
            <w:r>
              <w:rPr>
                <w:rFonts w:ascii="宋体"/>
                <w:sz w:val="18"/>
              </w:rPr>
              <w:t>99.12</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滨州·新湖玫瑰园</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16,249,000.00</w:t>
            </w:r>
          </w:p>
        </w:tc>
        <w:tc>
          <w:tcPr>
            <w:tcW w:w="176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79"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6" w:right="0"/>
              <w:jc w:val="left"/>
              <w:rPr>
                <w:rFonts w:ascii="宋体" w:hAnsi="宋体" w:cs="宋体" w:eastAsia="宋体" w:hint="default"/>
                <w:sz w:val="18"/>
                <w:szCs w:val="18"/>
              </w:rPr>
            </w:pPr>
            <w:r>
              <w:rPr>
                <w:rFonts w:ascii="宋体"/>
                <w:sz w:val="18"/>
              </w:rPr>
              <w:t>51.78</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兰溪·香格里拉二期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125,894,919.00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48,835,361.00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79"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6" w:right="0"/>
              <w:jc w:val="left"/>
              <w:rPr>
                <w:rFonts w:ascii="宋体" w:hAnsi="宋体" w:cs="宋体" w:eastAsia="宋体" w:hint="default"/>
                <w:sz w:val="18"/>
                <w:szCs w:val="18"/>
              </w:rPr>
            </w:pPr>
            <w:r>
              <w:rPr>
                <w:rFonts w:ascii="宋体"/>
                <w:sz w:val="18"/>
              </w:rPr>
              <w:t>58.55</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杭州·武林国际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119,355,522.00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59,339,972.10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03"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6" w:right="0"/>
              <w:jc w:val="left"/>
              <w:rPr>
                <w:rFonts w:ascii="宋体" w:hAnsi="宋体" w:cs="宋体" w:eastAsia="宋体" w:hint="default"/>
                <w:sz w:val="18"/>
                <w:szCs w:val="18"/>
              </w:rPr>
            </w:pPr>
            <w:r>
              <w:rPr>
                <w:rFonts w:ascii="宋体"/>
                <w:sz w:val="18"/>
              </w:rPr>
              <w:t>83.10</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丽水·新湖国际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2,979,128,753.91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2,934,355,585.00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7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6" w:right="0"/>
              <w:jc w:val="left"/>
              <w:rPr>
                <w:rFonts w:ascii="宋体" w:hAnsi="宋体" w:cs="宋体" w:eastAsia="宋体" w:hint="default"/>
                <w:sz w:val="18"/>
                <w:szCs w:val="18"/>
              </w:rPr>
            </w:pPr>
            <w:r>
              <w:rPr>
                <w:rFonts w:ascii="宋体"/>
                <w:sz w:val="18"/>
              </w:rPr>
              <w:t>96.62</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天津·义乌商贸城</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715,277,160.15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263,812,306.88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79"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6" w:right="0"/>
              <w:jc w:val="left"/>
              <w:rPr>
                <w:rFonts w:ascii="宋体" w:hAnsi="宋体" w:cs="宋体" w:eastAsia="宋体" w:hint="default"/>
                <w:sz w:val="18"/>
                <w:szCs w:val="18"/>
              </w:rPr>
            </w:pPr>
            <w:r>
              <w:rPr>
                <w:rFonts w:ascii="宋体"/>
                <w:sz w:val="18"/>
              </w:rPr>
              <w:t>38.60</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嘉兴·新中花园</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17,430,575.00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417,540,847.19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79"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6" w:right="0"/>
              <w:jc w:val="left"/>
              <w:rPr>
                <w:rFonts w:ascii="宋体" w:hAnsi="宋体" w:cs="宋体" w:eastAsia="宋体" w:hint="default"/>
                <w:sz w:val="18"/>
                <w:szCs w:val="18"/>
              </w:rPr>
            </w:pPr>
            <w:r>
              <w:rPr>
                <w:rFonts w:ascii="宋体"/>
                <w:sz w:val="18"/>
              </w:rPr>
              <w:t>94.52</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舟山·御景国际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22,684,362.00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25,191,627.00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03"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6" w:right="0"/>
              <w:jc w:val="left"/>
              <w:rPr>
                <w:rFonts w:ascii="宋体" w:hAnsi="宋体" w:cs="宋体" w:eastAsia="宋体" w:hint="default"/>
                <w:sz w:val="18"/>
                <w:szCs w:val="18"/>
              </w:rPr>
            </w:pPr>
            <w:r>
              <w:rPr>
                <w:rFonts w:ascii="宋体"/>
                <w:sz w:val="18"/>
              </w:rPr>
              <w:t>59.33</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乐清·海德花园</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2,173,833,541.00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395,558,355.00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7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6" w:right="0"/>
              <w:jc w:val="left"/>
              <w:rPr>
                <w:rFonts w:ascii="宋体" w:hAnsi="宋体" w:cs="宋体" w:eastAsia="宋体" w:hint="default"/>
                <w:sz w:val="18"/>
                <w:szCs w:val="18"/>
              </w:rPr>
            </w:pPr>
            <w:r>
              <w:rPr>
                <w:rFonts w:ascii="宋体"/>
                <w:sz w:val="18"/>
              </w:rPr>
              <w:t>86.83</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上海·青蓝国际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357,235,963.00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4,280,080,388.00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79"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6" w:right="0"/>
              <w:jc w:val="left"/>
              <w:rPr>
                <w:rFonts w:ascii="宋体" w:hAnsi="宋体" w:cs="宋体" w:eastAsia="宋体" w:hint="default"/>
                <w:sz w:val="18"/>
                <w:szCs w:val="18"/>
              </w:rPr>
            </w:pPr>
            <w:r>
              <w:rPr>
                <w:rFonts w:ascii="宋体"/>
                <w:sz w:val="18"/>
              </w:rPr>
              <w:t>89.32</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瑞安·新湖广场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2,047,868,568.00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896,486,521.00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79"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6" w:right="0"/>
              <w:jc w:val="left"/>
              <w:rPr>
                <w:rFonts w:ascii="宋体" w:hAnsi="宋体" w:cs="宋体" w:eastAsia="宋体" w:hint="default"/>
                <w:sz w:val="18"/>
                <w:szCs w:val="18"/>
              </w:rPr>
            </w:pPr>
            <w:r>
              <w:rPr>
                <w:rFonts w:ascii="宋体"/>
                <w:sz w:val="18"/>
              </w:rPr>
              <w:t>93.64</w:t>
            </w:r>
          </w:p>
        </w:tc>
      </w:tr>
      <w:tr>
        <w:trPr>
          <w:trHeight w:val="36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瑞安·金银座公寓</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135,558,277.00</w:t>
            </w:r>
          </w:p>
        </w:tc>
        <w:tc>
          <w:tcPr>
            <w:tcW w:w="176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7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36" w:right="0"/>
              <w:jc w:val="left"/>
              <w:rPr>
                <w:rFonts w:ascii="宋体" w:hAnsi="宋体" w:cs="宋体" w:eastAsia="宋体" w:hint="default"/>
                <w:sz w:val="18"/>
                <w:szCs w:val="18"/>
              </w:rPr>
            </w:pPr>
            <w:r>
              <w:rPr>
                <w:rFonts w:ascii="宋体"/>
                <w:sz w:val="18"/>
              </w:rPr>
              <w:t>29.38</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5"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13,784,027,913.60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12,430,087,336.19</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2" w:footer="1195" w:top="1120" w:bottom="1380" w:left="760" w:right="220"/>
        </w:sectPr>
      </w:pPr>
    </w:p>
    <w:p>
      <w:pPr>
        <w:pStyle w:val="Heading2"/>
        <w:spacing w:line="240" w:lineRule="auto"/>
        <w:ind w:left="1038" w:right="-19"/>
        <w:jc w:val="left"/>
        <w:rPr>
          <w:b w:val="0"/>
          <w:bCs w:val="0"/>
        </w:rPr>
      </w:pPr>
      <w:r>
        <w:rPr>
          <w:rFonts w:ascii="宋体" w:hAnsi="宋体" w:cs="宋体" w:eastAsia="宋体" w:hint="default"/>
        </w:rPr>
        <w:t>26</w:t>
      </w:r>
      <w:r>
        <w:rPr/>
        <w:t>、</w:t>
      </w:r>
      <w:r>
        <w:rPr>
          <w:spacing w:val="-104"/>
        </w:rPr>
        <w:t> </w:t>
      </w:r>
      <w:r>
        <w:rPr/>
        <w:t>应付职工薪酬</w:t>
      </w:r>
      <w:r>
        <w:rPr>
          <w:b w:val="0"/>
          <w:bCs w:val="0"/>
        </w:rPr>
      </w:r>
    </w:p>
    <w:p>
      <w:pPr>
        <w:pStyle w:val="Heading2"/>
        <w:tabs>
          <w:tab w:pos="1877" w:val="left" w:leader="none"/>
        </w:tabs>
        <w:spacing w:line="240" w:lineRule="auto" w:before="55"/>
        <w:ind w:left="1038" w:right="-19"/>
        <w:jc w:val="left"/>
        <w:rPr>
          <w:b w:val="0"/>
          <w:bCs w:val="0"/>
        </w:rPr>
      </w:pPr>
      <w:r>
        <w:rPr>
          <w:rFonts w:ascii="宋体" w:hAnsi="宋体" w:cs="宋体" w:eastAsia="宋体" w:hint="default"/>
        </w:rPr>
        <w:t>(1).</w:t>
        <w:tab/>
      </w:r>
      <w:r>
        <w:rPr/>
        <w:t>应付职工薪酬列示：</w:t>
      </w:r>
      <w:r>
        <w:rPr>
          <w:b w:val="0"/>
          <w:bCs w:val="0"/>
        </w:rPr>
      </w:r>
    </w:p>
    <w:p>
      <w:pPr>
        <w:pStyle w:val="BodyText"/>
        <w:spacing w:line="240" w:lineRule="auto" w:before="58"/>
        <w:ind w:left="103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tabs>
          <w:tab w:pos="2238" w:val="left" w:leader="none"/>
        </w:tabs>
        <w:spacing w:line="240" w:lineRule="auto"/>
        <w:ind w:left="1038" w:right="0"/>
        <w:jc w:val="left"/>
      </w:pPr>
      <w:r>
        <w:rPr/>
        <w:t>单位：元</w:t>
        <w:tab/>
        <w:t>币种：人民币</w:t>
      </w:r>
    </w:p>
    <w:p>
      <w:pPr>
        <w:spacing w:after="0" w:line="240" w:lineRule="auto"/>
        <w:jc w:val="left"/>
        <w:sectPr>
          <w:type w:val="continuous"/>
          <w:pgSz w:w="11910" w:h="16840"/>
          <w:pgMar w:top="1000" w:bottom="280" w:left="760" w:right="220"/>
          <w:cols w:num="2" w:equalWidth="0">
            <w:col w:w="4047" w:space="2146"/>
            <w:col w:w="473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44"/>
        <w:gridCol w:w="1778"/>
        <w:gridCol w:w="1896"/>
        <w:gridCol w:w="1897"/>
        <w:gridCol w:w="1776"/>
      </w:tblGrid>
      <w:tr>
        <w:trPr>
          <w:trHeight w:val="319"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03"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1"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0"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00"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一、短期薪酬</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3"/>
              <w:jc w:val="right"/>
              <w:rPr>
                <w:rFonts w:ascii="宋体" w:hAnsi="宋体" w:cs="宋体" w:eastAsia="宋体" w:hint="default"/>
                <w:sz w:val="24"/>
                <w:szCs w:val="24"/>
              </w:rPr>
            </w:pPr>
            <w:r>
              <w:rPr>
                <w:rFonts w:ascii="宋体"/>
                <w:sz w:val="24"/>
              </w:rPr>
              <w:t>11,193,347.19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5"/>
              <w:jc w:val="right"/>
              <w:rPr>
                <w:rFonts w:ascii="宋体" w:hAnsi="宋体" w:cs="宋体" w:eastAsia="宋体" w:hint="default"/>
                <w:sz w:val="24"/>
                <w:szCs w:val="24"/>
              </w:rPr>
            </w:pPr>
            <w:r>
              <w:rPr>
                <w:rFonts w:ascii="宋体"/>
                <w:sz w:val="24"/>
              </w:rPr>
              <w:t>397,794,730.13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4"/>
              <w:jc w:val="right"/>
              <w:rPr>
                <w:rFonts w:ascii="宋体" w:hAnsi="宋体" w:cs="宋体" w:eastAsia="宋体" w:hint="default"/>
                <w:sz w:val="24"/>
                <w:szCs w:val="24"/>
              </w:rPr>
            </w:pPr>
            <w:r>
              <w:rPr>
                <w:rFonts w:ascii="宋体"/>
                <w:sz w:val="24"/>
              </w:rPr>
              <w:t>396,431,219.02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5"/>
              <w:jc w:val="right"/>
              <w:rPr>
                <w:rFonts w:ascii="宋体" w:hAnsi="宋体" w:cs="宋体" w:eastAsia="宋体" w:hint="default"/>
                <w:sz w:val="24"/>
                <w:szCs w:val="24"/>
              </w:rPr>
            </w:pPr>
            <w:r>
              <w:rPr>
                <w:rFonts w:ascii="宋体"/>
                <w:sz w:val="24"/>
              </w:rPr>
              <w:t>12,556,858.30</w:t>
            </w:r>
          </w:p>
        </w:tc>
      </w:tr>
      <w:tr>
        <w:trPr>
          <w:trHeight w:val="322"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二</w:t>
            </w:r>
            <w:r>
              <w:rPr>
                <w:rFonts w:ascii="宋体" w:hAnsi="宋体" w:cs="宋体" w:eastAsia="宋体" w:hint="default"/>
                <w:spacing w:val="-113"/>
                <w:sz w:val="24"/>
                <w:szCs w:val="24"/>
              </w:rPr>
              <w:t>、</w:t>
            </w:r>
            <w:r>
              <w:rPr>
                <w:rFonts w:ascii="宋体" w:hAnsi="宋体" w:cs="宋体" w:eastAsia="宋体" w:hint="default"/>
                <w:sz w:val="24"/>
                <w:szCs w:val="24"/>
              </w:rPr>
              <w:t>离职后福利</w:t>
            </w:r>
            <w:r>
              <w:rPr>
                <w:rFonts w:ascii="宋体" w:hAnsi="宋体" w:cs="宋体" w:eastAsia="宋体" w:hint="default"/>
                <w:sz w:val="24"/>
                <w:szCs w:val="24"/>
              </w:rPr>
              <w:t>-</w:t>
            </w:r>
            <w:r>
              <w:rPr>
                <w:rFonts w:ascii="宋体" w:hAnsi="宋体" w:cs="宋体" w:eastAsia="宋体" w:hint="default"/>
                <w:sz w:val="24"/>
                <w:szCs w:val="24"/>
              </w:rPr>
              <w:t>设定提存计划</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234,019.12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27,049,859.08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24,529,737.16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2,754,141.04</w:t>
            </w:r>
          </w:p>
        </w:tc>
      </w:tr>
      <w:tr>
        <w:trPr>
          <w:trHeight w:val="322"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三、辞退福利</w:t>
            </w:r>
          </w:p>
        </w:tc>
        <w:tc>
          <w:tcPr>
            <w:tcW w:w="177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2,346,530.50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1,564,254.00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782,276.50</w:t>
            </w:r>
          </w:p>
        </w:tc>
      </w:tr>
    </w:tbl>
    <w:p>
      <w:pPr>
        <w:spacing w:after="0" w:line="274" w:lineRule="exact"/>
        <w:jc w:val="right"/>
        <w:rPr>
          <w:rFonts w:ascii="宋体" w:hAnsi="宋体" w:cs="宋体" w:eastAsia="宋体" w:hint="default"/>
          <w:sz w:val="24"/>
          <w:szCs w:val="24"/>
        </w:rPr>
        <w:sectPr>
          <w:type w:val="continuous"/>
          <w:pgSz w:w="11910" w:h="16840"/>
          <w:pgMar w:top="1000" w:bottom="280" w:left="760" w:right="2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3344"/>
        <w:gridCol w:w="1778"/>
        <w:gridCol w:w="1896"/>
        <w:gridCol w:w="1897"/>
        <w:gridCol w:w="1776"/>
      </w:tblGrid>
      <w:tr>
        <w:trPr>
          <w:trHeight w:val="322"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四、一年内到期的其他福利</w:t>
            </w:r>
          </w:p>
        </w:tc>
        <w:tc>
          <w:tcPr>
            <w:tcW w:w="177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11,427,366.31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427,191,119.71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422,525,210.18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16,093,275.84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760" w:right="220"/>
        </w:sectPr>
      </w:pPr>
    </w:p>
    <w:p>
      <w:pPr>
        <w:pStyle w:val="Heading2"/>
        <w:tabs>
          <w:tab w:pos="1877" w:val="left" w:leader="none"/>
        </w:tabs>
        <w:spacing w:line="240" w:lineRule="auto"/>
        <w:ind w:left="1038" w:right="-20"/>
        <w:jc w:val="left"/>
        <w:rPr>
          <w:b w:val="0"/>
          <w:bCs w:val="0"/>
        </w:rPr>
      </w:pPr>
      <w:r>
        <w:rPr>
          <w:rFonts w:ascii="宋体" w:hAnsi="宋体" w:cs="宋体" w:eastAsia="宋体" w:hint="default"/>
        </w:rPr>
        <w:t>(2).</w:t>
        <w:tab/>
      </w:r>
      <w:r>
        <w:rPr/>
        <w:t>短期薪酬列示：</w:t>
      </w:r>
      <w:r>
        <w:rPr>
          <w:b w:val="0"/>
          <w:bCs w:val="0"/>
        </w:rPr>
      </w:r>
    </w:p>
    <w:p>
      <w:pPr>
        <w:pStyle w:val="BodyText"/>
        <w:spacing w:line="240" w:lineRule="auto" w:before="55"/>
        <w:ind w:left="103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2238" w:val="left" w:leader="none"/>
        </w:tabs>
        <w:spacing w:line="240" w:lineRule="auto"/>
        <w:ind w:left="1038" w:right="0"/>
        <w:jc w:val="left"/>
      </w:pPr>
      <w:r>
        <w:rPr/>
        <w:t>单位：元</w:t>
        <w:tab/>
        <w:t>币种</w:t>
      </w:r>
      <w:r>
        <w:rPr>
          <w:rFonts w:ascii="宋体" w:hAnsi="宋体" w:cs="宋体" w:eastAsia="宋体" w:hint="default"/>
        </w:rPr>
        <w:t>:</w:t>
      </w:r>
      <w:r>
        <w:rPr/>
        <w:t>人民币</w:t>
      </w:r>
    </w:p>
    <w:p>
      <w:pPr>
        <w:spacing w:after="0" w:line="240" w:lineRule="auto"/>
        <w:jc w:val="left"/>
        <w:sectPr>
          <w:type w:val="continuous"/>
          <w:pgSz w:w="11910" w:h="16840"/>
          <w:pgMar w:top="1000" w:bottom="280" w:left="760" w:right="220"/>
          <w:cols w:num="2" w:equalWidth="0">
            <w:col w:w="3565" w:space="2748"/>
            <w:col w:w="4617"/>
          </w:cols>
        </w:sectPr>
      </w:pPr>
    </w:p>
    <w:p>
      <w:pPr>
        <w:spacing w:line="240" w:lineRule="auto" w:before="12"/>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313"/>
        <w:gridCol w:w="1776"/>
        <w:gridCol w:w="1896"/>
        <w:gridCol w:w="1897"/>
        <w:gridCol w:w="1776"/>
      </w:tblGrid>
      <w:tr>
        <w:trPr>
          <w:trHeight w:val="32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
              <w:jc w:val="center"/>
              <w:rPr>
                <w:rFonts w:ascii="宋体" w:hAnsi="宋体" w:cs="宋体" w:eastAsia="宋体" w:hint="default"/>
                <w:sz w:val="24"/>
                <w:szCs w:val="24"/>
              </w:rPr>
            </w:pPr>
            <w:r>
              <w:rPr>
                <w:rFonts w:ascii="宋体" w:hAnsi="宋体" w:cs="宋体" w:eastAsia="宋体" w:hint="default"/>
                <w:sz w:val="24"/>
                <w:szCs w:val="24"/>
              </w:rPr>
              <w:t>项目</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00"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1"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0"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00"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319"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一、工资、奖金、津贴和补贴</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8,919,009.60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329,584,997.97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328,691,160.58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9,812,846.99</w:t>
            </w:r>
          </w:p>
        </w:tc>
      </w:tr>
      <w:tr>
        <w:trPr>
          <w:trHeight w:val="32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二、职工福利费</w:t>
            </w:r>
          </w:p>
        </w:tc>
        <w:tc>
          <w:tcPr>
            <w:tcW w:w="177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5"/>
              <w:jc w:val="right"/>
              <w:rPr>
                <w:rFonts w:ascii="宋体" w:hAnsi="宋体" w:cs="宋体" w:eastAsia="宋体" w:hint="default"/>
                <w:sz w:val="24"/>
                <w:szCs w:val="24"/>
              </w:rPr>
            </w:pPr>
            <w:r>
              <w:rPr>
                <w:rFonts w:ascii="宋体"/>
                <w:sz w:val="24"/>
              </w:rPr>
              <w:t>34,013,202.91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4"/>
              <w:jc w:val="right"/>
              <w:rPr>
                <w:rFonts w:ascii="宋体" w:hAnsi="宋体" w:cs="宋体" w:eastAsia="宋体" w:hint="default"/>
                <w:sz w:val="24"/>
                <w:szCs w:val="24"/>
              </w:rPr>
            </w:pPr>
            <w:r>
              <w:rPr>
                <w:rFonts w:ascii="宋体"/>
                <w:sz w:val="24"/>
              </w:rPr>
              <w:t>34,013,202.91</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三、社会保险费</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198,303.15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12,991,766.98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12,988,702.31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201,367.82</w:t>
            </w:r>
          </w:p>
        </w:tc>
      </w:tr>
      <w:tr>
        <w:trPr>
          <w:trHeight w:val="32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其中：医疗保险费</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159,300.23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11,474,153.14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11,472,286.36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161,167.01</w:t>
            </w:r>
          </w:p>
        </w:tc>
      </w:tr>
      <w:tr>
        <w:trPr>
          <w:trHeight w:val="32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工伤保险费</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7,956.66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552,720.18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555,316.45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5,360.39</w:t>
            </w:r>
          </w:p>
        </w:tc>
      </w:tr>
      <w:tr>
        <w:trPr>
          <w:trHeight w:val="32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生育保险费</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31,046.26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964,893.66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961,099.50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34,840.42</w:t>
            </w:r>
          </w:p>
        </w:tc>
      </w:tr>
      <w:tr>
        <w:trPr>
          <w:trHeight w:val="32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四、住房公积金</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193,673.00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16,669,912.52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16,605,867.52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257,718.00</w:t>
            </w:r>
          </w:p>
        </w:tc>
      </w:tr>
      <w:tr>
        <w:trPr>
          <w:trHeight w:val="319"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五、工会经费和职工教育经费</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1,852,996.23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4,156,626.65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3,751,262.60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2,258,360.28</w:t>
            </w:r>
          </w:p>
        </w:tc>
      </w:tr>
      <w:tr>
        <w:trPr>
          <w:trHeight w:val="32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六、短期带薪缺勤</w:t>
            </w:r>
          </w:p>
        </w:tc>
        <w:tc>
          <w:tcPr>
            <w:tcW w:w="177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七、短期利润分享计划</w:t>
            </w:r>
          </w:p>
        </w:tc>
        <w:tc>
          <w:tcPr>
            <w:tcW w:w="177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八、其他</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29,365.21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378,223.10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381,023.10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26,565.21</w:t>
            </w:r>
          </w:p>
        </w:tc>
      </w:tr>
      <w:tr>
        <w:trPr>
          <w:trHeight w:val="32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
              <w:jc w:val="center"/>
              <w:rPr>
                <w:rFonts w:ascii="宋体" w:hAnsi="宋体" w:cs="宋体" w:eastAsia="宋体" w:hint="default"/>
                <w:sz w:val="24"/>
                <w:szCs w:val="24"/>
              </w:rPr>
            </w:pPr>
            <w:r>
              <w:rPr>
                <w:rFonts w:ascii="宋体" w:hAnsi="宋体" w:cs="宋体" w:eastAsia="宋体" w:hint="default"/>
                <w:sz w:val="24"/>
                <w:szCs w:val="24"/>
              </w:rPr>
              <w:t>合计</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11,193,347.19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397,794,730.13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396,431,219.02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12,556,858.30</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00" w:bottom="280" w:left="760" w:right="220"/>
        </w:sectPr>
      </w:pPr>
    </w:p>
    <w:p>
      <w:pPr>
        <w:pStyle w:val="Heading2"/>
        <w:tabs>
          <w:tab w:pos="1877" w:val="left" w:leader="none"/>
        </w:tabs>
        <w:spacing w:line="240" w:lineRule="auto"/>
        <w:ind w:left="1038" w:right="0"/>
        <w:jc w:val="left"/>
        <w:rPr>
          <w:b w:val="0"/>
          <w:bCs w:val="0"/>
        </w:rPr>
      </w:pPr>
      <w:r>
        <w:rPr>
          <w:rFonts w:ascii="宋体" w:hAnsi="宋体" w:cs="宋体" w:eastAsia="宋体" w:hint="default"/>
        </w:rPr>
        <w:t>(3).</w:t>
        <w:tab/>
      </w:r>
      <w:r>
        <w:rPr>
          <w:w w:val="95"/>
        </w:rPr>
        <w:t>设定提存计划列示</w:t>
      </w:r>
      <w:r>
        <w:rPr>
          <w:b w:val="0"/>
          <w:bCs w:val="0"/>
        </w:rPr>
      </w:r>
    </w:p>
    <w:p>
      <w:pPr>
        <w:pStyle w:val="BodyText"/>
        <w:spacing w:line="240" w:lineRule="auto" w:before="55"/>
        <w:ind w:left="1038"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2238" w:val="left" w:leader="none"/>
        </w:tabs>
        <w:spacing w:line="240" w:lineRule="auto"/>
        <w:ind w:left="1038" w:right="0"/>
        <w:jc w:val="left"/>
      </w:pPr>
      <w:r>
        <w:rPr/>
        <w:t>单位：元</w:t>
        <w:tab/>
        <w:t>币种：人民币</w:t>
      </w:r>
    </w:p>
    <w:p>
      <w:pPr>
        <w:spacing w:after="0" w:line="240" w:lineRule="auto"/>
        <w:jc w:val="left"/>
        <w:sectPr>
          <w:type w:val="continuous"/>
          <w:pgSz w:w="11910" w:h="16840"/>
          <w:pgMar w:top="1000" w:bottom="280" w:left="760" w:right="220"/>
          <w:cols w:num="2" w:equalWidth="0">
            <w:col w:w="3805" w:space="2388"/>
            <w:col w:w="4737"/>
          </w:cols>
        </w:sectPr>
      </w:pPr>
    </w:p>
    <w:p>
      <w:pPr>
        <w:spacing w:line="240" w:lineRule="auto" w:before="12"/>
        <w:rPr>
          <w:rFonts w:ascii="宋体" w:hAnsi="宋体" w:cs="宋体" w:eastAsia="宋体" w:hint="default"/>
          <w:sz w:val="2"/>
          <w:szCs w:val="2"/>
        </w:rPr>
      </w:pPr>
    </w:p>
    <w:tbl>
      <w:tblPr>
        <w:tblW w:w="0" w:type="auto"/>
        <w:jc w:val="left"/>
        <w:tblInd w:w="922" w:type="dxa"/>
        <w:tblLayout w:type="fixed"/>
        <w:tblCellMar>
          <w:top w:w="0" w:type="dxa"/>
          <w:left w:w="0" w:type="dxa"/>
          <w:bottom w:w="0" w:type="dxa"/>
          <w:right w:w="0" w:type="dxa"/>
        </w:tblCellMar>
        <w:tblLook w:val="01E0"/>
      </w:tblPr>
      <w:tblGrid>
        <w:gridCol w:w="2403"/>
        <w:gridCol w:w="1438"/>
        <w:gridCol w:w="1776"/>
        <w:gridCol w:w="1777"/>
        <w:gridCol w:w="1656"/>
      </w:tblGrid>
      <w:tr>
        <w:trPr>
          <w:trHeight w:val="32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32"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00"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00"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、基本养老保险</w:t>
            </w:r>
          </w:p>
        </w:tc>
        <w:tc>
          <w:tcPr>
            <w:tcW w:w="1438" w:type="dxa"/>
            <w:tcBorders>
              <w:top w:val="single" w:sz="6" w:space="0" w:color="000000"/>
              <w:left w:val="single" w:sz="6"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217,203.47</w:t>
            </w:r>
          </w:p>
        </w:tc>
        <w:tc>
          <w:tcPr>
            <w:tcW w:w="1776" w:type="dxa"/>
            <w:tcBorders>
              <w:top w:val="single" w:sz="6"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24,760,551.00</w:t>
            </w:r>
          </w:p>
        </w:tc>
        <w:tc>
          <w:tcPr>
            <w:tcW w:w="1777" w:type="dxa"/>
            <w:tcBorders>
              <w:top w:val="single" w:sz="6"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23,381,420.80</w:t>
            </w:r>
          </w:p>
        </w:tc>
        <w:tc>
          <w:tcPr>
            <w:tcW w:w="1656" w:type="dxa"/>
            <w:tcBorders>
              <w:top w:val="single" w:sz="6"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1,596,333.67</w:t>
            </w:r>
          </w:p>
        </w:tc>
      </w:tr>
      <w:tr>
        <w:trPr>
          <w:trHeight w:val="32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、失业保险费</w:t>
            </w:r>
          </w:p>
        </w:tc>
        <w:tc>
          <w:tcPr>
            <w:tcW w:w="1438" w:type="dxa"/>
            <w:tcBorders>
              <w:top w:val="single" w:sz="4" w:space="0" w:color="000000"/>
              <w:left w:val="single" w:sz="6" w:space="0" w:color="000000"/>
              <w:bottom w:val="single" w:sz="4" w:space="0" w:color="000000"/>
              <w:right w:val="single" w:sz="4"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16,815.65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854,903.06</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863,911.34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7,807.37</w:t>
            </w:r>
          </w:p>
        </w:tc>
      </w:tr>
      <w:tr>
        <w:trPr>
          <w:trHeight w:val="32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、企业年金缴费</w:t>
            </w:r>
          </w:p>
        </w:tc>
        <w:tc>
          <w:tcPr>
            <w:tcW w:w="1438" w:type="dxa"/>
            <w:tcBorders>
              <w:top w:val="single" w:sz="4" w:space="0" w:color="000000"/>
              <w:left w:val="single" w:sz="6"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1,434,405.02</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284,405.02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1,150,000.00</w:t>
            </w:r>
          </w:p>
        </w:tc>
      </w:tr>
      <w:tr>
        <w:trPr>
          <w:trHeight w:val="32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438" w:type="dxa"/>
            <w:tcBorders>
              <w:top w:val="single" w:sz="4" w:space="0" w:color="000000"/>
              <w:left w:val="single" w:sz="6" w:space="0" w:color="000000"/>
              <w:bottom w:val="single" w:sz="4" w:space="0" w:color="000000"/>
              <w:right w:val="single" w:sz="4"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234,019.12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27,049,859.08</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24,529,737.16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2,754,141.04</w:t>
            </w:r>
          </w:p>
        </w:tc>
      </w:tr>
    </w:tbl>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00" w:bottom="280" w:left="760" w:right="220"/>
        </w:sectPr>
      </w:pPr>
    </w:p>
    <w:p>
      <w:pPr>
        <w:pStyle w:val="Heading2"/>
        <w:spacing w:line="240" w:lineRule="auto"/>
        <w:ind w:left="1038" w:right="-19"/>
        <w:jc w:val="left"/>
        <w:rPr>
          <w:b w:val="0"/>
          <w:bCs w:val="0"/>
        </w:rPr>
      </w:pPr>
      <w:r>
        <w:rPr>
          <w:rFonts w:ascii="宋体" w:hAnsi="宋体" w:cs="宋体" w:eastAsia="宋体" w:hint="default"/>
        </w:rPr>
        <w:t>27</w:t>
      </w:r>
      <w:r>
        <w:rPr/>
        <w:t>、</w:t>
      </w:r>
      <w:r>
        <w:rPr>
          <w:spacing w:val="-102"/>
        </w:rPr>
        <w:t> </w:t>
      </w:r>
      <w:r>
        <w:rPr/>
        <w:t>应交税费</w:t>
      </w:r>
      <w:r>
        <w:rPr>
          <w:b w:val="0"/>
          <w:bCs w:val="0"/>
        </w:rPr>
      </w:r>
    </w:p>
    <w:p>
      <w:pPr>
        <w:pStyle w:val="BodyText"/>
        <w:spacing w:line="240" w:lineRule="auto" w:before="58"/>
        <w:ind w:left="103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2238" w:val="left" w:leader="none"/>
        </w:tabs>
        <w:spacing w:line="240" w:lineRule="auto"/>
        <w:ind w:left="1038" w:right="0"/>
        <w:jc w:val="left"/>
      </w:pPr>
      <w:r>
        <w:rPr/>
        <w:t>单位：元</w:t>
        <w:tab/>
        <w:t>币种：人民币</w:t>
      </w:r>
    </w:p>
    <w:p>
      <w:pPr>
        <w:spacing w:after="0" w:line="240" w:lineRule="auto"/>
        <w:jc w:val="left"/>
        <w:sectPr>
          <w:type w:val="continuous"/>
          <w:pgSz w:w="11910" w:h="16840"/>
          <w:pgMar w:top="1000" w:bottom="280" w:left="760" w:right="220"/>
          <w:cols w:num="2" w:equalWidth="0">
            <w:col w:w="2839" w:space="3354"/>
            <w:col w:w="4737"/>
          </w:cols>
        </w:sectPr>
      </w:pPr>
    </w:p>
    <w:p>
      <w:pPr>
        <w:spacing w:line="240" w:lineRule="auto" w:before="10"/>
        <w:rPr>
          <w:rFonts w:ascii="宋体" w:hAnsi="宋体" w:cs="宋体" w:eastAsia="宋体" w:hint="default"/>
          <w:sz w:val="2"/>
          <w:szCs w:val="2"/>
        </w:rPr>
      </w:pPr>
    </w:p>
    <w:tbl>
      <w:tblPr>
        <w:tblW w:w="0" w:type="auto"/>
        <w:jc w:val="left"/>
        <w:tblInd w:w="1002" w:type="dxa"/>
        <w:tblLayout w:type="fixed"/>
        <w:tblCellMar>
          <w:top w:w="0" w:type="dxa"/>
          <w:left w:w="0" w:type="dxa"/>
          <w:bottom w:w="0" w:type="dxa"/>
          <w:right w:w="0" w:type="dxa"/>
        </w:tblCellMar>
        <w:tblLook w:val="01E0"/>
      </w:tblPr>
      <w:tblGrid>
        <w:gridCol w:w="2981"/>
        <w:gridCol w:w="2955"/>
        <w:gridCol w:w="2960"/>
      </w:tblGrid>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4"/>
              <w:jc w:val="center"/>
              <w:rPr>
                <w:rFonts w:ascii="宋体" w:hAnsi="宋体" w:cs="宋体" w:eastAsia="宋体" w:hint="default"/>
                <w:sz w:val="24"/>
                <w:szCs w:val="24"/>
              </w:rPr>
            </w:pPr>
            <w:r>
              <w:rPr>
                <w:rFonts w:ascii="宋体" w:hAnsi="宋体" w:cs="宋体" w:eastAsia="宋体" w:hint="default"/>
                <w:sz w:val="24"/>
                <w:szCs w:val="24"/>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42,682,355.08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53,462,135.63</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消费税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173.68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435.21</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131,965.79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131,965.79</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1,589,465,679.34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1,171,115,770.87</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1,650,947.32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1,456,941.74</w:t>
            </w:r>
          </w:p>
        </w:tc>
      </w:tr>
      <w:tr>
        <w:trPr>
          <w:trHeight w:val="320"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2,135,901.77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2,475,698.46</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土地增值税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82,975,855.18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66,824,052.05</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791,230.17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576,653.25</w:t>
            </w:r>
          </w:p>
        </w:tc>
      </w:tr>
    </w:tbl>
    <w:p>
      <w:pPr>
        <w:spacing w:after="0" w:line="274" w:lineRule="exact"/>
        <w:jc w:val="right"/>
        <w:rPr>
          <w:rFonts w:ascii="宋体" w:hAnsi="宋体" w:cs="宋体" w:eastAsia="宋体" w:hint="default"/>
          <w:sz w:val="24"/>
          <w:szCs w:val="24"/>
        </w:rPr>
        <w:sectPr>
          <w:type w:val="continuous"/>
          <w:pgSz w:w="11910" w:h="16840"/>
          <w:pgMar w:top="1000" w:bottom="280" w:left="760" w:right="2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6" w:right="0"/>
              <w:jc w:val="left"/>
              <w:rPr>
                <w:rFonts w:ascii="宋体" w:hAnsi="宋体" w:cs="宋体" w:eastAsia="宋体" w:hint="default"/>
                <w:sz w:val="24"/>
                <w:szCs w:val="24"/>
              </w:rPr>
            </w:pPr>
            <w:r>
              <w:rPr>
                <w:rFonts w:ascii="宋体" w:hAnsi="宋体" w:cs="宋体" w:eastAsia="宋体" w:hint="default"/>
                <w:sz w:val="24"/>
                <w:szCs w:val="24"/>
              </w:rPr>
              <w:t>契税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99"/>
              <w:jc w:val="right"/>
              <w:rPr>
                <w:rFonts w:ascii="宋体" w:hAnsi="宋体" w:cs="宋体" w:eastAsia="宋体" w:hint="default"/>
                <w:sz w:val="24"/>
                <w:szCs w:val="24"/>
              </w:rPr>
            </w:pPr>
            <w:r>
              <w:rPr>
                <w:rFonts w:ascii="宋体"/>
                <w:sz w:val="24"/>
              </w:rPr>
              <w:t>3,915,351.41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4"/>
              <w:jc w:val="right"/>
              <w:rPr>
                <w:rFonts w:ascii="宋体" w:hAnsi="宋体" w:cs="宋体" w:eastAsia="宋体" w:hint="default"/>
                <w:sz w:val="24"/>
                <w:szCs w:val="24"/>
              </w:rPr>
            </w:pPr>
            <w:r>
              <w:rPr>
                <w:rFonts w:ascii="宋体"/>
                <w:sz w:val="24"/>
              </w:rPr>
              <w:t>3,915,351.41</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4,138,715.34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3,620,696.02</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663,001.41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1,024,472.58</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902,985.67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1,052,745.32</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地方教育附加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608,769.09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708,649.23</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地方水利建设基金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58.80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197,869.19</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center"/>
              <w:rPr>
                <w:rFonts w:ascii="宋体" w:hAnsi="宋体" w:cs="宋体" w:eastAsia="宋体" w:hint="default"/>
                <w:sz w:val="24"/>
                <w:szCs w:val="24"/>
              </w:rPr>
            </w:pPr>
            <w:r>
              <w:rPr>
                <w:rFonts w:ascii="宋体" w:hAnsi="宋体" w:cs="宋体" w:eastAsia="宋体" w:hint="default"/>
                <w:sz w:val="24"/>
                <w:szCs w:val="24"/>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1,730,062,990.05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1,306,563,436.75</w:t>
            </w:r>
          </w:p>
        </w:tc>
      </w:tr>
    </w:tbl>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28</w:t>
      </w:r>
      <w:r>
        <w:rPr/>
        <w:t>、</w:t>
      </w:r>
      <w:r>
        <w:rPr>
          <w:spacing w:val="-102"/>
        </w:rPr>
        <w:t> </w:t>
      </w:r>
      <w:r>
        <w:rPr/>
        <w:t>应付利息</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000" w:bottom="280" w:left="1580" w:right="1040"/>
          <w:cols w:num="2" w:equalWidth="0">
            <w:col w:w="2019" w:space="4174"/>
            <w:col w:w="309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37"/>
        <w:gridCol w:w="2410"/>
        <w:gridCol w:w="2703"/>
      </w:tblGrid>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
              <w:jc w:val="center"/>
              <w:rPr>
                <w:rFonts w:ascii="宋体" w:hAnsi="宋体" w:cs="宋体" w:eastAsia="宋体" w:hint="default"/>
                <w:sz w:val="24"/>
                <w:szCs w:val="24"/>
              </w:rPr>
            </w:pPr>
            <w:r>
              <w:rPr>
                <w:rFonts w:ascii="宋体" w:hAnsi="宋体" w:cs="宋体" w:eastAsia="宋体" w:hint="default"/>
                <w:sz w:val="24"/>
                <w:szCs w:val="24"/>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5"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52"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分期付息到期还本的长期借款利息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7"/>
              <w:jc w:val="right"/>
              <w:rPr>
                <w:rFonts w:ascii="宋体" w:hAnsi="宋体" w:cs="宋体" w:eastAsia="宋体" w:hint="default"/>
                <w:sz w:val="24"/>
                <w:szCs w:val="24"/>
              </w:rPr>
            </w:pPr>
            <w:r>
              <w:rPr>
                <w:rFonts w:ascii="宋体"/>
                <w:sz w:val="24"/>
              </w:rPr>
              <w:t>91,104,584.98</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167,182,932.64</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企业债券利息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7"/>
              <w:jc w:val="right"/>
              <w:rPr>
                <w:rFonts w:ascii="宋体" w:hAnsi="宋体" w:cs="宋体" w:eastAsia="宋体" w:hint="default"/>
                <w:sz w:val="24"/>
                <w:szCs w:val="24"/>
              </w:rPr>
            </w:pPr>
            <w:r>
              <w:rPr>
                <w:rFonts w:ascii="宋体"/>
                <w:sz w:val="24"/>
              </w:rPr>
              <w:t>458,429,055.84</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348,566,191.51</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短期借款应付利息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5"/>
              <w:jc w:val="right"/>
              <w:rPr>
                <w:rFonts w:ascii="宋体" w:hAnsi="宋体" w:cs="宋体" w:eastAsia="宋体" w:hint="default"/>
                <w:sz w:val="24"/>
                <w:szCs w:val="24"/>
              </w:rPr>
            </w:pPr>
            <w:r>
              <w:rPr>
                <w:rFonts w:ascii="宋体"/>
                <w:sz w:val="24"/>
              </w:rPr>
              <w:t>6,256,344.98</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15,290,940.50</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555,789,985.8</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531,040,064.65</w:t>
            </w:r>
          </w:p>
        </w:tc>
      </w:tr>
    </w:tbl>
    <w:p>
      <w:pPr>
        <w:spacing w:line="240" w:lineRule="auto" w:before="8"/>
        <w:rPr>
          <w:rFonts w:ascii="宋体" w:hAnsi="宋体" w:cs="宋体" w:eastAsia="宋体" w:hint="default"/>
          <w:sz w:val="18"/>
          <w:szCs w:val="18"/>
        </w:rPr>
      </w:pPr>
    </w:p>
    <w:p>
      <w:pPr>
        <w:pStyle w:val="BodyText"/>
        <w:spacing w:line="313" w:lineRule="exact" w:before="26"/>
        <w:ind w:left="218" w:right="233"/>
        <w:jc w:val="left"/>
      </w:pPr>
      <w:r>
        <w:rPr/>
        <w:t>重要的已逾期未支付的利息情况：</w:t>
      </w:r>
    </w:p>
    <w:p>
      <w:pPr>
        <w:pStyle w:val="BodyText"/>
        <w:spacing w:line="313" w:lineRule="exact"/>
        <w:ind w:left="218" w:right="233"/>
        <w:jc w:val="left"/>
      </w:pPr>
      <w:r>
        <w:rPr/>
        <w:t>□适用</w:t>
      </w:r>
      <w:r>
        <w:rPr>
          <w:spacing w:val="-1"/>
        </w:rPr>
        <w:t> </w:t>
      </w:r>
      <w:r>
        <w:rPr/>
        <w:t>√不适用</w:t>
      </w:r>
    </w:p>
    <w:p>
      <w:pPr>
        <w:spacing w:line="240" w:lineRule="auto" w:before="12"/>
        <w:rPr>
          <w:rFonts w:ascii="宋体" w:hAnsi="宋体" w:cs="宋体" w:eastAsia="宋体" w:hint="default"/>
          <w:sz w:val="32"/>
          <w:szCs w:val="32"/>
        </w:rPr>
      </w:pPr>
    </w:p>
    <w:p>
      <w:pPr>
        <w:pStyle w:val="BodyText"/>
        <w:spacing w:line="240" w:lineRule="auto"/>
        <w:ind w:left="218" w:right="233"/>
        <w:jc w:val="left"/>
      </w:pPr>
      <w:r>
        <w:rPr/>
        <w:t>其他说明：</w:t>
      </w:r>
    </w:p>
    <w:p>
      <w:pPr>
        <w:pStyle w:val="BodyText"/>
        <w:spacing w:line="240" w:lineRule="auto" w:before="55"/>
        <w:ind w:left="218" w:right="23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00" w:bottom="280" w:left="1580" w:right="1040"/>
        </w:sectPr>
      </w:pPr>
    </w:p>
    <w:p>
      <w:pPr>
        <w:pStyle w:val="Heading2"/>
        <w:spacing w:line="240" w:lineRule="auto" w:before="168"/>
        <w:ind w:right="-19"/>
        <w:jc w:val="left"/>
        <w:rPr>
          <w:b w:val="0"/>
          <w:bCs w:val="0"/>
        </w:rPr>
      </w:pPr>
      <w:r>
        <w:rPr>
          <w:rFonts w:ascii="宋体" w:hAnsi="宋体" w:cs="宋体" w:eastAsia="宋体" w:hint="default"/>
        </w:rPr>
        <w:t>29</w:t>
      </w:r>
      <w:r>
        <w:rPr/>
        <w:t>、</w:t>
      </w:r>
      <w:r>
        <w:rPr>
          <w:spacing w:val="-102"/>
        </w:rPr>
        <w:t> </w:t>
      </w:r>
      <w:r>
        <w:rPr/>
        <w:t>应付股利</w:t>
      </w:r>
      <w:r>
        <w:rPr>
          <w:b w:val="0"/>
          <w:bCs w:val="0"/>
        </w:rPr>
      </w:r>
    </w:p>
    <w:p>
      <w:pPr>
        <w:pStyle w:val="BodyText"/>
        <w:spacing w:line="240" w:lineRule="auto" w:before="55"/>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6"/>
          <w:szCs w:val="16"/>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000" w:bottom="280" w:left="1580" w:right="1040"/>
          <w:cols w:num="2" w:equalWidth="0">
            <w:col w:w="2019" w:space="4174"/>
            <w:col w:w="3097"/>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59"/>
        <w:gridCol w:w="3017"/>
        <w:gridCol w:w="3020"/>
      </w:tblGrid>
      <w:tr>
        <w:trPr>
          <w:trHeight w:val="319"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34"/>
              <w:jc w:val="right"/>
              <w:rPr>
                <w:rFonts w:ascii="宋体" w:hAnsi="宋体" w:cs="宋体" w:eastAsia="宋体" w:hint="default"/>
                <w:sz w:val="24"/>
                <w:szCs w:val="24"/>
              </w:rPr>
            </w:pPr>
            <w:r>
              <w:rPr>
                <w:rFonts w:ascii="宋体" w:hAnsi="宋体" w:cs="宋体" w:eastAsia="宋体" w:hint="default"/>
                <w:sz w:val="24"/>
                <w:szCs w:val="24"/>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普通股股利</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65,487,227.10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10,387,227.10</w:t>
            </w:r>
          </w:p>
        </w:tc>
      </w:tr>
      <w:tr>
        <w:trPr>
          <w:trHeight w:val="322"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34"/>
              <w:jc w:val="right"/>
              <w:rPr>
                <w:rFonts w:ascii="宋体" w:hAnsi="宋体" w:cs="宋体" w:eastAsia="宋体" w:hint="default"/>
                <w:sz w:val="24"/>
                <w:szCs w:val="24"/>
              </w:rPr>
            </w:pPr>
            <w:r>
              <w:rPr>
                <w:rFonts w:ascii="宋体" w:hAnsi="宋体" w:cs="宋体" w:eastAsia="宋体" w:hint="default"/>
                <w:sz w:val="24"/>
                <w:szCs w:val="24"/>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65,487,227.10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10,387,227.10</w:t>
            </w:r>
          </w:p>
        </w:tc>
      </w:tr>
    </w:tbl>
    <w:p>
      <w:pPr>
        <w:spacing w:line="240" w:lineRule="auto" w:before="11"/>
        <w:rPr>
          <w:rFonts w:ascii="宋体" w:hAnsi="宋体" w:cs="宋体" w:eastAsia="宋体" w:hint="default"/>
          <w:sz w:val="18"/>
          <w:szCs w:val="18"/>
        </w:rPr>
      </w:pPr>
    </w:p>
    <w:p>
      <w:pPr>
        <w:pStyle w:val="BodyText"/>
        <w:spacing w:line="312" w:lineRule="exact" w:before="56"/>
        <w:ind w:left="698" w:right="1368" w:hanging="480"/>
        <w:jc w:val="left"/>
      </w:pPr>
      <w:r>
        <w:rPr/>
        <w:t>其他说明，包括重要的超过</w:t>
      </w:r>
      <w:r>
        <w:rPr>
          <w:spacing w:val="-60"/>
        </w:rPr>
        <w:t> </w:t>
      </w:r>
      <w:r>
        <w:rPr>
          <w:rFonts w:ascii="宋体" w:hAnsi="宋体" w:cs="宋体" w:eastAsia="宋体" w:hint="default"/>
        </w:rPr>
        <w:t>1</w:t>
      </w:r>
      <w:r>
        <w:rPr>
          <w:rFonts w:ascii="宋体" w:hAnsi="宋体" w:cs="宋体" w:eastAsia="宋体" w:hint="default"/>
          <w:spacing w:val="-60"/>
        </w:rPr>
        <w:t> </w:t>
      </w:r>
      <w:r>
        <w:rPr/>
        <w:t>年未支付的应付股利，应披露未支付原因： 部分股东未来领取股利。</w:t>
      </w: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00" w:bottom="280" w:left="1580" w:right="1040"/>
        </w:sectPr>
      </w:pPr>
    </w:p>
    <w:p>
      <w:pPr>
        <w:pStyle w:val="Heading2"/>
        <w:spacing w:line="240" w:lineRule="auto"/>
        <w:ind w:right="-18"/>
        <w:jc w:val="left"/>
        <w:rPr>
          <w:b w:val="0"/>
          <w:bCs w:val="0"/>
        </w:rPr>
      </w:pPr>
      <w:r>
        <w:rPr>
          <w:rFonts w:ascii="宋体" w:hAnsi="宋体" w:cs="宋体" w:eastAsia="宋体" w:hint="default"/>
        </w:rPr>
        <w:t>30</w:t>
      </w:r>
      <w:r>
        <w:rPr/>
        <w:t>、</w:t>
      </w:r>
      <w:r>
        <w:rPr>
          <w:spacing w:val="-103"/>
        </w:rPr>
        <w:t> </w:t>
      </w:r>
      <w:r>
        <w:rPr/>
        <w:t>其他应付款</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b w:val="0"/>
          <w:bCs w:val="0"/>
        </w:rPr>
      </w:r>
    </w:p>
    <w:p>
      <w:pPr>
        <w:pStyle w:val="BodyText"/>
        <w:spacing w:line="240" w:lineRule="auto" w:before="55"/>
        <w:ind w:left="21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000" w:bottom="280" w:left="1580" w:right="1040"/>
          <w:cols w:num="2" w:equalWidth="0">
            <w:col w:w="3714" w:space="2479"/>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押金保证金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320,134,687.12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222,268,089.23</w:t>
            </w:r>
          </w:p>
        </w:tc>
      </w:tr>
      <w:tr>
        <w:trPr>
          <w:trHeight w:val="320"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拆借款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978,903,416.23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860,148,585.49</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应付股权转让款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100,981,536.55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30,000,000.00</w:t>
            </w:r>
          </w:p>
        </w:tc>
      </w:tr>
    </w:tbl>
    <w:p>
      <w:pPr>
        <w:spacing w:after="0" w:line="276" w:lineRule="exact"/>
        <w:jc w:val="right"/>
        <w:rPr>
          <w:rFonts w:ascii="宋体" w:hAnsi="宋体" w:cs="宋体" w:eastAsia="宋体" w:hint="default"/>
          <w:sz w:val="24"/>
          <w:szCs w:val="24"/>
        </w:rPr>
        <w:sectPr>
          <w:type w:val="continuous"/>
          <w:pgSz w:w="11910" w:h="16840"/>
          <w:pgMar w:top="1000" w:bottom="2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预收股权转让款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270,000,000.00</w:t>
            </w:r>
          </w:p>
        </w:tc>
        <w:tc>
          <w:tcPr>
            <w:tcW w:w="31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应付暂收款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39,861,099.35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126,606,316.76</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327,459,659.36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312,115,800.69</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2,037,340,398.61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1,551,138,792.17</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2"/>
        <w:spacing w:line="240" w:lineRule="auto"/>
        <w:ind w:right="-17"/>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9"/>
        </w:rPr>
        <w:t> </w:t>
      </w:r>
      <w:r>
        <w:rPr>
          <w:rFonts w:ascii="Cambria" w:hAnsi="Cambria" w:cs="Cambria" w:eastAsia="Cambria" w:hint="default"/>
        </w:rPr>
        <w:t>1</w:t>
      </w:r>
      <w:r>
        <w:rPr>
          <w:rFonts w:ascii="Cambria" w:hAnsi="Cambria" w:cs="Cambria" w:eastAsia="Cambria" w:hint="default"/>
          <w:spacing w:val="4"/>
        </w:rPr>
        <w:t> </w:t>
      </w:r>
      <w:r>
        <w:rPr/>
        <w:t>年的重要其他应付款</w:t>
      </w:r>
      <w:r>
        <w:rPr>
          <w:b w:val="0"/>
          <w:bCs w:val="0"/>
        </w:rPr>
      </w:r>
    </w:p>
    <w:p>
      <w:pPr>
        <w:pStyle w:val="BodyText"/>
        <w:spacing w:line="240" w:lineRule="auto" w:before="36"/>
        <w:ind w:left="218"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000" w:bottom="280" w:left="1580" w:right="1040"/>
          <w:cols w:num="2" w:equalWidth="0">
            <w:col w:w="4218" w:space="1975"/>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3"/>
        <w:gridCol w:w="2691"/>
        <w:gridCol w:w="2986"/>
      </w:tblGrid>
      <w:tr>
        <w:trPr>
          <w:trHeight w:val="322"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59"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07" w:right="0"/>
              <w:jc w:val="left"/>
              <w:rPr>
                <w:rFonts w:ascii="宋体" w:hAnsi="宋体" w:cs="宋体" w:eastAsia="宋体" w:hint="default"/>
                <w:sz w:val="24"/>
                <w:szCs w:val="24"/>
              </w:rPr>
            </w:pPr>
            <w:r>
              <w:rPr>
                <w:rFonts w:ascii="宋体" w:hAnsi="宋体" w:cs="宋体" w:eastAsia="宋体" w:hint="default"/>
                <w:sz w:val="24"/>
                <w:szCs w:val="24"/>
              </w:rPr>
              <w:t>未偿还或结转的原因</w:t>
            </w:r>
          </w:p>
        </w:tc>
      </w:tr>
      <w:tr>
        <w:trPr>
          <w:trHeight w:val="319"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浙江中房置业股份有限公司</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97" w:right="0"/>
              <w:jc w:val="left"/>
              <w:rPr>
                <w:rFonts w:ascii="宋体" w:hAnsi="宋体" w:cs="宋体" w:eastAsia="宋体" w:hint="default"/>
                <w:sz w:val="24"/>
                <w:szCs w:val="24"/>
              </w:rPr>
            </w:pPr>
            <w:r>
              <w:rPr>
                <w:rFonts w:ascii="宋体"/>
                <w:sz w:val="24"/>
              </w:rPr>
              <w:t>407,154,063.34</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联营股东借款</w:t>
            </w:r>
          </w:p>
        </w:tc>
      </w:tr>
      <w:tr>
        <w:trPr>
          <w:trHeight w:val="322"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江苏新湖宝华置业有限公司</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897" w:right="0"/>
              <w:jc w:val="left"/>
              <w:rPr>
                <w:rFonts w:ascii="宋体" w:hAnsi="宋体" w:cs="宋体" w:eastAsia="宋体" w:hint="default"/>
                <w:sz w:val="24"/>
                <w:szCs w:val="24"/>
              </w:rPr>
            </w:pPr>
            <w:r>
              <w:rPr>
                <w:rFonts w:ascii="宋体"/>
                <w:sz w:val="24"/>
              </w:rPr>
              <w:t>182,309,002.96</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联营企业借款</w:t>
            </w:r>
          </w:p>
        </w:tc>
      </w:tr>
      <w:tr>
        <w:trPr>
          <w:trHeight w:val="322"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上海逸合投资管理有限公司</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97" w:right="0"/>
              <w:jc w:val="left"/>
              <w:rPr>
                <w:rFonts w:ascii="宋体" w:hAnsi="宋体" w:cs="宋体" w:eastAsia="宋体" w:hint="default"/>
                <w:sz w:val="24"/>
                <w:szCs w:val="24"/>
              </w:rPr>
            </w:pPr>
            <w:r>
              <w:rPr>
                <w:rFonts w:ascii="宋体"/>
                <w:sz w:val="24"/>
              </w:rPr>
              <w:t>109,441,560.00</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联营股东借款</w:t>
            </w:r>
          </w:p>
        </w:tc>
      </w:tr>
      <w:tr>
        <w:trPr>
          <w:trHeight w:val="322"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97" w:right="0"/>
              <w:jc w:val="left"/>
              <w:rPr>
                <w:rFonts w:ascii="宋体" w:hAnsi="宋体" w:cs="宋体" w:eastAsia="宋体" w:hint="default"/>
                <w:sz w:val="24"/>
                <w:szCs w:val="24"/>
              </w:rPr>
            </w:pPr>
            <w:r>
              <w:rPr>
                <w:rFonts w:ascii="宋体"/>
                <w:sz w:val="24"/>
              </w:rPr>
              <w:t>698,904,626.30</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w:t>
            </w:r>
          </w:p>
        </w:tc>
      </w:tr>
    </w:tbl>
    <w:p>
      <w:pPr>
        <w:spacing w:line="240" w:lineRule="auto" w:before="10"/>
        <w:rPr>
          <w:rFonts w:ascii="宋体" w:hAnsi="宋体" w:cs="宋体" w:eastAsia="宋体" w:hint="default"/>
          <w:sz w:val="18"/>
          <w:szCs w:val="18"/>
        </w:rPr>
      </w:pPr>
    </w:p>
    <w:p>
      <w:pPr>
        <w:pStyle w:val="BodyText"/>
        <w:spacing w:line="313" w:lineRule="exact" w:before="26"/>
        <w:ind w:left="218" w:right="233"/>
        <w:jc w:val="left"/>
      </w:pPr>
      <w:r>
        <w:rPr/>
        <w:t>其他说明</w:t>
      </w:r>
    </w:p>
    <w:p>
      <w:pPr>
        <w:pStyle w:val="BodyText"/>
        <w:spacing w:line="313" w:lineRule="exact"/>
        <w:ind w:left="218" w:right="233"/>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000" w:bottom="280" w:left="1580" w:right="1040"/>
        </w:sectPr>
      </w:pPr>
    </w:p>
    <w:p>
      <w:pPr>
        <w:pStyle w:val="Heading2"/>
        <w:spacing w:line="240" w:lineRule="auto"/>
        <w:ind w:right="-17"/>
        <w:jc w:val="left"/>
        <w:rPr>
          <w:b w:val="0"/>
          <w:bCs w:val="0"/>
        </w:rPr>
      </w:pPr>
      <w:r>
        <w:rPr>
          <w:rFonts w:ascii="宋体" w:hAnsi="宋体" w:cs="宋体" w:eastAsia="宋体" w:hint="default"/>
        </w:rPr>
        <w:t>31</w:t>
      </w:r>
      <w:r>
        <w:rPr/>
        <w:t>、</w:t>
      </w:r>
      <w:r>
        <w:rPr>
          <w:spacing w:val="-102"/>
        </w:rPr>
        <w:t> </w:t>
      </w:r>
      <w:r>
        <w:rPr>
          <w:rFonts w:ascii="宋体" w:hAnsi="宋体" w:cs="宋体" w:eastAsia="宋体" w:hint="default"/>
        </w:rPr>
        <w:t>1</w:t>
      </w:r>
      <w:r>
        <w:rPr>
          <w:rFonts w:ascii="宋体" w:hAnsi="宋体" w:cs="宋体" w:eastAsia="宋体" w:hint="default"/>
          <w:spacing w:val="-64"/>
        </w:rPr>
        <w:t> </w:t>
      </w:r>
      <w:r>
        <w:rPr/>
        <w:t>年内到期的非流动负债</w:t>
      </w:r>
      <w:r>
        <w:rPr>
          <w:b w:val="0"/>
          <w:bCs w:val="0"/>
        </w:rPr>
      </w:r>
    </w:p>
    <w:p>
      <w:pPr>
        <w:pStyle w:val="BodyText"/>
        <w:spacing w:line="240" w:lineRule="auto" w:before="58"/>
        <w:ind w:left="218"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000" w:bottom="280" w:left="1580" w:right="1040"/>
          <w:cols w:num="2" w:equalWidth="0">
            <w:col w:w="3311" w:space="2882"/>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2835"/>
        <w:gridCol w:w="2845"/>
      </w:tblGrid>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1"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5"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年内到期的长期借款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8,831,354,133.34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3,467,864,135.41</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年内到期的应付债券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824,643,524.92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215,820,000.00</w:t>
            </w:r>
          </w:p>
        </w:tc>
      </w:tr>
      <w:tr>
        <w:trPr>
          <w:trHeight w:val="31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年内到期的长期应付款</w:t>
            </w:r>
          </w:p>
        </w:tc>
        <w:tc>
          <w:tcPr>
            <w:tcW w:w="2835"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年内到期的其他非流动负债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1,602,210,000.00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877,800,000.00</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11,258,207,658.26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4,561,484,135.41</w:t>
            </w:r>
          </w:p>
        </w:tc>
      </w:tr>
    </w:tbl>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00" w:bottom="280" w:left="1580" w:right="1040"/>
        </w:sectPr>
      </w:pPr>
    </w:p>
    <w:p>
      <w:pPr>
        <w:spacing w:line="283" w:lineRule="auto" w:before="26"/>
        <w:ind w:left="218" w:right="-20" w:firstLine="0"/>
        <w:jc w:val="left"/>
        <w:rPr>
          <w:rFonts w:ascii="宋体" w:hAnsi="宋体" w:cs="宋体" w:eastAsia="宋体" w:hint="default"/>
          <w:sz w:val="24"/>
          <w:szCs w:val="24"/>
        </w:rPr>
      </w:pPr>
      <w:r>
        <w:rPr>
          <w:rFonts w:ascii="宋体" w:hAnsi="宋体" w:cs="宋体" w:eastAsia="宋体" w:hint="default"/>
          <w:b/>
          <w:bCs/>
          <w:sz w:val="24"/>
          <w:szCs w:val="24"/>
        </w:rPr>
        <w:t>32</w:t>
      </w:r>
      <w:r>
        <w:rPr>
          <w:rFonts w:ascii="宋体" w:hAnsi="宋体" w:cs="宋体" w:eastAsia="宋体" w:hint="default"/>
          <w:b/>
          <w:bCs/>
          <w:sz w:val="24"/>
          <w:szCs w:val="24"/>
        </w:rPr>
        <w:t>、</w:t>
      </w:r>
      <w:r>
        <w:rPr>
          <w:rFonts w:ascii="宋体" w:hAnsi="宋体" w:cs="宋体" w:eastAsia="宋体" w:hint="default"/>
          <w:b/>
          <w:bCs/>
          <w:spacing w:val="-101"/>
          <w:sz w:val="24"/>
          <w:szCs w:val="24"/>
        </w:rPr>
        <w:t> </w:t>
      </w:r>
      <w:r>
        <w:rPr>
          <w:rFonts w:ascii="宋体" w:hAnsi="宋体" w:cs="宋体" w:eastAsia="宋体" w:hint="default"/>
          <w:b/>
          <w:bCs/>
          <w:sz w:val="24"/>
          <w:szCs w:val="24"/>
        </w:rPr>
        <w:t>他流动负债</w:t>
      </w:r>
      <w:r>
        <w:rPr>
          <w:rFonts w:ascii="宋体" w:hAnsi="宋体" w:cs="宋体" w:eastAsia="宋体" w:hint="default"/>
          <w:b/>
          <w:bCs/>
          <w:w w:val="99"/>
          <w:sz w:val="24"/>
          <w:szCs w:val="24"/>
        </w:rPr>
        <w:t> </w:t>
      </w:r>
      <w:r>
        <w:rPr>
          <w:rFonts w:ascii="宋体" w:hAnsi="宋体" w:cs="宋体" w:eastAsia="宋体" w:hint="default"/>
          <w:sz w:val="24"/>
          <w:szCs w:val="24"/>
        </w:rPr>
        <w:t>其他流动负债情况</w:t>
      </w:r>
    </w:p>
    <w:p>
      <w:pPr>
        <w:pStyle w:val="BodyText"/>
        <w:tabs>
          <w:tab w:pos="1177" w:val="left" w:leader="none"/>
        </w:tabs>
        <w:spacing w:line="266" w:lineRule="exact"/>
        <w:ind w:left="218" w:right="-19"/>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9"/>
          <w:szCs w:val="29"/>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000" w:bottom="280" w:left="1580" w:right="1040"/>
          <w:cols w:num="2" w:equalWidth="0">
            <w:col w:w="2139" w:space="4054"/>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7"/>
        <w:gridCol w:w="2835"/>
        <w:gridCol w:w="3128"/>
      </w:tblGrid>
      <w:tr>
        <w:trPr>
          <w:trHeight w:val="32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3"/>
              <w:jc w:val="center"/>
              <w:rPr>
                <w:rFonts w:ascii="宋体" w:hAnsi="宋体" w:cs="宋体" w:eastAsia="宋体" w:hint="default"/>
                <w:sz w:val="24"/>
                <w:szCs w:val="24"/>
              </w:rPr>
            </w:pPr>
            <w:r>
              <w:rPr>
                <w:rFonts w:ascii="宋体" w:hAnsi="宋体" w:cs="宋体" w:eastAsia="宋体" w:hint="default"/>
                <w:sz w:val="24"/>
                <w:szCs w:val="24"/>
              </w:rPr>
              <w:t>项目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1"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19"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预提土地增值税清算准备</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929,095,414.21</w:t>
            </w: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借款</w:t>
            </w: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z w:val="24"/>
                <w:szCs w:val="24"/>
              </w:rPr>
              <w:t>]</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440,000,000.00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2,536,668,480.00</w:t>
            </w:r>
          </w:p>
        </w:tc>
      </w:tr>
      <w:tr>
        <w:trPr>
          <w:trHeight w:val="32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应付期货保证金</w:t>
            </w:r>
          </w:p>
        </w:tc>
        <w:tc>
          <w:tcPr>
            <w:tcW w:w="2835"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3,970,841,063.50</w:t>
            </w:r>
          </w:p>
        </w:tc>
      </w:tr>
      <w:tr>
        <w:trPr>
          <w:trHeight w:val="32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应付质押保证金</w:t>
            </w:r>
          </w:p>
        </w:tc>
        <w:tc>
          <w:tcPr>
            <w:tcW w:w="2835"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321,357,020.00</w:t>
            </w:r>
          </w:p>
        </w:tc>
      </w:tr>
      <w:tr>
        <w:trPr>
          <w:trHeight w:val="32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期货风险准备金</w:t>
            </w:r>
          </w:p>
        </w:tc>
        <w:tc>
          <w:tcPr>
            <w:tcW w:w="2835"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44,842,462.97</w:t>
            </w:r>
          </w:p>
        </w:tc>
      </w:tr>
      <w:tr>
        <w:trPr>
          <w:trHeight w:val="32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应付期货投资者保障金</w:t>
            </w:r>
          </w:p>
        </w:tc>
        <w:tc>
          <w:tcPr>
            <w:tcW w:w="2835"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620,546.35</w:t>
            </w:r>
          </w:p>
        </w:tc>
      </w:tr>
      <w:tr>
        <w:trPr>
          <w:trHeight w:val="32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1,369,095,414.21</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6,874,329,572.82</w:t>
            </w:r>
          </w:p>
        </w:tc>
      </w:tr>
    </w:tbl>
    <w:p>
      <w:pPr>
        <w:spacing w:after="0" w:line="274" w:lineRule="exact"/>
        <w:jc w:val="right"/>
        <w:rPr>
          <w:rFonts w:ascii="宋体" w:hAnsi="宋体" w:cs="宋体" w:eastAsia="宋体" w:hint="default"/>
          <w:sz w:val="24"/>
          <w:szCs w:val="24"/>
        </w:rPr>
        <w:sectPr>
          <w:type w:val="continuous"/>
          <w:pgSz w:w="11910" w:h="16840"/>
          <w:pgMar w:top="1000" w:bottom="280" w:left="1580" w:right="1040"/>
        </w:sectPr>
      </w:pPr>
    </w:p>
    <w:p>
      <w:pPr>
        <w:spacing w:line="240" w:lineRule="auto" w:before="1"/>
        <w:rPr>
          <w:rFonts w:ascii="宋体" w:hAnsi="宋体" w:cs="宋体" w:eastAsia="宋体" w:hint="default"/>
          <w:sz w:val="25"/>
          <w:szCs w:val="25"/>
        </w:rPr>
      </w:pPr>
    </w:p>
    <w:p>
      <w:pPr>
        <w:spacing w:line="357" w:lineRule="auto" w:before="36"/>
        <w:ind w:left="138" w:right="140" w:firstLine="419"/>
        <w:jc w:val="left"/>
        <w:rPr>
          <w:rFonts w:ascii="宋体" w:hAnsi="宋体" w:cs="宋体" w:eastAsia="宋体" w:hint="default"/>
          <w:sz w:val="21"/>
          <w:szCs w:val="21"/>
        </w:rPr>
      </w:pPr>
      <w:r>
        <w:rPr>
          <w:rFonts w:ascii="宋体" w:hAnsi="宋体" w:cs="宋体" w:eastAsia="宋体" w:hint="default"/>
          <w:w w:val="100"/>
          <w:sz w:val="21"/>
          <w:szCs w:val="21"/>
        </w:rPr>
        <w:t>注</w:t>
      </w:r>
      <w:r>
        <w:rPr>
          <w:rFonts w:ascii="宋体" w:hAnsi="宋体" w:cs="宋体" w:eastAsia="宋体" w:hint="default"/>
          <w:w w:val="100"/>
          <w:sz w:val="21"/>
          <w:szCs w:val="21"/>
        </w:rPr>
        <w:t>: </w:t>
      </w:r>
      <w:r>
        <w:rPr>
          <w:rFonts w:ascii="宋体" w:hAnsi="宋体" w:cs="宋体" w:eastAsia="宋体" w:hint="default"/>
          <w:spacing w:val="-8"/>
          <w:w w:val="100"/>
          <w:sz w:val="21"/>
          <w:szCs w:val="21"/>
        </w:rPr>
        <w:t>系期末应付中国华融资产管理股份有限公司（以下简称华融资产）债权转让款</w:t>
      </w:r>
      <w:r>
        <w:rPr>
          <w:rFonts w:ascii="宋体" w:hAnsi="宋体" w:cs="宋体" w:eastAsia="宋体" w:hint="default"/>
          <w:w w:val="100"/>
          <w:sz w:val="21"/>
          <w:szCs w:val="21"/>
        </w:rPr>
        <w:t> </w:t>
      </w:r>
      <w:r>
        <w:rPr>
          <w:rFonts w:ascii="宋体" w:hAnsi="宋体" w:cs="宋体" w:eastAsia="宋体" w:hint="default"/>
          <w:spacing w:val="-1"/>
          <w:w w:val="100"/>
          <w:sz w:val="21"/>
          <w:szCs w:val="21"/>
        </w:rPr>
        <w:t>13,000</w:t>
      </w:r>
      <w:r>
        <w:rPr>
          <w:rFonts w:ascii="宋体" w:hAnsi="宋体" w:cs="宋体" w:eastAsia="宋体" w:hint="default"/>
          <w:spacing w:val="20"/>
          <w:w w:val="100"/>
          <w:sz w:val="21"/>
          <w:szCs w:val="21"/>
        </w:rPr>
        <w:t> </w:t>
      </w:r>
      <w:r>
        <w:rPr>
          <w:rFonts w:ascii="宋体" w:hAnsi="宋体" w:cs="宋体" w:eastAsia="宋体" w:hint="default"/>
          <w:w w:val="100"/>
          <w:sz w:val="21"/>
          <w:szCs w:val="21"/>
        </w:rPr>
        <w:t>万 </w:t>
      </w:r>
      <w:r>
        <w:rPr>
          <w:rFonts w:ascii="宋体" w:hAnsi="宋体" w:cs="宋体" w:eastAsia="宋体" w:hint="default"/>
          <w:sz w:val="21"/>
          <w:szCs w:val="21"/>
        </w:rPr>
        <w:t>元、中国信达资产管理股份有限公司（以下简称信达资产）债权转让款 </w:t>
      </w:r>
      <w:r>
        <w:rPr>
          <w:rFonts w:ascii="宋体" w:hAnsi="宋体" w:cs="宋体" w:eastAsia="宋体" w:hint="default"/>
          <w:sz w:val="21"/>
          <w:szCs w:val="21"/>
        </w:rPr>
        <w:t>15,000</w:t>
      </w:r>
      <w:r>
        <w:rPr>
          <w:rFonts w:ascii="宋体" w:hAnsi="宋体" w:cs="宋体" w:eastAsia="宋体" w:hint="default"/>
          <w:spacing w:val="-59"/>
          <w:sz w:val="21"/>
          <w:szCs w:val="21"/>
        </w:rPr>
        <w:t> </w:t>
      </w:r>
      <w:r>
        <w:rPr>
          <w:rFonts w:ascii="宋体" w:hAnsi="宋体" w:cs="宋体" w:eastAsia="宋体" w:hint="default"/>
          <w:sz w:val="21"/>
          <w:szCs w:val="21"/>
        </w:rPr>
        <w:t>万元、长城资产</w:t>
      </w:r>
    </w:p>
    <w:p>
      <w:pPr>
        <w:spacing w:before="30"/>
        <w:ind w:left="138" w:right="140" w:firstLine="0"/>
        <w:jc w:val="left"/>
        <w:rPr>
          <w:rFonts w:ascii="宋体" w:hAnsi="宋体" w:cs="宋体" w:eastAsia="宋体" w:hint="default"/>
          <w:sz w:val="21"/>
          <w:szCs w:val="21"/>
        </w:rPr>
      </w:pPr>
      <w:r>
        <w:rPr>
          <w:rFonts w:ascii="宋体" w:hAnsi="宋体" w:cs="宋体" w:eastAsia="宋体" w:hint="default"/>
          <w:sz w:val="21"/>
          <w:szCs w:val="21"/>
        </w:rPr>
        <w:t>管理股份有限公司（以下简称长城资产）债权转让款</w:t>
      </w:r>
      <w:r>
        <w:rPr>
          <w:rFonts w:ascii="宋体" w:hAnsi="宋体" w:cs="宋体" w:eastAsia="宋体" w:hint="default"/>
          <w:spacing w:val="-54"/>
          <w:sz w:val="21"/>
          <w:szCs w:val="21"/>
        </w:rPr>
        <w:t> </w:t>
      </w:r>
      <w:r>
        <w:rPr>
          <w:rFonts w:ascii="宋体" w:hAnsi="宋体" w:cs="宋体" w:eastAsia="宋体" w:hint="default"/>
          <w:sz w:val="21"/>
          <w:szCs w:val="21"/>
        </w:rPr>
        <w:t>16,000</w:t>
      </w:r>
      <w:r>
        <w:rPr>
          <w:rFonts w:ascii="宋体" w:hAnsi="宋体" w:cs="宋体" w:eastAsia="宋体" w:hint="default"/>
          <w:spacing w:val="-56"/>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82"/>
          <w:pgSz w:w="11910" w:h="16840"/>
          <w:pgMar w:footer="1195" w:header="882" w:top="1120" w:bottom="1380" w:left="1660" w:right="1120"/>
        </w:sectPr>
      </w:pPr>
    </w:p>
    <w:p>
      <w:pPr>
        <w:pStyle w:val="Heading2"/>
        <w:spacing w:line="240" w:lineRule="auto"/>
        <w:ind w:left="138" w:right="-18"/>
        <w:jc w:val="left"/>
        <w:rPr>
          <w:b w:val="0"/>
          <w:bCs w:val="0"/>
        </w:rPr>
      </w:pPr>
      <w:r>
        <w:rPr>
          <w:rFonts w:ascii="宋体" w:hAnsi="宋体" w:cs="宋体" w:eastAsia="宋体" w:hint="default"/>
        </w:rPr>
        <w:t>33</w:t>
      </w:r>
      <w:r>
        <w:rPr/>
        <w:t>、</w:t>
      </w:r>
      <w:r>
        <w:rPr>
          <w:spacing w:val="-102"/>
        </w:rPr>
        <w:t> </w:t>
      </w:r>
      <w:r>
        <w:rPr/>
        <w:t>长期借款</w:t>
      </w:r>
      <w:r>
        <w:rPr>
          <w:b w:val="0"/>
          <w:bCs w:val="0"/>
        </w:rPr>
      </w:r>
    </w:p>
    <w:p>
      <w:pPr>
        <w:pStyle w:val="Heading2"/>
        <w:spacing w:line="240" w:lineRule="auto" w:before="55"/>
        <w:ind w:left="138" w:right="-18"/>
        <w:jc w:val="left"/>
        <w:rPr>
          <w:b w:val="0"/>
          <w:bCs w:val="0"/>
        </w:rPr>
      </w:pPr>
      <w:r>
        <w:rPr>
          <w:rFonts w:ascii="宋体" w:hAnsi="宋体" w:cs="宋体" w:eastAsia="宋体" w:hint="default"/>
        </w:rPr>
        <w:t>(1).</w:t>
      </w:r>
      <w:r>
        <w:rPr>
          <w:rFonts w:ascii="宋体" w:hAnsi="宋体" w:cs="宋体" w:eastAsia="宋体" w:hint="default"/>
          <w:spacing w:val="23"/>
        </w:rPr>
        <w:t> </w:t>
      </w:r>
      <w:r>
        <w:rPr/>
        <w:t>长期借款分类</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tabs>
          <w:tab w:pos="1338" w:val="left" w:leader="none"/>
        </w:tabs>
        <w:spacing w:line="240" w:lineRule="auto"/>
        <w:ind w:right="0"/>
        <w:jc w:val="left"/>
      </w:pPr>
      <w:r>
        <w:rPr/>
        <w:t>单位：元</w:t>
        <w:tab/>
        <w:t>币种：人民币</w:t>
      </w:r>
    </w:p>
    <w:p>
      <w:pPr>
        <w:spacing w:after="0" w:line="240" w:lineRule="auto"/>
        <w:jc w:val="left"/>
        <w:sectPr>
          <w:type w:val="continuous"/>
          <w:pgSz w:w="11910" w:h="16840"/>
          <w:pgMar w:top="1000" w:bottom="280" w:left="1660" w:right="1120"/>
          <w:cols w:num="2" w:equalWidth="0">
            <w:col w:w="2214" w:space="3979"/>
            <w:col w:w="2937"/>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01"/>
        <w:gridCol w:w="2998"/>
        <w:gridCol w:w="2897"/>
      </w:tblGrid>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6"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02"/>
              <w:jc w:val="right"/>
              <w:rPr>
                <w:rFonts w:ascii="宋体" w:hAnsi="宋体" w:cs="宋体" w:eastAsia="宋体" w:hint="default"/>
                <w:sz w:val="24"/>
                <w:szCs w:val="24"/>
              </w:rPr>
            </w:pPr>
            <w:r>
              <w:rPr>
                <w:rFonts w:ascii="宋体"/>
                <w:sz w:val="24"/>
              </w:rPr>
              <w:t>7,168,940,051.13</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2"/>
              <w:jc w:val="right"/>
              <w:rPr>
                <w:rFonts w:ascii="宋体" w:hAnsi="宋体" w:cs="宋体" w:eastAsia="宋体" w:hint="default"/>
                <w:sz w:val="24"/>
                <w:szCs w:val="24"/>
              </w:rPr>
            </w:pPr>
            <w:r>
              <w:rPr>
                <w:rFonts w:ascii="宋体"/>
                <w:sz w:val="24"/>
              </w:rPr>
              <w:t>8,087,766,268.18</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抵押借款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2"/>
              <w:jc w:val="right"/>
              <w:rPr>
                <w:rFonts w:ascii="宋体" w:hAnsi="宋体" w:cs="宋体" w:eastAsia="宋体" w:hint="default"/>
                <w:sz w:val="24"/>
                <w:szCs w:val="24"/>
              </w:rPr>
            </w:pPr>
            <w:r>
              <w:rPr>
                <w:rFonts w:ascii="宋体"/>
                <w:sz w:val="24"/>
              </w:rPr>
              <w:t>1,759,775,631.83</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4,175,390,822.16</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保证借款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2"/>
              <w:jc w:val="right"/>
              <w:rPr>
                <w:rFonts w:ascii="宋体" w:hAnsi="宋体" w:cs="宋体" w:eastAsia="宋体" w:hint="default"/>
                <w:sz w:val="24"/>
                <w:szCs w:val="24"/>
              </w:rPr>
            </w:pPr>
            <w:r>
              <w:rPr>
                <w:rFonts w:ascii="宋体"/>
                <w:sz w:val="24"/>
              </w:rPr>
              <w:t>7,099,105,038.97</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2,807,700,000.00</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2"/>
              <w:jc w:val="right"/>
              <w:rPr>
                <w:rFonts w:ascii="宋体" w:hAnsi="宋体" w:cs="宋体" w:eastAsia="宋体" w:hint="default"/>
                <w:sz w:val="24"/>
                <w:szCs w:val="24"/>
              </w:rPr>
            </w:pPr>
            <w:r>
              <w:rPr>
                <w:rFonts w:ascii="宋体"/>
                <w:sz w:val="24"/>
              </w:rPr>
              <w:t>174,000,000.00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150,000,000.00</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抵押、保证借款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2"/>
              <w:jc w:val="right"/>
              <w:rPr>
                <w:rFonts w:ascii="宋体" w:hAnsi="宋体" w:cs="宋体" w:eastAsia="宋体" w:hint="default"/>
                <w:sz w:val="24"/>
                <w:szCs w:val="24"/>
              </w:rPr>
            </w:pPr>
            <w:r>
              <w:rPr>
                <w:rFonts w:ascii="宋体"/>
                <w:sz w:val="24"/>
              </w:rPr>
              <w:t>13,755,889,579.17</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10,909,477,500.00</w:t>
            </w:r>
          </w:p>
        </w:tc>
      </w:tr>
      <w:tr>
        <w:trPr>
          <w:trHeight w:val="319"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质押、保证借款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1,324,000,000.00</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质押、抵押并保证借款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2"/>
              <w:jc w:val="right"/>
              <w:rPr>
                <w:rFonts w:ascii="宋体" w:hAnsi="宋体" w:cs="宋体" w:eastAsia="宋体" w:hint="default"/>
                <w:sz w:val="24"/>
                <w:szCs w:val="24"/>
              </w:rPr>
            </w:pPr>
            <w:r>
              <w:rPr>
                <w:rFonts w:ascii="宋体"/>
                <w:sz w:val="24"/>
              </w:rPr>
              <w:t>508,950,000.00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1,591,000,000.00</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2"/>
              <w:jc w:val="right"/>
              <w:rPr>
                <w:rFonts w:ascii="宋体" w:hAnsi="宋体" w:cs="宋体" w:eastAsia="宋体" w:hint="default"/>
                <w:sz w:val="24"/>
                <w:szCs w:val="24"/>
              </w:rPr>
            </w:pPr>
            <w:r>
              <w:rPr>
                <w:rFonts w:ascii="宋体"/>
                <w:sz w:val="24"/>
              </w:rPr>
              <w:t>30,466,660,301.10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29,045,334,590.34</w:t>
            </w:r>
          </w:p>
        </w:tc>
      </w:tr>
    </w:tbl>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00" w:bottom="280" w:left="1660" w:right="1120"/>
        </w:sectPr>
      </w:pPr>
    </w:p>
    <w:p>
      <w:pPr>
        <w:pStyle w:val="Heading2"/>
        <w:spacing w:line="285" w:lineRule="auto"/>
        <w:ind w:left="138" w:right="143"/>
        <w:jc w:val="left"/>
        <w:rPr>
          <w:b w:val="0"/>
          <w:bCs w:val="0"/>
        </w:rPr>
      </w:pPr>
      <w:r>
        <w:rPr>
          <w:rFonts w:ascii="宋体" w:hAnsi="宋体" w:cs="宋体" w:eastAsia="宋体" w:hint="default"/>
        </w:rPr>
        <w:t>34</w:t>
      </w:r>
      <w:r>
        <w:rPr/>
        <w:t>、</w:t>
      </w:r>
      <w:r>
        <w:rPr>
          <w:spacing w:val="-101"/>
        </w:rPr>
        <w:t> </w:t>
      </w:r>
      <w:r>
        <w:rPr/>
        <w:t>应付债券</w:t>
      </w:r>
      <w:r>
        <w:rPr>
          <w:w w:val="99"/>
        </w:rPr>
        <w:t> </w:t>
      </w:r>
      <w:r>
        <w:rPr>
          <w:rFonts w:ascii="宋体" w:hAnsi="宋体" w:cs="宋体" w:eastAsia="宋体" w:hint="default"/>
        </w:rPr>
        <w:t>(1).</w:t>
      </w:r>
      <w:r>
        <w:rPr>
          <w:rFonts w:ascii="宋体" w:hAnsi="宋体" w:cs="宋体" w:eastAsia="宋体" w:hint="default"/>
          <w:spacing w:val="68"/>
        </w:rPr>
        <w:t> </w:t>
      </w:r>
      <w:r>
        <w:rPr/>
        <w:t>应付债券</w:t>
      </w:r>
      <w:r>
        <w:rPr>
          <w:b w:val="0"/>
          <w:bCs w:val="0"/>
        </w:rPr>
      </w:r>
    </w:p>
    <w:p>
      <w:pPr>
        <w:pStyle w:val="BodyText"/>
        <w:spacing w:line="240" w:lineRule="auto" w:before="10"/>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tabs>
          <w:tab w:pos="1338" w:val="left" w:leader="none"/>
        </w:tabs>
        <w:spacing w:line="240" w:lineRule="auto"/>
        <w:ind w:right="0"/>
        <w:jc w:val="left"/>
      </w:pPr>
      <w:r>
        <w:rPr/>
        <w:t>单位：元</w:t>
        <w:tab/>
        <w:t>币种：人民币</w:t>
      </w:r>
    </w:p>
    <w:p>
      <w:pPr>
        <w:spacing w:after="0" w:line="240" w:lineRule="auto"/>
        <w:jc w:val="left"/>
        <w:sectPr>
          <w:type w:val="continuous"/>
          <w:pgSz w:w="11910" w:h="16840"/>
          <w:pgMar w:top="1000" w:bottom="280" w:left="1660" w:right="1120"/>
          <w:cols w:num="2" w:equalWidth="0">
            <w:col w:w="1939" w:space="4254"/>
            <w:col w:w="293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52"/>
        <w:gridCol w:w="2871"/>
        <w:gridCol w:w="2873"/>
      </w:tblGrid>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6"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8"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19"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15</w:t>
            </w:r>
            <w:r>
              <w:rPr>
                <w:rFonts w:ascii="宋体" w:hAnsi="宋体" w:cs="宋体" w:eastAsia="宋体" w:hint="default"/>
                <w:spacing w:val="-61"/>
                <w:sz w:val="24"/>
                <w:szCs w:val="24"/>
              </w:rPr>
              <w:t> </w:t>
            </w:r>
            <w:r>
              <w:rPr>
                <w:rFonts w:ascii="宋体" w:hAnsi="宋体" w:cs="宋体" w:eastAsia="宋体" w:hint="default"/>
                <w:sz w:val="24"/>
                <w:szCs w:val="24"/>
              </w:rPr>
              <w:t>新湖债</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3,488,536,268.61</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3,484,454,892.92</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15</w:t>
            </w:r>
            <w:r>
              <w:rPr>
                <w:rFonts w:ascii="宋体" w:hAnsi="宋体" w:cs="宋体" w:eastAsia="宋体" w:hint="default"/>
                <w:spacing w:val="-61"/>
                <w:sz w:val="24"/>
                <w:szCs w:val="24"/>
              </w:rPr>
              <w:t> </w:t>
            </w:r>
            <w:r>
              <w:rPr>
                <w:rFonts w:ascii="宋体" w:hAnsi="宋体" w:cs="宋体" w:eastAsia="宋体" w:hint="default"/>
                <w:sz w:val="24"/>
                <w:szCs w:val="24"/>
              </w:rPr>
              <w:t>中宝债</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4,983,954,160.30</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4,975,353,037.77</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15</w:t>
            </w:r>
            <w:r>
              <w:rPr>
                <w:rFonts w:ascii="宋体" w:hAnsi="宋体" w:cs="宋体" w:eastAsia="宋体" w:hint="default"/>
                <w:spacing w:val="-61"/>
                <w:sz w:val="24"/>
                <w:szCs w:val="24"/>
              </w:rPr>
              <w:t> </w:t>
            </w:r>
            <w:r>
              <w:rPr>
                <w:rFonts w:ascii="宋体" w:hAnsi="宋体" w:cs="宋体" w:eastAsia="宋体" w:hint="default"/>
                <w:sz w:val="24"/>
                <w:szCs w:val="24"/>
              </w:rPr>
              <w:t>利得债</w:t>
            </w: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z w:val="24"/>
                <w:szCs w:val="24"/>
              </w:rPr>
              <w:t>]</w:t>
            </w:r>
          </w:p>
        </w:tc>
        <w:tc>
          <w:tcPr>
            <w:tcW w:w="2871" w:type="dxa"/>
            <w:tcBorders>
              <w:top w:val="single" w:sz="4" w:space="0" w:color="000000"/>
              <w:left w:val="single" w:sz="4" w:space="0" w:color="000000"/>
              <w:bottom w:val="single" w:sz="4" w:space="0" w:color="000000"/>
              <w:right w:val="single" w:sz="4" w:space="0" w:color="000000"/>
            </w:tcBorders>
          </w:tcPr>
          <w:p>
            <w:pP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992,332,229.30</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15</w:t>
            </w:r>
            <w:r>
              <w:rPr>
                <w:rFonts w:ascii="宋体" w:hAnsi="宋体" w:cs="宋体" w:eastAsia="宋体" w:hint="default"/>
                <w:spacing w:val="-61"/>
                <w:sz w:val="24"/>
                <w:szCs w:val="24"/>
              </w:rPr>
              <w:t> </w:t>
            </w:r>
            <w:r>
              <w:rPr>
                <w:rFonts w:ascii="宋体" w:hAnsi="宋体" w:cs="宋体" w:eastAsia="宋体" w:hint="default"/>
                <w:sz w:val="24"/>
                <w:szCs w:val="24"/>
              </w:rPr>
              <w:t>利得债</w:t>
            </w:r>
            <w:r>
              <w:rPr>
                <w:rFonts w:ascii="宋体" w:hAnsi="宋体" w:cs="宋体" w:eastAsia="宋体" w:hint="default"/>
                <w:spacing w:val="-60"/>
                <w:sz w:val="24"/>
                <w:szCs w:val="24"/>
              </w:rPr>
              <w:t> </w:t>
            </w:r>
            <w:r>
              <w:rPr>
                <w:rFonts w:ascii="宋体" w:hAnsi="宋体" w:cs="宋体" w:eastAsia="宋体" w:hint="default"/>
                <w:sz w:val="24"/>
                <w:szCs w:val="24"/>
              </w:rPr>
              <w:t>02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1,593,268,003.88</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1,590,121,995.96</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15</w:t>
            </w:r>
            <w:r>
              <w:rPr>
                <w:rFonts w:ascii="宋体" w:hAnsi="宋体" w:cs="宋体" w:eastAsia="宋体" w:hint="default"/>
                <w:spacing w:val="-61"/>
                <w:sz w:val="24"/>
                <w:szCs w:val="24"/>
              </w:rPr>
              <w:t> </w:t>
            </w:r>
            <w:r>
              <w:rPr>
                <w:rFonts w:ascii="宋体" w:hAnsi="宋体" w:cs="宋体" w:eastAsia="宋体" w:hint="default"/>
                <w:sz w:val="24"/>
                <w:szCs w:val="24"/>
              </w:rPr>
              <w:t>允升债</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388,062,665.72</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379,672,564.76</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16</w:t>
            </w:r>
            <w:r>
              <w:rPr>
                <w:rFonts w:ascii="宋体" w:hAnsi="宋体" w:cs="宋体" w:eastAsia="宋体" w:hint="default"/>
                <w:spacing w:val="-61"/>
                <w:sz w:val="24"/>
                <w:szCs w:val="24"/>
              </w:rPr>
              <w:t> </w:t>
            </w:r>
            <w:r>
              <w:rPr>
                <w:rFonts w:ascii="宋体" w:hAnsi="宋体" w:cs="宋体" w:eastAsia="宋体" w:hint="default"/>
                <w:sz w:val="24"/>
                <w:szCs w:val="24"/>
              </w:rPr>
              <w:t>新湖</w:t>
            </w:r>
            <w:r>
              <w:rPr>
                <w:rFonts w:ascii="宋体" w:hAnsi="宋体" w:cs="宋体" w:eastAsia="宋体" w:hint="default"/>
                <w:spacing w:val="-60"/>
                <w:sz w:val="24"/>
                <w:szCs w:val="24"/>
              </w:rPr>
              <w:t> </w:t>
            </w:r>
            <w:r>
              <w:rPr>
                <w:rFonts w:ascii="宋体" w:hAnsi="宋体" w:cs="宋体" w:eastAsia="宋体" w:hint="default"/>
                <w:sz w:val="24"/>
                <w:szCs w:val="24"/>
              </w:rPr>
              <w:t>01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3,490,161,027.88</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3,487,559,619.22</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17</w:t>
            </w:r>
            <w:r>
              <w:rPr>
                <w:rFonts w:ascii="宋体" w:hAnsi="宋体" w:cs="宋体" w:eastAsia="宋体" w:hint="default"/>
                <w:spacing w:val="-61"/>
                <w:sz w:val="24"/>
                <w:szCs w:val="24"/>
              </w:rPr>
              <w:t> </w:t>
            </w:r>
            <w:r>
              <w:rPr>
                <w:rFonts w:ascii="宋体" w:hAnsi="宋体" w:cs="宋体" w:eastAsia="宋体" w:hint="default"/>
                <w:sz w:val="24"/>
                <w:szCs w:val="24"/>
              </w:rPr>
              <w:t>新湖中宝</w:t>
            </w:r>
            <w:r>
              <w:rPr>
                <w:rFonts w:ascii="宋体" w:hAnsi="宋体" w:cs="宋体" w:eastAsia="宋体" w:hint="default"/>
                <w:spacing w:val="-60"/>
                <w:sz w:val="24"/>
                <w:szCs w:val="24"/>
              </w:rPr>
              <w:t> </w:t>
            </w:r>
            <w:r>
              <w:rPr>
                <w:rFonts w:ascii="宋体" w:hAnsi="宋体" w:cs="宋体" w:eastAsia="宋体" w:hint="default"/>
                <w:sz w:val="24"/>
                <w:szCs w:val="24"/>
              </w:rPr>
              <w:t>MTN001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1,000,000,000.00</w:t>
            </w:r>
          </w:p>
        </w:tc>
        <w:tc>
          <w:tcPr>
            <w:tcW w:w="2873"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6" w:right="0"/>
              <w:jc w:val="left"/>
              <w:rPr>
                <w:rFonts w:ascii="宋体" w:hAnsi="宋体" w:cs="宋体" w:eastAsia="宋体" w:hint="default"/>
                <w:sz w:val="24"/>
                <w:szCs w:val="24"/>
              </w:rPr>
            </w:pPr>
            <w:r>
              <w:rPr>
                <w:rFonts w:ascii="宋体" w:hAnsi="宋体" w:cs="宋体" w:eastAsia="宋体" w:hint="default"/>
                <w:sz w:val="24"/>
                <w:szCs w:val="24"/>
              </w:rPr>
              <w:t>平安</w:t>
            </w:r>
            <w:r>
              <w:rPr>
                <w:rFonts w:ascii="宋体" w:hAnsi="宋体" w:cs="宋体" w:eastAsia="宋体" w:hint="default"/>
                <w:sz w:val="24"/>
                <w:szCs w:val="24"/>
              </w:rPr>
              <w:t>-</w:t>
            </w:r>
            <w:r>
              <w:rPr>
                <w:rFonts w:ascii="宋体" w:hAnsi="宋体" w:cs="宋体" w:eastAsia="宋体" w:hint="default"/>
                <w:sz w:val="24"/>
                <w:szCs w:val="24"/>
              </w:rPr>
              <w:t>新湖中宝购房尾款资产</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支持专项计划</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宋体" w:hAnsi="宋体" w:cs="宋体" w:eastAsia="宋体" w:hint="default"/>
                <w:sz w:val="24"/>
                <w:szCs w:val="24"/>
              </w:rPr>
            </w:pPr>
            <w:r>
              <w:rPr>
                <w:rFonts w:ascii="宋体"/>
                <w:sz w:val="24"/>
              </w:rPr>
              <w:t>1,416,710,457.30</w:t>
            </w:r>
          </w:p>
        </w:tc>
        <w:tc>
          <w:tcPr>
            <w:tcW w:w="287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17</w:t>
            </w:r>
            <w:r>
              <w:rPr>
                <w:rFonts w:ascii="宋体" w:hAnsi="宋体" w:cs="宋体" w:eastAsia="宋体" w:hint="default"/>
                <w:spacing w:val="-61"/>
                <w:sz w:val="24"/>
                <w:szCs w:val="24"/>
              </w:rPr>
              <w:t> </w:t>
            </w:r>
            <w:r>
              <w:rPr>
                <w:rFonts w:ascii="宋体" w:hAnsi="宋体" w:cs="宋体" w:eastAsia="宋体" w:hint="default"/>
                <w:sz w:val="24"/>
                <w:szCs w:val="24"/>
              </w:rPr>
              <w:t>浙南教育</w:t>
            </w:r>
            <w:r>
              <w:rPr>
                <w:rFonts w:ascii="宋体" w:hAnsi="宋体" w:cs="宋体" w:eastAsia="宋体" w:hint="default"/>
                <w:spacing w:val="-60"/>
                <w:sz w:val="24"/>
                <w:szCs w:val="24"/>
              </w:rPr>
              <w:t> </w:t>
            </w:r>
            <w:r>
              <w:rPr>
                <w:rFonts w:ascii="宋体" w:hAnsi="宋体" w:cs="宋体" w:eastAsia="宋体" w:hint="default"/>
                <w:sz w:val="24"/>
                <w:szCs w:val="24"/>
              </w:rPr>
              <w:t>ZR001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100,000,000.00</w:t>
            </w:r>
          </w:p>
        </w:tc>
        <w:tc>
          <w:tcPr>
            <w:tcW w:w="287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tabs>
                <w:tab w:pos="1466" w:val="left" w:leader="none"/>
              </w:tabs>
              <w:spacing w:line="274" w:lineRule="exact"/>
              <w:ind w:left="26" w:right="0"/>
              <w:jc w:val="left"/>
              <w:rPr>
                <w:rFonts w:ascii="宋体" w:hAnsi="宋体" w:cs="宋体" w:eastAsia="宋体" w:hint="default"/>
                <w:sz w:val="24"/>
                <w:szCs w:val="24"/>
              </w:rPr>
            </w:pPr>
            <w:r>
              <w:rPr>
                <w:rFonts w:ascii="宋体"/>
                <w:sz w:val="24"/>
              </w:rPr>
              <w:t>XINHU BVI</w:t>
              <w:tab/>
              <w:t>N2003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4,533,082,669.02</w:t>
            </w:r>
          </w:p>
        </w:tc>
        <w:tc>
          <w:tcPr>
            <w:tcW w:w="287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20,993,775,252.71</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14,909,494,339.93</w:t>
            </w:r>
          </w:p>
        </w:tc>
      </w:tr>
    </w:tbl>
    <w:p>
      <w:pPr>
        <w:spacing w:after="0" w:line="274" w:lineRule="exact"/>
        <w:jc w:val="right"/>
        <w:rPr>
          <w:rFonts w:ascii="宋体" w:hAnsi="宋体" w:cs="宋体" w:eastAsia="宋体" w:hint="default"/>
          <w:sz w:val="24"/>
          <w:szCs w:val="24"/>
        </w:rPr>
        <w:sectPr>
          <w:type w:val="continuous"/>
          <w:pgSz w:w="11910" w:h="16840"/>
          <w:pgMar w:top="1000" w:bottom="280" w:left="1660" w:right="1120"/>
        </w:sectPr>
      </w:pPr>
    </w:p>
    <w:p>
      <w:pPr>
        <w:spacing w:before="20"/>
        <w:ind w:left="7232" w:right="7258"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944"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83"/>
          <w:footerReference w:type="default" r:id="rId84"/>
          <w:pgSz w:w="16840" w:h="11910" w:orient="landscape"/>
          <w:pgMar w:header="0" w:footer="0" w:top="800" w:bottom="280" w:left="460" w:right="540"/>
        </w:sectPr>
      </w:pPr>
    </w:p>
    <w:p>
      <w:pPr>
        <w:pStyle w:val="Heading2"/>
        <w:spacing w:line="240" w:lineRule="auto"/>
        <w:ind w:left="980" w:right="-17"/>
        <w:jc w:val="left"/>
        <w:rPr>
          <w:b w:val="0"/>
          <w:bCs w:val="0"/>
        </w:rPr>
      </w:pPr>
      <w:r>
        <w:rPr>
          <w:rFonts w:ascii="宋体" w:hAnsi="宋体" w:cs="宋体" w:eastAsia="宋体" w:hint="default"/>
          <w:spacing w:val="2"/>
          <w:w w:val="99"/>
        </w:rPr>
        <w:t>(</w:t>
      </w:r>
      <w:r>
        <w:rPr>
          <w:rFonts w:ascii="宋体" w:hAnsi="宋体" w:cs="宋体" w:eastAsia="宋体" w:hint="default"/>
          <w:w w:val="99"/>
        </w:rPr>
        <w:t>2</w:t>
      </w:r>
      <w:r>
        <w:rPr>
          <w:rFonts w:ascii="宋体" w:hAnsi="宋体" w:cs="宋体" w:eastAsia="宋体" w:hint="default"/>
          <w:spacing w:val="2"/>
          <w:w w:val="99"/>
        </w:rPr>
        <w:t>)</w:t>
      </w:r>
      <w:r>
        <w:rPr>
          <w:rFonts w:ascii="宋体" w:hAnsi="宋体" w:cs="宋体" w:eastAsia="宋体" w:hint="default"/>
          <w:w w:val="99"/>
        </w:rPr>
        <w:t>.</w:t>
      </w:r>
      <w:r>
        <w:rPr>
          <w:rFonts w:ascii="宋体" w:hAnsi="宋体" w:cs="宋体" w:eastAsia="宋体" w:hint="default"/>
        </w:rPr>
        <w:t> </w:t>
      </w:r>
      <w:r>
        <w:rPr>
          <w:rFonts w:ascii="宋体" w:hAnsi="宋体" w:cs="宋体" w:eastAsia="宋体" w:hint="default"/>
          <w:spacing w:val="-54"/>
        </w:rPr>
        <w:t> </w:t>
      </w:r>
      <w:r>
        <w:rPr>
          <w:spacing w:val="2"/>
          <w:w w:val="99"/>
        </w:rPr>
        <w:t>应</w:t>
      </w:r>
      <w:r>
        <w:rPr>
          <w:w w:val="99"/>
        </w:rPr>
        <w:t>付</w:t>
      </w:r>
      <w:r>
        <w:rPr>
          <w:spacing w:val="2"/>
          <w:w w:val="99"/>
        </w:rPr>
        <w:t>债</w:t>
      </w:r>
      <w:r>
        <w:rPr>
          <w:w w:val="99"/>
        </w:rPr>
        <w:t>券的</w:t>
      </w:r>
      <w:r>
        <w:rPr>
          <w:spacing w:val="2"/>
          <w:w w:val="99"/>
        </w:rPr>
        <w:t>增</w:t>
      </w:r>
      <w:r>
        <w:rPr>
          <w:w w:val="99"/>
        </w:rPr>
        <w:t>减</w:t>
      </w:r>
      <w:r>
        <w:rPr>
          <w:spacing w:val="2"/>
          <w:w w:val="99"/>
        </w:rPr>
        <w:t>变</w:t>
      </w:r>
      <w:r>
        <w:rPr>
          <w:w w:val="99"/>
        </w:rPr>
        <w:t>动</w:t>
      </w:r>
      <w:r>
        <w:rPr>
          <w:spacing w:val="-120"/>
          <w:w w:val="99"/>
        </w:rPr>
        <w:t>：</w:t>
      </w:r>
      <w:r>
        <w:rPr>
          <w:spacing w:val="2"/>
          <w:w w:val="99"/>
        </w:rPr>
        <w:t>（</w:t>
      </w:r>
      <w:r>
        <w:rPr>
          <w:w w:val="99"/>
        </w:rPr>
        <w:t>不</w:t>
      </w:r>
      <w:r>
        <w:rPr>
          <w:spacing w:val="2"/>
          <w:w w:val="99"/>
        </w:rPr>
        <w:t>包</w:t>
      </w:r>
      <w:r>
        <w:rPr>
          <w:w w:val="99"/>
        </w:rPr>
        <w:t>括划</w:t>
      </w:r>
      <w:r>
        <w:rPr>
          <w:spacing w:val="2"/>
          <w:w w:val="99"/>
        </w:rPr>
        <w:t>分</w:t>
      </w:r>
      <w:r>
        <w:rPr>
          <w:w w:val="99"/>
        </w:rPr>
        <w:t>为</w:t>
      </w:r>
      <w:r>
        <w:rPr>
          <w:spacing w:val="2"/>
          <w:w w:val="99"/>
        </w:rPr>
        <w:t>金</w:t>
      </w:r>
      <w:r>
        <w:rPr>
          <w:w w:val="99"/>
        </w:rPr>
        <w:t>融负</w:t>
      </w:r>
      <w:r>
        <w:rPr>
          <w:spacing w:val="2"/>
          <w:w w:val="99"/>
        </w:rPr>
        <w:t>债</w:t>
      </w:r>
      <w:r>
        <w:rPr>
          <w:w w:val="99"/>
        </w:rPr>
        <w:t>的</w:t>
      </w:r>
      <w:r>
        <w:rPr>
          <w:spacing w:val="2"/>
          <w:w w:val="99"/>
        </w:rPr>
        <w:t>优</w:t>
      </w:r>
      <w:r>
        <w:rPr>
          <w:w w:val="99"/>
        </w:rPr>
        <w:t>先股</w:t>
      </w:r>
      <w:r>
        <w:rPr>
          <w:spacing w:val="2"/>
          <w:w w:val="99"/>
        </w:rPr>
        <w:t>、</w:t>
      </w:r>
      <w:r>
        <w:rPr>
          <w:w w:val="99"/>
        </w:rPr>
        <w:t>永</w:t>
      </w:r>
      <w:r>
        <w:rPr>
          <w:spacing w:val="2"/>
          <w:w w:val="99"/>
        </w:rPr>
        <w:t>续</w:t>
      </w:r>
      <w:r>
        <w:rPr>
          <w:w w:val="99"/>
        </w:rPr>
        <w:t>债等</w:t>
      </w:r>
      <w:r>
        <w:rPr>
          <w:spacing w:val="2"/>
          <w:w w:val="99"/>
        </w:rPr>
        <w:t>其</w:t>
      </w:r>
      <w:r>
        <w:rPr>
          <w:w w:val="99"/>
        </w:rPr>
        <w:t>他</w:t>
      </w:r>
      <w:r>
        <w:rPr>
          <w:spacing w:val="2"/>
          <w:w w:val="99"/>
        </w:rPr>
        <w:t>金</w:t>
      </w:r>
      <w:r>
        <w:rPr>
          <w:w w:val="99"/>
        </w:rPr>
        <w:t>融工</w:t>
      </w:r>
      <w:r>
        <w:rPr>
          <w:spacing w:val="2"/>
          <w:w w:val="99"/>
        </w:rPr>
        <w:t>具</w:t>
      </w:r>
      <w:r>
        <w:rPr>
          <w:w w:val="99"/>
        </w:rPr>
        <w:t>）</w:t>
      </w:r>
      <w:r>
        <w:rPr>
          <w:b w:val="0"/>
          <w:bCs w:val="0"/>
        </w:rPr>
      </w:r>
    </w:p>
    <w:p>
      <w:pPr>
        <w:pStyle w:val="BodyText"/>
        <w:spacing w:line="240" w:lineRule="auto" w:before="58"/>
        <w:ind w:left="980"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2179" w:val="left" w:leader="none"/>
        </w:tabs>
        <w:spacing w:line="240" w:lineRule="auto"/>
        <w:ind w:left="980" w:right="0"/>
        <w:jc w:val="left"/>
      </w:pPr>
      <w:r>
        <w:rPr/>
        <w:t>单位：元</w:t>
        <w:tab/>
        <w:t>币种：人民币</w:t>
      </w:r>
    </w:p>
    <w:p>
      <w:pPr>
        <w:spacing w:after="0" w:line="240" w:lineRule="auto"/>
        <w:jc w:val="left"/>
        <w:sectPr>
          <w:type w:val="continuous"/>
          <w:pgSz w:w="16840" w:h="11910" w:orient="landscape"/>
          <w:pgMar w:top="1000" w:bottom="280" w:left="460" w:right="540"/>
          <w:cols w:num="2" w:equalWidth="0">
            <w:col w:w="10446" w:space="788"/>
            <w:col w:w="4606"/>
          </w:cols>
        </w:sectPr>
      </w:pPr>
    </w:p>
    <w:p>
      <w:pPr>
        <w:spacing w:line="240" w:lineRule="auto" w:before="12"/>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902"/>
        <w:gridCol w:w="1500"/>
        <w:gridCol w:w="960"/>
        <w:gridCol w:w="384"/>
        <w:gridCol w:w="1589"/>
        <w:gridCol w:w="1591"/>
        <w:gridCol w:w="1500"/>
        <w:gridCol w:w="1500"/>
        <w:gridCol w:w="1321"/>
        <w:gridCol w:w="1320"/>
        <w:gridCol w:w="1450"/>
        <w:gridCol w:w="1589"/>
      </w:tblGrid>
      <w:tr>
        <w:trPr>
          <w:trHeight w:val="944" w:hRule="exact"/>
        </w:trPr>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34" w:lineRule="exact"/>
              <w:ind w:left="266" w:right="264"/>
              <w:jc w:val="left"/>
              <w:rPr>
                <w:rFonts w:ascii="宋体" w:hAnsi="宋体" w:cs="宋体" w:eastAsia="宋体" w:hint="default"/>
                <w:sz w:val="18"/>
                <w:szCs w:val="18"/>
              </w:rPr>
            </w:pPr>
            <w:r>
              <w:rPr>
                <w:rFonts w:ascii="宋体" w:hAnsi="宋体" w:cs="宋体" w:eastAsia="宋体" w:hint="default"/>
                <w:sz w:val="18"/>
                <w:szCs w:val="18"/>
              </w:rPr>
              <w:t>债券 名称</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34" w:lineRule="exact"/>
              <w:ind w:left="292" w:right="295"/>
              <w:jc w:val="left"/>
              <w:rPr>
                <w:rFonts w:ascii="宋体" w:hAnsi="宋体" w:cs="宋体" w:eastAsia="宋体" w:hint="default"/>
                <w:sz w:val="18"/>
                <w:szCs w:val="18"/>
              </w:rPr>
            </w:pPr>
            <w:r>
              <w:rPr>
                <w:rFonts w:ascii="宋体" w:hAnsi="宋体" w:cs="宋体" w:eastAsia="宋体" w:hint="default"/>
                <w:sz w:val="18"/>
                <w:szCs w:val="18"/>
              </w:rPr>
              <w:t>发行 日期</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6" w:right="0"/>
              <w:jc w:val="both"/>
              <w:rPr>
                <w:rFonts w:ascii="宋体" w:hAnsi="宋体" w:cs="宋体" w:eastAsia="宋体" w:hint="default"/>
                <w:sz w:val="18"/>
                <w:szCs w:val="18"/>
              </w:rPr>
            </w:pPr>
            <w:r>
              <w:rPr>
                <w:rFonts w:ascii="宋体" w:hAnsi="宋体" w:cs="宋体" w:eastAsia="宋体" w:hint="default"/>
                <w:sz w:val="18"/>
                <w:szCs w:val="18"/>
              </w:rPr>
              <w:t>债</w:t>
            </w:r>
          </w:p>
          <w:p>
            <w:pPr>
              <w:pStyle w:val="TableParagraph"/>
              <w:spacing w:line="237" w:lineRule="auto"/>
              <w:ind w:left="96" w:right="96"/>
              <w:jc w:val="both"/>
              <w:rPr>
                <w:rFonts w:ascii="宋体" w:hAnsi="宋体" w:cs="宋体" w:eastAsia="宋体" w:hint="default"/>
                <w:sz w:val="18"/>
                <w:szCs w:val="18"/>
              </w:rPr>
            </w:pPr>
            <w:r>
              <w:rPr>
                <w:rFonts w:ascii="宋体" w:hAnsi="宋体" w:cs="宋体" w:eastAsia="宋体" w:hint="default"/>
                <w:sz w:val="18"/>
                <w:szCs w:val="18"/>
              </w:rPr>
              <w:t>券 期 限</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34" w:lineRule="exact"/>
              <w:ind w:left="610" w:right="607"/>
              <w:jc w:val="center"/>
              <w:rPr>
                <w:rFonts w:ascii="宋体" w:hAnsi="宋体" w:cs="宋体" w:eastAsia="宋体" w:hint="default"/>
                <w:sz w:val="18"/>
                <w:szCs w:val="18"/>
              </w:rPr>
            </w:pPr>
            <w:r>
              <w:rPr>
                <w:rFonts w:ascii="宋体" w:hAnsi="宋体" w:cs="宋体" w:eastAsia="宋体" w:hint="default"/>
                <w:sz w:val="18"/>
                <w:szCs w:val="18"/>
              </w:rPr>
              <w:t>发行 金额</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34" w:lineRule="exact"/>
              <w:ind w:left="612" w:right="607"/>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34" w:lineRule="exact"/>
              <w:ind w:left="564" w:right="564"/>
              <w:jc w:val="center"/>
              <w:rPr>
                <w:rFonts w:ascii="宋体" w:hAnsi="宋体" w:cs="宋体" w:eastAsia="宋体" w:hint="default"/>
                <w:sz w:val="18"/>
                <w:szCs w:val="18"/>
              </w:rPr>
            </w:pPr>
            <w:r>
              <w:rPr>
                <w:rFonts w:ascii="宋体" w:hAnsi="宋体" w:cs="宋体" w:eastAsia="宋体" w:hint="default"/>
                <w:sz w:val="18"/>
                <w:szCs w:val="18"/>
              </w:rPr>
              <w:t>本期 发行</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按面值计提利息</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溢折价摊销</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34" w:lineRule="exact"/>
              <w:ind w:left="475" w:right="473"/>
              <w:jc w:val="center"/>
              <w:rPr>
                <w:rFonts w:ascii="宋体" w:hAnsi="宋体" w:cs="宋体" w:eastAsia="宋体" w:hint="default"/>
                <w:sz w:val="18"/>
                <w:szCs w:val="18"/>
              </w:rPr>
            </w:pPr>
            <w:r>
              <w:rPr>
                <w:rFonts w:ascii="宋体" w:hAnsi="宋体" w:cs="宋体" w:eastAsia="宋体" w:hint="default"/>
                <w:sz w:val="18"/>
                <w:szCs w:val="18"/>
              </w:rPr>
              <w:t>本期 偿还</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34" w:lineRule="exact"/>
              <w:ind w:left="610" w:right="607"/>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276" w:hRule="exact"/>
        </w:trPr>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71"/>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新湖债</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4"/>
              <w:jc w:val="right"/>
              <w:rPr>
                <w:rFonts w:ascii="宋体" w:hAnsi="宋体" w:cs="宋体" w:eastAsia="宋体" w:hint="default"/>
                <w:sz w:val="18"/>
                <w:szCs w:val="18"/>
              </w:rPr>
            </w:pPr>
            <w:r>
              <w:rPr>
                <w:rFonts w:ascii="宋体"/>
                <w:spacing w:val="-1"/>
                <w:sz w:val="18"/>
              </w:rPr>
              <w:t>3,500,000,000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宋体"/>
                <w:sz w:val="18"/>
              </w:rPr>
              <w:t>2015-7-23</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7"/>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3,500,000,000.00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3,484,454,892.92</w:t>
            </w:r>
          </w:p>
        </w:tc>
        <w:tc>
          <w:tcPr>
            <w:tcW w:w="15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3"/>
              <w:jc w:val="right"/>
              <w:rPr>
                <w:rFonts w:ascii="宋体" w:hAnsi="宋体" w:cs="宋体" w:eastAsia="宋体" w:hint="default"/>
                <w:sz w:val="18"/>
                <w:szCs w:val="18"/>
              </w:rPr>
            </w:pPr>
            <w:r>
              <w:rPr>
                <w:rFonts w:ascii="宋体"/>
                <w:spacing w:val="-1"/>
                <w:sz w:val="18"/>
              </w:rPr>
              <w:t>192,500,000.00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81" w:right="0"/>
              <w:jc w:val="center"/>
              <w:rPr>
                <w:rFonts w:ascii="宋体" w:hAnsi="宋体" w:cs="宋体" w:eastAsia="宋体" w:hint="default"/>
                <w:sz w:val="18"/>
                <w:szCs w:val="18"/>
              </w:rPr>
            </w:pPr>
            <w:r>
              <w:rPr>
                <w:rFonts w:ascii="宋体"/>
                <w:sz w:val="18"/>
              </w:rPr>
              <w:t>4,081,375.69</w:t>
            </w:r>
          </w:p>
        </w:tc>
        <w:tc>
          <w:tcPr>
            <w:tcW w:w="1320"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3,488,536,268.61</w:t>
            </w:r>
          </w:p>
        </w:tc>
      </w:tr>
      <w:tr>
        <w:trPr>
          <w:trHeight w:val="276" w:hRule="exact"/>
        </w:trPr>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71"/>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中宝债</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4"/>
              <w:jc w:val="right"/>
              <w:rPr>
                <w:rFonts w:ascii="宋体" w:hAnsi="宋体" w:cs="宋体" w:eastAsia="宋体" w:hint="default"/>
                <w:sz w:val="18"/>
                <w:szCs w:val="18"/>
              </w:rPr>
            </w:pPr>
            <w:r>
              <w:rPr>
                <w:rFonts w:ascii="宋体"/>
                <w:spacing w:val="-1"/>
                <w:sz w:val="18"/>
              </w:rPr>
              <w:t>5,000,000,000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宋体"/>
                <w:sz w:val="18"/>
              </w:rPr>
              <w:t>2015-9-14</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7"/>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5,000,000,000.00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4,975,353,037.77</w:t>
            </w:r>
          </w:p>
        </w:tc>
        <w:tc>
          <w:tcPr>
            <w:tcW w:w="15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3"/>
              <w:jc w:val="right"/>
              <w:rPr>
                <w:rFonts w:ascii="宋体" w:hAnsi="宋体" w:cs="宋体" w:eastAsia="宋体" w:hint="default"/>
                <w:sz w:val="18"/>
                <w:szCs w:val="18"/>
              </w:rPr>
            </w:pPr>
            <w:r>
              <w:rPr>
                <w:rFonts w:ascii="宋体"/>
                <w:spacing w:val="-1"/>
                <w:sz w:val="18"/>
              </w:rPr>
              <w:t>354,086,301.37</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81" w:right="0"/>
              <w:jc w:val="center"/>
              <w:rPr>
                <w:rFonts w:ascii="宋体" w:hAnsi="宋体" w:cs="宋体" w:eastAsia="宋体" w:hint="default"/>
                <w:sz w:val="18"/>
                <w:szCs w:val="18"/>
              </w:rPr>
            </w:pPr>
            <w:r>
              <w:rPr>
                <w:rFonts w:ascii="宋体"/>
                <w:sz w:val="18"/>
              </w:rPr>
              <w:t>8,601,122.53</w:t>
            </w:r>
          </w:p>
        </w:tc>
        <w:tc>
          <w:tcPr>
            <w:tcW w:w="1320"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4,983,954,160.30</w:t>
            </w:r>
          </w:p>
        </w:tc>
      </w:tr>
      <w:tr>
        <w:trPr>
          <w:trHeight w:val="475" w:hRule="exact"/>
        </w:trPr>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利得债</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1,000,000,000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sz w:val="18"/>
              </w:rPr>
              <w:t>2015-9-24</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1,000,000,000.00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992,332,229.30</w:t>
            </w:r>
          </w:p>
        </w:tc>
        <w:tc>
          <w:tcPr>
            <w:tcW w:w="15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85,000,000.00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1" w:right="0"/>
              <w:jc w:val="center"/>
              <w:rPr>
                <w:rFonts w:ascii="宋体" w:hAnsi="宋体" w:cs="宋体" w:eastAsia="宋体" w:hint="default"/>
                <w:sz w:val="18"/>
                <w:szCs w:val="18"/>
              </w:rPr>
            </w:pPr>
            <w:r>
              <w:rPr>
                <w:rFonts w:ascii="宋体"/>
                <w:sz w:val="18"/>
              </w:rPr>
              <w:t>4,311,295.62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172,000,000.00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824,643,524.92</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利得债</w:t>
            </w:r>
          </w:p>
          <w:p>
            <w:pPr>
              <w:pStyle w:val="TableParagraph"/>
              <w:spacing w:line="234" w:lineRule="exact"/>
              <w:ind w:left="26" w:right="0"/>
              <w:jc w:val="left"/>
              <w:rPr>
                <w:rFonts w:ascii="宋体" w:hAnsi="宋体" w:cs="宋体" w:eastAsia="宋体" w:hint="default"/>
                <w:sz w:val="18"/>
                <w:szCs w:val="18"/>
              </w:rPr>
            </w:pPr>
            <w:r>
              <w:rPr>
                <w:rFonts w:ascii="宋体"/>
                <w:sz w:val="18"/>
              </w:rPr>
              <w:t>02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1,600,000,000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sz w:val="18"/>
              </w:rPr>
              <w:t>2015-11-27</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1,600,000,000.00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1,590,121,995.96</w:t>
            </w:r>
          </w:p>
        </w:tc>
        <w:tc>
          <w:tcPr>
            <w:tcW w:w="15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129,600,000.00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1" w:right="0"/>
              <w:jc w:val="center"/>
              <w:rPr>
                <w:rFonts w:ascii="宋体" w:hAnsi="宋体" w:cs="宋体" w:eastAsia="宋体" w:hint="default"/>
                <w:sz w:val="18"/>
                <w:szCs w:val="18"/>
              </w:rPr>
            </w:pPr>
            <w:r>
              <w:rPr>
                <w:rFonts w:ascii="宋体"/>
                <w:sz w:val="18"/>
              </w:rPr>
              <w:t>3,146,007.92</w:t>
            </w:r>
          </w:p>
        </w:tc>
        <w:tc>
          <w:tcPr>
            <w:tcW w:w="1320"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1,593,268,003.88</w:t>
            </w:r>
          </w:p>
        </w:tc>
      </w:tr>
      <w:tr>
        <w:trPr>
          <w:trHeight w:val="710" w:hRule="exact"/>
        </w:trPr>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允升债</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400,000,000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2016-3-28</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34" w:lineRule="exact"/>
              <w:ind w:left="23" w:right="0"/>
              <w:jc w:val="left"/>
              <w:rPr>
                <w:rFonts w:ascii="宋体" w:hAnsi="宋体" w:cs="宋体" w:eastAsia="宋体" w:hint="default"/>
                <w:sz w:val="18"/>
                <w:szCs w:val="18"/>
              </w:rPr>
            </w:pPr>
            <w:r>
              <w:rPr>
                <w:rFonts w:ascii="宋体"/>
                <w:sz w:val="18"/>
              </w:rPr>
              <w:t>2016-5-10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400,000,000.00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379,672,564.76</w:t>
            </w:r>
          </w:p>
        </w:tc>
        <w:tc>
          <w:tcPr>
            <w:tcW w:w="15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30,800,000.00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1" w:right="0"/>
              <w:jc w:val="center"/>
              <w:rPr>
                <w:rFonts w:ascii="宋体" w:hAnsi="宋体" w:cs="宋体" w:eastAsia="宋体" w:hint="default"/>
                <w:sz w:val="18"/>
                <w:szCs w:val="18"/>
              </w:rPr>
            </w:pPr>
            <w:r>
              <w:rPr>
                <w:rFonts w:ascii="宋体"/>
                <w:sz w:val="18"/>
              </w:rPr>
              <w:t>8,390,100.96</w:t>
            </w:r>
          </w:p>
        </w:tc>
        <w:tc>
          <w:tcPr>
            <w:tcW w:w="1320"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388,062,665.72</w:t>
            </w:r>
          </w:p>
        </w:tc>
      </w:tr>
      <w:tr>
        <w:trPr>
          <w:trHeight w:val="276" w:hRule="exact"/>
        </w:trPr>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3"/>
                <w:sz w:val="18"/>
                <w:szCs w:val="18"/>
              </w:rPr>
              <w:t> </w:t>
            </w:r>
            <w:r>
              <w:rPr>
                <w:rFonts w:ascii="宋体" w:hAnsi="宋体" w:cs="宋体" w:eastAsia="宋体" w:hint="default"/>
                <w:sz w:val="18"/>
                <w:szCs w:val="18"/>
              </w:rPr>
              <w:t>新湖</w:t>
            </w:r>
            <w:r>
              <w:rPr>
                <w:rFonts w:ascii="宋体" w:hAnsi="宋体" w:cs="宋体" w:eastAsia="宋体" w:hint="default"/>
                <w:spacing w:val="-46"/>
                <w:sz w:val="18"/>
                <w:szCs w:val="18"/>
              </w:rPr>
              <w:t> </w:t>
            </w:r>
            <w:r>
              <w:rPr>
                <w:rFonts w:ascii="宋体" w:hAnsi="宋体" w:cs="宋体" w:eastAsia="宋体" w:hint="default"/>
                <w:sz w:val="18"/>
                <w:szCs w:val="18"/>
              </w:rPr>
              <w:t>01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宋体" w:hAnsi="宋体" w:cs="宋体" w:eastAsia="宋体" w:hint="default"/>
                <w:sz w:val="18"/>
                <w:szCs w:val="18"/>
              </w:rPr>
            </w:pPr>
            <w:r>
              <w:rPr>
                <w:rFonts w:ascii="宋体"/>
                <w:spacing w:val="-1"/>
                <w:sz w:val="18"/>
              </w:rPr>
              <w:t>3,500,000,000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3" w:right="0"/>
              <w:jc w:val="left"/>
              <w:rPr>
                <w:rFonts w:ascii="宋体" w:hAnsi="宋体" w:cs="宋体" w:eastAsia="宋体" w:hint="default"/>
                <w:sz w:val="18"/>
                <w:szCs w:val="18"/>
              </w:rPr>
            </w:pPr>
            <w:r>
              <w:rPr>
                <w:rFonts w:ascii="宋体"/>
                <w:sz w:val="18"/>
              </w:rPr>
              <w:t>2016-5-20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7"/>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2"/>
              <w:jc w:val="right"/>
              <w:rPr>
                <w:rFonts w:ascii="宋体" w:hAnsi="宋体" w:cs="宋体" w:eastAsia="宋体" w:hint="default"/>
                <w:sz w:val="18"/>
                <w:szCs w:val="18"/>
              </w:rPr>
            </w:pPr>
            <w:r>
              <w:rPr>
                <w:rFonts w:ascii="宋体"/>
                <w:spacing w:val="-1"/>
                <w:sz w:val="18"/>
              </w:rPr>
              <w:t>3,500,000,000.00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2"/>
              <w:jc w:val="right"/>
              <w:rPr>
                <w:rFonts w:ascii="宋体" w:hAnsi="宋体" w:cs="宋体" w:eastAsia="宋体" w:hint="default"/>
                <w:sz w:val="18"/>
                <w:szCs w:val="18"/>
              </w:rPr>
            </w:pPr>
            <w:r>
              <w:rPr>
                <w:rFonts w:ascii="宋体"/>
                <w:spacing w:val="-1"/>
                <w:sz w:val="18"/>
              </w:rPr>
              <w:t>3,487,559,619.22</w:t>
            </w:r>
          </w:p>
        </w:tc>
        <w:tc>
          <w:tcPr>
            <w:tcW w:w="15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3"/>
              <w:jc w:val="right"/>
              <w:rPr>
                <w:rFonts w:ascii="宋体" w:hAnsi="宋体" w:cs="宋体" w:eastAsia="宋体" w:hint="default"/>
                <w:sz w:val="18"/>
                <w:szCs w:val="18"/>
              </w:rPr>
            </w:pPr>
            <w:r>
              <w:rPr>
                <w:rFonts w:ascii="宋体"/>
                <w:spacing w:val="-1"/>
                <w:sz w:val="18"/>
              </w:rPr>
              <w:t>182,000,000.00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81" w:right="0"/>
              <w:jc w:val="center"/>
              <w:rPr>
                <w:rFonts w:ascii="宋体" w:hAnsi="宋体" w:cs="宋体" w:eastAsia="宋体" w:hint="default"/>
                <w:sz w:val="18"/>
                <w:szCs w:val="18"/>
              </w:rPr>
            </w:pPr>
            <w:r>
              <w:rPr>
                <w:rFonts w:ascii="宋体"/>
                <w:sz w:val="18"/>
              </w:rPr>
              <w:t>2,601,408.66</w:t>
            </w:r>
          </w:p>
        </w:tc>
        <w:tc>
          <w:tcPr>
            <w:tcW w:w="1320"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2"/>
              <w:jc w:val="right"/>
              <w:rPr>
                <w:rFonts w:ascii="宋体" w:hAnsi="宋体" w:cs="宋体" w:eastAsia="宋体" w:hint="default"/>
                <w:sz w:val="18"/>
                <w:szCs w:val="18"/>
              </w:rPr>
            </w:pPr>
            <w:r>
              <w:rPr>
                <w:rFonts w:ascii="宋体"/>
                <w:spacing w:val="-1"/>
                <w:sz w:val="18"/>
              </w:rPr>
              <w:t>3,490,161,027.88</w:t>
            </w:r>
          </w:p>
        </w:tc>
      </w:tr>
      <w:tr>
        <w:trPr>
          <w:trHeight w:val="478" w:hRule="exact"/>
        </w:trPr>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3"/>
                <w:sz w:val="18"/>
                <w:szCs w:val="18"/>
              </w:rPr>
              <w:t> </w:t>
            </w:r>
            <w:r>
              <w:rPr>
                <w:rFonts w:ascii="宋体" w:hAnsi="宋体" w:cs="宋体" w:eastAsia="宋体" w:hint="default"/>
                <w:sz w:val="18"/>
                <w:szCs w:val="18"/>
              </w:rPr>
              <w:t>新湖中</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宝</w:t>
            </w:r>
            <w:r>
              <w:rPr>
                <w:rFonts w:ascii="宋体" w:hAnsi="宋体" w:cs="宋体" w:eastAsia="宋体" w:hint="default"/>
                <w:spacing w:val="-46"/>
                <w:sz w:val="18"/>
                <w:szCs w:val="18"/>
              </w:rPr>
              <w:t> </w:t>
            </w:r>
            <w:r>
              <w:rPr>
                <w:rFonts w:ascii="宋体" w:hAnsi="宋体" w:cs="宋体" w:eastAsia="宋体" w:hint="default"/>
                <w:sz w:val="18"/>
                <w:szCs w:val="18"/>
              </w:rPr>
              <w:t>MTN001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1,000,000,000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sz w:val="18"/>
              </w:rPr>
              <w:t>2017-11-7</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1,000,000,000.00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1,000,000,000.00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10,246,575.34</w:t>
            </w: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1,000,000,000.00</w:t>
            </w:r>
          </w:p>
        </w:tc>
      </w:tr>
      <w:tr>
        <w:trPr>
          <w:trHeight w:val="1176" w:hRule="exact"/>
        </w:trPr>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平安</w:t>
            </w:r>
            <w:r>
              <w:rPr>
                <w:rFonts w:ascii="宋体" w:hAnsi="宋体" w:cs="宋体" w:eastAsia="宋体" w:hint="default"/>
                <w:sz w:val="18"/>
                <w:szCs w:val="18"/>
              </w:rPr>
              <w:t>-</w:t>
            </w:r>
            <w:r>
              <w:rPr>
                <w:rFonts w:ascii="宋体" w:hAnsi="宋体" w:cs="宋体" w:eastAsia="宋体" w:hint="default"/>
                <w:sz w:val="18"/>
                <w:szCs w:val="18"/>
              </w:rPr>
              <w:t>新湖</w:t>
            </w:r>
          </w:p>
          <w:p>
            <w:pPr>
              <w:pStyle w:val="TableParagraph"/>
              <w:spacing w:line="237" w:lineRule="auto"/>
              <w:ind w:left="26" w:right="144"/>
              <w:jc w:val="both"/>
              <w:rPr>
                <w:rFonts w:ascii="宋体" w:hAnsi="宋体" w:cs="宋体" w:eastAsia="宋体" w:hint="default"/>
                <w:sz w:val="18"/>
                <w:szCs w:val="18"/>
              </w:rPr>
            </w:pPr>
            <w:r>
              <w:rPr>
                <w:rFonts w:ascii="宋体" w:hAnsi="宋体" w:cs="宋体" w:eastAsia="宋体" w:hint="default"/>
                <w:sz w:val="18"/>
                <w:szCs w:val="18"/>
              </w:rPr>
              <w:t>中宝购房 尾款资产 支持专项 计划</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1,425,000,000.00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2017-11-29</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1,425,000,000.00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1,425,000,000.00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8,062,397.26</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-8,289,542.70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1,416,710,457.30</w:t>
            </w:r>
          </w:p>
        </w:tc>
      </w:tr>
      <w:tr>
        <w:trPr>
          <w:trHeight w:val="478" w:hRule="exact"/>
        </w:trPr>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3"/>
                <w:sz w:val="18"/>
                <w:szCs w:val="18"/>
              </w:rPr>
              <w:t> </w:t>
            </w:r>
            <w:r>
              <w:rPr>
                <w:rFonts w:ascii="宋体" w:hAnsi="宋体" w:cs="宋体" w:eastAsia="宋体" w:hint="default"/>
                <w:sz w:val="18"/>
                <w:szCs w:val="18"/>
              </w:rPr>
              <w:t>浙南教</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育</w:t>
            </w:r>
            <w:r>
              <w:rPr>
                <w:rFonts w:ascii="宋体" w:hAnsi="宋体" w:cs="宋体" w:eastAsia="宋体" w:hint="default"/>
                <w:spacing w:val="-47"/>
                <w:sz w:val="18"/>
                <w:szCs w:val="18"/>
              </w:rPr>
              <w:t> </w:t>
            </w:r>
            <w:r>
              <w:rPr>
                <w:rFonts w:ascii="宋体" w:hAnsi="宋体" w:cs="宋体" w:eastAsia="宋体" w:hint="default"/>
                <w:sz w:val="18"/>
                <w:szCs w:val="18"/>
              </w:rPr>
              <w:t>ZR001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100,000,000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sz w:val="18"/>
              </w:rPr>
              <w:t>2017-12-8</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100,000,000.00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100,000,000.00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426,666.67</w:t>
            </w: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100,000,000.00</w:t>
            </w:r>
          </w:p>
        </w:tc>
      </w:tr>
      <w:tr>
        <w:trPr>
          <w:trHeight w:val="478" w:hRule="exact"/>
        </w:trPr>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XINHU</w:t>
            </w:r>
            <w:r>
              <w:rPr>
                <w:rFonts w:ascii="宋体"/>
                <w:spacing w:val="-1"/>
                <w:sz w:val="18"/>
              </w:rPr>
              <w:t> </w:t>
            </w:r>
            <w:r>
              <w:rPr>
                <w:rFonts w:ascii="宋体"/>
                <w:sz w:val="18"/>
              </w:rPr>
              <w:t>BVI</w:t>
            </w:r>
          </w:p>
          <w:p>
            <w:pPr>
              <w:pStyle w:val="TableParagraph"/>
              <w:spacing w:line="234" w:lineRule="exact"/>
              <w:ind w:left="26" w:right="0"/>
              <w:jc w:val="left"/>
              <w:rPr>
                <w:rFonts w:ascii="宋体" w:hAnsi="宋体" w:cs="宋体" w:eastAsia="宋体" w:hint="default"/>
                <w:sz w:val="18"/>
                <w:szCs w:val="18"/>
              </w:rPr>
            </w:pPr>
            <w:r>
              <w:rPr>
                <w:rFonts w:ascii="宋体"/>
                <w:sz w:val="18"/>
              </w:rPr>
              <w:t>N2003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4"/>
              <w:jc w:val="right"/>
              <w:rPr>
                <w:rFonts w:ascii="宋体" w:hAnsi="宋体" w:cs="宋体" w:eastAsia="宋体" w:hint="default"/>
                <w:sz w:val="18"/>
                <w:szCs w:val="18"/>
              </w:rPr>
            </w:pPr>
            <w:r>
              <w:rPr>
                <w:rFonts w:ascii="宋体"/>
                <w:spacing w:val="-1"/>
                <w:sz w:val="18"/>
              </w:rPr>
              <w:t>4,573,940,000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sz w:val="18"/>
              </w:rPr>
              <w:t>2017-3-1</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pacing w:val="-1"/>
                <w:sz w:val="18"/>
              </w:rPr>
              <w:t>4,573,940,000.00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4"/>
              <w:jc w:val="right"/>
              <w:rPr>
                <w:rFonts w:ascii="宋体" w:hAnsi="宋体" w:cs="宋体" w:eastAsia="宋体" w:hint="default"/>
                <w:sz w:val="18"/>
                <w:szCs w:val="18"/>
              </w:rPr>
            </w:pPr>
            <w:r>
              <w:rPr>
                <w:rFonts w:ascii="宋体"/>
                <w:spacing w:val="-1"/>
                <w:sz w:val="18"/>
              </w:rPr>
              <w:t>4,573,940,000.00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pacing w:val="-1"/>
                <w:sz w:val="18"/>
              </w:rPr>
              <w:t>236,987,281.23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sz w:val="18"/>
              </w:rPr>
              <w:t>-40,857,330.98</w:t>
            </w:r>
          </w:p>
        </w:tc>
        <w:tc>
          <w:tcPr>
            <w:tcW w:w="1320"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pacing w:val="-1"/>
                <w:sz w:val="18"/>
              </w:rPr>
              <w:t>4,533,082,669.02</w:t>
            </w:r>
          </w:p>
        </w:tc>
      </w:tr>
      <w:tr>
        <w:trPr>
          <w:trHeight w:val="276" w:hRule="exact"/>
        </w:trPr>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22,098,940,000.00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14,909,494,339.93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4"/>
              <w:jc w:val="right"/>
              <w:rPr>
                <w:rFonts w:ascii="宋体" w:hAnsi="宋体" w:cs="宋体" w:eastAsia="宋体" w:hint="default"/>
                <w:sz w:val="18"/>
                <w:szCs w:val="18"/>
              </w:rPr>
            </w:pPr>
            <w:r>
              <w:rPr>
                <w:rFonts w:ascii="宋体"/>
                <w:spacing w:val="-1"/>
                <w:sz w:val="18"/>
              </w:rPr>
              <w:t>7,098,940,000.00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1,229,709,221.87</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 w:right="0"/>
              <w:jc w:val="center"/>
              <w:rPr>
                <w:rFonts w:ascii="宋体" w:hAnsi="宋体" w:cs="宋体" w:eastAsia="宋体" w:hint="default"/>
                <w:sz w:val="18"/>
                <w:szCs w:val="18"/>
              </w:rPr>
            </w:pPr>
            <w:r>
              <w:rPr>
                <w:rFonts w:ascii="宋体"/>
                <w:sz w:val="18"/>
              </w:rPr>
              <w:t>-18,015,562.30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sz w:val="18"/>
              </w:rPr>
              <w:t>172,000,000.00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4"/>
              <w:jc w:val="right"/>
              <w:rPr>
                <w:rFonts w:ascii="宋体" w:hAnsi="宋体" w:cs="宋体" w:eastAsia="宋体" w:hint="default"/>
                <w:sz w:val="18"/>
                <w:szCs w:val="18"/>
              </w:rPr>
            </w:pPr>
            <w:r>
              <w:rPr>
                <w:rFonts w:ascii="宋体"/>
                <w:spacing w:val="-1"/>
                <w:sz w:val="18"/>
              </w:rPr>
              <w:t>824,643,524.92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20,993,775,252.71</w:t>
            </w:r>
          </w:p>
        </w:tc>
      </w:tr>
    </w:tbl>
    <w:p>
      <w:pPr>
        <w:spacing w:line="241" w:lineRule="exact" w:before="0"/>
        <w:ind w:left="98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15</w:t>
      </w:r>
      <w:r>
        <w:rPr>
          <w:rFonts w:ascii="宋体" w:hAnsi="宋体" w:cs="宋体" w:eastAsia="宋体" w:hint="default"/>
          <w:spacing w:val="-55"/>
          <w:sz w:val="21"/>
          <w:szCs w:val="21"/>
        </w:rPr>
        <w:t> </w:t>
      </w:r>
      <w:r>
        <w:rPr>
          <w:rFonts w:ascii="宋体" w:hAnsi="宋体" w:cs="宋体" w:eastAsia="宋体" w:hint="default"/>
          <w:sz w:val="21"/>
          <w:szCs w:val="21"/>
        </w:rPr>
        <w:t>利得债</w:t>
      </w:r>
      <w:r>
        <w:rPr>
          <w:rFonts w:ascii="宋体" w:hAnsi="宋体" w:cs="宋体" w:eastAsia="宋体" w:hint="default"/>
          <w:spacing w:val="-55"/>
          <w:sz w:val="21"/>
          <w:szCs w:val="21"/>
        </w:rPr>
        <w:t> </w:t>
      </w:r>
      <w:r>
        <w:rPr>
          <w:rFonts w:ascii="宋体" w:hAnsi="宋体" w:cs="宋体" w:eastAsia="宋体" w:hint="default"/>
          <w:sz w:val="21"/>
          <w:szCs w:val="21"/>
        </w:rPr>
        <w:t>82,464</w:t>
      </w:r>
      <w:r>
        <w:rPr>
          <w:rFonts w:ascii="宋体" w:hAnsi="宋体" w:cs="宋体" w:eastAsia="宋体" w:hint="default"/>
          <w:spacing w:val="-55"/>
          <w:sz w:val="21"/>
          <w:szCs w:val="21"/>
        </w:rPr>
        <w:t> </w:t>
      </w:r>
      <w:r>
        <w:rPr>
          <w:rFonts w:ascii="宋体" w:hAnsi="宋体" w:cs="宋体" w:eastAsia="宋体" w:hint="default"/>
          <w:sz w:val="21"/>
          <w:szCs w:val="21"/>
        </w:rPr>
        <w:t>万元本期转入一年内到期的非流动负债。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7232" w:right="7236" w:firstLine="0"/>
        <w:jc w:val="center"/>
        <w:rPr>
          <w:rFonts w:ascii="Calibri" w:hAnsi="Calibri" w:cs="Calibri" w:eastAsia="Calibri" w:hint="default"/>
          <w:sz w:val="18"/>
          <w:szCs w:val="18"/>
        </w:rPr>
      </w:pPr>
      <w:r>
        <w:rPr>
          <w:rFonts w:ascii="Calibri"/>
          <w:b/>
          <w:sz w:val="18"/>
        </w:rPr>
        <w:t>151 </w:t>
      </w:r>
      <w:r>
        <w:rPr>
          <w:rFonts w:ascii="Calibri"/>
          <w:sz w:val="18"/>
        </w:rPr>
        <w:t>/</w:t>
      </w:r>
      <w:r>
        <w:rPr>
          <w:rFonts w:ascii="Calibri"/>
          <w:spacing w:val="-5"/>
          <w:sz w:val="18"/>
        </w:rPr>
        <w:t> </w:t>
      </w:r>
      <w:r>
        <w:rPr>
          <w:rFonts w:ascii="Calibri"/>
          <w:b/>
          <w:sz w:val="18"/>
        </w:rPr>
        <w:t>221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000" w:bottom="280" w:left="460" w:right="54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9"/>
        <w:rPr>
          <w:rFonts w:ascii="Calibri" w:hAnsi="Calibri" w:cs="Calibri" w:eastAsia="Calibri" w:hint="default"/>
          <w:b/>
          <w:bCs/>
          <w:sz w:val="17"/>
          <w:szCs w:val="17"/>
        </w:rPr>
      </w:pPr>
    </w:p>
    <w:p>
      <w:pPr>
        <w:pStyle w:val="Heading2"/>
        <w:spacing w:line="240" w:lineRule="auto"/>
        <w:ind w:left="138" w:right="140"/>
        <w:jc w:val="left"/>
        <w:rPr>
          <w:b w:val="0"/>
          <w:bCs w:val="0"/>
        </w:rPr>
      </w:pPr>
      <w:r>
        <w:rPr>
          <w:rFonts w:ascii="宋体" w:hAnsi="宋体" w:cs="宋体" w:eastAsia="宋体" w:hint="default"/>
        </w:rPr>
        <w:t>(3).</w:t>
      </w:r>
      <w:r>
        <w:rPr>
          <w:rFonts w:ascii="宋体" w:hAnsi="宋体" w:cs="宋体" w:eastAsia="宋体" w:hint="default"/>
          <w:spacing w:val="64"/>
        </w:rPr>
        <w:t> </w:t>
      </w:r>
      <w:r>
        <w:rPr/>
        <w:t>可转换公司债券的转股条件、转股时间说明：</w:t>
      </w:r>
      <w:r>
        <w:rPr>
          <w:b w:val="0"/>
          <w:bCs w:val="0"/>
        </w:rPr>
      </w:r>
    </w:p>
    <w:p>
      <w:pPr>
        <w:pStyle w:val="BodyText"/>
        <w:tabs>
          <w:tab w:pos="1097" w:val="left" w:leader="none"/>
        </w:tabs>
        <w:spacing w:line="240" w:lineRule="auto" w:before="58"/>
        <w:ind w:right="140"/>
        <w:jc w:val="left"/>
      </w:pPr>
      <w:r>
        <w:rPr>
          <w:spacing w:val="-1"/>
        </w:rPr>
        <w:t>□适用</w:t>
        <w:tab/>
      </w:r>
      <w:r>
        <w:rPr/>
        <w:t>√不适用</w:t>
      </w:r>
    </w:p>
    <w:p>
      <w:pPr>
        <w:spacing w:line="240" w:lineRule="auto" w:before="9"/>
        <w:rPr>
          <w:rFonts w:ascii="宋体" w:hAnsi="宋体" w:cs="宋体" w:eastAsia="宋体" w:hint="default"/>
          <w:sz w:val="32"/>
          <w:szCs w:val="32"/>
        </w:rPr>
      </w:pPr>
    </w:p>
    <w:p>
      <w:pPr>
        <w:spacing w:line="283" w:lineRule="auto" w:before="0"/>
        <w:ind w:left="138" w:right="2968" w:firstLine="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pacing w:val="65"/>
          <w:sz w:val="24"/>
          <w:szCs w:val="24"/>
        </w:rPr>
        <w:t> </w:t>
      </w:r>
      <w:r>
        <w:rPr>
          <w:rFonts w:ascii="宋体" w:hAnsi="宋体" w:cs="宋体" w:eastAsia="宋体" w:hint="default"/>
          <w:b/>
          <w:bCs/>
          <w:sz w:val="24"/>
          <w:szCs w:val="24"/>
        </w:rPr>
        <w:t>划分为金融负债的其他金融工具说明：</w:t>
      </w:r>
      <w:r>
        <w:rPr>
          <w:rFonts w:ascii="宋体" w:hAnsi="宋体" w:cs="宋体" w:eastAsia="宋体" w:hint="default"/>
          <w:b/>
          <w:bCs/>
          <w:w w:val="99"/>
          <w:sz w:val="24"/>
          <w:szCs w:val="24"/>
        </w:rPr>
        <w:t> </w:t>
      </w:r>
      <w:r>
        <w:rPr>
          <w:rFonts w:ascii="宋体" w:hAnsi="宋体" w:cs="宋体" w:eastAsia="宋体" w:hint="default"/>
          <w:sz w:val="24"/>
          <w:szCs w:val="24"/>
        </w:rPr>
        <w:t>期末发行在外的优先股、永续债等其他金融工具基本情况</w:t>
      </w:r>
    </w:p>
    <w:p>
      <w:pPr>
        <w:pStyle w:val="BodyText"/>
        <w:spacing w:line="269" w:lineRule="exact"/>
        <w:ind w:right="140"/>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313" w:lineRule="exact"/>
        <w:ind w:right="140"/>
        <w:jc w:val="left"/>
      </w:pPr>
      <w:r>
        <w:rPr/>
        <w:t>期末发行在外的优先股、永续债等金融工具变动情况表</w:t>
      </w:r>
    </w:p>
    <w:p>
      <w:pPr>
        <w:pStyle w:val="BodyText"/>
        <w:spacing w:line="313" w:lineRule="exact"/>
        <w:ind w:right="140"/>
        <w:jc w:val="left"/>
      </w:pPr>
      <w:r>
        <w:rPr/>
        <w:t>□适用</w:t>
      </w:r>
      <w:r>
        <w:rPr>
          <w:spacing w:val="-1"/>
        </w:rPr>
        <w:t> </w:t>
      </w:r>
      <w:r>
        <w:rPr/>
        <w:t>√不适用</w:t>
      </w:r>
    </w:p>
    <w:p>
      <w:pPr>
        <w:spacing w:line="240" w:lineRule="auto" w:before="9"/>
        <w:rPr>
          <w:rFonts w:ascii="宋体" w:hAnsi="宋体" w:cs="宋体" w:eastAsia="宋体" w:hint="default"/>
          <w:sz w:val="32"/>
          <w:szCs w:val="32"/>
        </w:rPr>
      </w:pPr>
    </w:p>
    <w:p>
      <w:pPr>
        <w:pStyle w:val="BodyText"/>
        <w:spacing w:line="240" w:lineRule="auto"/>
        <w:ind w:right="140"/>
        <w:jc w:val="left"/>
      </w:pPr>
      <w:r>
        <w:rPr/>
        <w:t>其他金融工具划分为金融负债的依据说明</w:t>
      </w:r>
    </w:p>
    <w:p>
      <w:pPr>
        <w:pStyle w:val="BodyText"/>
        <w:spacing w:line="240" w:lineRule="auto" w:before="58"/>
        <w:ind w:right="140"/>
        <w:jc w:val="left"/>
      </w:pPr>
      <w:r>
        <w:rPr/>
        <w:t>□适用</w:t>
      </w:r>
      <w:r>
        <w:rPr>
          <w:spacing w:val="-1"/>
        </w:rPr>
        <w:t> </w:t>
      </w:r>
      <w:r>
        <w:rPr/>
        <w:t>√不适用</w:t>
      </w:r>
    </w:p>
    <w:p>
      <w:pPr>
        <w:spacing w:line="240" w:lineRule="auto" w:before="3"/>
        <w:rPr>
          <w:rFonts w:ascii="宋体" w:hAnsi="宋体" w:cs="宋体" w:eastAsia="宋体" w:hint="default"/>
          <w:sz w:val="28"/>
          <w:szCs w:val="28"/>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85"/>
          <w:pgSz w:w="11910" w:h="16840"/>
          <w:pgMar w:footer="1195" w:header="0" w:top="1120" w:bottom="1380" w:left="1660" w:right="1120"/>
          <w:pgNumType w:start="152"/>
        </w:sectPr>
      </w:pPr>
    </w:p>
    <w:p>
      <w:pPr>
        <w:pStyle w:val="Heading2"/>
        <w:spacing w:line="240" w:lineRule="auto"/>
        <w:ind w:left="138" w:right="143"/>
        <w:jc w:val="left"/>
        <w:rPr>
          <w:b w:val="0"/>
          <w:bCs w:val="0"/>
        </w:rPr>
      </w:pPr>
      <w:r>
        <w:rPr>
          <w:rFonts w:ascii="宋体" w:hAnsi="宋体" w:cs="宋体" w:eastAsia="宋体" w:hint="default"/>
        </w:rPr>
        <w:t>35</w:t>
      </w:r>
      <w:r>
        <w:rPr/>
        <w:t>、</w:t>
      </w:r>
      <w:r>
        <w:rPr>
          <w:spacing w:val="-102"/>
        </w:rPr>
        <w:t> </w:t>
      </w:r>
      <w:r>
        <w:rPr/>
        <w:t>预计负债</w:t>
      </w:r>
      <w:r>
        <w:rPr>
          <w:b w:val="0"/>
          <w:bCs w:val="0"/>
        </w:rPr>
      </w:r>
    </w:p>
    <w:p>
      <w:pPr>
        <w:pStyle w:val="BodyText"/>
        <w:spacing w:line="240" w:lineRule="auto" w:before="55"/>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338" w:val="left" w:leader="none"/>
        </w:tabs>
        <w:spacing w:line="240" w:lineRule="auto"/>
        <w:ind w:right="0"/>
        <w:jc w:val="left"/>
      </w:pPr>
      <w:r>
        <w:rPr/>
        <w:t>单位：元</w:t>
        <w:tab/>
        <w:t>币种：人民币</w:t>
      </w:r>
    </w:p>
    <w:p>
      <w:pPr>
        <w:spacing w:after="0" w:line="240" w:lineRule="auto"/>
        <w:jc w:val="left"/>
        <w:sectPr>
          <w:type w:val="continuous"/>
          <w:pgSz w:w="11910" w:h="16840"/>
          <w:pgMar w:top="1000" w:bottom="280" w:left="1660" w:right="1120"/>
          <w:cols w:num="2" w:equalWidth="0">
            <w:col w:w="1939" w:space="4254"/>
            <w:col w:w="293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223"/>
        <w:gridCol w:w="2225"/>
        <w:gridCol w:w="2225"/>
        <w:gridCol w:w="2223"/>
      </w:tblGrid>
      <w:tr>
        <w:trPr>
          <w:trHeight w:val="322"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17"/>
              <w:jc w:val="right"/>
              <w:rPr>
                <w:rFonts w:ascii="宋体" w:hAnsi="宋体" w:cs="宋体" w:eastAsia="宋体" w:hint="default"/>
                <w:sz w:val="24"/>
                <w:szCs w:val="24"/>
              </w:rPr>
            </w:pPr>
            <w:r>
              <w:rPr>
                <w:rFonts w:ascii="宋体" w:hAnsi="宋体" w:cs="宋体" w:eastAsia="宋体" w:hint="default"/>
                <w:sz w:val="24"/>
                <w:szCs w:val="24"/>
              </w:rPr>
              <w:t>项目</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26"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26"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24" w:right="0"/>
              <w:jc w:val="left"/>
              <w:rPr>
                <w:rFonts w:ascii="宋体" w:hAnsi="宋体" w:cs="宋体" w:eastAsia="宋体" w:hint="default"/>
                <w:sz w:val="24"/>
                <w:szCs w:val="24"/>
              </w:rPr>
            </w:pPr>
            <w:r>
              <w:rPr>
                <w:rFonts w:ascii="宋体" w:hAnsi="宋体" w:cs="宋体" w:eastAsia="宋体" w:hint="default"/>
                <w:sz w:val="24"/>
                <w:szCs w:val="24"/>
              </w:rPr>
              <w:t>形成原因</w:t>
            </w:r>
          </w:p>
        </w:tc>
      </w:tr>
      <w:tr>
        <w:trPr>
          <w:trHeight w:val="322"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28" w:right="0"/>
              <w:jc w:val="left"/>
              <w:rPr>
                <w:rFonts w:ascii="宋体" w:hAnsi="宋体" w:cs="宋体" w:eastAsia="宋体" w:hint="default"/>
                <w:sz w:val="24"/>
                <w:szCs w:val="24"/>
              </w:rPr>
            </w:pPr>
            <w:r>
              <w:rPr>
                <w:rFonts w:ascii="宋体"/>
                <w:sz w:val="24"/>
              </w:rPr>
              <w:t>60,000,000.00</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29" w:right="0"/>
              <w:jc w:val="left"/>
              <w:rPr>
                <w:rFonts w:ascii="宋体" w:hAnsi="宋体" w:cs="宋体" w:eastAsia="宋体" w:hint="default"/>
                <w:sz w:val="24"/>
                <w:szCs w:val="24"/>
              </w:rPr>
            </w:pPr>
            <w:r>
              <w:rPr>
                <w:rFonts w:ascii="宋体"/>
                <w:sz w:val="24"/>
              </w:rPr>
              <w:t>60,000,000.00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z w:val="24"/>
                <w:szCs w:val="24"/>
              </w:rPr>
              <w:t>]</w:t>
            </w:r>
          </w:p>
        </w:tc>
      </w:tr>
      <w:tr>
        <w:trPr>
          <w:trHeight w:val="322"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17"/>
              <w:jc w:val="right"/>
              <w:rPr>
                <w:rFonts w:ascii="宋体" w:hAnsi="宋体" w:cs="宋体" w:eastAsia="宋体" w:hint="default"/>
                <w:sz w:val="24"/>
                <w:szCs w:val="24"/>
              </w:rPr>
            </w:pPr>
            <w:r>
              <w:rPr>
                <w:rFonts w:ascii="宋体" w:hAnsi="宋体" w:cs="宋体" w:eastAsia="宋体" w:hint="default"/>
                <w:sz w:val="24"/>
                <w:szCs w:val="24"/>
              </w:rPr>
              <w:t>合计</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28" w:right="0"/>
              <w:jc w:val="left"/>
              <w:rPr>
                <w:rFonts w:ascii="宋体" w:hAnsi="宋体" w:cs="宋体" w:eastAsia="宋体" w:hint="default"/>
                <w:sz w:val="24"/>
                <w:szCs w:val="24"/>
              </w:rPr>
            </w:pPr>
            <w:r>
              <w:rPr>
                <w:rFonts w:ascii="宋体"/>
                <w:sz w:val="24"/>
              </w:rPr>
              <w:t>60,000,000.00</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29" w:right="0"/>
              <w:jc w:val="left"/>
              <w:rPr>
                <w:rFonts w:ascii="宋体" w:hAnsi="宋体" w:cs="宋体" w:eastAsia="宋体" w:hint="default"/>
                <w:sz w:val="24"/>
                <w:szCs w:val="24"/>
              </w:rPr>
            </w:pPr>
            <w:r>
              <w:rPr>
                <w:rFonts w:ascii="宋体"/>
                <w:sz w:val="24"/>
              </w:rPr>
              <w:t>60,000,000.00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w:t>
            </w:r>
          </w:p>
        </w:tc>
      </w:tr>
    </w:tbl>
    <w:p>
      <w:pPr>
        <w:spacing w:line="240" w:lineRule="auto" w:before="4"/>
        <w:rPr>
          <w:rFonts w:ascii="宋体" w:hAnsi="宋体" w:cs="宋体" w:eastAsia="宋体" w:hint="default"/>
          <w:sz w:val="18"/>
          <w:szCs w:val="18"/>
        </w:rPr>
      </w:pPr>
    </w:p>
    <w:p>
      <w:pPr>
        <w:spacing w:line="357" w:lineRule="auto" w:before="36"/>
        <w:ind w:left="138" w:right="147" w:firstLine="419"/>
        <w:jc w:val="both"/>
        <w:rPr>
          <w:rFonts w:ascii="宋体" w:hAnsi="宋体" w:cs="宋体" w:eastAsia="宋体" w:hint="default"/>
          <w:sz w:val="21"/>
          <w:szCs w:val="21"/>
        </w:rPr>
      </w:pPr>
      <w:r>
        <w:rPr>
          <w:rFonts w:ascii="宋体" w:hAnsi="宋体" w:cs="宋体" w:eastAsia="宋体" w:hint="default"/>
          <w:spacing w:val="-4"/>
          <w:sz w:val="21"/>
          <w:szCs w:val="21"/>
        </w:rPr>
        <w:t>注：子公司嘉兴市南湖国际教育投资有限公司采用建设经营移交方式（</w:t>
      </w:r>
      <w:r>
        <w:rPr>
          <w:rFonts w:ascii="宋体" w:hAnsi="宋体" w:cs="宋体" w:eastAsia="宋体" w:hint="default"/>
          <w:spacing w:val="-4"/>
          <w:sz w:val="21"/>
          <w:szCs w:val="21"/>
        </w:rPr>
        <w:t>BOT</w:t>
      </w:r>
      <w:r>
        <w:rPr>
          <w:rFonts w:ascii="宋体" w:hAnsi="宋体" w:cs="宋体" w:eastAsia="宋体" w:hint="default"/>
          <w:spacing w:val="-4"/>
          <w:sz w:val="21"/>
          <w:szCs w:val="21"/>
        </w:rPr>
        <w:t>）举办嘉兴高级中</w:t>
      </w:r>
      <w:r>
        <w:rPr>
          <w:rFonts w:ascii="宋体" w:hAnsi="宋体" w:cs="宋体" w:eastAsia="宋体" w:hint="default"/>
          <w:w w:val="100"/>
          <w:sz w:val="21"/>
          <w:szCs w:val="21"/>
        </w:rPr>
        <w:t> </w:t>
      </w:r>
      <w:r>
        <w:rPr>
          <w:rFonts w:ascii="宋体" w:hAnsi="宋体" w:cs="宋体" w:eastAsia="宋体" w:hint="default"/>
          <w:spacing w:val="-2"/>
          <w:sz w:val="21"/>
          <w:szCs w:val="21"/>
        </w:rPr>
        <w:t>学（含嘉兴市秀洲现代实验学校），按特许办学协议及《关于嘉兴高级中学资产移交的说明》的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规定，嘉兴市南湖国际教育投资有限公司未来应移交的净资产比接管时净资产多</w:t>
      </w:r>
      <w:r>
        <w:rPr>
          <w:rFonts w:ascii="宋体" w:hAnsi="宋体" w:cs="宋体" w:eastAsia="宋体" w:hint="default"/>
          <w:spacing w:val="-53"/>
          <w:sz w:val="21"/>
          <w:szCs w:val="21"/>
        </w:rPr>
        <w:t> </w:t>
      </w:r>
      <w:r>
        <w:rPr>
          <w:rFonts w:ascii="宋体" w:hAnsi="宋体" w:cs="宋体" w:eastAsia="宋体" w:hint="default"/>
          <w:sz w:val="21"/>
          <w:szCs w:val="21"/>
        </w:rPr>
        <w:t>6,000</w:t>
      </w:r>
      <w:r>
        <w:rPr>
          <w:rFonts w:ascii="宋体" w:hAnsi="宋体" w:cs="宋体" w:eastAsia="宋体" w:hint="default"/>
          <w:spacing w:val="-56"/>
          <w:sz w:val="21"/>
          <w:szCs w:val="21"/>
        </w:rPr>
        <w:t> </w:t>
      </w:r>
      <w:r>
        <w:rPr>
          <w:rFonts w:ascii="宋体" w:hAnsi="宋体" w:cs="宋体" w:eastAsia="宋体" w:hint="default"/>
          <w:sz w:val="21"/>
          <w:szCs w:val="21"/>
        </w:rPr>
        <w:t>万元，该</w:t>
      </w:r>
      <w:r>
        <w:rPr>
          <w:rFonts w:ascii="宋体" w:hAnsi="宋体" w:cs="宋体" w:eastAsia="宋体" w:hint="default"/>
          <w:w w:val="100"/>
          <w:sz w:val="21"/>
          <w:szCs w:val="21"/>
        </w:rPr>
        <w:t> </w:t>
      </w:r>
      <w:r>
        <w:rPr>
          <w:rFonts w:ascii="宋体" w:hAnsi="宋体" w:cs="宋体" w:eastAsia="宋体" w:hint="default"/>
          <w:sz w:val="21"/>
          <w:szCs w:val="21"/>
        </w:rPr>
        <w:t>差额作为公司的现时义务确认为预计负债。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00" w:bottom="280" w:left="1660" w:right="1120"/>
        </w:sectPr>
      </w:pPr>
    </w:p>
    <w:p>
      <w:pPr>
        <w:spacing w:line="283" w:lineRule="auto" w:before="26"/>
        <w:ind w:left="138" w:right="434" w:firstLine="0"/>
        <w:jc w:val="left"/>
        <w:rPr>
          <w:rFonts w:ascii="宋体" w:hAnsi="宋体" w:cs="宋体" w:eastAsia="宋体" w:hint="default"/>
          <w:sz w:val="24"/>
          <w:szCs w:val="24"/>
        </w:rPr>
      </w:pPr>
      <w:r>
        <w:rPr>
          <w:rFonts w:ascii="宋体" w:hAnsi="宋体" w:cs="宋体" w:eastAsia="宋体" w:hint="default"/>
          <w:b/>
          <w:bCs/>
          <w:sz w:val="24"/>
          <w:szCs w:val="24"/>
        </w:rPr>
        <w:t>36</w:t>
      </w:r>
      <w:r>
        <w:rPr>
          <w:rFonts w:ascii="宋体" w:hAnsi="宋体" w:cs="宋体" w:eastAsia="宋体" w:hint="default"/>
          <w:b/>
          <w:bCs/>
          <w:sz w:val="24"/>
          <w:szCs w:val="24"/>
        </w:rPr>
        <w:t>、</w:t>
      </w:r>
      <w:r>
        <w:rPr>
          <w:rFonts w:ascii="宋体" w:hAnsi="宋体" w:cs="宋体" w:eastAsia="宋体" w:hint="default"/>
          <w:b/>
          <w:bCs/>
          <w:spacing w:val="-102"/>
          <w:sz w:val="24"/>
          <w:szCs w:val="24"/>
        </w:rPr>
        <w:t> </w:t>
      </w:r>
      <w:r>
        <w:rPr>
          <w:rFonts w:ascii="宋体" w:hAnsi="宋体" w:cs="宋体" w:eastAsia="宋体" w:hint="default"/>
          <w:b/>
          <w:bCs/>
          <w:sz w:val="24"/>
          <w:szCs w:val="24"/>
        </w:rPr>
        <w:t>递延收益</w:t>
      </w:r>
      <w:r>
        <w:rPr>
          <w:rFonts w:ascii="宋体" w:hAnsi="宋体" w:cs="宋体" w:eastAsia="宋体" w:hint="default"/>
          <w:b/>
          <w:bCs/>
          <w:w w:val="99"/>
          <w:sz w:val="24"/>
          <w:szCs w:val="24"/>
        </w:rPr>
        <w:t> </w:t>
      </w:r>
      <w:r>
        <w:rPr>
          <w:rFonts w:ascii="宋体" w:hAnsi="宋体" w:cs="宋体" w:eastAsia="宋体" w:hint="default"/>
          <w:sz w:val="24"/>
          <w:szCs w:val="24"/>
        </w:rPr>
        <w:t>递延收益情况</w:t>
      </w:r>
    </w:p>
    <w:p>
      <w:pPr>
        <w:pStyle w:val="BodyText"/>
        <w:tabs>
          <w:tab w:pos="1097" w:val="left" w:leader="none"/>
        </w:tabs>
        <w:spacing w:line="269" w:lineRule="exact"/>
        <w:ind w:right="-19"/>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9"/>
          <w:szCs w:val="29"/>
        </w:rPr>
      </w:pPr>
    </w:p>
    <w:p>
      <w:pPr>
        <w:pStyle w:val="BodyText"/>
        <w:tabs>
          <w:tab w:pos="1338" w:val="left" w:leader="none"/>
        </w:tabs>
        <w:spacing w:line="240" w:lineRule="auto"/>
        <w:ind w:right="0"/>
        <w:jc w:val="left"/>
      </w:pPr>
      <w:r>
        <w:rPr/>
        <w:t>单位：元</w:t>
        <w:tab/>
        <w:t>币种：人民币</w:t>
      </w:r>
    </w:p>
    <w:p>
      <w:pPr>
        <w:spacing w:after="0" w:line="240" w:lineRule="auto"/>
        <w:jc w:val="left"/>
        <w:sectPr>
          <w:type w:val="continuous"/>
          <w:pgSz w:w="11910" w:h="16840"/>
          <w:pgMar w:top="1000" w:bottom="280" w:left="1660" w:right="1120"/>
          <w:cols w:num="2" w:equalWidth="0">
            <w:col w:w="2059" w:space="4134"/>
            <w:col w:w="293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262"/>
        <w:gridCol w:w="1741"/>
        <w:gridCol w:w="1620"/>
        <w:gridCol w:w="1260"/>
        <w:gridCol w:w="1741"/>
        <w:gridCol w:w="1272"/>
      </w:tblGrid>
      <w:tr>
        <w:trPr>
          <w:trHeight w:val="346"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386"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 w:right="0"/>
              <w:jc w:val="center"/>
              <w:rPr>
                <w:rFonts w:ascii="宋体" w:hAnsi="宋体" w:cs="宋体" w:eastAsia="宋体" w:hint="default"/>
                <w:sz w:val="24"/>
                <w:szCs w:val="24"/>
              </w:rPr>
            </w:pPr>
            <w:r>
              <w:rPr>
                <w:rFonts w:ascii="宋体" w:hAnsi="宋体" w:cs="宋体" w:eastAsia="宋体" w:hint="default"/>
                <w:sz w:val="24"/>
                <w:szCs w:val="24"/>
              </w:rPr>
              <w:t>期初余额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 w:right="0"/>
              <w:jc w:val="center"/>
              <w:rPr>
                <w:rFonts w:ascii="宋体" w:hAnsi="宋体" w:cs="宋体" w:eastAsia="宋体" w:hint="default"/>
                <w:sz w:val="24"/>
                <w:szCs w:val="24"/>
              </w:rPr>
            </w:pPr>
            <w:r>
              <w:rPr>
                <w:rFonts w:ascii="宋体" w:hAnsi="宋体" w:cs="宋体" w:eastAsia="宋体" w:hint="default"/>
                <w:sz w:val="24"/>
                <w:szCs w:val="24"/>
              </w:rPr>
              <w:t>本期增加</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 w:right="0"/>
              <w:jc w:val="center"/>
              <w:rPr>
                <w:rFonts w:ascii="宋体" w:hAnsi="宋体" w:cs="宋体" w:eastAsia="宋体" w:hint="default"/>
                <w:sz w:val="24"/>
                <w:szCs w:val="24"/>
              </w:rPr>
            </w:pPr>
            <w:r>
              <w:rPr>
                <w:rFonts w:ascii="宋体" w:hAnsi="宋体" w:cs="宋体" w:eastAsia="宋体" w:hint="default"/>
                <w:sz w:val="24"/>
                <w:szCs w:val="24"/>
              </w:rPr>
              <w:t>本期减少</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形成原因</w:t>
            </w:r>
          </w:p>
        </w:tc>
      </w:tr>
      <w:tr>
        <w:trPr>
          <w:trHeight w:val="322"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sz w:val="24"/>
              </w:rPr>
              <w:t>227,166,052.54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38,294,800.00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206,616.60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sz w:val="24"/>
              </w:rPr>
              <w:t>265,254,235.94</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6"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sz w:val="24"/>
              </w:rPr>
              <w:t>227,166,052.54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38,294,800.00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206,616.60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sz w:val="24"/>
              </w:rPr>
              <w:t>265,254,235.94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00" w:bottom="280" w:left="1660" w:right="1120"/>
        </w:sectPr>
      </w:pPr>
    </w:p>
    <w:p>
      <w:pPr>
        <w:pStyle w:val="BodyText"/>
        <w:spacing w:line="240" w:lineRule="auto" w:before="26"/>
        <w:ind w:right="-20"/>
        <w:jc w:val="left"/>
      </w:pPr>
      <w:r>
        <w:rPr/>
        <w:t>涉及政府补助的项目：</w:t>
      </w:r>
    </w:p>
    <w:p>
      <w:pPr>
        <w:pStyle w:val="BodyText"/>
        <w:spacing w:line="240" w:lineRule="auto" w:before="58"/>
        <w:ind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34"/>
          <w:szCs w:val="34"/>
        </w:rPr>
      </w:pPr>
    </w:p>
    <w:p>
      <w:pPr>
        <w:pStyle w:val="BodyText"/>
        <w:tabs>
          <w:tab w:pos="1338" w:val="left" w:leader="none"/>
        </w:tabs>
        <w:spacing w:line="240" w:lineRule="auto"/>
        <w:ind w:right="0"/>
        <w:jc w:val="left"/>
      </w:pPr>
      <w:r>
        <w:rPr/>
        <w:t>单位：元</w:t>
        <w:tab/>
        <w:t>币种：人民币</w:t>
      </w:r>
    </w:p>
    <w:p>
      <w:pPr>
        <w:spacing w:after="0" w:line="240" w:lineRule="auto"/>
        <w:jc w:val="left"/>
        <w:sectPr>
          <w:type w:val="continuous"/>
          <w:pgSz w:w="11910" w:h="16840"/>
          <w:pgMar w:top="1000" w:bottom="280" w:left="1660" w:right="1120"/>
          <w:cols w:num="2" w:equalWidth="0">
            <w:col w:w="2539" w:space="3654"/>
            <w:col w:w="293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2525"/>
        <w:gridCol w:w="1741"/>
        <w:gridCol w:w="1623"/>
        <w:gridCol w:w="1260"/>
        <w:gridCol w:w="370"/>
        <w:gridCol w:w="1741"/>
        <w:gridCol w:w="1409"/>
      </w:tblGrid>
      <w:tr>
        <w:trPr>
          <w:trHeight w:val="1256"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775" w:right="0"/>
              <w:jc w:val="left"/>
              <w:rPr>
                <w:rFonts w:ascii="宋体" w:hAnsi="宋体" w:cs="宋体" w:eastAsia="宋体" w:hint="default"/>
                <w:sz w:val="24"/>
                <w:szCs w:val="24"/>
              </w:rPr>
            </w:pPr>
            <w:r>
              <w:rPr>
                <w:rFonts w:ascii="宋体" w:hAnsi="宋体" w:cs="宋体" w:eastAsia="宋体" w:hint="default"/>
                <w:sz w:val="24"/>
                <w:szCs w:val="24"/>
              </w:rPr>
              <w:t>负债项目</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383"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312" w:lineRule="exact"/>
              <w:ind w:left="566" w:right="84" w:hanging="480"/>
              <w:jc w:val="left"/>
              <w:rPr>
                <w:rFonts w:ascii="宋体" w:hAnsi="宋体" w:cs="宋体" w:eastAsia="宋体" w:hint="default"/>
                <w:sz w:val="24"/>
                <w:szCs w:val="24"/>
              </w:rPr>
            </w:pPr>
            <w:r>
              <w:rPr>
                <w:rFonts w:ascii="宋体" w:hAnsi="宋体" w:cs="宋体" w:eastAsia="宋体" w:hint="default"/>
                <w:sz w:val="24"/>
                <w:szCs w:val="24"/>
              </w:rPr>
              <w:t>本期新增补助 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23" w:right="24"/>
              <w:jc w:val="center"/>
              <w:rPr>
                <w:rFonts w:ascii="宋体" w:hAnsi="宋体" w:cs="宋体" w:eastAsia="宋体" w:hint="default"/>
                <w:sz w:val="24"/>
                <w:szCs w:val="24"/>
              </w:rPr>
            </w:pPr>
            <w:r>
              <w:rPr>
                <w:rFonts w:ascii="宋体" w:hAnsi="宋体" w:cs="宋体" w:eastAsia="宋体" w:hint="default"/>
                <w:sz w:val="24"/>
                <w:szCs w:val="24"/>
              </w:rPr>
              <w:t>本期计入营 业外收入金 额</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9" w:right="0"/>
              <w:jc w:val="both"/>
              <w:rPr>
                <w:rFonts w:ascii="宋体" w:hAnsi="宋体" w:cs="宋体" w:eastAsia="宋体" w:hint="default"/>
                <w:sz w:val="24"/>
                <w:szCs w:val="24"/>
              </w:rPr>
            </w:pPr>
            <w:r>
              <w:rPr>
                <w:rFonts w:ascii="宋体" w:hAnsi="宋体" w:cs="宋体" w:eastAsia="宋体" w:hint="default"/>
                <w:sz w:val="24"/>
                <w:szCs w:val="24"/>
              </w:rPr>
              <w:t>其</w:t>
            </w:r>
          </w:p>
          <w:p>
            <w:pPr>
              <w:pStyle w:val="TableParagraph"/>
              <w:spacing w:line="312" w:lineRule="exact" w:before="28"/>
              <w:ind w:left="59" w:right="59"/>
              <w:jc w:val="both"/>
              <w:rPr>
                <w:rFonts w:ascii="宋体" w:hAnsi="宋体" w:cs="宋体" w:eastAsia="宋体" w:hint="default"/>
                <w:sz w:val="24"/>
                <w:szCs w:val="24"/>
              </w:rPr>
            </w:pPr>
            <w:r>
              <w:rPr>
                <w:rFonts w:ascii="宋体" w:hAnsi="宋体" w:cs="宋体" w:eastAsia="宋体" w:hint="default"/>
                <w:sz w:val="24"/>
                <w:szCs w:val="24"/>
              </w:rPr>
              <w:t>他 变 动</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383"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312" w:lineRule="exact"/>
              <w:ind w:left="100" w:right="36" w:hanging="60"/>
              <w:jc w:val="left"/>
              <w:rPr>
                <w:rFonts w:ascii="宋体" w:hAnsi="宋体" w:cs="宋体" w:eastAsia="宋体" w:hint="default"/>
                <w:sz w:val="24"/>
                <w:szCs w:val="24"/>
              </w:rPr>
            </w:pPr>
            <w:r>
              <w:rPr>
                <w:rFonts w:ascii="宋体" w:hAnsi="宋体" w:cs="宋体" w:eastAsia="宋体" w:hint="default"/>
                <w:sz w:val="24"/>
                <w:szCs w:val="24"/>
              </w:rPr>
              <w:t>与资产相关</w:t>
            </w:r>
            <w:r>
              <w:rPr>
                <w:rFonts w:ascii="宋体" w:hAnsi="宋体" w:cs="宋体" w:eastAsia="宋体" w:hint="default"/>
                <w:sz w:val="24"/>
                <w:szCs w:val="24"/>
              </w:rPr>
              <w:t>/ </w:t>
            </w:r>
            <w:r>
              <w:rPr>
                <w:rFonts w:ascii="宋体" w:hAnsi="宋体" w:cs="宋体" w:eastAsia="宋体" w:hint="default"/>
                <w:sz w:val="24"/>
                <w:szCs w:val="24"/>
              </w:rPr>
              <w:t>与收益相关</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土地整理补偿</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6"/>
              <w:jc w:val="right"/>
              <w:rPr>
                <w:rFonts w:ascii="宋体" w:hAnsi="宋体" w:cs="宋体" w:eastAsia="宋体" w:hint="default"/>
                <w:sz w:val="24"/>
                <w:szCs w:val="24"/>
              </w:rPr>
            </w:pPr>
            <w:r>
              <w:rPr>
                <w:rFonts w:ascii="宋体"/>
                <w:sz w:val="24"/>
              </w:rPr>
              <w:t>28,950,666.67</w:t>
            </w:r>
          </w:p>
        </w:tc>
        <w:tc>
          <w:tcPr>
            <w:tcW w:w="16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6"/>
              <w:jc w:val="right"/>
              <w:rPr>
                <w:rFonts w:ascii="宋体" w:hAnsi="宋体" w:cs="宋体" w:eastAsia="宋体" w:hint="default"/>
                <w:sz w:val="24"/>
                <w:szCs w:val="24"/>
              </w:rPr>
            </w:pPr>
            <w:r>
              <w:rPr>
                <w:rFonts w:ascii="宋体"/>
                <w:sz w:val="24"/>
              </w:rPr>
              <w:t>28,950,666.67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2.05MWp</w:t>
            </w:r>
            <w:r>
              <w:rPr>
                <w:rFonts w:ascii="宋体" w:hAnsi="宋体" w:cs="宋体" w:eastAsia="宋体" w:hint="default"/>
                <w:spacing w:val="-60"/>
                <w:sz w:val="24"/>
                <w:szCs w:val="24"/>
              </w:rPr>
              <w:t> </w:t>
            </w:r>
            <w:r>
              <w:rPr>
                <w:rFonts w:ascii="宋体" w:hAnsi="宋体" w:cs="宋体" w:eastAsia="宋体" w:hint="default"/>
                <w:sz w:val="24"/>
                <w:szCs w:val="24"/>
              </w:rPr>
              <w:t>光伏发电项目</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7,900,000.00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7,900,000.00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杭州·白沙坞桥梁建造</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
              <w:jc w:val="right"/>
              <w:rPr>
                <w:rFonts w:ascii="宋体" w:hAnsi="宋体" w:cs="宋体" w:eastAsia="宋体" w:hint="default"/>
                <w:sz w:val="24"/>
                <w:szCs w:val="24"/>
              </w:rPr>
            </w:pPr>
            <w:r>
              <w:rPr>
                <w:rFonts w:ascii="宋体"/>
                <w:sz w:val="24"/>
              </w:rPr>
              <w:t>690,000.00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
              <w:jc w:val="right"/>
              <w:rPr>
                <w:rFonts w:ascii="宋体" w:hAnsi="宋体" w:cs="宋体" w:eastAsia="宋体" w:hint="default"/>
                <w:sz w:val="24"/>
                <w:szCs w:val="24"/>
              </w:rPr>
            </w:pPr>
            <w:r>
              <w:rPr>
                <w:rFonts w:ascii="宋体"/>
                <w:sz w:val="24"/>
              </w:rPr>
              <w:t>690,000.00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6" w:right="0"/>
              <w:jc w:val="lef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631"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宋体" w:hAnsi="宋体" w:cs="宋体" w:eastAsia="宋体" w:hint="default"/>
                <w:sz w:val="24"/>
                <w:szCs w:val="24"/>
              </w:rPr>
            </w:pPr>
            <w:r>
              <w:rPr>
                <w:rFonts w:ascii="宋体" w:hAnsi="宋体" w:cs="宋体" w:eastAsia="宋体" w:hint="default"/>
                <w:sz w:val="24"/>
                <w:szCs w:val="24"/>
              </w:rPr>
              <w:t>平阳县西湾围垦工程省</w:t>
            </w:r>
          </w:p>
          <w:p>
            <w:pPr>
              <w:pStyle w:val="TableParagraph"/>
              <w:spacing w:line="312" w:lineRule="exact"/>
              <w:ind w:left="24" w:right="0"/>
              <w:jc w:val="left"/>
              <w:rPr>
                <w:rFonts w:ascii="宋体" w:hAnsi="宋体" w:cs="宋体" w:eastAsia="宋体" w:hint="default"/>
                <w:sz w:val="24"/>
                <w:szCs w:val="24"/>
              </w:rPr>
            </w:pPr>
            <w:r>
              <w:rPr>
                <w:rFonts w:ascii="宋体" w:hAnsi="宋体" w:cs="宋体" w:eastAsia="宋体" w:hint="default"/>
                <w:sz w:val="24"/>
                <w:szCs w:val="24"/>
              </w:rPr>
              <w:t>补助资金</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6"/>
              <w:jc w:val="right"/>
              <w:rPr>
                <w:rFonts w:ascii="宋体" w:hAnsi="宋体" w:cs="宋体" w:eastAsia="宋体" w:hint="default"/>
                <w:sz w:val="24"/>
                <w:szCs w:val="24"/>
              </w:rPr>
            </w:pPr>
            <w:r>
              <w:rPr>
                <w:rFonts w:ascii="宋体"/>
                <w:sz w:val="24"/>
              </w:rPr>
              <w:t>6,000,000.00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
              <w:jc w:val="right"/>
              <w:rPr>
                <w:rFonts w:ascii="宋体" w:hAnsi="宋体" w:cs="宋体" w:eastAsia="宋体" w:hint="default"/>
                <w:sz w:val="24"/>
                <w:szCs w:val="24"/>
              </w:rPr>
            </w:pPr>
            <w:r>
              <w:rPr>
                <w:rFonts w:ascii="宋体"/>
                <w:sz w:val="24"/>
              </w:rPr>
              <w:t>1,000,000.00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6"/>
              <w:jc w:val="right"/>
              <w:rPr>
                <w:rFonts w:ascii="宋体" w:hAnsi="宋体" w:cs="宋体" w:eastAsia="宋体" w:hint="default"/>
                <w:sz w:val="24"/>
                <w:szCs w:val="24"/>
              </w:rPr>
            </w:pPr>
            <w:r>
              <w:rPr>
                <w:rFonts w:ascii="宋体"/>
                <w:sz w:val="24"/>
              </w:rPr>
              <w:t>7,000,000.00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6" w:right="0"/>
              <w:jc w:val="lef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契税返还</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182,286,405.00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36,574,800.00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218,861,205.00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城新线墨城段修复工程</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295,000.00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295,000.00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教育建设补助</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1,043,980.87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720,000.00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206,616.60</w:t>
            </w:r>
          </w:p>
        </w:tc>
        <w:tc>
          <w:tcPr>
            <w:tcW w:w="37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1,557,364.27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227,166,052.54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38,294,800.00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206,616.60</w:t>
            </w:r>
          </w:p>
        </w:tc>
        <w:tc>
          <w:tcPr>
            <w:tcW w:w="37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265,254,235.94</w:t>
            </w:r>
          </w:p>
        </w:tc>
        <w:tc>
          <w:tcPr>
            <w:tcW w:w="1409" w:type="dxa"/>
            <w:tcBorders>
              <w:top w:val="single" w:sz="4" w:space="0" w:color="000000"/>
              <w:left w:val="single" w:sz="4" w:space="0" w:color="000000"/>
              <w:bottom w:val="single" w:sz="4" w:space="0" w:color="000000"/>
              <w:right w:val="single" w:sz="4" w:space="0" w:color="000000"/>
            </w:tcBorders>
          </w:tcPr>
          <w:p>
            <w:pPr/>
          </w:p>
        </w:tc>
      </w:tr>
    </w:tbl>
    <w:p>
      <w:pPr>
        <w:spacing w:line="241" w:lineRule="exact" w:before="0"/>
        <w:ind w:left="1458" w:right="99" w:firstLine="0"/>
        <w:jc w:val="left"/>
        <w:rPr>
          <w:rFonts w:ascii="宋体" w:hAnsi="宋体" w:cs="宋体" w:eastAsia="宋体" w:hint="default"/>
          <w:sz w:val="21"/>
          <w:szCs w:val="21"/>
        </w:rPr>
      </w:pPr>
      <w:r>
        <w:rPr>
          <w:rFonts w:ascii="宋体" w:hAnsi="宋体" w:cs="宋体" w:eastAsia="宋体" w:hint="default"/>
          <w:sz w:val="21"/>
          <w:szCs w:val="21"/>
        </w:rPr>
        <w:t>注：政府补助本期计入当期损益情况详见本财务报表附注合并财务报表项目注释其他之政府</w:t>
      </w:r>
    </w:p>
    <w:p>
      <w:pPr>
        <w:spacing w:before="133"/>
        <w:ind w:left="1038" w:right="99" w:firstLine="0"/>
        <w:jc w:val="left"/>
        <w:rPr>
          <w:rFonts w:ascii="宋体" w:hAnsi="宋体" w:cs="宋体" w:eastAsia="宋体" w:hint="default"/>
          <w:sz w:val="21"/>
          <w:szCs w:val="21"/>
        </w:rPr>
      </w:pPr>
      <w:r>
        <w:rPr>
          <w:rFonts w:ascii="宋体" w:hAnsi="宋体" w:cs="宋体" w:eastAsia="宋体" w:hint="default"/>
          <w:sz w:val="21"/>
          <w:szCs w:val="21"/>
        </w:rPr>
        <w:t>补助说明。</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195" w:top="1120" w:bottom="1380" w:left="760" w:right="240"/>
        </w:sectPr>
      </w:pPr>
    </w:p>
    <w:p>
      <w:pPr>
        <w:pStyle w:val="Heading2"/>
        <w:spacing w:line="240" w:lineRule="auto"/>
        <w:ind w:left="1038" w:right="-17"/>
        <w:jc w:val="left"/>
        <w:rPr>
          <w:b w:val="0"/>
          <w:bCs w:val="0"/>
        </w:rPr>
      </w:pPr>
      <w:r>
        <w:rPr>
          <w:rFonts w:ascii="宋体" w:hAnsi="宋体" w:cs="宋体" w:eastAsia="宋体" w:hint="default"/>
        </w:rPr>
        <w:t>37</w:t>
      </w:r>
      <w:r>
        <w:rPr/>
        <w:t>、</w:t>
      </w:r>
      <w:r>
        <w:rPr>
          <w:spacing w:val="-103"/>
        </w:rPr>
        <w:t> </w:t>
      </w:r>
      <w:r>
        <w:rPr/>
        <w:t>其他非流动负债</w:t>
      </w:r>
      <w:r>
        <w:rPr>
          <w:b w:val="0"/>
          <w:bCs w:val="0"/>
        </w:rPr>
      </w:r>
    </w:p>
    <w:p>
      <w:pPr>
        <w:pStyle w:val="BodyText"/>
        <w:spacing w:line="240" w:lineRule="auto" w:before="58"/>
        <w:ind w:left="1038"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2238" w:val="left" w:leader="none"/>
        </w:tabs>
        <w:spacing w:line="240" w:lineRule="auto"/>
        <w:ind w:left="1038" w:right="0"/>
        <w:jc w:val="left"/>
      </w:pPr>
      <w:r>
        <w:rPr/>
        <w:t>单位：元</w:t>
        <w:tab/>
        <w:t>币种：人民币</w:t>
      </w:r>
    </w:p>
    <w:p>
      <w:pPr>
        <w:spacing w:after="0" w:line="240" w:lineRule="auto"/>
        <w:jc w:val="left"/>
        <w:sectPr>
          <w:type w:val="continuous"/>
          <w:pgSz w:w="11910" w:h="16840"/>
          <w:pgMar w:top="1000" w:bottom="280" w:left="760" w:right="240"/>
          <w:cols w:num="2" w:equalWidth="0">
            <w:col w:w="3229" w:space="2964"/>
            <w:col w:w="4717"/>
          </w:cols>
        </w:sectPr>
      </w:pPr>
    </w:p>
    <w:p>
      <w:pPr>
        <w:spacing w:line="240" w:lineRule="auto" w:before="12"/>
        <w:rPr>
          <w:rFonts w:ascii="宋体" w:hAnsi="宋体" w:cs="宋体" w:eastAsia="宋体" w:hint="default"/>
          <w:sz w:val="2"/>
          <w:szCs w:val="2"/>
        </w:rPr>
      </w:pPr>
    </w:p>
    <w:tbl>
      <w:tblPr>
        <w:tblW w:w="0" w:type="auto"/>
        <w:jc w:val="left"/>
        <w:tblInd w:w="925" w:type="dxa"/>
        <w:tblLayout w:type="fixed"/>
        <w:tblCellMar>
          <w:top w:w="0" w:type="dxa"/>
          <w:left w:w="0" w:type="dxa"/>
          <w:bottom w:w="0" w:type="dxa"/>
          <w:right w:w="0" w:type="dxa"/>
        </w:tblCellMar>
        <w:tblLook w:val="01E0"/>
      </w:tblPr>
      <w:tblGrid>
        <w:gridCol w:w="3937"/>
        <w:gridCol w:w="2693"/>
        <w:gridCol w:w="2420"/>
      </w:tblGrid>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62"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25"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中国长城资产管理股份有限公司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3"/>
              <w:jc w:val="right"/>
              <w:rPr>
                <w:rFonts w:ascii="宋体" w:hAnsi="宋体" w:cs="宋体" w:eastAsia="宋体" w:hint="default"/>
                <w:sz w:val="24"/>
                <w:szCs w:val="24"/>
              </w:rPr>
            </w:pPr>
            <w:r>
              <w:rPr>
                <w:rFonts w:ascii="宋体"/>
                <w:sz w:val="24"/>
              </w:rPr>
              <w:t>640,000,000.00</w:t>
            </w: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中国华融资产管理股份有限公司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3"/>
              <w:jc w:val="right"/>
              <w:rPr>
                <w:rFonts w:ascii="宋体" w:hAnsi="宋体" w:cs="宋体" w:eastAsia="宋体" w:hint="default"/>
                <w:sz w:val="24"/>
                <w:szCs w:val="24"/>
              </w:rPr>
            </w:pPr>
            <w:r>
              <w:rPr>
                <w:rFonts w:ascii="宋体"/>
                <w:sz w:val="24"/>
              </w:rPr>
              <w:t>1,170,000,000.00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2,430,000,000.00</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中国信达资产管理股份有限公司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3"/>
              <w:jc w:val="right"/>
              <w:rPr>
                <w:rFonts w:ascii="宋体" w:hAnsi="宋体" w:cs="宋体" w:eastAsia="宋体" w:hint="default"/>
                <w:sz w:val="24"/>
                <w:szCs w:val="24"/>
              </w:rPr>
            </w:pPr>
            <w:r>
              <w:rPr>
                <w:rFonts w:ascii="宋体"/>
                <w:sz w:val="24"/>
              </w:rPr>
              <w:t>320,597,800.00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270,000,000.00</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中国民生信托有限公司</w:t>
            </w:r>
          </w:p>
        </w:tc>
        <w:tc>
          <w:tcPr>
            <w:tcW w:w="2693"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250,000,000.00</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中信信托有限责任公司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3"/>
              <w:jc w:val="right"/>
              <w:rPr>
                <w:rFonts w:ascii="宋体" w:hAnsi="宋体" w:cs="宋体" w:eastAsia="宋体" w:hint="default"/>
                <w:sz w:val="24"/>
                <w:szCs w:val="24"/>
              </w:rPr>
            </w:pPr>
            <w:r>
              <w:rPr>
                <w:rFonts w:ascii="宋体"/>
                <w:sz w:val="24"/>
              </w:rPr>
              <w:t>400,000,000.00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400,000,000.00</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家具设备储备金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3"/>
              <w:jc w:val="right"/>
              <w:rPr>
                <w:rFonts w:ascii="宋体" w:hAnsi="宋体" w:cs="宋体" w:eastAsia="宋体" w:hint="default"/>
                <w:sz w:val="24"/>
                <w:szCs w:val="24"/>
              </w:rPr>
            </w:pPr>
            <w:r>
              <w:rPr>
                <w:rFonts w:ascii="宋体"/>
                <w:sz w:val="24"/>
              </w:rPr>
              <w:t>23,058.11</w:t>
            </w: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2,530,620,858.11</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3,350,000,000.00</w:t>
            </w:r>
          </w:p>
        </w:tc>
      </w:tr>
    </w:tbl>
    <w:p>
      <w:pPr>
        <w:spacing w:line="240" w:lineRule="auto" w:before="5"/>
        <w:rPr>
          <w:rFonts w:ascii="宋体" w:hAnsi="宋体" w:cs="宋体" w:eastAsia="宋体" w:hint="default"/>
          <w:sz w:val="23"/>
          <w:szCs w:val="23"/>
        </w:rPr>
      </w:pPr>
    </w:p>
    <w:p>
      <w:pPr>
        <w:pStyle w:val="BodyText"/>
        <w:spacing w:line="240" w:lineRule="auto" w:before="26"/>
        <w:ind w:left="1038" w:right="99"/>
        <w:jc w:val="left"/>
      </w:pPr>
      <w:r>
        <w:rPr/>
        <w:t>其他说明：</w:t>
      </w:r>
    </w:p>
    <w:p>
      <w:pPr>
        <w:pStyle w:val="BodyText"/>
        <w:spacing w:line="240" w:lineRule="auto" w:before="56"/>
        <w:ind w:left="1518" w:right="99"/>
        <w:jc w:val="left"/>
        <w:rPr>
          <w:rFonts w:ascii="宋体" w:hAnsi="宋体" w:cs="宋体" w:eastAsia="宋体" w:hint="default"/>
        </w:rPr>
      </w:pPr>
      <w:r>
        <w:rPr>
          <w:rFonts w:ascii="宋体" w:hAnsi="宋体" w:cs="宋体" w:eastAsia="宋体" w:hint="default"/>
        </w:rPr>
        <w:t>1) 2017</w:t>
      </w:r>
      <w:r>
        <w:rPr>
          <w:rFonts w:ascii="宋体" w:hAnsi="宋体" w:cs="宋体" w:eastAsia="宋体" w:hint="default"/>
          <w:spacing w:val="-60"/>
        </w:rPr>
        <w:t> </w:t>
      </w:r>
      <w:r>
        <w:rPr/>
        <w:t>年长城资产受让了长城华西银行股份有限公司对本公司的债权</w:t>
      </w:r>
      <w:r>
        <w:rPr>
          <w:spacing w:val="-59"/>
        </w:rPr>
        <w:t> </w:t>
      </w:r>
      <w:r>
        <w:rPr>
          <w:rFonts w:ascii="宋体" w:hAnsi="宋体" w:cs="宋体" w:eastAsia="宋体" w:hint="default"/>
        </w:rPr>
        <w:t>80,000</w:t>
      </w:r>
    </w:p>
    <w:p>
      <w:pPr>
        <w:pStyle w:val="BodyText"/>
        <w:spacing w:line="355" w:lineRule="auto" w:before="154"/>
        <w:ind w:left="1038" w:right="1088"/>
        <w:jc w:val="left"/>
      </w:pPr>
      <w:r>
        <w:rPr/>
        <w:t>万元，对于该债权转让，公司作为负债处理。其中</w:t>
      </w:r>
      <w:r>
        <w:rPr>
          <w:spacing w:val="-60"/>
        </w:rPr>
        <w:t> </w:t>
      </w:r>
      <w:r>
        <w:rPr>
          <w:rFonts w:ascii="宋体" w:hAnsi="宋体" w:cs="宋体" w:eastAsia="宋体" w:hint="default"/>
        </w:rPr>
        <w:t>16,000</w:t>
      </w:r>
      <w:r>
        <w:rPr>
          <w:rFonts w:ascii="宋体" w:hAnsi="宋体" w:cs="宋体" w:eastAsia="宋体" w:hint="default"/>
          <w:spacing w:val="-60"/>
        </w:rPr>
        <w:t> </w:t>
      </w:r>
      <w:r>
        <w:rPr/>
        <w:t>万元需在借款发放一年内 归还，故计入其他流动负债列报。</w:t>
      </w:r>
    </w:p>
    <w:p>
      <w:pPr>
        <w:pStyle w:val="BodyText"/>
        <w:spacing w:line="240" w:lineRule="auto" w:before="38"/>
        <w:ind w:left="1518" w:right="99"/>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8"/>
        </w:rPr>
        <w:t> </w:t>
      </w:r>
      <w:r>
        <w:rPr>
          <w:rFonts w:ascii="宋体" w:hAnsi="宋体" w:cs="宋体" w:eastAsia="宋体" w:hint="default"/>
        </w:rPr>
        <w:t>2016</w:t>
      </w:r>
      <w:r>
        <w:rPr>
          <w:rFonts w:ascii="宋体" w:hAnsi="宋体" w:cs="宋体" w:eastAsia="宋体" w:hint="default"/>
          <w:spacing w:val="-60"/>
        </w:rPr>
        <w:t> </w:t>
      </w:r>
      <w:r>
        <w:rPr/>
        <w:t>年华融资产受让了子公司上海众孚实业有限公司对本公司的债权</w:t>
      </w:r>
      <w:r>
        <w:rPr>
          <w:spacing w:val="-59"/>
        </w:rPr>
        <w:t> </w:t>
      </w:r>
      <w:r>
        <w:rPr>
          <w:rFonts w:ascii="宋体" w:hAnsi="宋体" w:cs="宋体" w:eastAsia="宋体" w:hint="default"/>
        </w:rPr>
        <w:t>60,000</w:t>
      </w:r>
    </w:p>
    <w:p>
      <w:pPr>
        <w:pStyle w:val="BodyText"/>
        <w:spacing w:line="240" w:lineRule="auto" w:before="151"/>
        <w:ind w:left="1038" w:right="99"/>
        <w:jc w:val="left"/>
      </w:pPr>
      <w:r>
        <w:rPr/>
        <w:t>万元，对于该债权转让，公司作为负债处理。其中借款期限一年以内的负债</w:t>
      </w:r>
      <w:r>
        <w:rPr>
          <w:spacing w:val="-84"/>
        </w:rPr>
        <w:t> </w:t>
      </w:r>
      <w:r>
        <w:rPr>
          <w:rFonts w:ascii="宋体" w:hAnsi="宋体" w:cs="宋体" w:eastAsia="宋体" w:hint="default"/>
        </w:rPr>
        <w:t>6,000</w:t>
      </w:r>
      <w:r>
        <w:rPr>
          <w:rFonts w:ascii="宋体" w:hAnsi="宋体" w:cs="宋体" w:eastAsia="宋体" w:hint="default"/>
          <w:spacing w:val="-84"/>
        </w:rPr>
        <w:t> </w:t>
      </w:r>
      <w:r>
        <w:rPr/>
        <w:t>万</w:t>
      </w:r>
    </w:p>
    <w:p>
      <w:pPr>
        <w:pStyle w:val="BodyText"/>
        <w:spacing w:line="240" w:lineRule="auto" w:before="154"/>
        <w:ind w:left="1038" w:right="99"/>
        <w:jc w:val="left"/>
      </w:pPr>
      <w:r>
        <w:rPr/>
        <w:t>元计入其他流动负债，其余</w:t>
      </w:r>
      <w:r>
        <w:rPr>
          <w:spacing w:val="-60"/>
        </w:rPr>
        <w:t> </w:t>
      </w:r>
      <w:r>
        <w:rPr>
          <w:rFonts w:ascii="宋体" w:hAnsi="宋体" w:cs="宋体" w:eastAsia="宋体" w:hint="default"/>
        </w:rPr>
        <w:t>54,000</w:t>
      </w:r>
      <w:r>
        <w:rPr>
          <w:rFonts w:ascii="宋体" w:hAnsi="宋体" w:cs="宋体" w:eastAsia="宋体" w:hint="default"/>
          <w:spacing w:val="-60"/>
        </w:rPr>
        <w:t> </w:t>
      </w:r>
      <w:r>
        <w:rPr/>
        <w:t>万元计入其他非流动负债，本期已全额偿还该项</w:t>
      </w:r>
    </w:p>
    <w:p>
      <w:pPr>
        <w:pStyle w:val="BodyText"/>
        <w:spacing w:line="240" w:lineRule="auto" w:before="151"/>
        <w:ind w:left="1038" w:right="99"/>
        <w:jc w:val="left"/>
      </w:pPr>
      <w:r>
        <w:rPr/>
        <w:t>负债</w:t>
      </w:r>
      <w:r>
        <w:rPr>
          <w:spacing w:val="-61"/>
        </w:rPr>
        <w:t> </w:t>
      </w:r>
      <w:r>
        <w:rPr>
          <w:rFonts w:ascii="宋体" w:hAnsi="宋体" w:cs="宋体" w:eastAsia="宋体" w:hint="default"/>
        </w:rPr>
        <w:t>60,000</w:t>
      </w:r>
      <w:r>
        <w:rPr>
          <w:rFonts w:ascii="宋体" w:hAnsi="宋体" w:cs="宋体" w:eastAsia="宋体" w:hint="default"/>
          <w:spacing w:val="-60"/>
        </w:rPr>
        <w:t> </w:t>
      </w:r>
      <w:r>
        <w:rPr/>
        <w:t>万元。</w:t>
      </w:r>
    </w:p>
    <w:p>
      <w:pPr>
        <w:spacing w:after="0" w:line="240" w:lineRule="auto"/>
        <w:jc w:val="left"/>
        <w:sectPr>
          <w:type w:val="continuous"/>
          <w:pgSz w:w="11910" w:h="16840"/>
          <w:pgMar w:top="1000" w:bottom="280" w:left="760" w:right="240"/>
        </w:sectPr>
      </w:pPr>
    </w:p>
    <w:p>
      <w:pPr>
        <w:spacing w:line="240" w:lineRule="auto" w:before="5"/>
        <w:rPr>
          <w:rFonts w:ascii="宋体" w:hAnsi="宋体" w:cs="宋体" w:eastAsia="宋体" w:hint="default"/>
          <w:sz w:val="25"/>
          <w:szCs w:val="25"/>
        </w:rPr>
      </w:pPr>
    </w:p>
    <w:p>
      <w:pPr>
        <w:pStyle w:val="BodyText"/>
        <w:spacing w:line="240" w:lineRule="auto" w:before="26"/>
        <w:ind w:left="618" w:right="119"/>
        <w:jc w:val="left"/>
      </w:pPr>
      <w:r>
        <w:rPr>
          <w:rFonts w:ascii="宋体" w:hAnsi="宋体" w:cs="宋体" w:eastAsia="宋体" w:hint="default"/>
        </w:rPr>
        <w:t>2016</w:t>
      </w:r>
      <w:r>
        <w:rPr>
          <w:rFonts w:ascii="宋体" w:hAnsi="宋体" w:cs="宋体" w:eastAsia="宋体" w:hint="default"/>
          <w:spacing w:val="-60"/>
        </w:rPr>
        <w:t> </w:t>
      </w:r>
      <w:r>
        <w:rPr/>
        <w:t>年华融资产受让了嘉兴新国浩商贸有限公司对本公司的债权</w:t>
      </w:r>
      <w:r>
        <w:rPr>
          <w:spacing w:val="-59"/>
        </w:rPr>
        <w:t> </w:t>
      </w:r>
      <w:r>
        <w:rPr>
          <w:rFonts w:ascii="宋体" w:hAnsi="宋体" w:cs="宋体" w:eastAsia="宋体" w:hint="default"/>
        </w:rPr>
        <w:t>60,000</w:t>
      </w:r>
      <w:r>
        <w:rPr>
          <w:rFonts w:ascii="宋体" w:hAnsi="宋体" w:cs="宋体" w:eastAsia="宋体" w:hint="default"/>
          <w:spacing w:val="-60"/>
        </w:rPr>
        <w:t> </w:t>
      </w:r>
      <w:r>
        <w:rPr/>
        <w:t>万元，</w:t>
      </w:r>
    </w:p>
    <w:p>
      <w:pPr>
        <w:pStyle w:val="BodyText"/>
        <w:spacing w:line="240" w:lineRule="auto" w:before="154"/>
        <w:ind w:right="119"/>
        <w:jc w:val="left"/>
      </w:pPr>
      <w:r>
        <w:rPr/>
        <w:t>对于该债权转让，公司作为负债处理。其中借款期限一年以内的负债</w:t>
      </w:r>
      <w:r>
        <w:rPr>
          <w:spacing w:val="-84"/>
        </w:rPr>
        <w:t> </w:t>
      </w:r>
      <w:r>
        <w:rPr>
          <w:rFonts w:ascii="宋体" w:hAnsi="宋体" w:cs="宋体" w:eastAsia="宋体" w:hint="default"/>
        </w:rPr>
        <w:t>6,000</w:t>
      </w:r>
      <w:r>
        <w:rPr>
          <w:rFonts w:ascii="宋体" w:hAnsi="宋体" w:cs="宋体" w:eastAsia="宋体" w:hint="default"/>
          <w:spacing w:val="-84"/>
        </w:rPr>
        <w:t> </w:t>
      </w:r>
      <w:r>
        <w:rPr/>
        <w:t>万元计入</w:t>
      </w:r>
    </w:p>
    <w:p>
      <w:pPr>
        <w:pStyle w:val="BodyText"/>
        <w:spacing w:line="357" w:lineRule="auto" w:before="151"/>
        <w:ind w:right="290"/>
        <w:jc w:val="left"/>
      </w:pPr>
      <w:r>
        <w:rPr/>
        <w:t>其他流动负债并已于当期偿还，其余</w:t>
      </w:r>
      <w:r>
        <w:rPr>
          <w:spacing w:val="-61"/>
        </w:rPr>
        <w:t> </w:t>
      </w:r>
      <w:r>
        <w:rPr>
          <w:rFonts w:ascii="宋体" w:hAnsi="宋体" w:cs="宋体" w:eastAsia="宋体" w:hint="default"/>
        </w:rPr>
        <w:t>54,000</w:t>
      </w:r>
      <w:r>
        <w:rPr>
          <w:rFonts w:ascii="宋体" w:hAnsi="宋体" w:cs="宋体" w:eastAsia="宋体" w:hint="default"/>
          <w:spacing w:val="-61"/>
        </w:rPr>
        <w:t> </w:t>
      </w:r>
      <w:r>
        <w:rPr/>
        <w:t>万元计入其他非流动负债并于本期转入 一年内到期的其他非流动负债。</w:t>
      </w:r>
    </w:p>
    <w:p>
      <w:pPr>
        <w:pStyle w:val="BodyText"/>
        <w:spacing w:line="357" w:lineRule="auto" w:before="36"/>
        <w:ind w:right="119" w:firstLine="479"/>
        <w:jc w:val="left"/>
      </w:pPr>
      <w:r>
        <w:rPr>
          <w:rFonts w:ascii="宋体" w:hAnsi="宋体" w:cs="宋体" w:eastAsia="宋体" w:hint="default"/>
        </w:rPr>
        <w:t>2016</w:t>
      </w:r>
      <w:r>
        <w:rPr>
          <w:rFonts w:ascii="宋体" w:hAnsi="宋体" w:cs="宋体" w:eastAsia="宋体" w:hint="default"/>
          <w:spacing w:val="-60"/>
        </w:rPr>
        <w:t> </w:t>
      </w:r>
      <w:r>
        <w:rPr/>
        <w:t>年公司将对子公司温岭新湖地产发展有限公司的债权</w:t>
      </w:r>
      <w:r>
        <w:rPr>
          <w:spacing w:val="-59"/>
        </w:rPr>
        <w:t> </w:t>
      </w:r>
      <w:r>
        <w:rPr>
          <w:rFonts w:ascii="宋体" w:hAnsi="宋体" w:cs="宋体" w:eastAsia="宋体" w:hint="default"/>
        </w:rPr>
        <w:t>150,000</w:t>
      </w:r>
      <w:r>
        <w:rPr>
          <w:rFonts w:ascii="宋体" w:hAnsi="宋体" w:cs="宋体" w:eastAsia="宋体" w:hint="default"/>
          <w:spacing w:val="-60"/>
        </w:rPr>
        <w:t> </w:t>
      </w:r>
      <w:r>
        <w:rPr/>
        <w:t>万元转让给 </w:t>
      </w:r>
      <w:r>
        <w:rPr>
          <w:spacing w:val="-2"/>
        </w:rPr>
        <w:t>华融资产，对于该债权转让，温岭新湖地产发展有限公司作为负债处理。其中借款期</w:t>
      </w:r>
      <w:r>
        <w:rPr>
          <w:spacing w:val="-95"/>
        </w:rPr>
        <w:t> </w:t>
      </w:r>
      <w:r>
        <w:rPr>
          <w:spacing w:val="-95"/>
        </w:rPr>
      </w:r>
      <w:r>
        <w:rPr/>
        <w:t>限一年以内的负债</w:t>
      </w:r>
      <w:r>
        <w:rPr>
          <w:spacing w:val="-61"/>
        </w:rPr>
        <w:t> </w:t>
      </w:r>
      <w:r>
        <w:rPr>
          <w:rFonts w:ascii="宋体" w:hAnsi="宋体" w:cs="宋体" w:eastAsia="宋体" w:hint="default"/>
        </w:rPr>
        <w:t>15,000</w:t>
      </w:r>
      <w:r>
        <w:rPr>
          <w:rFonts w:ascii="宋体" w:hAnsi="宋体" w:cs="宋体" w:eastAsia="宋体" w:hint="default"/>
          <w:spacing w:val="-60"/>
        </w:rPr>
        <w:t> </w:t>
      </w:r>
      <w:r>
        <w:rPr/>
        <w:t>万元计入其他流动负债并于当期偿还，其余</w:t>
      </w:r>
      <w:r>
        <w:rPr>
          <w:spacing w:val="-60"/>
        </w:rPr>
        <w:t> </w:t>
      </w:r>
      <w:r>
        <w:rPr>
          <w:rFonts w:ascii="宋体" w:hAnsi="宋体" w:cs="宋体" w:eastAsia="宋体" w:hint="default"/>
        </w:rPr>
        <w:t>135,000</w:t>
      </w:r>
      <w:r>
        <w:rPr>
          <w:rFonts w:ascii="宋体" w:hAnsi="宋体" w:cs="宋体" w:eastAsia="宋体" w:hint="default"/>
          <w:spacing w:val="-60"/>
        </w:rPr>
        <w:t> </w:t>
      </w:r>
      <w:r>
        <w:rPr/>
        <w:t>万元</w:t>
      </w:r>
    </w:p>
    <w:p>
      <w:pPr>
        <w:pStyle w:val="BodyText"/>
        <w:spacing w:line="357" w:lineRule="auto" w:before="34"/>
        <w:ind w:right="218"/>
        <w:jc w:val="left"/>
      </w:pPr>
      <w:r>
        <w:rPr/>
        <w:t>计入其他非流动负债并于当期偿还</w:t>
      </w:r>
      <w:r>
        <w:rPr>
          <w:spacing w:val="-60"/>
        </w:rPr>
        <w:t> </w:t>
      </w:r>
      <w:r>
        <w:rPr>
          <w:rFonts w:ascii="宋体" w:hAnsi="宋体" w:cs="宋体" w:eastAsia="宋体" w:hint="default"/>
        </w:rPr>
        <w:t>54,000</w:t>
      </w:r>
      <w:r>
        <w:rPr>
          <w:rFonts w:ascii="宋体" w:hAnsi="宋体" w:cs="宋体" w:eastAsia="宋体" w:hint="default"/>
          <w:spacing w:val="-60"/>
        </w:rPr>
        <w:t> </w:t>
      </w:r>
      <w:r>
        <w:rPr>
          <w:spacing w:val="-10"/>
        </w:rPr>
        <w:t>万元，剩余</w:t>
      </w:r>
      <w:r>
        <w:rPr>
          <w:spacing w:val="-60"/>
        </w:rPr>
        <w:t> </w:t>
      </w:r>
      <w:r>
        <w:rPr>
          <w:rFonts w:ascii="宋体" w:hAnsi="宋体" w:cs="宋体" w:eastAsia="宋体" w:hint="default"/>
        </w:rPr>
        <w:t>81,000</w:t>
      </w:r>
      <w:r>
        <w:rPr>
          <w:rFonts w:ascii="宋体" w:hAnsi="宋体" w:cs="宋体" w:eastAsia="宋体" w:hint="default"/>
          <w:spacing w:val="-60"/>
        </w:rPr>
        <w:t> </w:t>
      </w:r>
      <w:r>
        <w:rPr/>
        <w:t>万元本期转入一年内到 期的其他非流动负债。</w:t>
      </w:r>
    </w:p>
    <w:p>
      <w:pPr>
        <w:pStyle w:val="BodyText"/>
        <w:spacing w:line="240" w:lineRule="auto" w:before="34"/>
        <w:ind w:left="618" w:right="0"/>
        <w:jc w:val="left"/>
      </w:pPr>
      <w:r>
        <w:rPr>
          <w:rFonts w:ascii="宋体" w:hAnsi="宋体" w:cs="宋体" w:eastAsia="宋体" w:hint="default"/>
        </w:rPr>
        <w:t>2017</w:t>
      </w:r>
      <w:r>
        <w:rPr>
          <w:rFonts w:ascii="宋体" w:hAnsi="宋体" w:cs="宋体" w:eastAsia="宋体" w:hint="default"/>
          <w:spacing w:val="-60"/>
        </w:rPr>
        <w:t> </w:t>
      </w:r>
      <w:r>
        <w:rPr/>
        <w:t>年华融资产受让了允升投资对本公司的债权</w:t>
      </w:r>
      <w:r>
        <w:rPr>
          <w:spacing w:val="-59"/>
        </w:rPr>
        <w:t> </w:t>
      </w:r>
      <w:r>
        <w:rPr>
          <w:rFonts w:ascii="宋体" w:hAnsi="宋体" w:cs="宋体" w:eastAsia="宋体" w:hint="default"/>
        </w:rPr>
        <w:t>90,000</w:t>
      </w:r>
      <w:r>
        <w:rPr>
          <w:rFonts w:ascii="宋体" w:hAnsi="宋体" w:cs="宋体" w:eastAsia="宋体" w:hint="default"/>
          <w:spacing w:val="-60"/>
        </w:rPr>
        <w:t> </w:t>
      </w:r>
      <w:r>
        <w:rPr/>
        <w:t>万元</w:t>
      </w:r>
      <w:r>
        <w:rPr>
          <w:spacing w:val="-108"/>
        </w:rPr>
        <w:t>，</w:t>
      </w:r>
      <w:r>
        <w:rPr/>
        <w:t>对于该债权转让，</w:t>
      </w:r>
    </w:p>
    <w:p>
      <w:pPr>
        <w:pStyle w:val="BodyText"/>
        <w:spacing w:line="240" w:lineRule="auto" w:before="154"/>
        <w:ind w:right="119"/>
        <w:jc w:val="left"/>
      </w:pPr>
      <w:r>
        <w:rPr/>
        <w:t>公司作为负债处理。其中借款期限一年以内的负债</w:t>
      </w:r>
      <w:r>
        <w:rPr>
          <w:spacing w:val="-85"/>
        </w:rPr>
        <w:t> </w:t>
      </w:r>
      <w:r>
        <w:rPr>
          <w:rFonts w:ascii="宋体" w:hAnsi="宋体" w:cs="宋体" w:eastAsia="宋体" w:hint="default"/>
        </w:rPr>
        <w:t>9,000</w:t>
      </w:r>
      <w:r>
        <w:rPr>
          <w:rFonts w:ascii="宋体" w:hAnsi="宋体" w:cs="宋体" w:eastAsia="宋体" w:hint="default"/>
          <w:spacing w:val="-85"/>
        </w:rPr>
        <w:t> </w:t>
      </w:r>
      <w:r>
        <w:rPr/>
        <w:t>万元计入其他流动负债，其</w:t>
      </w:r>
    </w:p>
    <w:p>
      <w:pPr>
        <w:pStyle w:val="BodyText"/>
        <w:spacing w:line="240" w:lineRule="auto" w:before="151"/>
        <w:ind w:right="119"/>
        <w:jc w:val="left"/>
      </w:pPr>
      <w:r>
        <w:rPr/>
        <w:t>余</w:t>
      </w:r>
      <w:r>
        <w:rPr>
          <w:spacing w:val="-61"/>
        </w:rPr>
        <w:t> </w:t>
      </w:r>
      <w:r>
        <w:rPr>
          <w:rFonts w:ascii="宋体" w:hAnsi="宋体" w:cs="宋体" w:eastAsia="宋体" w:hint="default"/>
        </w:rPr>
        <w:t>81,000</w:t>
      </w:r>
      <w:r>
        <w:rPr>
          <w:rFonts w:ascii="宋体" w:hAnsi="宋体" w:cs="宋体" w:eastAsia="宋体" w:hint="default"/>
          <w:spacing w:val="-60"/>
        </w:rPr>
        <w:t> </w:t>
      </w:r>
      <w:r>
        <w:rPr/>
        <w:t>万元计入其他非流动负债。</w:t>
      </w:r>
    </w:p>
    <w:p>
      <w:pPr>
        <w:pStyle w:val="BodyText"/>
        <w:spacing w:line="240" w:lineRule="auto" w:before="154"/>
        <w:ind w:left="618" w:right="119"/>
        <w:jc w:val="left"/>
      </w:pPr>
      <w:r>
        <w:rPr>
          <w:rFonts w:ascii="宋体" w:hAnsi="宋体" w:cs="宋体" w:eastAsia="宋体" w:hint="default"/>
        </w:rPr>
        <w:t>2017</w:t>
      </w:r>
      <w:r>
        <w:rPr>
          <w:rFonts w:ascii="宋体" w:hAnsi="宋体" w:cs="宋体" w:eastAsia="宋体" w:hint="default"/>
          <w:spacing w:val="-33"/>
        </w:rPr>
        <w:t> </w:t>
      </w:r>
      <w:r>
        <w:rPr>
          <w:spacing w:val="-4"/>
        </w:rPr>
        <w:t>年华融资产受让了海南满天星旅业开发有限公司（以下简称满天星公司）的</w:t>
      </w:r>
    </w:p>
    <w:p>
      <w:pPr>
        <w:pStyle w:val="BodyText"/>
        <w:spacing w:line="240" w:lineRule="auto" w:before="151"/>
        <w:ind w:right="119"/>
        <w:jc w:val="left"/>
      </w:pPr>
      <w:r>
        <w:rPr/>
        <w:t>股东对满天星公司的债权</w:t>
      </w:r>
      <w:r>
        <w:rPr>
          <w:spacing w:val="-53"/>
        </w:rPr>
        <w:t> </w:t>
      </w:r>
      <w:r>
        <w:rPr>
          <w:rFonts w:ascii="宋体" w:hAnsi="宋体" w:cs="宋体" w:eastAsia="宋体" w:hint="default"/>
        </w:rPr>
        <w:t>40,000</w:t>
      </w:r>
      <w:r>
        <w:rPr>
          <w:rFonts w:ascii="宋体" w:hAnsi="宋体" w:cs="宋体" w:eastAsia="宋体" w:hint="default"/>
          <w:spacing w:val="-53"/>
        </w:rPr>
        <w:t> </w:t>
      </w:r>
      <w:r>
        <w:rPr>
          <w:spacing w:val="-8"/>
        </w:rPr>
        <w:t>万元，对于该债权转让，满天星公司作为负债处理。</w:t>
      </w:r>
    </w:p>
    <w:p>
      <w:pPr>
        <w:pStyle w:val="BodyText"/>
        <w:spacing w:line="355" w:lineRule="auto" w:before="154"/>
        <w:ind w:right="288"/>
        <w:jc w:val="left"/>
      </w:pPr>
      <w:r>
        <w:rPr/>
        <w:t>其中借款期限一年以内的负债</w:t>
      </w:r>
      <w:r>
        <w:rPr>
          <w:spacing w:val="-60"/>
        </w:rPr>
        <w:t> </w:t>
      </w:r>
      <w:r>
        <w:rPr>
          <w:rFonts w:ascii="宋体" w:hAnsi="宋体" w:cs="宋体" w:eastAsia="宋体" w:hint="default"/>
        </w:rPr>
        <w:t>4,000</w:t>
      </w:r>
      <w:r>
        <w:rPr>
          <w:rFonts w:ascii="宋体" w:hAnsi="宋体" w:cs="宋体" w:eastAsia="宋体" w:hint="default"/>
          <w:spacing w:val="-60"/>
        </w:rPr>
        <w:t> </w:t>
      </w:r>
      <w:r>
        <w:rPr/>
        <w:t>万元计入其他流动负债，其余</w:t>
      </w:r>
      <w:r>
        <w:rPr>
          <w:spacing w:val="-60"/>
        </w:rPr>
        <w:t> </w:t>
      </w:r>
      <w:r>
        <w:rPr>
          <w:rFonts w:ascii="宋体" w:hAnsi="宋体" w:cs="宋体" w:eastAsia="宋体" w:hint="default"/>
        </w:rPr>
        <w:t>36,000</w:t>
      </w:r>
      <w:r>
        <w:rPr>
          <w:rFonts w:ascii="宋体" w:hAnsi="宋体" w:cs="宋体" w:eastAsia="宋体" w:hint="default"/>
          <w:spacing w:val="-60"/>
        </w:rPr>
        <w:t> </w:t>
      </w:r>
      <w:r>
        <w:rPr/>
        <w:t>万元计入 其他非流动负债。</w:t>
      </w:r>
    </w:p>
    <w:p>
      <w:pPr>
        <w:pStyle w:val="BodyText"/>
        <w:spacing w:line="240" w:lineRule="auto" w:before="38"/>
        <w:ind w:left="618" w:right="119"/>
        <w:jc w:val="left"/>
      </w:pPr>
      <w:r>
        <w:rPr>
          <w:rFonts w:ascii="宋体" w:hAnsi="宋体" w:cs="宋体" w:eastAsia="宋体" w:hint="default"/>
        </w:rPr>
        <w:t>3) 2016</w:t>
      </w:r>
      <w:r>
        <w:rPr>
          <w:rFonts w:ascii="宋体" w:hAnsi="宋体" w:cs="宋体" w:eastAsia="宋体" w:hint="default"/>
          <w:spacing w:val="-60"/>
        </w:rPr>
        <w:t> </w:t>
      </w:r>
      <w:r>
        <w:rPr/>
        <w:t>年信达资产受让了新湖地产对九江新湖中宝置业有限公司（以下简称九</w:t>
      </w:r>
    </w:p>
    <w:p>
      <w:pPr>
        <w:pStyle w:val="BodyText"/>
        <w:spacing w:line="240" w:lineRule="auto" w:before="151"/>
        <w:ind w:right="119"/>
        <w:jc w:val="left"/>
      </w:pPr>
      <w:r>
        <w:rPr/>
        <w:t>江中宝）的债权</w:t>
      </w:r>
      <w:r>
        <w:rPr>
          <w:spacing w:val="-61"/>
        </w:rPr>
        <w:t> </w:t>
      </w:r>
      <w:r>
        <w:rPr>
          <w:rFonts w:ascii="宋体" w:hAnsi="宋体" w:cs="宋体" w:eastAsia="宋体" w:hint="default"/>
        </w:rPr>
        <w:t>30,000</w:t>
      </w:r>
      <w:r>
        <w:rPr>
          <w:rFonts w:ascii="宋体" w:hAnsi="宋体" w:cs="宋体" w:eastAsia="宋体" w:hint="default"/>
          <w:spacing w:val="-60"/>
        </w:rPr>
        <w:t> </w:t>
      </w:r>
      <w:r>
        <w:rPr/>
        <w:t>万元，对于该债权转让，九江中宝作为负债处理。其中借款</w:t>
      </w:r>
    </w:p>
    <w:p>
      <w:pPr>
        <w:pStyle w:val="BodyText"/>
        <w:spacing w:line="240" w:lineRule="auto" w:before="154"/>
        <w:ind w:right="119"/>
        <w:jc w:val="left"/>
      </w:pPr>
      <w:r>
        <w:rPr/>
        <w:t>期限一年以内的负债</w:t>
      </w:r>
      <w:r>
        <w:rPr>
          <w:spacing w:val="-64"/>
        </w:rPr>
        <w:t> </w:t>
      </w:r>
      <w:r>
        <w:rPr>
          <w:rFonts w:ascii="宋体" w:hAnsi="宋体" w:cs="宋体" w:eastAsia="宋体" w:hint="default"/>
        </w:rPr>
        <w:t>2,688</w:t>
      </w:r>
      <w:r>
        <w:rPr>
          <w:rFonts w:ascii="宋体" w:hAnsi="宋体" w:cs="宋体" w:eastAsia="宋体" w:hint="default"/>
          <w:spacing w:val="-64"/>
        </w:rPr>
        <w:t> </w:t>
      </w:r>
      <w:r>
        <w:rPr>
          <w:spacing w:val="-3"/>
        </w:rPr>
        <w:t>万元（扣除当年已偿还的</w:t>
      </w:r>
      <w:r>
        <w:rPr>
          <w:spacing w:val="-64"/>
        </w:rPr>
        <w:t> </w:t>
      </w:r>
      <w:r>
        <w:rPr>
          <w:rFonts w:ascii="宋体" w:hAnsi="宋体" w:cs="宋体" w:eastAsia="宋体" w:hint="default"/>
        </w:rPr>
        <w:t>312</w:t>
      </w:r>
      <w:r>
        <w:rPr>
          <w:rFonts w:ascii="宋体" w:hAnsi="宋体" w:cs="宋体" w:eastAsia="宋体" w:hint="default"/>
          <w:spacing w:val="-64"/>
        </w:rPr>
        <w:t> </w:t>
      </w:r>
      <w:r>
        <w:rPr/>
        <w:t>万元）计入其他流动负债并</w:t>
      </w:r>
    </w:p>
    <w:p>
      <w:pPr>
        <w:pStyle w:val="BodyText"/>
        <w:spacing w:line="355" w:lineRule="auto" w:before="154"/>
        <w:ind w:right="288"/>
        <w:jc w:val="left"/>
      </w:pPr>
      <w:r>
        <w:rPr/>
        <w:t>已于当期偿还，其余</w:t>
      </w:r>
      <w:r>
        <w:rPr>
          <w:spacing w:val="-60"/>
        </w:rPr>
        <w:t> </w:t>
      </w:r>
      <w:r>
        <w:rPr>
          <w:rFonts w:ascii="宋体" w:hAnsi="宋体" w:cs="宋体" w:eastAsia="宋体" w:hint="default"/>
        </w:rPr>
        <w:t>27,000</w:t>
      </w:r>
      <w:r>
        <w:rPr>
          <w:rFonts w:ascii="宋体" w:hAnsi="宋体" w:cs="宋体" w:eastAsia="宋体" w:hint="default"/>
          <w:spacing w:val="-60"/>
        </w:rPr>
        <w:t> </w:t>
      </w:r>
      <w:r>
        <w:rPr/>
        <w:t>万元本期偿还</w:t>
      </w:r>
      <w:r>
        <w:rPr>
          <w:spacing w:val="-60"/>
        </w:rPr>
        <w:t> </w:t>
      </w:r>
      <w:r>
        <w:rPr>
          <w:rFonts w:ascii="宋体" w:hAnsi="宋体" w:cs="宋体" w:eastAsia="宋体" w:hint="default"/>
        </w:rPr>
        <w:t>11,779</w:t>
      </w:r>
      <w:r>
        <w:rPr>
          <w:rFonts w:ascii="宋体" w:hAnsi="宋体" w:cs="宋体" w:eastAsia="宋体" w:hint="default"/>
          <w:spacing w:val="-60"/>
        </w:rPr>
        <w:t> </w:t>
      </w:r>
      <w:r>
        <w:rPr/>
        <w:t>万元，剩余</w:t>
      </w:r>
      <w:r>
        <w:rPr>
          <w:spacing w:val="-60"/>
        </w:rPr>
        <w:t> </w:t>
      </w:r>
      <w:r>
        <w:rPr>
          <w:rFonts w:ascii="宋体" w:hAnsi="宋体" w:cs="宋体" w:eastAsia="宋体" w:hint="default"/>
        </w:rPr>
        <w:t>15,221</w:t>
      </w:r>
      <w:r>
        <w:rPr>
          <w:rFonts w:ascii="宋体" w:hAnsi="宋体" w:cs="宋体" w:eastAsia="宋体" w:hint="default"/>
          <w:spacing w:val="-60"/>
        </w:rPr>
        <w:t> </w:t>
      </w:r>
      <w:r>
        <w:rPr/>
        <w:t>万元已转入一 年内到期非流动负债。</w:t>
      </w:r>
    </w:p>
    <w:p>
      <w:pPr>
        <w:pStyle w:val="BodyText"/>
        <w:spacing w:line="240" w:lineRule="auto" w:before="39"/>
        <w:ind w:left="618" w:right="119"/>
        <w:jc w:val="left"/>
      </w:pPr>
      <w:r>
        <w:rPr>
          <w:rFonts w:ascii="宋体" w:hAnsi="宋体" w:cs="宋体" w:eastAsia="宋体" w:hint="default"/>
        </w:rPr>
        <w:t>2017</w:t>
      </w:r>
      <w:r>
        <w:rPr>
          <w:rFonts w:ascii="宋体" w:hAnsi="宋体" w:cs="宋体" w:eastAsia="宋体" w:hint="default"/>
          <w:spacing w:val="-60"/>
        </w:rPr>
        <w:t> </w:t>
      </w:r>
      <w:r>
        <w:rPr/>
        <w:t>年信达资产受让了本公司对子公司九江中宝的债权</w:t>
      </w:r>
      <w:r>
        <w:rPr>
          <w:spacing w:val="-60"/>
        </w:rPr>
        <w:t> </w:t>
      </w:r>
      <w:r>
        <w:rPr>
          <w:rFonts w:ascii="宋体" w:hAnsi="宋体" w:cs="宋体" w:eastAsia="宋体" w:hint="default"/>
        </w:rPr>
        <w:t>20,000</w:t>
      </w:r>
      <w:r>
        <w:rPr>
          <w:rFonts w:ascii="宋体" w:hAnsi="宋体" w:cs="宋体" w:eastAsia="宋体" w:hint="default"/>
          <w:spacing w:val="-60"/>
        </w:rPr>
        <w:t> </w:t>
      </w:r>
      <w:r>
        <w:rPr/>
        <w:t>万元，本期归还</w:t>
      </w:r>
    </w:p>
    <w:p>
      <w:pPr>
        <w:pStyle w:val="BodyText"/>
        <w:spacing w:line="240" w:lineRule="auto" w:before="151"/>
        <w:ind w:right="119"/>
        <w:jc w:val="left"/>
      </w:pPr>
      <w:r>
        <w:rPr>
          <w:rFonts w:ascii="宋体" w:hAnsi="宋体" w:cs="宋体" w:eastAsia="宋体" w:hint="default"/>
        </w:rPr>
        <w:t>12,940.22</w:t>
      </w:r>
      <w:r>
        <w:rPr>
          <w:rFonts w:ascii="宋体" w:hAnsi="宋体" w:cs="宋体" w:eastAsia="宋体" w:hint="default"/>
          <w:spacing w:val="-61"/>
        </w:rPr>
        <w:t> </w:t>
      </w:r>
      <w:r>
        <w:rPr/>
        <w:t>万元，其余</w:t>
      </w:r>
      <w:r>
        <w:rPr>
          <w:spacing w:val="-60"/>
        </w:rPr>
        <w:t> </w:t>
      </w:r>
      <w:r>
        <w:rPr>
          <w:rFonts w:ascii="宋体" w:hAnsi="宋体" w:cs="宋体" w:eastAsia="宋体" w:hint="default"/>
        </w:rPr>
        <w:t>7,059.78</w:t>
      </w:r>
      <w:r>
        <w:rPr>
          <w:rFonts w:ascii="宋体" w:hAnsi="宋体" w:cs="宋体" w:eastAsia="宋体" w:hint="default"/>
          <w:spacing w:val="-60"/>
        </w:rPr>
        <w:t> </w:t>
      </w:r>
      <w:r>
        <w:rPr/>
        <w:t>万元计入其他非流动负债。</w:t>
      </w:r>
      <w:r>
        <w:rPr>
          <w:rFonts w:ascii="宋体" w:hAnsi="宋体" w:cs="宋体" w:eastAsia="宋体" w:hint="default"/>
        </w:rPr>
        <w:t>2017</w:t>
      </w:r>
      <w:r>
        <w:rPr>
          <w:rFonts w:ascii="宋体" w:hAnsi="宋体" w:cs="宋体" w:eastAsia="宋体" w:hint="default"/>
          <w:spacing w:val="-60"/>
        </w:rPr>
        <w:t> </w:t>
      </w:r>
      <w:r>
        <w:rPr/>
        <w:t>年信达资产受让了</w:t>
      </w:r>
    </w:p>
    <w:p>
      <w:pPr>
        <w:pStyle w:val="BodyText"/>
        <w:spacing w:line="240" w:lineRule="auto" w:before="154"/>
        <w:ind w:right="119"/>
        <w:jc w:val="left"/>
      </w:pPr>
      <w:r>
        <w:rPr/>
        <w:t>允升投资对子公司九江中宝的债权</w:t>
      </w:r>
      <w:r>
        <w:rPr>
          <w:spacing w:val="-60"/>
        </w:rPr>
        <w:t> </w:t>
      </w:r>
      <w:r>
        <w:rPr>
          <w:rFonts w:ascii="宋体" w:hAnsi="宋体" w:cs="宋体" w:eastAsia="宋体" w:hint="default"/>
        </w:rPr>
        <w:t>50,000</w:t>
      </w:r>
      <w:r>
        <w:rPr>
          <w:rFonts w:ascii="宋体" w:hAnsi="宋体" w:cs="宋体" w:eastAsia="宋体" w:hint="default"/>
          <w:spacing w:val="-60"/>
        </w:rPr>
        <w:t> </w:t>
      </w:r>
      <w:r>
        <w:rPr/>
        <w:t>万元，其中借款期限一年以内的负债</w:t>
      </w:r>
    </w:p>
    <w:p>
      <w:pPr>
        <w:pStyle w:val="BodyText"/>
        <w:spacing w:line="240" w:lineRule="auto" w:before="151"/>
        <w:ind w:right="119"/>
        <w:jc w:val="left"/>
      </w:pPr>
      <w:r>
        <w:rPr>
          <w:rFonts w:ascii="宋体" w:hAnsi="宋体" w:cs="宋体" w:eastAsia="宋体" w:hint="default"/>
        </w:rPr>
        <w:t>15,000</w:t>
      </w:r>
      <w:r>
        <w:rPr>
          <w:rFonts w:ascii="宋体" w:hAnsi="宋体" w:cs="宋体" w:eastAsia="宋体" w:hint="default"/>
          <w:spacing w:val="-61"/>
        </w:rPr>
        <w:t> </w:t>
      </w:r>
      <w:r>
        <w:rPr/>
        <w:t>万元计入其他流动负债，剩余借款期限一年以内的负债</w:t>
      </w:r>
      <w:r>
        <w:rPr>
          <w:spacing w:val="-59"/>
        </w:rPr>
        <w:t> </w:t>
      </w:r>
      <w:r>
        <w:rPr>
          <w:rFonts w:ascii="宋体" w:hAnsi="宋体" w:cs="宋体" w:eastAsia="宋体" w:hint="default"/>
        </w:rPr>
        <w:t>10,000</w:t>
      </w:r>
      <w:r>
        <w:rPr>
          <w:rFonts w:ascii="宋体" w:hAnsi="宋体" w:cs="宋体" w:eastAsia="宋体" w:hint="default"/>
          <w:spacing w:val="-60"/>
        </w:rPr>
        <w:t> </w:t>
      </w:r>
      <w:r>
        <w:rPr/>
        <w:t>万元计入一年</w:t>
      </w:r>
    </w:p>
    <w:p>
      <w:pPr>
        <w:pStyle w:val="BodyText"/>
        <w:spacing w:line="240" w:lineRule="auto" w:before="154"/>
        <w:ind w:right="119"/>
        <w:jc w:val="left"/>
      </w:pPr>
      <w:r>
        <w:rPr/>
        <w:t>内到期的非流动负债，剩余</w:t>
      </w:r>
      <w:r>
        <w:rPr>
          <w:spacing w:val="-60"/>
        </w:rPr>
        <w:t> </w:t>
      </w:r>
      <w:r>
        <w:rPr>
          <w:rFonts w:ascii="宋体" w:hAnsi="宋体" w:cs="宋体" w:eastAsia="宋体" w:hint="default"/>
        </w:rPr>
        <w:t>25,000</w:t>
      </w:r>
      <w:r>
        <w:rPr>
          <w:rFonts w:ascii="宋体" w:hAnsi="宋体" w:cs="宋体" w:eastAsia="宋体" w:hint="default"/>
          <w:spacing w:val="-60"/>
        </w:rPr>
        <w:t> </w:t>
      </w:r>
      <w:r>
        <w:rPr/>
        <w:t>万元计入其他非流动负债。</w:t>
      </w:r>
    </w:p>
    <w:p>
      <w:pPr>
        <w:pStyle w:val="BodyText"/>
        <w:spacing w:line="240" w:lineRule="auto" w:before="151"/>
        <w:ind w:left="618" w:right="119"/>
        <w:jc w:val="left"/>
      </w:pPr>
      <w:r>
        <w:rPr>
          <w:rFonts w:ascii="宋体" w:hAnsi="宋体" w:cs="宋体" w:eastAsia="宋体" w:hint="default"/>
        </w:rPr>
        <w:t>4) 2016</w:t>
      </w:r>
      <w:r>
        <w:rPr>
          <w:rFonts w:ascii="宋体" w:hAnsi="宋体" w:cs="宋体" w:eastAsia="宋体" w:hint="default"/>
          <w:spacing w:val="-60"/>
        </w:rPr>
        <w:t> </w:t>
      </w:r>
      <w:r>
        <w:rPr/>
        <w:t>年本公司将持有的新湖地产</w:t>
      </w:r>
      <w:r>
        <w:rPr>
          <w:spacing w:val="-60"/>
        </w:rPr>
        <w:t> </w:t>
      </w:r>
      <w:r>
        <w:rPr>
          <w:rFonts w:ascii="宋体" w:hAnsi="宋体" w:cs="宋体" w:eastAsia="宋体" w:hint="default"/>
        </w:rPr>
        <w:t>5,000</w:t>
      </w:r>
      <w:r>
        <w:rPr>
          <w:rFonts w:ascii="宋体" w:hAnsi="宋体" w:cs="宋体" w:eastAsia="宋体" w:hint="default"/>
          <w:spacing w:val="-60"/>
        </w:rPr>
        <w:t> </w:t>
      </w:r>
      <w:r>
        <w:rPr/>
        <w:t>万股股权收益权转让给中国民生信托</w:t>
      </w:r>
    </w:p>
    <w:p>
      <w:pPr>
        <w:pStyle w:val="BodyText"/>
        <w:spacing w:line="240" w:lineRule="auto" w:before="154"/>
        <w:ind w:right="119"/>
        <w:jc w:val="left"/>
      </w:pPr>
      <w:r>
        <w:rPr/>
        <w:t>有限公司，转让价格为</w:t>
      </w:r>
      <w:r>
        <w:rPr>
          <w:spacing w:val="-60"/>
        </w:rPr>
        <w:t> </w:t>
      </w:r>
      <w:r>
        <w:rPr>
          <w:rFonts w:ascii="宋体" w:hAnsi="宋体" w:cs="宋体" w:eastAsia="宋体" w:hint="default"/>
        </w:rPr>
        <w:t>30,000</w:t>
      </w:r>
      <w:r>
        <w:rPr>
          <w:rFonts w:ascii="宋体" w:hAnsi="宋体" w:cs="宋体" w:eastAsia="宋体" w:hint="default"/>
          <w:spacing w:val="-60"/>
        </w:rPr>
        <w:t> </w:t>
      </w:r>
      <w:r>
        <w:rPr/>
        <w:t>万元，该项收益权将由公司回购，故收到的转让款作</w:t>
      </w:r>
    </w:p>
    <w:p>
      <w:pPr>
        <w:pStyle w:val="BodyText"/>
        <w:spacing w:line="240" w:lineRule="auto" w:before="152"/>
        <w:ind w:right="119"/>
        <w:jc w:val="left"/>
      </w:pPr>
      <w:r>
        <w:rPr/>
        <w:t>为负债处理，其中借款期限一年以内的负债</w:t>
      </w:r>
      <w:r>
        <w:rPr>
          <w:spacing w:val="-60"/>
        </w:rPr>
        <w:t> </w:t>
      </w:r>
      <w:r>
        <w:rPr>
          <w:rFonts w:ascii="宋体" w:hAnsi="宋体" w:cs="宋体" w:eastAsia="宋体" w:hint="default"/>
        </w:rPr>
        <w:t>5,000</w:t>
      </w:r>
      <w:r>
        <w:rPr>
          <w:rFonts w:ascii="宋体" w:hAnsi="宋体" w:cs="宋体" w:eastAsia="宋体" w:hint="default"/>
          <w:spacing w:val="-60"/>
        </w:rPr>
        <w:t> </w:t>
      </w:r>
      <w:r>
        <w:rPr/>
        <w:t>万元计入其他流动负债，其余</w:t>
      </w:r>
    </w:p>
    <w:p>
      <w:pPr>
        <w:pStyle w:val="BodyText"/>
        <w:spacing w:line="240" w:lineRule="auto" w:before="154"/>
        <w:ind w:right="119"/>
        <w:jc w:val="left"/>
      </w:pPr>
      <w:r>
        <w:rPr>
          <w:rFonts w:ascii="宋体" w:hAnsi="宋体" w:cs="宋体" w:eastAsia="宋体" w:hint="default"/>
        </w:rPr>
        <w:t>25,000</w:t>
      </w:r>
      <w:r>
        <w:rPr>
          <w:rFonts w:ascii="宋体" w:hAnsi="宋体" w:cs="宋体" w:eastAsia="宋体" w:hint="default"/>
          <w:spacing w:val="-61"/>
        </w:rPr>
        <w:t> </w:t>
      </w:r>
      <w:r>
        <w:rPr/>
        <w:t>万元计入其他非流动负债。本期已全额偿还该负债</w:t>
      </w:r>
      <w:r>
        <w:rPr>
          <w:spacing w:val="-60"/>
        </w:rPr>
        <w:t> </w:t>
      </w:r>
      <w:r>
        <w:rPr>
          <w:rFonts w:ascii="宋体" w:hAnsi="宋体" w:cs="宋体" w:eastAsia="宋体" w:hint="default"/>
        </w:rPr>
        <w:t>30,000</w:t>
      </w:r>
      <w:r>
        <w:rPr>
          <w:rFonts w:ascii="宋体" w:hAnsi="宋体" w:cs="宋体" w:eastAsia="宋体" w:hint="default"/>
          <w:spacing w:val="-60"/>
        </w:rPr>
        <w:t> </w:t>
      </w:r>
      <w:r>
        <w:rPr/>
        <w:t>万元。</w:t>
      </w:r>
    </w:p>
    <w:p>
      <w:pPr>
        <w:spacing w:after="0" w:line="240" w:lineRule="auto"/>
        <w:jc w:val="left"/>
        <w:sectPr>
          <w:pgSz w:w="11910" w:h="16840"/>
          <w:pgMar w:header="0" w:footer="1195" w:top="1120" w:bottom="1380" w:left="1660" w:right="1040"/>
        </w:sectPr>
      </w:pPr>
    </w:p>
    <w:p>
      <w:pPr>
        <w:spacing w:line="240" w:lineRule="auto" w:before="5"/>
        <w:rPr>
          <w:rFonts w:ascii="宋体" w:hAnsi="宋体" w:cs="宋体" w:eastAsia="宋体" w:hint="default"/>
          <w:sz w:val="25"/>
          <w:szCs w:val="25"/>
        </w:rPr>
      </w:pPr>
    </w:p>
    <w:p>
      <w:pPr>
        <w:pStyle w:val="BodyText"/>
        <w:spacing w:line="240" w:lineRule="auto" w:before="26"/>
        <w:ind w:left="998" w:right="584"/>
        <w:jc w:val="left"/>
        <w:rPr>
          <w:rFonts w:ascii="宋体" w:hAnsi="宋体" w:cs="宋体" w:eastAsia="宋体" w:hint="default"/>
        </w:rPr>
      </w:pPr>
      <w:r>
        <w:rPr>
          <w:rFonts w:ascii="宋体" w:hAnsi="宋体" w:cs="宋体" w:eastAsia="宋体" w:hint="default"/>
        </w:rPr>
        <w:t>5) 2016</w:t>
      </w:r>
      <w:r>
        <w:rPr>
          <w:rFonts w:ascii="宋体" w:hAnsi="宋体" w:cs="宋体" w:eastAsia="宋体" w:hint="default"/>
          <w:spacing w:val="-59"/>
        </w:rPr>
        <w:t> </w:t>
      </w:r>
      <w:r>
        <w:rPr/>
        <w:t>年公司将持有的上海新湖城市开发有限公司（以下简称上海城开）</w:t>
      </w:r>
      <w:r>
        <w:rPr>
          <w:rFonts w:ascii="宋体" w:hAnsi="宋体" w:cs="宋体" w:eastAsia="宋体" w:hint="default"/>
        </w:rPr>
        <w:t>80%</w:t>
      </w:r>
    </w:p>
    <w:p>
      <w:pPr>
        <w:pStyle w:val="BodyText"/>
        <w:spacing w:line="357" w:lineRule="auto" w:before="154"/>
        <w:ind w:left="518" w:right="533"/>
        <w:jc w:val="both"/>
      </w:pPr>
      <w:r>
        <w:rPr/>
        <w:t>的股权转让给中信信托有限责任公司（以下简称中信信托），转让价格为</w:t>
      </w:r>
      <w:r>
        <w:rPr>
          <w:spacing w:val="-60"/>
        </w:rPr>
        <w:t> </w:t>
      </w:r>
      <w:r>
        <w:rPr>
          <w:rFonts w:ascii="宋体" w:hAnsi="宋体" w:cs="宋体" w:eastAsia="宋体" w:hint="default"/>
        </w:rPr>
        <w:t>40,000</w:t>
      </w:r>
      <w:r>
        <w:rPr>
          <w:rFonts w:ascii="宋体" w:hAnsi="宋体" w:cs="宋体" w:eastAsia="宋体" w:hint="default"/>
          <w:spacing w:val="-61"/>
        </w:rPr>
        <w:t> </w:t>
      </w:r>
      <w:r>
        <w:rPr/>
        <w:t>万 </w:t>
      </w:r>
      <w:r>
        <w:rPr>
          <w:spacing w:val="-8"/>
        </w:rPr>
        <w:t>元，公司有权回购该项股权，且预计回购可能性较大，故收到的转让款作为负债处理，</w:t>
      </w:r>
      <w:r>
        <w:rPr>
          <w:spacing w:val="-104"/>
        </w:rPr>
        <w:t> </w:t>
      </w:r>
      <w:r>
        <w:rPr>
          <w:spacing w:val="-104"/>
        </w:rPr>
      </w:r>
      <w:r>
        <w:rPr/>
        <w:t>计入其他非流动负债。</w:t>
      </w: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0" w:footer="1195" w:top="1120" w:bottom="1380" w:left="1280" w:right="740"/>
        </w:sectPr>
      </w:pPr>
    </w:p>
    <w:p>
      <w:pPr>
        <w:pStyle w:val="Heading2"/>
        <w:spacing w:line="240" w:lineRule="auto"/>
        <w:ind w:left="518" w:right="-19"/>
        <w:jc w:val="left"/>
        <w:rPr>
          <w:b w:val="0"/>
          <w:bCs w:val="0"/>
        </w:rPr>
      </w:pPr>
      <w:r>
        <w:rPr>
          <w:rFonts w:ascii="宋体" w:hAnsi="宋体" w:cs="宋体" w:eastAsia="宋体" w:hint="default"/>
        </w:rPr>
        <w:t>38</w:t>
      </w:r>
      <w:r>
        <w:rPr/>
        <w:t>、</w:t>
      </w:r>
      <w:r>
        <w:rPr>
          <w:spacing w:val="-100"/>
        </w:rPr>
        <w:t> </w:t>
      </w:r>
      <w:r>
        <w:rPr/>
        <w:t>股本</w:t>
      </w:r>
      <w:r>
        <w:rPr>
          <w:b w:val="0"/>
          <w:bCs w:val="0"/>
        </w:rPr>
      </w:r>
    </w:p>
    <w:p>
      <w:pPr>
        <w:pStyle w:val="BodyText"/>
        <w:spacing w:line="240" w:lineRule="auto" w:before="58"/>
        <w:ind w:left="5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718" w:val="left" w:leader="none"/>
        </w:tabs>
        <w:spacing w:line="240" w:lineRule="auto"/>
        <w:ind w:left="518" w:right="0"/>
        <w:jc w:val="left"/>
      </w:pPr>
      <w:r>
        <w:rPr/>
        <w:t>单位：元</w:t>
        <w:tab/>
        <w:t>币种：人民币</w:t>
      </w:r>
    </w:p>
    <w:p>
      <w:pPr>
        <w:spacing w:after="0" w:line="240" w:lineRule="auto"/>
        <w:jc w:val="left"/>
        <w:sectPr>
          <w:type w:val="continuous"/>
          <w:pgSz w:w="11910" w:h="16840"/>
          <w:pgMar w:top="1000" w:bottom="280" w:left="1280" w:right="740"/>
          <w:cols w:num="2" w:equalWidth="0">
            <w:col w:w="2319" w:space="3874"/>
            <w:col w:w="3697"/>
          </w:cols>
        </w:sectPr>
      </w:pPr>
    </w:p>
    <w:p>
      <w:pPr>
        <w:spacing w:line="240" w:lineRule="auto" w:before="10"/>
        <w:rPr>
          <w:rFonts w:ascii="宋体" w:hAnsi="宋体" w:cs="宋体" w:eastAsia="宋体" w:hint="default"/>
          <w:sz w:val="2"/>
          <w:szCs w:val="2"/>
        </w:rPr>
      </w:pPr>
    </w:p>
    <w:tbl>
      <w:tblPr>
        <w:tblW w:w="0" w:type="auto"/>
        <w:jc w:val="left"/>
        <w:tblInd w:w="174" w:type="dxa"/>
        <w:tblLayout w:type="fixed"/>
        <w:tblCellMar>
          <w:top w:w="0" w:type="dxa"/>
          <w:left w:w="0" w:type="dxa"/>
          <w:bottom w:w="0" w:type="dxa"/>
          <w:right w:w="0" w:type="dxa"/>
        </w:tblCellMar>
        <w:tblLook w:val="01E0"/>
      </w:tblPr>
      <w:tblGrid>
        <w:gridCol w:w="1493"/>
        <w:gridCol w:w="2137"/>
        <w:gridCol w:w="706"/>
        <w:gridCol w:w="706"/>
        <w:gridCol w:w="778"/>
        <w:gridCol w:w="790"/>
        <w:gridCol w:w="766"/>
        <w:gridCol w:w="2137"/>
      </w:tblGrid>
      <w:tr>
        <w:trPr>
          <w:trHeight w:val="322" w:hRule="exact"/>
        </w:trPr>
        <w:tc>
          <w:tcPr>
            <w:tcW w:w="1493" w:type="dxa"/>
            <w:vMerge w:val="restart"/>
            <w:tcBorders>
              <w:top w:val="single" w:sz="4" w:space="0" w:color="000000"/>
              <w:left w:val="single" w:sz="4" w:space="0" w:color="000000"/>
              <w:right w:val="single" w:sz="4" w:space="0" w:color="000000"/>
            </w:tcBorders>
          </w:tcPr>
          <w:p>
            <w:pPr/>
          </w:p>
        </w:tc>
        <w:tc>
          <w:tcPr>
            <w:tcW w:w="213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left="583"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37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07" w:right="0"/>
              <w:jc w:val="left"/>
              <w:rPr>
                <w:rFonts w:ascii="宋体" w:hAnsi="宋体" w:cs="宋体" w:eastAsia="宋体" w:hint="default"/>
                <w:sz w:val="24"/>
                <w:szCs w:val="24"/>
              </w:rPr>
            </w:pPr>
            <w:r>
              <w:rPr>
                <w:rFonts w:ascii="宋体" w:hAnsi="宋体" w:cs="宋体" w:eastAsia="宋体" w:hint="default"/>
                <w:sz w:val="24"/>
                <w:szCs w:val="24"/>
              </w:rPr>
              <w:t>本次变动增减（</w:t>
            </w:r>
            <w:r>
              <w:rPr>
                <w:rFonts w:ascii="宋体" w:hAnsi="宋体" w:cs="宋体" w:eastAsia="宋体" w:hint="default"/>
                <w:sz w:val="24"/>
                <w:szCs w:val="24"/>
              </w:rPr>
              <w:t>+</w:t>
            </w:r>
            <w:r>
              <w:rPr>
                <w:rFonts w:ascii="宋体" w:hAnsi="宋体" w:cs="宋体" w:eastAsia="宋体" w:hint="default"/>
                <w:sz w:val="24"/>
                <w:szCs w:val="24"/>
              </w:rPr>
              <w:t>、一）</w:t>
            </w:r>
          </w:p>
        </w:tc>
        <w:tc>
          <w:tcPr>
            <w:tcW w:w="213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left="583"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943" w:hRule="exact"/>
        </w:trPr>
        <w:tc>
          <w:tcPr>
            <w:tcW w:w="1493" w:type="dxa"/>
            <w:vMerge/>
            <w:tcBorders>
              <w:left w:val="single" w:sz="4" w:space="0" w:color="000000"/>
              <w:bottom w:val="single" w:sz="4" w:space="0" w:color="000000"/>
              <w:right w:val="single" w:sz="4" w:space="0" w:color="000000"/>
            </w:tcBorders>
          </w:tcPr>
          <w:p>
            <w:pPr/>
          </w:p>
        </w:tc>
        <w:tc>
          <w:tcPr>
            <w:tcW w:w="2137" w:type="dxa"/>
            <w:vMerge/>
            <w:tcBorders>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07" w:right="107"/>
              <w:jc w:val="left"/>
              <w:rPr>
                <w:rFonts w:ascii="宋体" w:hAnsi="宋体" w:cs="宋体" w:eastAsia="宋体" w:hint="default"/>
                <w:sz w:val="24"/>
                <w:szCs w:val="24"/>
              </w:rPr>
            </w:pPr>
            <w:r>
              <w:rPr>
                <w:rFonts w:ascii="宋体" w:hAnsi="宋体" w:cs="宋体" w:eastAsia="宋体" w:hint="default"/>
                <w:sz w:val="24"/>
                <w:szCs w:val="24"/>
              </w:rPr>
              <w:t>发行 新股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7" w:right="0"/>
              <w:jc w:val="left"/>
              <w:rPr>
                <w:rFonts w:ascii="宋体" w:hAnsi="宋体" w:cs="宋体" w:eastAsia="宋体" w:hint="default"/>
                <w:sz w:val="24"/>
                <w:szCs w:val="24"/>
              </w:rPr>
            </w:pPr>
            <w:r>
              <w:rPr>
                <w:rFonts w:ascii="宋体" w:hAnsi="宋体" w:cs="宋体" w:eastAsia="宋体" w:hint="default"/>
                <w:sz w:val="24"/>
                <w:szCs w:val="24"/>
              </w:rPr>
              <w:t>送股</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公积</w:t>
            </w:r>
          </w:p>
          <w:p>
            <w:pPr>
              <w:pStyle w:val="TableParagraph"/>
              <w:spacing w:line="312" w:lineRule="exact" w:before="29"/>
              <w:ind w:left="141" w:right="144"/>
              <w:jc w:val="center"/>
              <w:rPr>
                <w:rFonts w:ascii="宋体" w:hAnsi="宋体" w:cs="宋体" w:eastAsia="宋体" w:hint="default"/>
                <w:sz w:val="24"/>
                <w:szCs w:val="24"/>
              </w:rPr>
            </w:pPr>
            <w:r>
              <w:rPr>
                <w:rFonts w:ascii="宋体" w:hAnsi="宋体" w:cs="宋体" w:eastAsia="宋体" w:hint="default"/>
                <w:sz w:val="24"/>
                <w:szCs w:val="24"/>
              </w:rPr>
              <w:t>金 转股</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4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2137" w:type="dxa"/>
            <w:vMerge/>
            <w:tcBorders>
              <w:left w:val="single" w:sz="4" w:space="0" w:color="000000"/>
              <w:bottom w:val="single" w:sz="4" w:space="0" w:color="000000"/>
              <w:right w:val="single" w:sz="4" w:space="0" w:color="000000"/>
            </w:tcBorders>
          </w:tcPr>
          <w:p>
            <w:pPr/>
          </w:p>
        </w:tc>
      </w:tr>
      <w:tr>
        <w:trPr>
          <w:trHeight w:val="322"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1" w:right="0"/>
              <w:jc w:val="left"/>
              <w:rPr>
                <w:rFonts w:ascii="宋体" w:hAnsi="宋体" w:cs="宋体" w:eastAsia="宋体" w:hint="default"/>
                <w:sz w:val="24"/>
                <w:szCs w:val="24"/>
              </w:rPr>
            </w:pPr>
            <w:r>
              <w:rPr>
                <w:rFonts w:ascii="宋体" w:hAnsi="宋体" w:cs="宋体" w:eastAsia="宋体" w:hint="default"/>
                <w:sz w:val="24"/>
                <w:szCs w:val="24"/>
              </w:rPr>
              <w:t>股份总数</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8,599,343,536.00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8,599,343,536.00</w:t>
            </w:r>
          </w:p>
        </w:tc>
      </w:tr>
    </w:tbl>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00" w:bottom="280" w:left="1280" w:right="740"/>
        </w:sectPr>
      </w:pPr>
    </w:p>
    <w:p>
      <w:pPr>
        <w:pStyle w:val="Heading2"/>
        <w:spacing w:line="240" w:lineRule="auto"/>
        <w:ind w:left="518" w:right="-19"/>
        <w:jc w:val="left"/>
        <w:rPr>
          <w:b w:val="0"/>
          <w:bCs w:val="0"/>
        </w:rPr>
      </w:pPr>
      <w:r>
        <w:rPr>
          <w:rFonts w:ascii="宋体" w:hAnsi="宋体" w:cs="宋体" w:eastAsia="宋体" w:hint="default"/>
        </w:rPr>
        <w:t>39</w:t>
      </w:r>
      <w:r>
        <w:rPr/>
        <w:t>、</w:t>
      </w:r>
      <w:r>
        <w:rPr>
          <w:spacing w:val="-102"/>
        </w:rPr>
        <w:t> </w:t>
      </w:r>
      <w:r>
        <w:rPr/>
        <w:t>资本公积</w:t>
      </w:r>
      <w:r>
        <w:rPr>
          <w:b w:val="0"/>
          <w:bCs w:val="0"/>
        </w:rPr>
      </w:r>
    </w:p>
    <w:p>
      <w:pPr>
        <w:pStyle w:val="BodyText"/>
        <w:spacing w:line="240" w:lineRule="auto" w:before="58"/>
        <w:ind w:left="5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718" w:val="left" w:leader="none"/>
        </w:tabs>
        <w:spacing w:line="240" w:lineRule="auto"/>
        <w:ind w:left="518" w:right="0"/>
        <w:jc w:val="left"/>
      </w:pPr>
      <w:r>
        <w:rPr/>
        <w:t>单位：元</w:t>
        <w:tab/>
        <w:t>币种：人民币</w:t>
      </w:r>
    </w:p>
    <w:p>
      <w:pPr>
        <w:spacing w:after="0" w:line="240" w:lineRule="auto"/>
        <w:jc w:val="left"/>
        <w:sectPr>
          <w:type w:val="continuous"/>
          <w:pgSz w:w="11910" w:h="16840"/>
          <w:pgMar w:top="1000" w:bottom="280" w:left="1280" w:right="740"/>
          <w:cols w:num="2" w:equalWidth="0">
            <w:col w:w="2319" w:space="3874"/>
            <w:col w:w="3697"/>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458"/>
        <w:gridCol w:w="1980"/>
        <w:gridCol w:w="1620"/>
        <w:gridCol w:w="1621"/>
        <w:gridCol w:w="1980"/>
      </w:tblGrid>
      <w:tr>
        <w:trPr>
          <w:trHeight w:val="32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3"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本期增加</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本期减少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4"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资本溢价（股本溢价）</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7,950,437,718.43</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sz w:val="24"/>
              </w:rPr>
              <w:t>63,156,445.26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7,887,281,273.17</w:t>
            </w:r>
          </w:p>
        </w:tc>
      </w:tr>
      <w:tr>
        <w:trPr>
          <w:trHeight w:val="32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其他资本公积</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27,225,413.23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60,487,799.07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6" w:right="0"/>
              <w:jc w:val="center"/>
              <w:rPr>
                <w:rFonts w:ascii="宋体" w:hAnsi="宋体" w:cs="宋体" w:eastAsia="宋体" w:hint="default"/>
                <w:sz w:val="24"/>
                <w:szCs w:val="24"/>
              </w:rPr>
            </w:pPr>
            <w:r>
              <w:rPr>
                <w:rFonts w:ascii="宋体"/>
                <w:sz w:val="24"/>
              </w:rPr>
              <w:t>6,880,000.00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80,833,212.30</w:t>
            </w:r>
          </w:p>
        </w:tc>
      </w:tr>
      <w:tr>
        <w:trPr>
          <w:trHeight w:val="32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7,977,663,131.66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60,487,799.07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sz w:val="24"/>
              </w:rPr>
              <w:t>70,036,445.26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7,968,114,485.47</w:t>
            </w:r>
          </w:p>
        </w:tc>
      </w:tr>
    </w:tbl>
    <w:p>
      <w:pPr>
        <w:spacing w:line="240" w:lineRule="auto" w:before="8"/>
        <w:rPr>
          <w:rFonts w:ascii="宋体" w:hAnsi="宋体" w:cs="宋体" w:eastAsia="宋体" w:hint="default"/>
          <w:sz w:val="18"/>
          <w:szCs w:val="18"/>
        </w:rPr>
      </w:pPr>
    </w:p>
    <w:p>
      <w:pPr>
        <w:pStyle w:val="BodyText"/>
        <w:spacing w:line="313" w:lineRule="exact" w:before="26"/>
        <w:ind w:left="518" w:right="584"/>
        <w:jc w:val="left"/>
      </w:pPr>
      <w:r>
        <w:rPr/>
        <w:t>其他说明，包括本期增减变动情况、变动原因说明：</w:t>
      </w:r>
    </w:p>
    <w:p>
      <w:pPr>
        <w:pStyle w:val="BodyText"/>
        <w:spacing w:line="357" w:lineRule="auto"/>
        <w:ind w:left="518" w:right="584" w:firstLine="484"/>
        <w:jc w:val="left"/>
      </w:pPr>
      <w:r>
        <w:rPr>
          <w:rFonts w:ascii="宋体" w:hAnsi="宋体" w:cs="宋体" w:eastAsia="宋体" w:hint="default"/>
        </w:rPr>
        <w:t>1) </w:t>
      </w:r>
      <w:r>
        <w:rPr/>
        <w:t>股本溢价本期减少</w:t>
      </w:r>
      <w:r>
        <w:rPr>
          <w:spacing w:val="-60"/>
        </w:rPr>
        <w:t> </w:t>
      </w:r>
      <w:r>
        <w:rPr>
          <w:rFonts w:ascii="宋体" w:hAnsi="宋体" w:cs="宋体" w:eastAsia="宋体" w:hint="default"/>
        </w:rPr>
        <w:t>63,156,445.26</w:t>
      </w:r>
      <w:r>
        <w:rPr>
          <w:rFonts w:ascii="宋体" w:hAnsi="宋体" w:cs="宋体" w:eastAsia="宋体" w:hint="default"/>
          <w:spacing w:val="-60"/>
        </w:rPr>
        <w:t> </w:t>
      </w:r>
      <w:r>
        <w:rPr/>
        <w:t>元系公司本期收购子公司少数股东股权， 购买少数股权新取得的长期股权投资与按照新增持股比例计算应享有子公司自购买 日或合并日开始持续计算的净资产份额之间的差额。</w:t>
      </w:r>
    </w:p>
    <w:p>
      <w:pPr>
        <w:pStyle w:val="BodyText"/>
        <w:spacing w:line="240" w:lineRule="auto" w:before="36"/>
        <w:ind w:left="938" w:right="0"/>
        <w:jc w:val="left"/>
      </w:pPr>
      <w:r>
        <w:rPr>
          <w:rFonts w:ascii="宋体" w:hAnsi="宋体" w:cs="宋体" w:eastAsia="宋体" w:hint="default"/>
        </w:rPr>
        <w:t>2) </w:t>
      </w:r>
      <w:r>
        <w:rPr/>
        <w:t>其他资本公积本期增加</w:t>
      </w:r>
      <w:r>
        <w:rPr>
          <w:spacing w:val="-60"/>
        </w:rPr>
        <w:t> </w:t>
      </w:r>
      <w:r>
        <w:rPr>
          <w:rFonts w:ascii="宋体" w:hAnsi="宋体" w:cs="宋体" w:eastAsia="宋体" w:hint="default"/>
        </w:rPr>
        <w:t>60,487,799.07</w:t>
      </w:r>
      <w:r>
        <w:rPr>
          <w:rFonts w:ascii="宋体" w:hAnsi="宋体" w:cs="宋体" w:eastAsia="宋体" w:hint="default"/>
          <w:spacing w:val="-60"/>
        </w:rPr>
        <w:t> </w:t>
      </w:r>
      <w:r>
        <w:rPr/>
        <w:t>元</w:t>
      </w:r>
      <w:r>
        <w:rPr>
          <w:spacing w:val="-108"/>
        </w:rPr>
        <w:t>，</w:t>
      </w:r>
      <w:r>
        <w:rPr/>
        <w:t>其中①公司实施的股票期权激励计</w:t>
      </w:r>
    </w:p>
    <w:p>
      <w:pPr>
        <w:pStyle w:val="BodyText"/>
        <w:spacing w:line="240" w:lineRule="auto" w:before="152"/>
        <w:ind w:left="518" w:right="0"/>
        <w:jc w:val="left"/>
      </w:pPr>
      <w:r>
        <w:rPr/>
        <w:t>划，根据《企业会计准则第</w:t>
      </w:r>
      <w:r>
        <w:rPr>
          <w:spacing w:val="-60"/>
        </w:rPr>
        <w:t> </w:t>
      </w:r>
      <w:r>
        <w:rPr>
          <w:rFonts w:ascii="宋体" w:hAnsi="宋体" w:cs="宋体" w:eastAsia="宋体" w:hint="default"/>
        </w:rPr>
        <w:t>11</w:t>
      </w:r>
      <w:r>
        <w:rPr>
          <w:rFonts w:ascii="宋体" w:hAnsi="宋体" w:cs="宋体" w:eastAsia="宋体" w:hint="default"/>
          <w:spacing w:val="-60"/>
        </w:rPr>
        <w:t> </w:t>
      </w:r>
      <w:r>
        <w:rPr/>
        <w:t>号——股份支付》的规定，将该股票期权在本期应分</w:t>
      </w:r>
    </w:p>
    <w:p>
      <w:pPr>
        <w:pStyle w:val="BodyText"/>
        <w:spacing w:line="357" w:lineRule="auto" w:before="154"/>
        <w:ind w:left="518" w:right="514"/>
        <w:jc w:val="left"/>
      </w:pPr>
      <w:r>
        <w:rPr/>
        <w:t>摊的费用</w:t>
      </w:r>
      <w:r>
        <w:rPr>
          <w:spacing w:val="-83"/>
        </w:rPr>
        <w:t> </w:t>
      </w:r>
      <w:r>
        <w:rPr>
          <w:rFonts w:ascii="宋体" w:hAnsi="宋体" w:cs="宋体" w:eastAsia="宋体" w:hint="default"/>
        </w:rPr>
        <w:t>43,441,178.76</w:t>
      </w:r>
      <w:r>
        <w:rPr>
          <w:rFonts w:ascii="宋体" w:hAnsi="宋体" w:cs="宋体" w:eastAsia="宋体" w:hint="default"/>
          <w:spacing w:val="-83"/>
        </w:rPr>
        <w:t> </w:t>
      </w:r>
      <w:r>
        <w:rPr/>
        <w:t>元计入资本公积（其他资本公积）；②本期本公司之联营公 司资本公积增加，本公司权益法核算相应增加资本公积（其他资本公积） </w:t>
      </w:r>
      <w:r>
        <w:rPr>
          <w:rFonts w:ascii="宋体" w:hAnsi="宋体" w:cs="宋体" w:eastAsia="宋体" w:hint="default"/>
        </w:rPr>
        <w:t>17,046,620.31</w:t>
      </w:r>
      <w:r>
        <w:rPr>
          <w:rFonts w:ascii="宋体" w:hAnsi="宋体" w:cs="宋体" w:eastAsia="宋体" w:hint="default"/>
          <w:spacing w:val="-61"/>
        </w:rPr>
        <w:t> </w:t>
      </w:r>
      <w:r>
        <w:rPr/>
        <w:t>元。</w:t>
      </w:r>
    </w:p>
    <w:p>
      <w:pPr>
        <w:pStyle w:val="BodyText"/>
        <w:spacing w:line="240" w:lineRule="auto" w:before="34"/>
        <w:ind w:left="1002" w:right="0"/>
        <w:jc w:val="left"/>
      </w:pPr>
      <w:r>
        <w:rPr>
          <w:rFonts w:ascii="宋体" w:hAnsi="宋体" w:cs="宋体" w:eastAsia="宋体" w:hint="default"/>
        </w:rPr>
        <w:t>3) </w:t>
      </w:r>
      <w:r>
        <w:rPr/>
        <w:t>本期本公司之联营公司资本公积减少，本公司权益法核算相应减少资本公积</w:t>
      </w:r>
    </w:p>
    <w:p>
      <w:pPr>
        <w:pStyle w:val="BodyText"/>
        <w:spacing w:line="240" w:lineRule="auto" w:before="154"/>
        <w:ind w:left="518" w:right="584"/>
        <w:jc w:val="left"/>
      </w:pPr>
      <w:r>
        <w:rPr/>
        <w:t>（其他资本公积）</w:t>
      </w:r>
      <w:r>
        <w:rPr>
          <w:rFonts w:ascii="宋体" w:hAnsi="宋体" w:cs="宋体" w:eastAsia="宋体" w:hint="default"/>
        </w:rPr>
        <w:t>6,880,000.00</w:t>
      </w:r>
      <w:r>
        <w:rPr>
          <w:rFonts w:ascii="宋体" w:hAnsi="宋体" w:cs="宋体" w:eastAsia="宋体" w:hint="default"/>
          <w:spacing w:val="-61"/>
        </w:rPr>
        <w:t> </w:t>
      </w:r>
      <w:r>
        <w:rPr/>
        <w:t>元。</w:t>
      </w:r>
    </w:p>
    <w:p>
      <w:pPr>
        <w:spacing w:after="0" w:line="240" w:lineRule="auto"/>
        <w:jc w:val="left"/>
        <w:sectPr>
          <w:type w:val="continuous"/>
          <w:pgSz w:w="11910" w:h="16840"/>
          <w:pgMar w:top="1000" w:bottom="280" w:left="1280" w:right="740"/>
        </w:sectPr>
      </w:pPr>
    </w:p>
    <w:p>
      <w:pPr>
        <w:spacing w:before="20"/>
        <w:ind w:left="7112" w:right="7138"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824"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86"/>
          <w:footerReference w:type="default" r:id="rId87"/>
          <w:pgSz w:w="16840" w:h="11910" w:orient="landscape"/>
          <w:pgMar w:header="0" w:footer="0" w:top="800" w:bottom="280" w:left="580" w:right="660"/>
        </w:sectPr>
      </w:pPr>
    </w:p>
    <w:p>
      <w:pPr>
        <w:pStyle w:val="Heading2"/>
        <w:spacing w:line="240" w:lineRule="auto"/>
        <w:ind w:left="860" w:right="-18"/>
        <w:jc w:val="left"/>
        <w:rPr>
          <w:b w:val="0"/>
          <w:bCs w:val="0"/>
        </w:rPr>
      </w:pPr>
      <w:r>
        <w:rPr>
          <w:rFonts w:ascii="宋体" w:hAnsi="宋体" w:cs="宋体" w:eastAsia="宋体" w:hint="default"/>
        </w:rPr>
        <w:t>40</w:t>
      </w:r>
      <w:r>
        <w:rPr/>
        <w:t>、</w:t>
      </w:r>
      <w:r>
        <w:rPr>
          <w:spacing w:val="-103"/>
        </w:rPr>
        <w:t> </w:t>
      </w:r>
      <w:r>
        <w:rPr/>
        <w:t>其他综合收益</w:t>
      </w:r>
      <w:r>
        <w:rPr>
          <w:b w:val="0"/>
          <w:bCs w:val="0"/>
        </w:rPr>
      </w:r>
    </w:p>
    <w:p>
      <w:pPr>
        <w:pStyle w:val="BodyText"/>
        <w:spacing w:line="240" w:lineRule="auto" w:before="58"/>
        <w:ind w:left="860"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2059" w:val="left" w:leader="none"/>
        </w:tabs>
        <w:spacing w:line="240" w:lineRule="auto"/>
        <w:ind w:left="860" w:right="0"/>
        <w:jc w:val="left"/>
      </w:pPr>
      <w:r>
        <w:rPr/>
        <w:t>单位：元</w:t>
        <w:tab/>
        <w:t>币种：人民币</w:t>
      </w:r>
    </w:p>
    <w:p>
      <w:pPr>
        <w:spacing w:after="0" w:line="240" w:lineRule="auto"/>
        <w:jc w:val="left"/>
        <w:sectPr>
          <w:type w:val="continuous"/>
          <w:pgSz w:w="16840" w:h="11910" w:orient="landscape"/>
          <w:pgMar w:top="1000" w:bottom="280" w:left="580" w:right="660"/>
          <w:cols w:num="2" w:equalWidth="0">
            <w:col w:w="2809" w:space="8425"/>
            <w:col w:w="4366"/>
          </w:cols>
        </w:sectPr>
      </w:pP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056"/>
        <w:gridCol w:w="1688"/>
        <w:gridCol w:w="1793"/>
        <w:gridCol w:w="1562"/>
        <w:gridCol w:w="1291"/>
        <w:gridCol w:w="1791"/>
        <w:gridCol w:w="1390"/>
        <w:gridCol w:w="1791"/>
      </w:tblGrid>
      <w:tr>
        <w:trPr>
          <w:trHeight w:val="281" w:hRule="exact"/>
        </w:trPr>
        <w:tc>
          <w:tcPr>
            <w:tcW w:w="405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29" w:right="624"/>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78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79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79" w:right="677"/>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829" w:hRule="exact"/>
        </w:trPr>
        <w:tc>
          <w:tcPr>
            <w:tcW w:w="4056" w:type="dxa"/>
            <w:vMerge/>
            <w:tcBorders>
              <w:left w:val="single" w:sz="4" w:space="0" w:color="000000"/>
              <w:bottom w:val="single" w:sz="4" w:space="0" w:color="000000"/>
              <w:right w:val="single" w:sz="4" w:space="0" w:color="000000"/>
            </w:tcBorders>
          </w:tcPr>
          <w:p>
            <w:pPr/>
          </w:p>
        </w:tc>
        <w:tc>
          <w:tcPr>
            <w:tcW w:w="1688" w:type="dxa"/>
            <w:vMerge/>
            <w:tcBorders>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9" w:right="154" w:hanging="526"/>
              <w:jc w:val="left"/>
              <w:rPr>
                <w:rFonts w:ascii="宋体" w:hAnsi="宋体" w:cs="宋体" w:eastAsia="宋体" w:hint="default"/>
                <w:sz w:val="21"/>
                <w:szCs w:val="21"/>
              </w:rPr>
            </w:pPr>
            <w:r>
              <w:rPr>
                <w:rFonts w:ascii="宋体" w:hAnsi="宋体" w:cs="宋体" w:eastAsia="宋体" w:hint="default"/>
                <w:sz w:val="21"/>
                <w:szCs w:val="21"/>
              </w:rPr>
              <w:t>本期所得税前发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生额</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减：前期计入</w:t>
            </w:r>
          </w:p>
          <w:p>
            <w:pPr>
              <w:pStyle w:val="TableParagraph"/>
              <w:spacing w:line="272" w:lineRule="exact" w:before="27"/>
              <w:ind w:left="146" w:right="141"/>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w w:val="100"/>
                <w:sz w:val="21"/>
                <w:szCs w:val="21"/>
              </w:rPr>
              <w:t> </w:t>
            </w:r>
            <w:r>
              <w:rPr>
                <w:rFonts w:ascii="宋体" w:hAnsi="宋体" w:cs="宋体" w:eastAsia="宋体" w:hint="default"/>
                <w:sz w:val="21"/>
                <w:szCs w:val="21"/>
              </w:rPr>
              <w:t>当期转入损益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9" w:right="113" w:hanging="317"/>
              <w:jc w:val="left"/>
              <w:rPr>
                <w:rFonts w:ascii="宋体" w:hAnsi="宋体" w:cs="宋体" w:eastAsia="宋体" w:hint="default"/>
                <w:sz w:val="21"/>
                <w:szCs w:val="21"/>
              </w:rPr>
            </w:pPr>
            <w:r>
              <w:rPr>
                <w:rFonts w:ascii="宋体" w:hAnsi="宋体" w:cs="宋体" w:eastAsia="宋体" w:hint="default"/>
                <w:sz w:val="21"/>
                <w:szCs w:val="21"/>
              </w:rPr>
              <w:t>减：所得税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费用</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85" w:right="152" w:hanging="632"/>
              <w:jc w:val="left"/>
              <w:rPr>
                <w:rFonts w:ascii="宋体" w:hAnsi="宋体" w:cs="宋体" w:eastAsia="宋体" w:hint="default"/>
                <w:sz w:val="21"/>
                <w:szCs w:val="21"/>
              </w:rPr>
            </w:pPr>
            <w:r>
              <w:rPr>
                <w:rFonts w:ascii="宋体" w:hAnsi="宋体" w:cs="宋体" w:eastAsia="宋体" w:hint="default"/>
                <w:sz w:val="21"/>
                <w:szCs w:val="21"/>
              </w:rPr>
              <w:t>税后归属于母公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8" w:right="161" w:hanging="106"/>
              <w:jc w:val="left"/>
              <w:rPr>
                <w:rFonts w:ascii="宋体" w:hAnsi="宋体" w:cs="宋体" w:eastAsia="宋体" w:hint="default"/>
                <w:sz w:val="21"/>
                <w:szCs w:val="21"/>
              </w:rPr>
            </w:pPr>
            <w:r>
              <w:rPr>
                <w:rFonts w:ascii="宋体" w:hAnsi="宋体" w:cs="宋体" w:eastAsia="宋体" w:hint="default"/>
                <w:sz w:val="21"/>
                <w:szCs w:val="21"/>
              </w:rPr>
              <w:t>税后归属于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少数股东</w:t>
            </w:r>
          </w:p>
        </w:tc>
        <w:tc>
          <w:tcPr>
            <w:tcW w:w="1791" w:type="dxa"/>
            <w:vMerge/>
            <w:tcBorders>
              <w:left w:val="single" w:sz="4" w:space="0" w:color="000000"/>
              <w:bottom w:val="single" w:sz="4" w:space="0" w:color="000000"/>
              <w:right w:val="single" w:sz="4" w:space="0" w:color="000000"/>
            </w:tcBorders>
          </w:tcPr>
          <w:p>
            <w:pPr/>
          </w:p>
        </w:tc>
      </w:tr>
      <w:tr>
        <w:trPr>
          <w:trHeight w:val="554" w:hRule="exact"/>
        </w:trPr>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一、以后不能重分类进损益的其他综合收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其中：重新计算设定受益计划净负债和净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权益法下在被投资单位不能重分类进损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益的其他综合收益中享有的份额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二、以后将重分类进损益的其他综合收益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-50,324,424.41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-159,039,078.51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339,473.92</w:t>
            </w:r>
          </w:p>
        </w:tc>
        <w:tc>
          <w:tcPr>
            <w:tcW w:w="1291"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-159,378,552.43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-209,702,976.84</w:t>
            </w:r>
          </w:p>
        </w:tc>
      </w:tr>
      <w:tr>
        <w:trPr>
          <w:trHeight w:val="555" w:hRule="exact"/>
        </w:trPr>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其中：权益法下在被投资单位以后将重分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-82,141,084.47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-461,998,314.50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-461,998,314.50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-544,139,398.97</w:t>
            </w:r>
          </w:p>
        </w:tc>
      </w:tr>
      <w:tr>
        <w:trPr>
          <w:trHeight w:val="283" w:hRule="exact"/>
        </w:trPr>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可供出售金融资产公允价值变动损益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5,897,863.67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-42,593,814.32</w:t>
            </w:r>
          </w:p>
        </w:tc>
        <w:tc>
          <w:tcPr>
            <w:tcW w:w="1562"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-42,593,814.32</w:t>
            </w:r>
          </w:p>
        </w:tc>
        <w:tc>
          <w:tcPr>
            <w:tcW w:w="13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-36,695,950.65</w:t>
            </w:r>
          </w:p>
        </w:tc>
      </w:tr>
      <w:tr>
        <w:trPr>
          <w:trHeight w:val="554" w:hRule="exact"/>
        </w:trPr>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持有至到期投资重分类为可供出售金融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现金流量套期损益的有效部分</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-56,912,731.01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345,553,050.31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339,473.92</w:t>
            </w:r>
          </w:p>
        </w:tc>
        <w:tc>
          <w:tcPr>
            <w:tcW w:w="1291"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345,213,576.39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288,300,845.38</w:t>
            </w:r>
          </w:p>
        </w:tc>
      </w:tr>
      <w:tr>
        <w:trPr>
          <w:trHeight w:val="283" w:hRule="exact"/>
        </w:trPr>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82,831,527.40</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0" w:right="0"/>
              <w:jc w:val="center"/>
              <w:rPr>
                <w:rFonts w:ascii="宋体" w:hAnsi="宋体" w:cs="宋体" w:eastAsia="宋体" w:hint="default"/>
                <w:sz w:val="21"/>
                <w:szCs w:val="21"/>
              </w:rPr>
            </w:pPr>
            <w:r>
              <w:rPr>
                <w:rFonts w:ascii="宋体"/>
                <w:sz w:val="21"/>
              </w:rPr>
              <w:t>82,831,527.40</w:t>
            </w:r>
          </w:p>
        </w:tc>
      </w:tr>
      <w:tr>
        <w:trPr>
          <w:trHeight w:val="281" w:hRule="exact"/>
        </w:trPr>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-50,324,424.41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-159,039,078.51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339,473.92</w:t>
            </w:r>
          </w:p>
        </w:tc>
        <w:tc>
          <w:tcPr>
            <w:tcW w:w="1291"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-159,378,552.43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-209,702,976.84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spacing w:before="63"/>
        <w:ind w:left="7112" w:right="7116" w:firstLine="0"/>
        <w:jc w:val="center"/>
        <w:rPr>
          <w:rFonts w:ascii="Calibri" w:hAnsi="Calibri" w:cs="Calibri" w:eastAsia="Calibri" w:hint="default"/>
          <w:sz w:val="18"/>
          <w:szCs w:val="18"/>
        </w:rPr>
      </w:pPr>
      <w:r>
        <w:rPr>
          <w:rFonts w:ascii="Calibri"/>
          <w:b/>
          <w:sz w:val="18"/>
        </w:rPr>
        <w:t>156 </w:t>
      </w:r>
      <w:r>
        <w:rPr>
          <w:rFonts w:ascii="Calibri"/>
          <w:sz w:val="18"/>
        </w:rPr>
        <w:t>/</w:t>
      </w:r>
      <w:r>
        <w:rPr>
          <w:rFonts w:ascii="Calibri"/>
          <w:spacing w:val="-5"/>
          <w:sz w:val="18"/>
        </w:rPr>
        <w:t> </w:t>
      </w:r>
      <w:r>
        <w:rPr>
          <w:rFonts w:ascii="Calibri"/>
          <w:b/>
          <w:sz w:val="18"/>
        </w:rPr>
        <w:t>221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000" w:bottom="280" w:left="580" w:right="66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9"/>
        <w:rPr>
          <w:rFonts w:ascii="Calibri" w:hAnsi="Calibri" w:cs="Calibri" w:eastAsia="Calibri" w:hint="default"/>
          <w:b/>
          <w:bCs/>
          <w:sz w:val="17"/>
          <w:szCs w:val="17"/>
        </w:rPr>
      </w:pPr>
    </w:p>
    <w:p>
      <w:pPr>
        <w:spacing w:after="0" w:line="240" w:lineRule="auto"/>
        <w:rPr>
          <w:rFonts w:ascii="Calibri" w:hAnsi="Calibri" w:cs="Calibri" w:eastAsia="Calibri" w:hint="default"/>
          <w:sz w:val="17"/>
          <w:szCs w:val="17"/>
        </w:rPr>
        <w:sectPr>
          <w:footerReference w:type="default" r:id="rId88"/>
          <w:pgSz w:w="11910" w:h="16840"/>
          <w:pgMar w:footer="1195" w:header="0" w:top="1120" w:bottom="1380" w:left="860" w:right="320"/>
          <w:pgNumType w:start="157"/>
        </w:sectPr>
      </w:pPr>
    </w:p>
    <w:p>
      <w:pPr>
        <w:pStyle w:val="Heading2"/>
        <w:spacing w:line="240" w:lineRule="auto"/>
        <w:ind w:left="938" w:right="-19"/>
        <w:jc w:val="left"/>
        <w:rPr>
          <w:b w:val="0"/>
          <w:bCs w:val="0"/>
        </w:rPr>
      </w:pPr>
      <w:r>
        <w:rPr>
          <w:rFonts w:ascii="宋体" w:hAnsi="宋体" w:cs="宋体" w:eastAsia="宋体" w:hint="default"/>
        </w:rPr>
        <w:t>41</w:t>
      </w:r>
      <w:r>
        <w:rPr/>
        <w:t>、</w:t>
      </w:r>
      <w:r>
        <w:rPr>
          <w:spacing w:val="-102"/>
        </w:rPr>
        <w:t> </w:t>
      </w:r>
      <w:r>
        <w:rPr/>
        <w:t>盈余公积</w:t>
      </w:r>
      <w:r>
        <w:rPr>
          <w:b w:val="0"/>
          <w:bCs w:val="0"/>
        </w:rPr>
      </w:r>
    </w:p>
    <w:p>
      <w:pPr>
        <w:pStyle w:val="BodyText"/>
        <w:spacing w:line="240" w:lineRule="auto" w:before="58"/>
        <w:ind w:left="93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2138" w:val="left" w:leader="none"/>
        </w:tabs>
        <w:spacing w:line="240" w:lineRule="auto"/>
        <w:ind w:left="938" w:right="0"/>
        <w:jc w:val="left"/>
      </w:pPr>
      <w:r>
        <w:rPr/>
        <w:t>单位：元</w:t>
        <w:tab/>
        <w:t>币种：人民币</w:t>
      </w:r>
    </w:p>
    <w:p>
      <w:pPr>
        <w:spacing w:after="0" w:line="240" w:lineRule="auto"/>
        <w:jc w:val="left"/>
        <w:sectPr>
          <w:type w:val="continuous"/>
          <w:pgSz w:w="11910" w:h="16840"/>
          <w:pgMar w:top="1000" w:bottom="280" w:left="860" w:right="320"/>
          <w:cols w:num="2" w:equalWidth="0">
            <w:col w:w="2739" w:space="3454"/>
            <w:col w:w="4537"/>
          </w:cols>
        </w:sectPr>
      </w:pPr>
    </w:p>
    <w:p>
      <w:pPr>
        <w:spacing w:line="240" w:lineRule="auto" w:before="12"/>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1769"/>
        <w:gridCol w:w="1921"/>
        <w:gridCol w:w="1920"/>
        <w:gridCol w:w="1519"/>
        <w:gridCol w:w="2161"/>
      </w:tblGrid>
      <w:tr>
        <w:trPr>
          <w:trHeight w:val="322"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73"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72"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73"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93"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法定盈余公积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6"/>
              <w:jc w:val="right"/>
              <w:rPr>
                <w:rFonts w:ascii="宋体" w:hAnsi="宋体" w:cs="宋体" w:eastAsia="宋体" w:hint="default"/>
                <w:sz w:val="24"/>
                <w:szCs w:val="24"/>
              </w:rPr>
            </w:pPr>
            <w:r>
              <w:rPr>
                <w:rFonts w:ascii="宋体"/>
                <w:sz w:val="24"/>
              </w:rPr>
              <w:t>907,394,269.05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148,870,933.31</w:t>
            </w:r>
          </w:p>
        </w:tc>
        <w:tc>
          <w:tcPr>
            <w:tcW w:w="1519"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6"/>
              <w:jc w:val="right"/>
              <w:rPr>
                <w:rFonts w:ascii="宋体" w:hAnsi="宋体" w:cs="宋体" w:eastAsia="宋体" w:hint="default"/>
                <w:sz w:val="24"/>
                <w:szCs w:val="24"/>
              </w:rPr>
            </w:pPr>
            <w:r>
              <w:rPr>
                <w:rFonts w:ascii="宋体"/>
                <w:sz w:val="24"/>
              </w:rPr>
              <w:t>1,056,265,202.36</w:t>
            </w:r>
          </w:p>
        </w:tc>
      </w:tr>
      <w:tr>
        <w:trPr>
          <w:trHeight w:val="322"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任意盈余公积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6"/>
              <w:jc w:val="right"/>
              <w:rPr>
                <w:rFonts w:ascii="宋体" w:hAnsi="宋体" w:cs="宋体" w:eastAsia="宋体" w:hint="default"/>
                <w:sz w:val="24"/>
                <w:szCs w:val="24"/>
              </w:rPr>
            </w:pPr>
            <w:r>
              <w:rPr>
                <w:rFonts w:ascii="宋体"/>
                <w:sz w:val="24"/>
              </w:rPr>
              <w:t>2,838,547.34</w:t>
            </w:r>
          </w:p>
        </w:tc>
        <w:tc>
          <w:tcPr>
            <w:tcW w:w="19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4"/>
              <w:jc w:val="right"/>
              <w:rPr>
                <w:rFonts w:ascii="宋体" w:hAnsi="宋体" w:cs="宋体" w:eastAsia="宋体" w:hint="default"/>
                <w:sz w:val="24"/>
                <w:szCs w:val="24"/>
              </w:rPr>
            </w:pPr>
            <w:r>
              <w:rPr>
                <w:rFonts w:ascii="宋体"/>
                <w:sz w:val="24"/>
              </w:rPr>
              <w:t>2,838,547.34</w:t>
            </w:r>
          </w:p>
        </w:tc>
      </w:tr>
      <w:tr>
        <w:trPr>
          <w:trHeight w:val="322"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6"/>
              <w:jc w:val="right"/>
              <w:rPr>
                <w:rFonts w:ascii="宋体" w:hAnsi="宋体" w:cs="宋体" w:eastAsia="宋体" w:hint="default"/>
                <w:sz w:val="24"/>
                <w:szCs w:val="24"/>
              </w:rPr>
            </w:pPr>
            <w:r>
              <w:rPr>
                <w:rFonts w:ascii="宋体"/>
                <w:sz w:val="24"/>
              </w:rPr>
              <w:t>910,232,816.39</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148,870,933.31</w:t>
            </w:r>
          </w:p>
        </w:tc>
        <w:tc>
          <w:tcPr>
            <w:tcW w:w="1519"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6"/>
              <w:jc w:val="right"/>
              <w:rPr>
                <w:rFonts w:ascii="宋体" w:hAnsi="宋体" w:cs="宋体" w:eastAsia="宋体" w:hint="default"/>
                <w:sz w:val="24"/>
                <w:szCs w:val="24"/>
              </w:rPr>
            </w:pPr>
            <w:r>
              <w:rPr>
                <w:rFonts w:ascii="宋体"/>
                <w:sz w:val="24"/>
              </w:rPr>
              <w:t>1,059,103,749.70</w:t>
            </w:r>
          </w:p>
        </w:tc>
      </w:tr>
    </w:tbl>
    <w:p>
      <w:pPr>
        <w:spacing w:line="240" w:lineRule="auto" w:before="1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00" w:bottom="280" w:left="860" w:right="320"/>
        </w:sectPr>
      </w:pPr>
    </w:p>
    <w:p>
      <w:pPr>
        <w:pStyle w:val="Heading2"/>
        <w:spacing w:line="240" w:lineRule="auto"/>
        <w:ind w:left="938" w:right="-19"/>
        <w:jc w:val="left"/>
        <w:rPr>
          <w:b w:val="0"/>
          <w:bCs w:val="0"/>
        </w:rPr>
      </w:pPr>
      <w:r>
        <w:rPr>
          <w:rFonts w:ascii="宋体" w:hAnsi="宋体" w:cs="宋体" w:eastAsia="宋体" w:hint="default"/>
        </w:rPr>
        <w:t>42</w:t>
      </w:r>
      <w:r>
        <w:rPr/>
        <w:t>、</w:t>
      </w:r>
      <w:r>
        <w:rPr>
          <w:spacing w:val="-102"/>
        </w:rPr>
        <w:t> </w:t>
      </w:r>
      <w:r>
        <w:rPr/>
        <w:t>分配利润</w:t>
      </w:r>
      <w:r>
        <w:rPr>
          <w:b w:val="0"/>
          <w:bCs w:val="0"/>
        </w:rPr>
      </w:r>
    </w:p>
    <w:p>
      <w:pPr>
        <w:pStyle w:val="BodyText"/>
        <w:spacing w:line="240" w:lineRule="auto" w:before="58"/>
        <w:ind w:left="93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tabs>
          <w:tab w:pos="2138" w:val="left" w:leader="none"/>
        </w:tabs>
        <w:spacing w:line="240" w:lineRule="auto"/>
        <w:ind w:left="938" w:right="0"/>
        <w:jc w:val="left"/>
      </w:pPr>
      <w:r>
        <w:rPr/>
        <w:t>单位：元</w:t>
        <w:tab/>
        <w:t>币种：人民币</w:t>
      </w:r>
    </w:p>
    <w:p>
      <w:pPr>
        <w:spacing w:after="0" w:line="240" w:lineRule="auto"/>
        <w:jc w:val="left"/>
        <w:sectPr>
          <w:type w:val="continuous"/>
          <w:pgSz w:w="11910" w:h="16840"/>
          <w:pgMar w:top="1000" w:bottom="280" w:left="860" w:right="320"/>
          <w:cols w:num="2" w:equalWidth="0">
            <w:col w:w="2739" w:space="3454"/>
            <w:col w:w="4537"/>
          </w:cols>
        </w:sectPr>
      </w:pPr>
    </w:p>
    <w:p>
      <w:pPr>
        <w:spacing w:line="240" w:lineRule="auto" w:before="12"/>
        <w:rPr>
          <w:rFonts w:ascii="宋体" w:hAnsi="宋体" w:cs="宋体" w:eastAsia="宋体" w:hint="default"/>
          <w:sz w:val="2"/>
          <w:szCs w:val="2"/>
        </w:rPr>
      </w:pPr>
    </w:p>
    <w:tbl>
      <w:tblPr>
        <w:tblW w:w="0" w:type="auto"/>
        <w:jc w:val="left"/>
        <w:tblInd w:w="902" w:type="dxa"/>
        <w:tblLayout w:type="fixed"/>
        <w:tblCellMar>
          <w:top w:w="0" w:type="dxa"/>
          <w:left w:w="0" w:type="dxa"/>
          <w:bottom w:w="0" w:type="dxa"/>
          <w:right w:w="0" w:type="dxa"/>
        </w:tblCellMar>
        <w:tblLook w:val="01E0"/>
      </w:tblPr>
      <w:tblGrid>
        <w:gridCol w:w="4097"/>
        <w:gridCol w:w="2456"/>
        <w:gridCol w:w="2343"/>
      </w:tblGrid>
      <w:tr>
        <w:trPr>
          <w:trHeight w:val="319" w:hRule="exact"/>
        </w:trPr>
        <w:tc>
          <w:tcPr>
            <w:tcW w:w="40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本期</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上期</w:t>
            </w:r>
          </w:p>
        </w:tc>
      </w:tr>
      <w:tr>
        <w:trPr>
          <w:trHeight w:val="322" w:hRule="exact"/>
        </w:trPr>
        <w:tc>
          <w:tcPr>
            <w:tcW w:w="40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调整前上期末未分配利润</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right"/>
              <w:rPr>
                <w:rFonts w:ascii="宋体" w:hAnsi="宋体" w:cs="宋体" w:eastAsia="宋体" w:hint="default"/>
                <w:sz w:val="24"/>
                <w:szCs w:val="24"/>
              </w:rPr>
            </w:pPr>
            <w:r>
              <w:rPr>
                <w:rFonts w:ascii="宋体"/>
                <w:sz w:val="24"/>
              </w:rPr>
              <w:t>11,616,786,385.09</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6"/>
              <w:jc w:val="right"/>
              <w:rPr>
                <w:rFonts w:ascii="宋体" w:hAnsi="宋体" w:cs="宋体" w:eastAsia="宋体" w:hint="default"/>
                <w:sz w:val="24"/>
                <w:szCs w:val="24"/>
              </w:rPr>
            </w:pPr>
            <w:r>
              <w:rPr>
                <w:rFonts w:ascii="宋体"/>
                <w:sz w:val="24"/>
              </w:rPr>
              <w:t>6,331,411,362.06</w:t>
            </w:r>
          </w:p>
        </w:tc>
      </w:tr>
      <w:tr>
        <w:trPr>
          <w:trHeight w:val="634" w:hRule="exact"/>
        </w:trPr>
        <w:tc>
          <w:tcPr>
            <w:tcW w:w="409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调整期初未分配利润合计数（调增</w:t>
            </w:r>
            <w:r>
              <w:rPr>
                <w:rFonts w:ascii="宋体" w:hAnsi="宋体" w:cs="宋体" w:eastAsia="宋体" w:hint="default"/>
                <w:sz w:val="24"/>
                <w:szCs w:val="24"/>
              </w:rPr>
              <w:t>+</w:t>
            </w:r>
            <w:r>
              <w:rPr>
                <w:rFonts w:ascii="宋体" w:hAnsi="宋体" w:cs="宋体" w:eastAsia="宋体" w:hint="default"/>
                <w:sz w:val="24"/>
                <w:szCs w:val="24"/>
              </w:rPr>
              <w:t>，</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调减－）</w:t>
            </w:r>
          </w:p>
        </w:tc>
        <w:tc>
          <w:tcPr>
            <w:tcW w:w="2456"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调整后期初未分配利润</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11,616,786,385.09</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6,331,411,362.06</w:t>
            </w:r>
          </w:p>
        </w:tc>
      </w:tr>
      <w:tr>
        <w:trPr>
          <w:trHeight w:val="319" w:hRule="exact"/>
        </w:trPr>
        <w:tc>
          <w:tcPr>
            <w:tcW w:w="40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pacing w:val="-3"/>
                <w:sz w:val="24"/>
                <w:szCs w:val="24"/>
              </w:rPr>
              <w:t>加：本期归属于母公司所有者的净利润</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3,321,865,217.75</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5,838,460,777.01</w:t>
            </w:r>
          </w:p>
        </w:tc>
      </w:tr>
      <w:tr>
        <w:trPr>
          <w:trHeight w:val="322" w:hRule="exact"/>
        </w:trPr>
        <w:tc>
          <w:tcPr>
            <w:tcW w:w="40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减：提取法定盈余公积</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148,870,933.31</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right"/>
              <w:rPr>
                <w:rFonts w:ascii="宋体" w:hAnsi="宋体" w:cs="宋体" w:eastAsia="宋体" w:hint="default"/>
                <w:sz w:val="24"/>
                <w:szCs w:val="24"/>
              </w:rPr>
            </w:pPr>
            <w:r>
              <w:rPr>
                <w:rFonts w:ascii="宋体"/>
                <w:sz w:val="24"/>
              </w:rPr>
              <w:t>123,118,577.18</w:t>
            </w:r>
          </w:p>
        </w:tc>
      </w:tr>
      <w:tr>
        <w:trPr>
          <w:trHeight w:val="322" w:hRule="exact"/>
        </w:trPr>
        <w:tc>
          <w:tcPr>
            <w:tcW w:w="40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6" w:right="0"/>
              <w:jc w:val="left"/>
              <w:rPr>
                <w:rFonts w:ascii="宋体" w:hAnsi="宋体" w:cs="宋体" w:eastAsia="宋体" w:hint="default"/>
                <w:sz w:val="24"/>
                <w:szCs w:val="24"/>
              </w:rPr>
            </w:pPr>
            <w:r>
              <w:rPr>
                <w:rFonts w:ascii="宋体" w:hAnsi="宋体" w:cs="宋体" w:eastAsia="宋体" w:hint="default"/>
                <w:sz w:val="24"/>
                <w:szCs w:val="24"/>
              </w:rPr>
              <w:t>提取任意盈余公积</w:t>
            </w:r>
          </w:p>
        </w:tc>
        <w:tc>
          <w:tcPr>
            <w:tcW w:w="2456"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6" w:right="0"/>
              <w:jc w:val="left"/>
              <w:rPr>
                <w:rFonts w:ascii="宋体" w:hAnsi="宋体" w:cs="宋体" w:eastAsia="宋体" w:hint="default"/>
                <w:sz w:val="24"/>
                <w:szCs w:val="24"/>
              </w:rPr>
            </w:pPr>
            <w:r>
              <w:rPr>
                <w:rFonts w:ascii="宋体" w:hAnsi="宋体" w:cs="宋体" w:eastAsia="宋体" w:hint="default"/>
                <w:sz w:val="24"/>
                <w:szCs w:val="24"/>
              </w:rPr>
              <w:t>提取一般风险准备</w:t>
            </w:r>
          </w:p>
        </w:tc>
        <w:tc>
          <w:tcPr>
            <w:tcW w:w="2456"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6" w:right="0"/>
              <w:jc w:val="left"/>
              <w:rPr>
                <w:rFonts w:ascii="宋体" w:hAnsi="宋体" w:cs="宋体" w:eastAsia="宋体" w:hint="default"/>
                <w:sz w:val="24"/>
                <w:szCs w:val="24"/>
              </w:rPr>
            </w:pPr>
            <w:r>
              <w:rPr>
                <w:rFonts w:ascii="宋体" w:hAnsi="宋体" w:cs="宋体" w:eastAsia="宋体" w:hint="default"/>
                <w:sz w:val="24"/>
                <w:szCs w:val="24"/>
              </w:rPr>
              <w:t>应付普通股股利</w:t>
            </w:r>
          </w:p>
        </w:tc>
        <w:tc>
          <w:tcPr>
            <w:tcW w:w="2456"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429,967,176.80</w:t>
            </w:r>
          </w:p>
        </w:tc>
      </w:tr>
      <w:tr>
        <w:trPr>
          <w:trHeight w:val="322" w:hRule="exact"/>
        </w:trPr>
        <w:tc>
          <w:tcPr>
            <w:tcW w:w="40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6" w:right="0"/>
              <w:jc w:val="left"/>
              <w:rPr>
                <w:rFonts w:ascii="宋体" w:hAnsi="宋体" w:cs="宋体" w:eastAsia="宋体" w:hint="default"/>
                <w:sz w:val="24"/>
                <w:szCs w:val="24"/>
              </w:rPr>
            </w:pPr>
            <w:r>
              <w:rPr>
                <w:rFonts w:ascii="宋体" w:hAnsi="宋体" w:cs="宋体" w:eastAsia="宋体" w:hint="default"/>
                <w:sz w:val="24"/>
                <w:szCs w:val="24"/>
              </w:rPr>
              <w:t>转作股本的普通股股利</w:t>
            </w:r>
          </w:p>
        </w:tc>
        <w:tc>
          <w:tcPr>
            <w:tcW w:w="2456"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期末未分配利润</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14,789,780,669.53</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11,616,786,385.09</w:t>
            </w:r>
          </w:p>
        </w:tc>
      </w:tr>
    </w:tbl>
    <w:p>
      <w:pPr>
        <w:spacing w:line="240" w:lineRule="auto" w:before="2"/>
        <w:rPr>
          <w:rFonts w:ascii="宋体" w:hAnsi="宋体" w:cs="宋体" w:eastAsia="宋体" w:hint="default"/>
          <w:sz w:val="23"/>
          <w:szCs w:val="23"/>
        </w:rPr>
      </w:pPr>
    </w:p>
    <w:p>
      <w:pPr>
        <w:pStyle w:val="BodyText"/>
        <w:spacing w:line="283" w:lineRule="auto" w:before="26"/>
        <w:ind w:left="938" w:right="817"/>
        <w:jc w:val="left"/>
      </w:pPr>
      <w:r>
        <w:rPr/>
        <w:t>调整期初未分配利润明细： </w:t>
      </w:r>
      <w:r>
        <w:rPr>
          <w:rFonts w:ascii="宋体" w:hAnsi="宋体" w:cs="宋体" w:eastAsia="宋体" w:hint="default"/>
          <w:spacing w:val="-14"/>
        </w:rPr>
        <w:t>1</w:t>
      </w:r>
      <w:r>
        <w:rPr>
          <w:spacing w:val="-14"/>
        </w:rPr>
        <w:t>、由于《企业会计准则》及其相关新规定进行追溯调整，影响期初未分配利润</w:t>
      </w:r>
      <w:r>
        <w:rPr/>
        <w:t> </w:t>
      </w:r>
      <w:r>
        <w:rPr>
          <w:rFonts w:ascii="宋体" w:hAnsi="宋体" w:cs="宋体" w:eastAsia="宋体" w:hint="default"/>
        </w:rPr>
        <w:t>0.00</w:t>
      </w:r>
      <w:r>
        <w:rPr>
          <w:rFonts w:ascii="宋体" w:hAnsi="宋体" w:cs="宋体" w:eastAsia="宋体" w:hint="default"/>
          <w:spacing w:val="-39"/>
        </w:rPr>
        <w:t> </w:t>
      </w:r>
      <w:r>
        <w:rPr/>
        <w:t>元。</w:t>
      </w:r>
    </w:p>
    <w:p>
      <w:pPr>
        <w:pStyle w:val="BodyText"/>
        <w:spacing w:line="268" w:lineRule="exact"/>
        <w:ind w:left="938" w:right="817"/>
        <w:jc w:val="left"/>
      </w:pPr>
      <w:r>
        <w:rPr>
          <w:rFonts w:ascii="宋体" w:hAnsi="宋体" w:cs="宋体" w:eastAsia="宋体" w:hint="default"/>
        </w:rPr>
        <w:t>2</w:t>
      </w:r>
      <w:r>
        <w:rPr/>
        <w:t>、由于会计政策变更，影响期初未分配利润 </w:t>
      </w:r>
      <w:r>
        <w:rPr>
          <w:rFonts w:ascii="宋体" w:hAnsi="宋体" w:cs="宋体" w:eastAsia="宋体" w:hint="default"/>
        </w:rPr>
        <w:t>0.00</w:t>
      </w:r>
      <w:r>
        <w:rPr>
          <w:rFonts w:ascii="宋体" w:hAnsi="宋体" w:cs="宋体" w:eastAsia="宋体" w:hint="default"/>
          <w:spacing w:val="-60"/>
        </w:rPr>
        <w:t> </w:t>
      </w:r>
      <w:r>
        <w:rPr/>
        <w:t>元。</w:t>
      </w:r>
    </w:p>
    <w:p>
      <w:pPr>
        <w:pStyle w:val="BodyText"/>
        <w:spacing w:line="311" w:lineRule="exact"/>
        <w:ind w:left="938" w:right="817"/>
        <w:jc w:val="left"/>
      </w:pPr>
      <w:r>
        <w:rPr>
          <w:rFonts w:ascii="宋体" w:hAnsi="宋体" w:cs="宋体" w:eastAsia="宋体" w:hint="default"/>
        </w:rPr>
        <w:t>3</w:t>
      </w:r>
      <w:r>
        <w:rPr/>
        <w:t>、由于重大会计差错更正，影响期初未分配利润 </w:t>
      </w:r>
      <w:r>
        <w:rPr>
          <w:rFonts w:ascii="宋体" w:hAnsi="宋体" w:cs="宋体" w:eastAsia="宋体" w:hint="default"/>
        </w:rPr>
        <w:t>0.00</w:t>
      </w:r>
      <w:r>
        <w:rPr>
          <w:rFonts w:ascii="宋体" w:hAnsi="宋体" w:cs="宋体" w:eastAsia="宋体" w:hint="default"/>
          <w:spacing w:val="-60"/>
        </w:rPr>
        <w:t> </w:t>
      </w:r>
      <w:r>
        <w:rPr/>
        <w:t>元。</w:t>
      </w:r>
    </w:p>
    <w:p>
      <w:pPr>
        <w:pStyle w:val="BodyText"/>
        <w:spacing w:line="311" w:lineRule="exact"/>
        <w:ind w:left="938" w:right="817"/>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0.00</w:t>
      </w:r>
      <w:r>
        <w:rPr>
          <w:rFonts w:ascii="宋体" w:hAnsi="宋体" w:cs="宋体" w:eastAsia="宋体" w:hint="default"/>
          <w:spacing w:val="-60"/>
        </w:rPr>
        <w:t> </w:t>
      </w:r>
      <w:r>
        <w:rPr/>
        <w:t>元。</w:t>
      </w:r>
    </w:p>
    <w:p>
      <w:pPr>
        <w:pStyle w:val="BodyText"/>
        <w:spacing w:line="313" w:lineRule="exact"/>
        <w:ind w:left="938" w:right="817"/>
        <w:jc w:val="left"/>
      </w:pPr>
      <w:r>
        <w:rPr>
          <w:rFonts w:ascii="宋体" w:hAnsi="宋体" w:cs="宋体" w:eastAsia="宋体" w:hint="default"/>
        </w:rPr>
        <w:t>5</w:t>
      </w:r>
      <w:r>
        <w:rPr/>
        <w:t>、其他调整合计影响期初未分配利润 </w:t>
      </w:r>
      <w:r>
        <w:rPr>
          <w:rFonts w:ascii="宋体" w:hAnsi="宋体" w:cs="宋体" w:eastAsia="宋体" w:hint="default"/>
        </w:rPr>
        <w:t>0.00</w:t>
      </w:r>
      <w:r>
        <w:rPr>
          <w:rFonts w:ascii="宋体" w:hAnsi="宋体" w:cs="宋体" w:eastAsia="宋体" w:hint="default"/>
          <w:spacing w:val="-60"/>
        </w:rPr>
        <w:t> </w:t>
      </w:r>
      <w:r>
        <w:rPr/>
        <w:t>元。</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000" w:bottom="280" w:left="860" w:right="320"/>
        </w:sectPr>
      </w:pPr>
    </w:p>
    <w:p>
      <w:pPr>
        <w:pStyle w:val="Heading2"/>
        <w:spacing w:line="240" w:lineRule="auto"/>
        <w:ind w:left="938" w:right="-17"/>
        <w:jc w:val="left"/>
        <w:rPr>
          <w:b w:val="0"/>
          <w:bCs w:val="0"/>
        </w:rPr>
      </w:pPr>
      <w:r>
        <w:rPr>
          <w:rFonts w:ascii="宋体" w:hAnsi="宋体" w:cs="宋体" w:eastAsia="宋体" w:hint="default"/>
        </w:rPr>
        <w:t>43</w:t>
      </w:r>
      <w:r>
        <w:rPr/>
        <w:t>、</w:t>
      </w:r>
      <w:r>
        <w:rPr>
          <w:spacing w:val="-103"/>
        </w:rPr>
        <w:t> </w:t>
      </w:r>
      <w:r>
        <w:rPr/>
        <w:t>营业收入和营业成本</w:t>
      </w:r>
      <w:r>
        <w:rPr>
          <w:b w:val="0"/>
          <w:bCs w:val="0"/>
        </w:rPr>
      </w:r>
    </w:p>
    <w:p>
      <w:pPr>
        <w:pStyle w:val="BodyText"/>
        <w:spacing w:line="240" w:lineRule="auto" w:before="58"/>
        <w:ind w:left="938"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2138" w:val="left" w:leader="none"/>
        </w:tabs>
        <w:spacing w:line="240" w:lineRule="auto"/>
        <w:ind w:left="938" w:right="0"/>
        <w:jc w:val="left"/>
      </w:pPr>
      <w:r>
        <w:rPr/>
        <w:t>单位：元</w:t>
        <w:tab/>
        <w:t>币种：人民币</w:t>
      </w:r>
    </w:p>
    <w:p>
      <w:pPr>
        <w:spacing w:after="0" w:line="240" w:lineRule="auto"/>
        <w:jc w:val="left"/>
        <w:sectPr>
          <w:type w:val="continuous"/>
          <w:pgSz w:w="11910" w:h="16840"/>
          <w:pgMar w:top="1000" w:bottom="280" w:left="860" w:right="320"/>
          <w:cols w:num="2" w:equalWidth="0">
            <w:col w:w="3612" w:space="2581"/>
            <w:col w:w="4537"/>
          </w:cols>
        </w:sectPr>
      </w:pPr>
    </w:p>
    <w:p>
      <w:pPr>
        <w:spacing w:line="240" w:lineRule="auto" w:before="10"/>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460"/>
        <w:gridCol w:w="2257"/>
        <w:gridCol w:w="2256"/>
        <w:gridCol w:w="2257"/>
        <w:gridCol w:w="2256"/>
      </w:tblGrid>
      <w:tr>
        <w:trPr>
          <w:trHeight w:val="322" w:hRule="exact"/>
        </w:trPr>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45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本期发生额</w:t>
            </w:r>
          </w:p>
        </w:tc>
        <w:tc>
          <w:tcPr>
            <w:tcW w:w="45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1460" w:type="dxa"/>
            <w:vMerge/>
            <w:tcBorders>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收入</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成本</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收入</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成本</w:t>
            </w:r>
          </w:p>
        </w:tc>
      </w:tr>
      <w:tr>
        <w:trPr>
          <w:trHeight w:val="322"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主营业务</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17,457,198,703.25</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12,544,273,936.81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13,596,570,430.90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10,844,643,905.41</w:t>
            </w:r>
          </w:p>
        </w:tc>
      </w:tr>
      <w:tr>
        <w:trPr>
          <w:trHeight w:val="322"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其他业务</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42,725,302.27</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25,806,609.35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29,671,723.93</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16,518,566.15</w:t>
            </w:r>
          </w:p>
        </w:tc>
      </w:tr>
      <w:tr>
        <w:trPr>
          <w:trHeight w:val="322"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17,499,924,005.52</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12,570,080,546.16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13,626,242,154.83</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10,861,162,471.56</w:t>
            </w:r>
          </w:p>
        </w:tc>
      </w:tr>
    </w:tbl>
    <w:p>
      <w:pPr>
        <w:spacing w:after="0" w:line="274" w:lineRule="exact"/>
        <w:jc w:val="right"/>
        <w:rPr>
          <w:rFonts w:ascii="宋体" w:hAnsi="宋体" w:cs="宋体" w:eastAsia="宋体" w:hint="default"/>
          <w:sz w:val="24"/>
          <w:szCs w:val="24"/>
        </w:rPr>
        <w:sectPr>
          <w:type w:val="continuous"/>
          <w:pgSz w:w="11910" w:h="16840"/>
          <w:pgMar w:top="1000" w:bottom="280" w:left="860" w:right="32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44</w:t>
      </w:r>
      <w:r>
        <w:rPr/>
        <w:t>、</w:t>
      </w:r>
      <w:r>
        <w:rPr>
          <w:spacing w:val="-103"/>
        </w:rPr>
        <w:t> </w:t>
      </w:r>
      <w:r>
        <w:rPr/>
        <w:t>税金及附加</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000" w:bottom="280" w:left="1580" w:right="1040"/>
          <w:cols w:num="2" w:equalWidth="0">
            <w:col w:w="2019" w:space="4174"/>
            <w:col w:w="3097"/>
          </w:cols>
        </w:sectPr>
      </w:pPr>
    </w:p>
    <w:p>
      <w:pPr>
        <w:spacing w:line="240" w:lineRule="auto" w:before="10"/>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181"/>
              <w:jc w:val="right"/>
              <w:rPr>
                <w:rFonts w:ascii="宋体" w:hAnsi="宋体" w:cs="宋体" w:eastAsia="宋体" w:hint="default"/>
                <w:sz w:val="24"/>
                <w:szCs w:val="24"/>
              </w:rPr>
            </w:pPr>
            <w:r>
              <w:rPr>
                <w:rFonts w:ascii="宋体" w:hAnsi="宋体" w:cs="宋体" w:eastAsia="宋体" w:hint="default"/>
                <w:sz w:val="24"/>
                <w:szCs w:val="24"/>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00"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02"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消费税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173.68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435.21</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187,457,781.24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355,867,045.74</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47,215,043.94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37,524,927.83</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20,235,016.41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16,206,785.05</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地方教育附加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13,491,211.50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10,805,954.07</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土地增值税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1,190,495,711.50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314,300,997.37</w:t>
            </w:r>
          </w:p>
        </w:tc>
      </w:tr>
      <w:tr>
        <w:trPr>
          <w:trHeight w:val="327"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房产税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16,904,086.65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5,911,853.87</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土地使用税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30,012,239.79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20,743,111.94</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印花税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17,185,032.82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6,736,456.11</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146,070.06</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1,342,980.96</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181"/>
              <w:jc w:val="right"/>
              <w:rPr>
                <w:rFonts w:ascii="宋体" w:hAnsi="宋体" w:cs="宋体" w:eastAsia="宋体" w:hint="default"/>
                <w:sz w:val="24"/>
                <w:szCs w:val="24"/>
              </w:rPr>
            </w:pPr>
            <w:r>
              <w:rPr>
                <w:rFonts w:ascii="宋体" w:hAnsi="宋体" w:cs="宋体" w:eastAsia="宋体" w:hint="default"/>
                <w:sz w:val="24"/>
                <w:szCs w:val="24"/>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1,523,142,367.59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769,440,548.15</w:t>
            </w:r>
          </w:p>
        </w:tc>
      </w:tr>
    </w:tbl>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00" w:bottom="280" w:left="1580" w:right="1040"/>
        </w:sectPr>
      </w:pPr>
    </w:p>
    <w:p>
      <w:pPr>
        <w:pStyle w:val="Heading2"/>
        <w:spacing w:line="240" w:lineRule="auto"/>
        <w:ind w:right="-19"/>
        <w:jc w:val="left"/>
        <w:rPr>
          <w:b w:val="0"/>
          <w:bCs w:val="0"/>
        </w:rPr>
      </w:pPr>
      <w:r>
        <w:rPr>
          <w:rFonts w:ascii="宋体" w:hAnsi="宋体" w:cs="宋体" w:eastAsia="宋体" w:hint="default"/>
        </w:rPr>
        <w:t>45</w:t>
      </w:r>
      <w:r>
        <w:rPr/>
        <w:t>、</w:t>
      </w:r>
      <w:r>
        <w:rPr>
          <w:spacing w:val="-102"/>
        </w:rPr>
        <w:t> </w:t>
      </w:r>
      <w:r>
        <w:rPr/>
        <w:t>销售费用</w:t>
      </w:r>
      <w:r>
        <w:rPr>
          <w:b w:val="0"/>
          <w:bCs w:val="0"/>
        </w:rPr>
      </w:r>
    </w:p>
    <w:p>
      <w:pPr>
        <w:pStyle w:val="BodyText"/>
        <w:spacing w:line="240" w:lineRule="auto" w:before="55"/>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000" w:bottom="280" w:left="1580" w:right="1040"/>
          <w:cols w:num="2" w:equalWidth="0">
            <w:col w:w="2019" w:space="4174"/>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19"/>
              <w:jc w:val="right"/>
              <w:rPr>
                <w:rFonts w:ascii="宋体" w:hAnsi="宋体" w:cs="宋体" w:eastAsia="宋体" w:hint="default"/>
                <w:sz w:val="24"/>
                <w:szCs w:val="24"/>
              </w:rPr>
            </w:pPr>
            <w:r>
              <w:rPr>
                <w:rFonts w:ascii="宋体" w:hAnsi="宋体" w:cs="宋体" w:eastAsia="宋体" w:hint="default"/>
                <w:sz w:val="24"/>
                <w:szCs w:val="24"/>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19"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广告宣传费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182,588,715.27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93,326,252.09</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5"/>
              <w:jc w:val="right"/>
              <w:rPr>
                <w:rFonts w:ascii="宋体" w:hAnsi="宋体" w:cs="宋体" w:eastAsia="宋体" w:hint="default"/>
                <w:sz w:val="24"/>
                <w:szCs w:val="24"/>
              </w:rPr>
            </w:pPr>
            <w:r>
              <w:rPr>
                <w:rFonts w:ascii="宋体"/>
                <w:sz w:val="24"/>
              </w:rPr>
              <w:t>138,757,316.33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128,361,320.87</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18,032,898.05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16,084,695.05</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折旧费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14,277,863.79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13,192,697.36</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31,003,974.64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29,102,095.06</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劳务费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65,037,012.29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65,161,464.58</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会务费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7,703,475.37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6,774,203.17</w:t>
            </w:r>
          </w:p>
        </w:tc>
      </w:tr>
      <w:tr>
        <w:trPr>
          <w:trHeight w:val="319"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期货准备金</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5,605,968.94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8,820,178.47</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5"/>
              <w:jc w:val="right"/>
              <w:rPr>
                <w:rFonts w:ascii="宋体" w:hAnsi="宋体" w:cs="宋体" w:eastAsia="宋体" w:hint="default"/>
                <w:sz w:val="24"/>
                <w:szCs w:val="24"/>
              </w:rPr>
            </w:pPr>
            <w:r>
              <w:rPr>
                <w:rFonts w:ascii="宋体"/>
                <w:sz w:val="24"/>
              </w:rPr>
              <w:t>12,127,970.37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10,264,605.82</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业务招待费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5,563,434.69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4,779,687.45</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销售代理费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14,323,095.80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17,269,764.49</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21,597,393.97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25,993,679.16</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19"/>
              <w:jc w:val="right"/>
              <w:rPr>
                <w:rFonts w:ascii="宋体" w:hAnsi="宋体" w:cs="宋体" w:eastAsia="宋体" w:hint="default"/>
                <w:sz w:val="24"/>
                <w:szCs w:val="24"/>
              </w:rPr>
            </w:pPr>
            <w:r>
              <w:rPr>
                <w:rFonts w:ascii="宋体" w:hAnsi="宋体" w:cs="宋体" w:eastAsia="宋体" w:hint="default"/>
                <w:sz w:val="24"/>
                <w:szCs w:val="24"/>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516,619,119.51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419,130,643.57</w:t>
            </w:r>
          </w:p>
        </w:tc>
      </w:tr>
    </w:tbl>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00" w:bottom="280" w:left="1580" w:right="1040"/>
        </w:sectPr>
      </w:pPr>
    </w:p>
    <w:p>
      <w:pPr>
        <w:pStyle w:val="Heading2"/>
        <w:spacing w:line="240" w:lineRule="auto"/>
        <w:ind w:right="-19"/>
        <w:jc w:val="left"/>
        <w:rPr>
          <w:b w:val="0"/>
          <w:bCs w:val="0"/>
        </w:rPr>
      </w:pPr>
      <w:r>
        <w:rPr>
          <w:rFonts w:ascii="宋体" w:hAnsi="宋体" w:cs="宋体" w:eastAsia="宋体" w:hint="default"/>
        </w:rPr>
        <w:t>46</w:t>
      </w:r>
      <w:r>
        <w:rPr/>
        <w:t>、</w:t>
      </w:r>
      <w:r>
        <w:rPr>
          <w:spacing w:val="-102"/>
        </w:rPr>
        <w:t> </w:t>
      </w:r>
      <w:r>
        <w:rPr/>
        <w:t>管理费用</w:t>
      </w:r>
      <w:r>
        <w:rPr>
          <w:b w:val="0"/>
          <w:bCs w:val="0"/>
        </w:rPr>
      </w:r>
    </w:p>
    <w:p>
      <w:pPr>
        <w:pStyle w:val="BodyText"/>
        <w:spacing w:line="240" w:lineRule="auto" w:before="55"/>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000" w:bottom="280" w:left="1580" w:right="1040"/>
          <w:cols w:num="2" w:equalWidth="0">
            <w:col w:w="2019" w:space="4174"/>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319"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96"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14"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146,922,513.82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124,430,339.34</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税金</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18,213,690.56</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55,294,236.87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39,237,072.89</w:t>
            </w:r>
          </w:p>
        </w:tc>
      </w:tr>
    </w:tbl>
    <w:p>
      <w:pPr>
        <w:spacing w:after="0" w:line="274" w:lineRule="exact"/>
        <w:jc w:val="right"/>
        <w:rPr>
          <w:rFonts w:ascii="宋体" w:hAnsi="宋体" w:cs="宋体" w:eastAsia="宋体" w:hint="default"/>
          <w:sz w:val="24"/>
          <w:szCs w:val="24"/>
        </w:rPr>
        <w:sectPr>
          <w:type w:val="continuous"/>
          <w:pgSz w:w="11910" w:h="16840"/>
          <w:pgMar w:top="1000" w:bottom="2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折旧费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20,403,452.59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18,934,620.08</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股权激励费用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43,441,178.76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76,439,673.87</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46,348,639.78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38,036,693.78</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14,610,234.41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14,750,420.67</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交通费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12,987,044.32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10,134,608.21</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中介机构费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37,375,571.36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13,957,569.02</w:t>
            </w:r>
          </w:p>
        </w:tc>
      </w:tr>
      <w:tr>
        <w:trPr>
          <w:trHeight w:val="319"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咨询服务费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35,425,354.57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14,949,223.57</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9,682,326.01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4,525,079.04</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会务费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2,626,926.77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2,942,212.75</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19,162,765.53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13,621,298.68</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444,280,244.79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390,172,502.46</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47</w:t>
      </w:r>
      <w:r>
        <w:rPr/>
        <w:t>、</w:t>
      </w:r>
      <w:r>
        <w:rPr>
          <w:spacing w:val="-102"/>
        </w:rPr>
        <w:t> </w:t>
      </w:r>
      <w:r>
        <w:rPr/>
        <w:t>财务费用</w:t>
      </w:r>
      <w:r>
        <w:rPr>
          <w:b w:val="0"/>
          <w:bCs w:val="0"/>
        </w:rPr>
      </w:r>
    </w:p>
    <w:p>
      <w:pPr>
        <w:pStyle w:val="BodyText"/>
        <w:spacing w:line="240" w:lineRule="auto" w:before="55"/>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000" w:bottom="280" w:left="1580" w:right="1040"/>
          <w:cols w:num="2" w:equalWidth="0">
            <w:col w:w="2019" w:space="4174"/>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96"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14"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19"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1,730,387,492.48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1,334,971,308.82</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-389,531,673.14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-202,711,148.10</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汇兑损失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62,114,794.15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94,876.55</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减：汇兑收益</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-62,868,177.73</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90,319,637.00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126,612,853.69</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1,493,290,250.49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1,196,099,713.23</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00" w:bottom="280" w:left="1580" w:right="1040"/>
        </w:sectPr>
      </w:pPr>
    </w:p>
    <w:p>
      <w:pPr>
        <w:pStyle w:val="Heading2"/>
        <w:spacing w:line="240" w:lineRule="auto"/>
        <w:ind w:right="-17"/>
        <w:jc w:val="left"/>
        <w:rPr>
          <w:b w:val="0"/>
          <w:bCs w:val="0"/>
        </w:rPr>
      </w:pPr>
      <w:r>
        <w:rPr>
          <w:rFonts w:ascii="宋体" w:hAnsi="宋体" w:cs="宋体" w:eastAsia="宋体" w:hint="default"/>
        </w:rPr>
        <w:t>48</w:t>
      </w:r>
      <w:r>
        <w:rPr/>
        <w:t>、</w:t>
      </w:r>
      <w:r>
        <w:rPr>
          <w:spacing w:val="-104"/>
        </w:rPr>
        <w:t> </w:t>
      </w:r>
      <w:r>
        <w:rPr/>
        <w:t>资产减值损失</w:t>
      </w:r>
      <w:r>
        <w:rPr>
          <w:b w:val="0"/>
          <w:bCs w:val="0"/>
        </w:rPr>
      </w:r>
    </w:p>
    <w:p>
      <w:pPr>
        <w:pStyle w:val="BodyText"/>
        <w:spacing w:line="240" w:lineRule="auto" w:before="55"/>
        <w:ind w:left="218"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000" w:bottom="280" w:left="1580" w:right="1040"/>
          <w:cols w:num="2" w:equalWidth="0">
            <w:col w:w="2167" w:space="4026"/>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2693"/>
        <w:gridCol w:w="2703"/>
      </w:tblGrid>
      <w:tr>
        <w:trPr>
          <w:trHeight w:val="319"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9"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6"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一、坏账损失</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3"/>
              <w:jc w:val="right"/>
              <w:rPr>
                <w:rFonts w:ascii="宋体" w:hAnsi="宋体" w:cs="宋体" w:eastAsia="宋体" w:hint="default"/>
                <w:sz w:val="24"/>
                <w:szCs w:val="24"/>
              </w:rPr>
            </w:pPr>
            <w:r>
              <w:rPr>
                <w:rFonts w:ascii="宋体"/>
                <w:sz w:val="24"/>
              </w:rPr>
              <w:t>3,786,733.48</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38,056,474.14</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二、存货跌价损失</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3"/>
              <w:jc w:val="right"/>
              <w:rPr>
                <w:rFonts w:ascii="宋体" w:hAnsi="宋体" w:cs="宋体" w:eastAsia="宋体" w:hint="default"/>
                <w:sz w:val="24"/>
                <w:szCs w:val="24"/>
              </w:rPr>
            </w:pPr>
            <w:r>
              <w:rPr>
                <w:rFonts w:ascii="宋体"/>
                <w:sz w:val="24"/>
              </w:rPr>
              <w:t>-78,958,258.70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-21,242,079.57</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三、可供出售金融资产减值损失</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427,693,285.48</w:t>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352,521,760.26</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16,814,394.57</w:t>
            </w:r>
          </w:p>
        </w:tc>
      </w:tr>
    </w:tbl>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00" w:bottom="280" w:left="1580" w:right="1040"/>
        </w:sectPr>
      </w:pPr>
    </w:p>
    <w:p>
      <w:pPr>
        <w:pStyle w:val="Heading2"/>
        <w:spacing w:line="240" w:lineRule="auto"/>
        <w:ind w:right="-17"/>
        <w:jc w:val="left"/>
        <w:rPr>
          <w:b w:val="0"/>
          <w:bCs w:val="0"/>
        </w:rPr>
      </w:pPr>
      <w:r>
        <w:rPr>
          <w:rFonts w:ascii="宋体" w:hAnsi="宋体" w:cs="宋体" w:eastAsia="宋体" w:hint="default"/>
        </w:rPr>
        <w:t>49</w:t>
      </w:r>
      <w:r>
        <w:rPr/>
        <w:t>、</w:t>
      </w:r>
      <w:r>
        <w:rPr>
          <w:spacing w:val="-104"/>
        </w:rPr>
        <w:t> </w:t>
      </w:r>
      <w:r>
        <w:rPr/>
        <w:t>公允价值变动收益</w:t>
      </w:r>
      <w:r>
        <w:rPr>
          <w:b w:val="0"/>
          <w:bCs w:val="0"/>
        </w:rPr>
      </w:r>
    </w:p>
    <w:p>
      <w:pPr>
        <w:pStyle w:val="BodyText"/>
        <w:spacing w:line="240" w:lineRule="auto" w:before="55"/>
        <w:ind w:left="218"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000" w:bottom="280" w:left="1580" w:right="1040"/>
          <w:cols w:num="2" w:equalWidth="0">
            <w:col w:w="2649" w:space="3544"/>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28"/>
        <w:gridCol w:w="1985"/>
        <w:gridCol w:w="2137"/>
      </w:tblGrid>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产生公允价值变动收益的来源</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6"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63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以公允价值计量的且其变动计入当期损益的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金融资产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25,176,970.60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-3,009,549.23</w:t>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pacing w:val="-5"/>
                <w:sz w:val="24"/>
                <w:szCs w:val="24"/>
              </w:rPr>
              <w:t>其中：衍生金融工具产生的公允价值变动收益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-2,946,229.74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1,679,069.64</w:t>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25,176,970.60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-3,009,549.23</w:t>
            </w:r>
          </w:p>
        </w:tc>
      </w:tr>
    </w:tbl>
    <w:p>
      <w:pPr>
        <w:spacing w:after="0" w:line="274" w:lineRule="exact"/>
        <w:jc w:val="right"/>
        <w:rPr>
          <w:rFonts w:ascii="宋体" w:hAnsi="宋体" w:cs="宋体" w:eastAsia="宋体" w:hint="default"/>
          <w:sz w:val="24"/>
          <w:szCs w:val="24"/>
        </w:rPr>
        <w:sectPr>
          <w:type w:val="continuous"/>
          <w:pgSz w:w="11910" w:h="16840"/>
          <w:pgMar w:top="1000" w:bottom="280" w:left="158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89"/>
          <w:pgSz w:w="11910" w:h="16840"/>
          <w:pgMar w:footer="1195" w:header="0" w:top="1120" w:bottom="1380" w:left="1580" w:right="1040"/>
        </w:sectPr>
      </w:pPr>
    </w:p>
    <w:p>
      <w:pPr>
        <w:pStyle w:val="Heading2"/>
        <w:spacing w:line="240" w:lineRule="auto"/>
        <w:ind w:right="-19"/>
        <w:jc w:val="left"/>
        <w:rPr>
          <w:b w:val="0"/>
          <w:bCs w:val="0"/>
        </w:rPr>
      </w:pPr>
      <w:r>
        <w:rPr>
          <w:rFonts w:ascii="宋体" w:hAnsi="宋体" w:cs="宋体" w:eastAsia="宋体" w:hint="default"/>
        </w:rPr>
        <w:t>50</w:t>
      </w:r>
      <w:r>
        <w:rPr/>
        <w:t>、</w:t>
      </w:r>
      <w:r>
        <w:rPr>
          <w:spacing w:val="-102"/>
        </w:rPr>
        <w:t> </w:t>
      </w:r>
      <w:r>
        <w:rPr/>
        <w:t>投资收益</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000" w:bottom="280" w:left="1580" w:right="1040"/>
          <w:cols w:num="2" w:equalWidth="0">
            <w:col w:w="2019" w:space="4174"/>
            <w:col w:w="309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61"/>
        <w:gridCol w:w="2268"/>
        <w:gridCol w:w="2420"/>
      </w:tblGrid>
      <w:tr>
        <w:trPr>
          <w:trHeight w:val="322"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28"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05"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2,482,386,682.79</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576,362,535.07</w:t>
            </w:r>
          </w:p>
        </w:tc>
      </w:tr>
      <w:tr>
        <w:trPr>
          <w:trHeight w:val="322"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处置长期股权投资产生的投资收益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251,858,628.21</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496,290,743.02</w:t>
            </w:r>
          </w:p>
        </w:tc>
      </w:tr>
      <w:tr>
        <w:trPr>
          <w:trHeight w:val="63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以公允价值计量且其变动计入当期损益</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的金融资产在持有期间的投资收益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10,189,952.61</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592,905.59</w:t>
            </w:r>
          </w:p>
        </w:tc>
      </w:tr>
      <w:tr>
        <w:trPr>
          <w:trHeight w:val="63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处置以公允价值计量且其变动计入当期</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损益的金融资产取得的投资收益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56,102,822.96</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16,021,990.87</w:t>
            </w:r>
          </w:p>
        </w:tc>
      </w:tr>
      <w:tr>
        <w:trPr>
          <w:trHeight w:val="63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处置以公允价值计量且其变动计入当期</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损益的金融负债取得的投资收益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24"/>
                <w:szCs w:val="24"/>
              </w:rPr>
            </w:pPr>
            <w:r>
              <w:rPr>
                <w:rFonts w:ascii="宋体"/>
                <w:sz w:val="24"/>
              </w:rPr>
              <w:t>-2,425,452.25</w:t>
            </w:r>
          </w:p>
        </w:tc>
      </w:tr>
      <w:tr>
        <w:trPr>
          <w:trHeight w:val="322"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持有至到期投资在持有期间的投资收益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可供出售金融资产等取得的投资收益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66,768,809.85</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40,499,397.90</w:t>
            </w:r>
          </w:p>
        </w:tc>
      </w:tr>
      <w:tr>
        <w:trPr>
          <w:trHeight w:val="322"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处置可供出售金融资产取得的投资收益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-230,289,672.22</w:t>
            </w:r>
          </w:p>
        </w:tc>
      </w:tr>
      <w:tr>
        <w:trPr>
          <w:trHeight w:val="63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丧失控制权后，剩余股权按公允价值重</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新计量产生的利得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178,842,392.37</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267,233,477.01</w:t>
            </w:r>
          </w:p>
        </w:tc>
      </w:tr>
      <w:tr>
        <w:trPr>
          <w:trHeight w:val="322"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理财产品收益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136,087,428.23</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96,057,638.85</w:t>
            </w:r>
          </w:p>
        </w:tc>
      </w:tr>
      <w:tr>
        <w:trPr>
          <w:trHeight w:val="319"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268"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-906,879,984.05</w:t>
            </w:r>
          </w:p>
        </w:tc>
      </w:tr>
      <w:tr>
        <w:trPr>
          <w:trHeight w:val="32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3,182,236,717.02</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353,463,579.79</w:t>
            </w:r>
          </w:p>
        </w:tc>
      </w:tr>
    </w:tbl>
    <w:p>
      <w:pPr>
        <w:spacing w:line="240" w:lineRule="auto" w:before="3"/>
        <w:rPr>
          <w:rFonts w:ascii="宋体" w:hAnsi="宋体" w:cs="宋体" w:eastAsia="宋体" w:hint="default"/>
          <w:sz w:val="23"/>
          <w:szCs w:val="23"/>
        </w:rPr>
      </w:pPr>
    </w:p>
    <w:p>
      <w:pPr>
        <w:pStyle w:val="Heading2"/>
        <w:spacing w:line="240" w:lineRule="auto"/>
        <w:ind w:right="233"/>
        <w:jc w:val="left"/>
        <w:rPr>
          <w:b w:val="0"/>
          <w:bCs w:val="0"/>
        </w:rPr>
      </w:pPr>
      <w:r>
        <w:rPr>
          <w:rFonts w:ascii="宋体" w:hAnsi="宋体" w:cs="宋体" w:eastAsia="宋体" w:hint="default"/>
        </w:rPr>
        <w:t>51</w:t>
      </w:r>
      <w:r>
        <w:rPr/>
        <w:t>、</w:t>
      </w:r>
      <w:r>
        <w:rPr>
          <w:spacing w:val="-104"/>
        </w:rPr>
        <w:t> </w:t>
      </w:r>
      <w:r>
        <w:rPr/>
        <w:t>资产处置收益</w:t>
      </w:r>
      <w:r>
        <w:rPr>
          <w:b w:val="0"/>
          <w:bCs w:val="0"/>
        </w:rPr>
      </w:r>
    </w:p>
    <w:p>
      <w:pPr>
        <w:pStyle w:val="BodyText"/>
        <w:tabs>
          <w:tab w:pos="1200" w:val="left" w:leader="none"/>
        </w:tabs>
        <w:spacing w:line="240" w:lineRule="auto" w:before="58"/>
        <w:ind w:left="0" w:right="23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63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
              <w:jc w:val="center"/>
              <w:rPr>
                <w:rFonts w:ascii="宋体" w:hAnsi="宋体" w:cs="宋体" w:eastAsia="宋体" w:hint="default"/>
                <w:sz w:val="24"/>
                <w:szCs w:val="24"/>
              </w:rPr>
            </w:pPr>
            <w:r>
              <w:rPr>
                <w:rFonts w:ascii="宋体" w:hAnsi="宋体" w:cs="宋体" w:eastAsia="宋体" w:hint="default"/>
                <w:sz w:val="24"/>
                <w:szCs w:val="24"/>
              </w:rPr>
              <w:t>本期数</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25" w:right="0"/>
              <w:jc w:val="left"/>
              <w:rPr>
                <w:rFonts w:ascii="宋体" w:hAnsi="宋体" w:cs="宋体" w:eastAsia="宋体" w:hint="default"/>
                <w:sz w:val="24"/>
                <w:szCs w:val="24"/>
              </w:rPr>
            </w:pPr>
            <w:r>
              <w:rPr>
                <w:rFonts w:ascii="宋体" w:hAnsi="宋体" w:cs="宋体" w:eastAsia="宋体" w:hint="default"/>
                <w:sz w:val="24"/>
                <w:szCs w:val="24"/>
              </w:rPr>
              <w:t>上年同期数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center"/>
              <w:rPr>
                <w:rFonts w:ascii="宋体" w:hAnsi="宋体" w:cs="宋体" w:eastAsia="宋体" w:hint="default"/>
                <w:sz w:val="24"/>
                <w:szCs w:val="24"/>
              </w:rPr>
            </w:pPr>
            <w:r>
              <w:rPr>
                <w:rFonts w:ascii="宋体" w:hAnsi="宋体" w:cs="宋体" w:eastAsia="宋体" w:hint="default"/>
                <w:sz w:val="24"/>
                <w:szCs w:val="24"/>
              </w:rPr>
              <w:t>计入本期非经常性</w:t>
            </w:r>
          </w:p>
          <w:p>
            <w:pPr>
              <w:pStyle w:val="TableParagraph"/>
              <w:spacing w:line="312" w:lineRule="exact"/>
              <w:ind w:right="2"/>
              <w:jc w:val="center"/>
              <w:rPr>
                <w:rFonts w:ascii="宋体" w:hAnsi="宋体" w:cs="宋体" w:eastAsia="宋体" w:hint="default"/>
                <w:sz w:val="24"/>
                <w:szCs w:val="24"/>
              </w:rPr>
            </w:pPr>
            <w:r>
              <w:rPr>
                <w:rFonts w:ascii="宋体" w:hAnsi="宋体" w:cs="宋体" w:eastAsia="宋体" w:hint="default"/>
                <w:sz w:val="24"/>
                <w:szCs w:val="24"/>
              </w:rPr>
              <w:t>损益的金额</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固定资产处置收益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515,100.31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1,029,674.66</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515,100.31</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-4,113,250.40</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515,100.31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-3,083,575.74</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515,100.31</w:t>
            </w:r>
          </w:p>
        </w:tc>
      </w:tr>
    </w:tbl>
    <w:p>
      <w:pPr>
        <w:spacing w:line="240" w:lineRule="auto" w:before="5"/>
        <w:rPr>
          <w:rFonts w:ascii="宋体" w:hAnsi="宋体" w:cs="宋体" w:eastAsia="宋体" w:hint="default"/>
          <w:sz w:val="23"/>
          <w:szCs w:val="23"/>
        </w:rPr>
      </w:pPr>
    </w:p>
    <w:p>
      <w:pPr>
        <w:pStyle w:val="Heading2"/>
        <w:spacing w:line="240" w:lineRule="auto"/>
        <w:ind w:right="233"/>
        <w:jc w:val="left"/>
        <w:rPr>
          <w:b w:val="0"/>
          <w:bCs w:val="0"/>
        </w:rPr>
      </w:pPr>
      <w:r>
        <w:rPr>
          <w:rFonts w:ascii="宋体" w:hAnsi="宋体" w:cs="宋体" w:eastAsia="宋体" w:hint="default"/>
        </w:rPr>
        <w:t>52</w:t>
      </w:r>
      <w:r>
        <w:rPr/>
        <w:t>、</w:t>
      </w:r>
      <w:r>
        <w:rPr>
          <w:spacing w:val="-100"/>
        </w:rPr>
        <w:t> </w:t>
      </w:r>
      <w:r>
        <w:rPr/>
        <w:t>其他收益</w:t>
      </w:r>
      <w:r>
        <w:rPr>
          <w:b w:val="0"/>
          <w:bCs w:val="0"/>
        </w:rPr>
      </w:r>
    </w:p>
    <w:p>
      <w:pPr>
        <w:pStyle w:val="BodyText"/>
        <w:tabs>
          <w:tab w:pos="1200" w:val="left" w:leader="none"/>
        </w:tabs>
        <w:spacing w:line="240" w:lineRule="auto" w:before="56"/>
        <w:ind w:left="0" w:right="23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63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
              <w:jc w:val="center"/>
              <w:rPr>
                <w:rFonts w:ascii="宋体" w:hAnsi="宋体" w:cs="宋体" w:eastAsia="宋体" w:hint="default"/>
                <w:sz w:val="24"/>
                <w:szCs w:val="24"/>
              </w:rPr>
            </w:pPr>
            <w:r>
              <w:rPr>
                <w:rFonts w:ascii="宋体" w:hAnsi="宋体" w:cs="宋体" w:eastAsia="宋体" w:hint="default"/>
                <w:sz w:val="24"/>
                <w:szCs w:val="24"/>
              </w:rPr>
              <w:t>本期数</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25" w:right="0"/>
              <w:jc w:val="left"/>
              <w:rPr>
                <w:rFonts w:ascii="宋体" w:hAnsi="宋体" w:cs="宋体" w:eastAsia="宋体" w:hint="default"/>
                <w:sz w:val="24"/>
                <w:szCs w:val="24"/>
              </w:rPr>
            </w:pPr>
            <w:r>
              <w:rPr>
                <w:rFonts w:ascii="宋体" w:hAnsi="宋体" w:cs="宋体" w:eastAsia="宋体" w:hint="default"/>
                <w:sz w:val="24"/>
                <w:szCs w:val="24"/>
              </w:rPr>
              <w:t>上年同期数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
              <w:jc w:val="center"/>
              <w:rPr>
                <w:rFonts w:ascii="宋体" w:hAnsi="宋体" w:cs="宋体" w:eastAsia="宋体" w:hint="default"/>
                <w:sz w:val="24"/>
                <w:szCs w:val="24"/>
              </w:rPr>
            </w:pPr>
            <w:r>
              <w:rPr>
                <w:rFonts w:ascii="宋体" w:hAnsi="宋体" w:cs="宋体" w:eastAsia="宋体" w:hint="default"/>
                <w:sz w:val="24"/>
                <w:szCs w:val="24"/>
              </w:rPr>
              <w:t>计入本期非经常性</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损益的金额</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7,383,879.83</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7,383,879.83</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7,383,879.83</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7,383,879.83</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00" w:bottom="280" w:left="1580" w:right="1040"/>
        </w:sectPr>
      </w:pPr>
    </w:p>
    <w:p>
      <w:pPr>
        <w:spacing w:line="283" w:lineRule="auto" w:before="26"/>
        <w:ind w:left="218" w:right="193" w:firstLine="0"/>
        <w:jc w:val="left"/>
        <w:rPr>
          <w:rFonts w:ascii="宋体" w:hAnsi="宋体" w:cs="宋体" w:eastAsia="宋体" w:hint="default"/>
          <w:sz w:val="24"/>
          <w:szCs w:val="24"/>
        </w:rPr>
      </w:pPr>
      <w:r>
        <w:rPr>
          <w:rFonts w:ascii="宋体" w:hAnsi="宋体" w:cs="宋体" w:eastAsia="宋体" w:hint="default"/>
          <w:b/>
          <w:bCs/>
          <w:sz w:val="24"/>
          <w:szCs w:val="24"/>
        </w:rPr>
        <w:t>53</w:t>
      </w:r>
      <w:r>
        <w:rPr>
          <w:rFonts w:ascii="宋体" w:hAnsi="宋体" w:cs="宋体" w:eastAsia="宋体" w:hint="default"/>
          <w:b/>
          <w:bCs/>
          <w:sz w:val="24"/>
          <w:szCs w:val="24"/>
        </w:rPr>
        <w:t>、</w:t>
      </w:r>
      <w:r>
        <w:rPr>
          <w:rFonts w:ascii="宋体" w:hAnsi="宋体" w:cs="宋体" w:eastAsia="宋体" w:hint="default"/>
          <w:b/>
          <w:bCs/>
          <w:spacing w:val="-102"/>
          <w:sz w:val="24"/>
          <w:szCs w:val="24"/>
        </w:rPr>
        <w:t> </w:t>
      </w:r>
      <w:r>
        <w:rPr>
          <w:rFonts w:ascii="宋体" w:hAnsi="宋体" w:cs="宋体" w:eastAsia="宋体" w:hint="default"/>
          <w:b/>
          <w:bCs/>
          <w:sz w:val="24"/>
          <w:szCs w:val="24"/>
        </w:rPr>
        <w:t>营业外收入</w:t>
      </w:r>
      <w:r>
        <w:rPr>
          <w:rFonts w:ascii="宋体" w:hAnsi="宋体" w:cs="宋体" w:eastAsia="宋体" w:hint="default"/>
          <w:b/>
          <w:bCs/>
          <w:w w:val="99"/>
          <w:sz w:val="24"/>
          <w:szCs w:val="24"/>
        </w:rPr>
        <w:t> </w:t>
      </w:r>
      <w:r>
        <w:rPr>
          <w:rFonts w:ascii="宋体" w:hAnsi="宋体" w:cs="宋体" w:eastAsia="宋体" w:hint="default"/>
          <w:sz w:val="24"/>
          <w:szCs w:val="24"/>
        </w:rPr>
        <w:t>营业外收入情况</w:t>
      </w:r>
    </w:p>
    <w:p>
      <w:pPr>
        <w:pStyle w:val="BodyText"/>
        <w:tabs>
          <w:tab w:pos="1177" w:val="left" w:leader="none"/>
        </w:tabs>
        <w:spacing w:line="266" w:lineRule="exact"/>
        <w:ind w:left="218" w:right="-19"/>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9"/>
          <w:szCs w:val="29"/>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000" w:bottom="280" w:left="1580" w:right="1040"/>
          <w:cols w:num="2" w:equalWidth="0">
            <w:col w:w="2139" w:space="4054"/>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7"/>
        <w:gridCol w:w="2040"/>
        <w:gridCol w:w="2496"/>
        <w:gridCol w:w="2137"/>
      </w:tblGrid>
      <w:tr>
        <w:trPr>
          <w:trHeight w:val="63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15"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643" w:right="0"/>
              <w:jc w:val="left"/>
              <w:rPr>
                <w:rFonts w:ascii="宋体" w:hAnsi="宋体" w:cs="宋体" w:eastAsia="宋体" w:hint="default"/>
                <w:sz w:val="24"/>
                <w:szCs w:val="24"/>
              </w:rPr>
            </w:pPr>
            <w:r>
              <w:rPr>
                <w:rFonts w:ascii="宋体" w:hAnsi="宋体" w:cs="宋体" w:eastAsia="宋体" w:hint="default"/>
                <w:sz w:val="24"/>
                <w:szCs w:val="24"/>
              </w:rPr>
              <w:t>上期发生额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计入当期非经常性</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损益的金额</w:t>
            </w:r>
          </w:p>
        </w:tc>
      </w:tr>
    </w:tbl>
    <w:p>
      <w:pPr>
        <w:spacing w:after="0" w:line="313" w:lineRule="exact"/>
        <w:jc w:val="center"/>
        <w:rPr>
          <w:rFonts w:ascii="宋体" w:hAnsi="宋体" w:cs="宋体" w:eastAsia="宋体" w:hint="default"/>
          <w:sz w:val="24"/>
          <w:szCs w:val="24"/>
        </w:rPr>
        <w:sectPr>
          <w:type w:val="continuous"/>
          <w:pgSz w:w="11910" w:h="16840"/>
          <w:pgMar w:top="1000" w:bottom="2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65" w:type="dxa"/>
        <w:tblLayout w:type="fixed"/>
        <w:tblCellMar>
          <w:top w:w="0" w:type="dxa"/>
          <w:left w:w="0" w:type="dxa"/>
          <w:bottom w:w="0" w:type="dxa"/>
          <w:right w:w="0" w:type="dxa"/>
        </w:tblCellMar>
        <w:tblLook w:val="01E0"/>
      </w:tblPr>
      <w:tblGrid>
        <w:gridCol w:w="2377"/>
        <w:gridCol w:w="2040"/>
        <w:gridCol w:w="2496"/>
        <w:gridCol w:w="2137"/>
      </w:tblGrid>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接受捐赠</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2,000.00</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1,002,000.00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2,000.00</w:t>
            </w: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2040"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4,871,285.66</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罚没收入</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673,555.00</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925,162.20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673,555.00</w:t>
            </w: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违约金</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4,507,606.61</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1,635,966.52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4,507,606.61</w:t>
            </w: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无法支付的款项</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22,000.00</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1,983,792.48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22,000.00</w:t>
            </w: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补偿款</w:t>
            </w:r>
          </w:p>
        </w:tc>
        <w:tc>
          <w:tcPr>
            <w:tcW w:w="2040"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15,532,750.54</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股权投资转换损益</w:t>
            </w:r>
          </w:p>
        </w:tc>
        <w:tc>
          <w:tcPr>
            <w:tcW w:w="2040"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5,739,106,878.92</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权益法核算新增投资</w:t>
            </w:r>
          </w:p>
          <w:p>
            <w:pPr>
              <w:pStyle w:val="TableParagraph"/>
              <w:spacing w:line="312" w:lineRule="exact" w:before="28"/>
              <w:ind w:left="103" w:right="101"/>
              <w:jc w:val="left"/>
              <w:rPr>
                <w:rFonts w:ascii="宋体" w:hAnsi="宋体" w:cs="宋体" w:eastAsia="宋体" w:hint="default"/>
                <w:sz w:val="24"/>
                <w:szCs w:val="24"/>
              </w:rPr>
            </w:pPr>
            <w:r>
              <w:rPr>
                <w:rFonts w:ascii="宋体" w:hAnsi="宋体" w:cs="宋体" w:eastAsia="宋体" w:hint="default"/>
                <w:sz w:val="24"/>
                <w:szCs w:val="24"/>
              </w:rPr>
              <w:t>成本小于可辨认净资 产公允价值差额</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4"/>
                <w:szCs w:val="24"/>
              </w:rPr>
            </w:pPr>
            <w:r>
              <w:rPr>
                <w:rFonts w:ascii="宋体"/>
                <w:sz w:val="24"/>
              </w:rPr>
              <w:t>384,945,880.30</w:t>
            </w:r>
          </w:p>
        </w:tc>
        <w:tc>
          <w:tcPr>
            <w:tcW w:w="249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4"/>
                <w:szCs w:val="24"/>
              </w:rPr>
            </w:pPr>
            <w:r>
              <w:rPr>
                <w:rFonts w:ascii="宋体"/>
                <w:sz w:val="24"/>
              </w:rPr>
              <w:t>384,945,880.30</w:t>
            </w:r>
          </w:p>
        </w:tc>
      </w:tr>
      <w:tr>
        <w:trPr>
          <w:trHeight w:val="320"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701,350.53</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1,169,824.55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701,350.53</w:t>
            </w:r>
          </w:p>
        </w:tc>
      </w:tr>
      <w:tr>
        <w:trPr>
          <w:trHeight w:val="32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390,852,392.44</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5,766,227,660.87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390,852,392.44</w:t>
            </w:r>
          </w:p>
        </w:tc>
      </w:tr>
    </w:tbl>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90"/>
          <w:pgSz w:w="11910" w:h="16840"/>
          <w:pgMar w:footer="1195" w:header="0" w:top="1120" w:bottom="1380" w:left="1420" w:right="880"/>
          <w:pgNumType w:start="161"/>
        </w:sectPr>
      </w:pPr>
    </w:p>
    <w:p>
      <w:pPr>
        <w:spacing w:before="26"/>
        <w:ind w:left="378" w:right="-6" w:firstLine="0"/>
        <w:jc w:val="left"/>
        <w:rPr>
          <w:rFonts w:ascii="宋体" w:hAnsi="宋体" w:cs="宋体" w:eastAsia="宋体" w:hint="default"/>
          <w:sz w:val="21"/>
          <w:szCs w:val="21"/>
        </w:rPr>
      </w:pPr>
      <w:r>
        <w:rPr>
          <w:rFonts w:ascii="宋体" w:hAnsi="宋体" w:cs="宋体" w:eastAsia="宋体" w:hint="default"/>
          <w:spacing w:val="-1"/>
          <w:sz w:val="21"/>
          <w:szCs w:val="21"/>
        </w:rPr>
        <w:t>计入当期</w:t>
      </w:r>
      <w:r>
        <w:rPr>
          <w:rFonts w:ascii="宋体" w:hAnsi="宋体" w:cs="宋体" w:eastAsia="宋体" w:hint="default"/>
          <w:spacing w:val="-1"/>
          <w:sz w:val="24"/>
          <w:szCs w:val="24"/>
        </w:rPr>
        <w:t>损益</w:t>
      </w:r>
      <w:r>
        <w:rPr>
          <w:rFonts w:ascii="宋体" w:hAnsi="宋体" w:cs="宋体" w:eastAsia="宋体" w:hint="default"/>
          <w:spacing w:val="-1"/>
          <w:sz w:val="21"/>
          <w:szCs w:val="21"/>
        </w:rPr>
        <w:t>的政府补助</w:t>
      </w:r>
    </w:p>
    <w:p>
      <w:pPr>
        <w:spacing w:before="4"/>
        <w:ind w:left="378" w:right="-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7"/>
        <w:rPr>
          <w:rFonts w:ascii="宋体" w:hAnsi="宋体" w:cs="宋体" w:eastAsia="宋体" w:hint="default"/>
          <w:sz w:val="22"/>
          <w:szCs w:val="22"/>
        </w:rPr>
      </w:pPr>
    </w:p>
    <w:p>
      <w:pPr>
        <w:pStyle w:val="BodyText"/>
        <w:tabs>
          <w:tab w:pos="1578" w:val="left" w:leader="none"/>
        </w:tabs>
        <w:spacing w:line="240" w:lineRule="auto"/>
        <w:ind w:left="378" w:right="0"/>
        <w:jc w:val="left"/>
      </w:pPr>
      <w:r>
        <w:rPr/>
        <w:t>单位：元</w:t>
        <w:tab/>
        <w:t>币种：人民币</w:t>
      </w:r>
    </w:p>
    <w:p>
      <w:pPr>
        <w:spacing w:after="0" w:line="240" w:lineRule="auto"/>
        <w:jc w:val="left"/>
        <w:sectPr>
          <w:type w:val="continuous"/>
          <w:pgSz w:w="11910" w:h="16840"/>
          <w:pgMar w:top="1000" w:bottom="280" w:left="1420" w:right="880"/>
          <w:cols w:num="2" w:equalWidth="0">
            <w:col w:w="2752" w:space="3441"/>
            <w:col w:w="3417"/>
          </w:cols>
        </w:sectPr>
      </w:pPr>
    </w:p>
    <w:p>
      <w:pPr>
        <w:spacing w:line="240" w:lineRule="auto" w:before="12"/>
        <w:rPr>
          <w:rFonts w:ascii="宋体" w:hAnsi="宋体" w:cs="宋体" w:eastAsia="宋体" w:hint="default"/>
          <w:sz w:val="2"/>
          <w:szCs w:val="2"/>
        </w:rPr>
      </w:pPr>
    </w:p>
    <w:tbl>
      <w:tblPr>
        <w:tblW w:w="0" w:type="auto"/>
        <w:jc w:val="left"/>
        <w:tblInd w:w="342" w:type="dxa"/>
        <w:tblLayout w:type="fixed"/>
        <w:tblCellMar>
          <w:top w:w="0" w:type="dxa"/>
          <w:left w:w="0" w:type="dxa"/>
          <w:bottom w:w="0" w:type="dxa"/>
          <w:right w:w="0" w:type="dxa"/>
        </w:tblCellMar>
        <w:tblLook w:val="01E0"/>
      </w:tblPr>
      <w:tblGrid>
        <w:gridCol w:w="2016"/>
        <w:gridCol w:w="2127"/>
        <w:gridCol w:w="1985"/>
        <w:gridCol w:w="2768"/>
      </w:tblGrid>
      <w:tr>
        <w:trPr>
          <w:trHeight w:val="566"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23" w:right="0"/>
              <w:jc w:val="left"/>
              <w:rPr>
                <w:rFonts w:ascii="宋体" w:hAnsi="宋体" w:cs="宋体" w:eastAsia="宋体" w:hint="default"/>
                <w:sz w:val="24"/>
                <w:szCs w:val="24"/>
              </w:rPr>
            </w:pPr>
            <w:r>
              <w:rPr>
                <w:rFonts w:ascii="宋体" w:hAnsi="宋体" w:cs="宋体" w:eastAsia="宋体" w:hint="default"/>
                <w:sz w:val="24"/>
                <w:szCs w:val="24"/>
              </w:rPr>
              <w:t>补助项目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39" w:right="0"/>
              <w:jc w:val="left"/>
              <w:rPr>
                <w:rFonts w:ascii="宋体" w:hAnsi="宋体" w:cs="宋体" w:eastAsia="宋体" w:hint="default"/>
                <w:sz w:val="24"/>
                <w:szCs w:val="24"/>
              </w:rPr>
            </w:pPr>
            <w:r>
              <w:rPr>
                <w:rFonts w:ascii="宋体" w:hAnsi="宋体" w:cs="宋体" w:eastAsia="宋体" w:hint="default"/>
                <w:sz w:val="24"/>
                <w:szCs w:val="24"/>
              </w:rPr>
              <w:t>本期发生金额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66" w:right="0"/>
              <w:jc w:val="left"/>
              <w:rPr>
                <w:rFonts w:ascii="宋体" w:hAnsi="宋体" w:cs="宋体" w:eastAsia="宋体" w:hint="default"/>
                <w:sz w:val="24"/>
                <w:szCs w:val="24"/>
              </w:rPr>
            </w:pPr>
            <w:r>
              <w:rPr>
                <w:rFonts w:ascii="宋体" w:hAnsi="宋体" w:cs="宋体" w:eastAsia="宋体" w:hint="default"/>
                <w:sz w:val="24"/>
                <w:szCs w:val="24"/>
              </w:rPr>
              <w:t>上期发生金额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17" w:right="0"/>
              <w:jc w:val="left"/>
              <w:rPr>
                <w:rFonts w:ascii="宋体" w:hAnsi="宋体" w:cs="宋体" w:eastAsia="宋体" w:hint="default"/>
                <w:sz w:val="24"/>
                <w:szCs w:val="24"/>
              </w:rPr>
            </w:pPr>
            <w:r>
              <w:rPr>
                <w:rFonts w:ascii="宋体" w:hAnsi="宋体" w:cs="宋体" w:eastAsia="宋体" w:hint="default"/>
                <w:sz w:val="24"/>
                <w:szCs w:val="24"/>
              </w:rPr>
              <w:t>与资产相关</w:t>
            </w:r>
            <w:r>
              <w:rPr>
                <w:rFonts w:ascii="宋体" w:hAnsi="宋体" w:cs="宋体" w:eastAsia="宋体" w:hint="default"/>
                <w:sz w:val="24"/>
                <w:szCs w:val="24"/>
              </w:rPr>
              <w:t>/</w:t>
            </w:r>
            <w:r>
              <w:rPr>
                <w:rFonts w:ascii="宋体" w:hAnsi="宋体" w:cs="宋体" w:eastAsia="宋体" w:hint="default"/>
                <w:sz w:val="24"/>
                <w:szCs w:val="24"/>
              </w:rPr>
              <w:t>与收益相关</w:t>
            </w:r>
          </w:p>
        </w:tc>
      </w:tr>
      <w:tr>
        <w:trPr>
          <w:trHeight w:val="322"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财政补助</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1,850,763.37</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322"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政府奖励</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970,000.00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319"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车辆补助</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20,126.86</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322"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6" w:right="0"/>
              <w:jc w:val="left"/>
              <w:rPr>
                <w:rFonts w:ascii="宋体" w:hAnsi="宋体" w:cs="宋体" w:eastAsia="宋体" w:hint="default"/>
                <w:sz w:val="24"/>
                <w:szCs w:val="24"/>
              </w:rPr>
            </w:pPr>
            <w:r>
              <w:rPr>
                <w:rFonts w:ascii="宋体" w:hAnsi="宋体" w:cs="宋体" w:eastAsia="宋体" w:hint="default"/>
                <w:sz w:val="24"/>
                <w:szCs w:val="24"/>
              </w:rPr>
              <w:t>教育补助</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4"/>
              <w:jc w:val="right"/>
              <w:rPr>
                <w:rFonts w:ascii="宋体" w:hAnsi="宋体" w:cs="宋体" w:eastAsia="宋体" w:hint="default"/>
                <w:sz w:val="24"/>
                <w:szCs w:val="24"/>
              </w:rPr>
            </w:pPr>
            <w:r>
              <w:rPr>
                <w:rFonts w:ascii="宋体"/>
                <w:sz w:val="24"/>
              </w:rPr>
              <w:t>1,454,543.30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322"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教育建设补助</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175,352.13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322"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400,500.00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322"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4,871,285.66</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sz w:val="24"/>
              </w:rPr>
              <w:t>/</w:t>
            </w:r>
          </w:p>
        </w:tc>
      </w:tr>
    </w:tbl>
    <w:p>
      <w:pPr>
        <w:spacing w:line="240" w:lineRule="auto" w:before="0"/>
        <w:rPr>
          <w:rFonts w:ascii="宋体" w:hAnsi="宋体" w:cs="宋体" w:eastAsia="宋体" w:hint="default"/>
          <w:sz w:val="27"/>
          <w:szCs w:val="27"/>
        </w:rPr>
      </w:pPr>
    </w:p>
    <w:p>
      <w:pPr>
        <w:pStyle w:val="BodyText"/>
        <w:spacing w:line="240" w:lineRule="auto" w:before="26"/>
        <w:ind w:left="378" w:right="0"/>
        <w:jc w:val="left"/>
      </w:pPr>
      <w:r>
        <w:rPr/>
        <w:t>其他说明：</w:t>
      </w:r>
    </w:p>
    <w:p>
      <w:pPr>
        <w:pStyle w:val="BodyText"/>
        <w:spacing w:line="240" w:lineRule="auto" w:before="106"/>
        <w:ind w:left="37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00" w:bottom="280" w:left="1420" w:right="880"/>
        </w:sectPr>
      </w:pPr>
    </w:p>
    <w:p>
      <w:pPr>
        <w:pStyle w:val="Heading2"/>
        <w:spacing w:line="240" w:lineRule="auto" w:before="166"/>
        <w:ind w:left="378" w:right="-19"/>
        <w:jc w:val="left"/>
        <w:rPr>
          <w:b w:val="0"/>
          <w:bCs w:val="0"/>
        </w:rPr>
      </w:pPr>
      <w:r>
        <w:rPr>
          <w:rFonts w:ascii="宋体" w:hAnsi="宋体" w:cs="宋体" w:eastAsia="宋体" w:hint="default"/>
        </w:rPr>
        <w:t>54</w:t>
      </w:r>
      <w:r>
        <w:rPr/>
        <w:t>、</w:t>
      </w:r>
      <w:r>
        <w:rPr>
          <w:spacing w:val="-103"/>
        </w:rPr>
        <w:t> </w:t>
      </w:r>
      <w:r>
        <w:rPr/>
        <w:t>营业外支出</w:t>
      </w:r>
      <w:r>
        <w:rPr>
          <w:b w:val="0"/>
          <w:bCs w:val="0"/>
        </w:rPr>
      </w:r>
    </w:p>
    <w:p>
      <w:pPr>
        <w:pStyle w:val="BodyText"/>
        <w:tabs>
          <w:tab w:pos="1337" w:val="left" w:leader="none"/>
        </w:tabs>
        <w:spacing w:line="240" w:lineRule="auto" w:before="58"/>
        <w:ind w:left="378" w:right="-19"/>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6"/>
          <w:szCs w:val="16"/>
        </w:rPr>
      </w:pPr>
    </w:p>
    <w:p>
      <w:pPr>
        <w:pStyle w:val="BodyText"/>
        <w:tabs>
          <w:tab w:pos="1578" w:val="left" w:leader="none"/>
        </w:tabs>
        <w:spacing w:line="240" w:lineRule="auto"/>
        <w:ind w:left="378" w:right="0"/>
        <w:jc w:val="left"/>
      </w:pPr>
      <w:r>
        <w:rPr/>
        <w:t>单位：元</w:t>
        <w:tab/>
        <w:t>币种：人民币</w:t>
      </w:r>
    </w:p>
    <w:p>
      <w:pPr>
        <w:spacing w:after="0" w:line="240" w:lineRule="auto"/>
        <w:jc w:val="left"/>
        <w:sectPr>
          <w:type w:val="continuous"/>
          <w:pgSz w:w="11910" w:h="16840"/>
          <w:pgMar w:top="1000" w:bottom="280" w:left="1420" w:right="880"/>
          <w:cols w:num="2" w:equalWidth="0">
            <w:col w:w="2299" w:space="3894"/>
            <w:col w:w="3417"/>
          </w:cols>
        </w:sectPr>
      </w:pP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977"/>
        <w:gridCol w:w="2129"/>
        <w:gridCol w:w="2126"/>
        <w:gridCol w:w="2139"/>
      </w:tblGrid>
      <w:tr>
        <w:trPr>
          <w:trHeight w:val="63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58"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55" w:right="0"/>
              <w:jc w:val="left"/>
              <w:rPr>
                <w:rFonts w:ascii="宋体" w:hAnsi="宋体" w:cs="宋体" w:eastAsia="宋体" w:hint="default"/>
                <w:sz w:val="24"/>
                <w:szCs w:val="24"/>
              </w:rPr>
            </w:pPr>
            <w:r>
              <w:rPr>
                <w:rFonts w:ascii="宋体" w:hAnsi="宋体" w:cs="宋体" w:eastAsia="宋体" w:hint="default"/>
                <w:sz w:val="24"/>
                <w:szCs w:val="24"/>
              </w:rPr>
              <w:t>上期发生额</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计入当期非经常性</w:t>
            </w:r>
          </w:p>
          <w:p>
            <w:pPr>
              <w:pStyle w:val="TableParagraph"/>
              <w:spacing w:line="312" w:lineRule="exact"/>
              <w:ind w:right="1"/>
              <w:jc w:val="center"/>
              <w:rPr>
                <w:rFonts w:ascii="宋体" w:hAnsi="宋体" w:cs="宋体" w:eastAsia="宋体" w:hint="default"/>
                <w:sz w:val="24"/>
                <w:szCs w:val="24"/>
              </w:rPr>
            </w:pPr>
            <w:r>
              <w:rPr>
                <w:rFonts w:ascii="宋体" w:hAnsi="宋体" w:cs="宋体" w:eastAsia="宋体" w:hint="default"/>
                <w:sz w:val="24"/>
                <w:szCs w:val="24"/>
              </w:rPr>
              <w:t>损益的金额</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非流动资产处置损失合计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165,236.91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8,365.40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165,236.91</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其中：固定资产处置损失</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无形资产处置损失</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债务重组损失</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非货币性资产交换损失</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对外捐赠</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20,088,997.30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929,500.00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20,088,997.30</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延迟交房违约金</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321,001.40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11,750,634.29</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321,001.40</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地方水利建设基金</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3,052,782.26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5,631,701.65</w:t>
            </w:r>
          </w:p>
        </w:tc>
        <w:tc>
          <w:tcPr>
            <w:tcW w:w="213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00" w:bottom="280" w:left="1420" w:right="8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977"/>
        <w:gridCol w:w="2129"/>
        <w:gridCol w:w="2126"/>
        <w:gridCol w:w="2139"/>
      </w:tblGrid>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罚款支出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5"/>
              <w:jc w:val="right"/>
              <w:rPr>
                <w:rFonts w:ascii="宋体" w:hAnsi="宋体" w:cs="宋体" w:eastAsia="宋体" w:hint="default"/>
                <w:sz w:val="24"/>
                <w:szCs w:val="24"/>
              </w:rPr>
            </w:pPr>
            <w:r>
              <w:rPr>
                <w:rFonts w:ascii="宋体"/>
                <w:sz w:val="24"/>
              </w:rPr>
              <w:t>472,924.25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3"/>
              <w:jc w:val="right"/>
              <w:rPr>
                <w:rFonts w:ascii="宋体" w:hAnsi="宋体" w:cs="宋体" w:eastAsia="宋体" w:hint="default"/>
                <w:sz w:val="24"/>
                <w:szCs w:val="24"/>
              </w:rPr>
            </w:pPr>
            <w:r>
              <w:rPr>
                <w:rFonts w:ascii="宋体"/>
                <w:sz w:val="24"/>
              </w:rPr>
              <w:t>2,689,885.27</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472,924.25</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3,106,792.10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496,704.06</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3,106,792.10</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center"/>
              <w:rPr>
                <w:rFonts w:ascii="宋体" w:hAnsi="宋体" w:cs="宋体" w:eastAsia="宋体" w:hint="default"/>
                <w:sz w:val="24"/>
                <w:szCs w:val="24"/>
              </w:rPr>
            </w:pPr>
            <w:r>
              <w:rPr>
                <w:rFonts w:ascii="宋体" w:hAnsi="宋体" w:cs="宋体" w:eastAsia="宋体" w:hint="default"/>
                <w:sz w:val="24"/>
                <w:szCs w:val="24"/>
              </w:rPr>
              <w:t>合计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27,207,734.22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21,506,790.67</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24,154,951.96</w:t>
            </w:r>
          </w:p>
        </w:tc>
      </w:tr>
    </w:tbl>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0" w:footer="1195" w:top="1120" w:bottom="1380" w:left="1420" w:right="880"/>
        </w:sectPr>
      </w:pPr>
    </w:p>
    <w:p>
      <w:pPr>
        <w:pStyle w:val="Heading2"/>
        <w:spacing w:line="283" w:lineRule="auto"/>
        <w:ind w:left="378" w:right="-19"/>
        <w:jc w:val="left"/>
        <w:rPr>
          <w:b w:val="0"/>
          <w:bCs w:val="0"/>
        </w:rPr>
      </w:pPr>
      <w:r>
        <w:rPr>
          <w:rFonts w:ascii="宋体" w:hAnsi="宋体" w:cs="宋体" w:eastAsia="宋体" w:hint="default"/>
        </w:rPr>
        <w:t>55</w:t>
      </w:r>
      <w:r>
        <w:rPr/>
        <w:t>、</w:t>
      </w:r>
      <w:r>
        <w:rPr>
          <w:spacing w:val="-101"/>
        </w:rPr>
        <w:t> </w:t>
      </w:r>
      <w:r>
        <w:rPr/>
        <w:t>所得税费用</w:t>
      </w:r>
      <w:r>
        <w:rPr>
          <w:w w:val="99"/>
        </w:rPr>
        <w:t> </w:t>
      </w:r>
      <w:r>
        <w:rPr>
          <w:rFonts w:ascii="宋体" w:hAnsi="宋体" w:cs="宋体" w:eastAsia="宋体" w:hint="default"/>
        </w:rPr>
        <w:t>(1)</w:t>
      </w:r>
      <w:r>
        <w:rPr>
          <w:rFonts w:ascii="宋体" w:hAnsi="宋体" w:cs="宋体" w:eastAsia="宋体" w:hint="default"/>
          <w:spacing w:val="-62"/>
        </w:rPr>
        <w:t> </w:t>
      </w:r>
      <w:r>
        <w:rPr/>
        <w:t>所得税费用表</w:t>
      </w:r>
      <w:r>
        <w:rPr>
          <w:b w:val="0"/>
          <w:bCs w:val="0"/>
        </w:rPr>
      </w:r>
    </w:p>
    <w:p>
      <w:pPr>
        <w:pStyle w:val="BodyText"/>
        <w:spacing w:line="240" w:lineRule="auto" w:before="12"/>
        <w:ind w:left="37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tabs>
          <w:tab w:pos="1578" w:val="left" w:leader="none"/>
        </w:tabs>
        <w:spacing w:line="240" w:lineRule="auto"/>
        <w:ind w:left="378" w:right="0"/>
        <w:jc w:val="left"/>
      </w:pPr>
      <w:r>
        <w:rPr/>
        <w:t>单位：元</w:t>
        <w:tab/>
        <w:t>币种：人民币</w:t>
      </w:r>
    </w:p>
    <w:p>
      <w:pPr>
        <w:spacing w:after="0" w:line="240" w:lineRule="auto"/>
        <w:jc w:val="left"/>
        <w:sectPr>
          <w:type w:val="continuous"/>
          <w:pgSz w:w="11910" w:h="16840"/>
          <w:pgMar w:top="1000" w:bottom="280" w:left="1420" w:right="880"/>
          <w:cols w:num="2" w:equalWidth="0">
            <w:col w:w="2248" w:space="3945"/>
            <w:col w:w="3417"/>
          </w:cols>
        </w:sectPr>
      </w:pPr>
    </w:p>
    <w:p>
      <w:pPr>
        <w:spacing w:line="240" w:lineRule="auto" w:before="12"/>
        <w:rPr>
          <w:rFonts w:ascii="宋体" w:hAnsi="宋体" w:cs="宋体" w:eastAsia="宋体" w:hint="default"/>
          <w:sz w:val="2"/>
          <w:szCs w:val="2"/>
        </w:rPr>
      </w:pPr>
    </w:p>
    <w:tbl>
      <w:tblPr>
        <w:tblW w:w="0" w:type="auto"/>
        <w:jc w:val="left"/>
        <w:tblInd w:w="342" w:type="dxa"/>
        <w:tblLayout w:type="fixed"/>
        <w:tblCellMar>
          <w:top w:w="0" w:type="dxa"/>
          <w:left w:w="0" w:type="dxa"/>
          <w:bottom w:w="0" w:type="dxa"/>
          <w:right w:w="0" w:type="dxa"/>
        </w:tblCellMar>
        <w:tblLook w:val="01E0"/>
      </w:tblPr>
      <w:tblGrid>
        <w:gridCol w:w="3159"/>
        <w:gridCol w:w="2876"/>
        <w:gridCol w:w="2861"/>
      </w:tblGrid>
      <w:tr>
        <w:trPr>
          <w:trHeight w:val="319"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37"/>
              <w:jc w:val="right"/>
              <w:rPr>
                <w:rFonts w:ascii="宋体" w:hAnsi="宋体" w:cs="宋体" w:eastAsia="宋体" w:hint="default"/>
                <w:sz w:val="24"/>
                <w:szCs w:val="24"/>
              </w:rPr>
            </w:pPr>
            <w:r>
              <w:rPr>
                <w:rFonts w:ascii="宋体" w:hAnsi="宋体" w:cs="宋体" w:eastAsia="宋体" w:hint="default"/>
                <w:sz w:val="24"/>
                <w:szCs w:val="24"/>
              </w:rPr>
              <w:t>项目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7"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当期所得税费用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974,566,567.44</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right"/>
              <w:rPr>
                <w:rFonts w:ascii="宋体" w:hAnsi="宋体" w:cs="宋体" w:eastAsia="宋体" w:hint="default"/>
                <w:sz w:val="24"/>
                <w:szCs w:val="24"/>
              </w:rPr>
            </w:pPr>
            <w:r>
              <w:rPr>
                <w:rFonts w:ascii="宋体"/>
                <w:sz w:val="24"/>
              </w:rPr>
              <w:t>434,171,924.08</w:t>
            </w:r>
          </w:p>
        </w:tc>
      </w:tr>
      <w:tr>
        <w:trPr>
          <w:trHeight w:val="322"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递延所得税费用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-145,840,482.85</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-215,838,247.19</w:t>
            </w:r>
          </w:p>
        </w:tc>
      </w:tr>
      <w:tr>
        <w:trPr>
          <w:trHeight w:val="322"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37"/>
              <w:jc w:val="right"/>
              <w:rPr>
                <w:rFonts w:ascii="宋体" w:hAnsi="宋体" w:cs="宋体" w:eastAsia="宋体" w:hint="default"/>
                <w:sz w:val="24"/>
                <w:szCs w:val="24"/>
              </w:rPr>
            </w:pPr>
            <w:r>
              <w:rPr>
                <w:rFonts w:ascii="宋体" w:hAnsi="宋体" w:cs="宋体" w:eastAsia="宋体" w:hint="default"/>
                <w:sz w:val="24"/>
                <w:szCs w:val="24"/>
              </w:rPr>
              <w:t>合计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3"/>
              <w:jc w:val="right"/>
              <w:rPr>
                <w:rFonts w:ascii="宋体" w:hAnsi="宋体" w:cs="宋体" w:eastAsia="宋体" w:hint="default"/>
                <w:sz w:val="24"/>
                <w:szCs w:val="24"/>
              </w:rPr>
            </w:pPr>
            <w:r>
              <w:rPr>
                <w:rFonts w:ascii="宋体"/>
                <w:sz w:val="24"/>
              </w:rPr>
              <w:t>828,726,084.59</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218,333,676.89</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00" w:bottom="280" w:left="1420" w:right="880"/>
        </w:sectPr>
      </w:pPr>
    </w:p>
    <w:p>
      <w:pPr>
        <w:pStyle w:val="Heading2"/>
        <w:spacing w:line="240" w:lineRule="auto"/>
        <w:ind w:left="378" w:right="-18"/>
        <w:jc w:val="left"/>
        <w:rPr>
          <w:b w:val="0"/>
          <w:bCs w:val="0"/>
        </w:rPr>
      </w:pPr>
      <w:r>
        <w:rPr>
          <w:rFonts w:ascii="宋体" w:hAnsi="宋体" w:cs="宋体" w:eastAsia="宋体" w:hint="default"/>
        </w:rPr>
        <w:t>(2)</w:t>
      </w:r>
      <w:r>
        <w:rPr>
          <w:rFonts w:ascii="宋体" w:hAnsi="宋体" w:cs="宋体" w:eastAsia="宋体" w:hint="default"/>
          <w:spacing w:val="-61"/>
        </w:rPr>
        <w:t> </w:t>
      </w:r>
      <w:r>
        <w:rPr/>
        <w:t>会计利润与所得税费用调整过程：</w:t>
      </w:r>
      <w:r>
        <w:rPr>
          <w:b w:val="0"/>
          <w:bCs w:val="0"/>
        </w:rPr>
      </w:r>
    </w:p>
    <w:p>
      <w:pPr>
        <w:pStyle w:val="BodyText"/>
        <w:spacing w:line="240" w:lineRule="auto" w:before="58"/>
        <w:ind w:left="37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578" w:val="left" w:leader="none"/>
        </w:tabs>
        <w:spacing w:line="240" w:lineRule="auto"/>
        <w:ind w:left="378" w:right="0"/>
        <w:jc w:val="left"/>
      </w:pPr>
      <w:r>
        <w:rPr/>
        <w:t>单位：元</w:t>
        <w:tab/>
        <w:t>币种：人民币</w:t>
      </w:r>
    </w:p>
    <w:p>
      <w:pPr>
        <w:spacing w:after="0" w:line="240" w:lineRule="auto"/>
        <w:jc w:val="left"/>
        <w:sectPr>
          <w:type w:val="continuous"/>
          <w:pgSz w:w="11910" w:h="16840"/>
          <w:pgMar w:top="1000" w:bottom="280" w:left="1420" w:right="880"/>
          <w:cols w:num="2" w:equalWidth="0">
            <w:col w:w="4418" w:space="1775"/>
            <w:col w:w="3417"/>
          </w:cols>
        </w:sectPr>
      </w:pPr>
    </w:p>
    <w:p>
      <w:pPr>
        <w:spacing w:line="240" w:lineRule="auto" w:before="12"/>
        <w:rPr>
          <w:rFonts w:ascii="宋体" w:hAnsi="宋体" w:cs="宋体" w:eastAsia="宋体" w:hint="default"/>
          <w:sz w:val="2"/>
          <w:szCs w:val="2"/>
        </w:rPr>
      </w:pPr>
    </w:p>
    <w:tbl>
      <w:tblPr>
        <w:tblW w:w="0" w:type="auto"/>
        <w:jc w:val="left"/>
        <w:tblInd w:w="339" w:type="dxa"/>
        <w:tblLayout w:type="fixed"/>
        <w:tblCellMar>
          <w:top w:w="0" w:type="dxa"/>
          <w:left w:w="0" w:type="dxa"/>
          <w:bottom w:w="0" w:type="dxa"/>
          <w:right w:w="0" w:type="dxa"/>
        </w:tblCellMar>
        <w:tblLook w:val="01E0"/>
      </w:tblPr>
      <w:tblGrid>
        <w:gridCol w:w="6411"/>
        <w:gridCol w:w="2482"/>
      </w:tblGrid>
      <w:tr>
        <w:trPr>
          <w:trHeight w:val="322" w:hRule="exact"/>
        </w:trPr>
        <w:tc>
          <w:tcPr>
            <w:tcW w:w="6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482" w:type="dxa"/>
            <w:tcBorders>
              <w:top w:val="single" w:sz="4" w:space="0" w:color="000000"/>
              <w:left w:val="single" w:sz="4" w:space="0" w:color="000000"/>
              <w:bottom w:val="single" w:sz="4" w:space="0" w:color="000000"/>
              <w:right w:val="single" w:sz="5" w:space="0" w:color="000000"/>
            </w:tcBorders>
          </w:tcPr>
          <w:p>
            <w:pPr>
              <w:pStyle w:val="TableParagraph"/>
              <w:spacing w:line="274" w:lineRule="exact"/>
              <w:ind w:left="635" w:right="0"/>
              <w:jc w:val="left"/>
              <w:rPr>
                <w:rFonts w:ascii="宋体" w:hAnsi="宋体" w:cs="宋体" w:eastAsia="宋体" w:hint="default"/>
                <w:sz w:val="24"/>
                <w:szCs w:val="24"/>
              </w:rPr>
            </w:pPr>
            <w:r>
              <w:rPr>
                <w:rFonts w:ascii="宋体" w:hAnsi="宋体" w:cs="宋体" w:eastAsia="宋体" w:hint="default"/>
                <w:sz w:val="24"/>
                <w:szCs w:val="24"/>
              </w:rPr>
              <w:t>本期发生额</w:t>
            </w:r>
          </w:p>
        </w:tc>
      </w:tr>
      <w:tr>
        <w:trPr>
          <w:trHeight w:val="322" w:hRule="exact"/>
        </w:trPr>
        <w:tc>
          <w:tcPr>
            <w:tcW w:w="6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2482" w:type="dxa"/>
            <w:tcBorders>
              <w:top w:val="single" w:sz="4" w:space="0" w:color="000000"/>
              <w:left w:val="single" w:sz="4"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4,178,947,042.70</w:t>
            </w:r>
          </w:p>
        </w:tc>
      </w:tr>
      <w:tr>
        <w:trPr>
          <w:trHeight w:val="326" w:hRule="exact"/>
        </w:trPr>
        <w:tc>
          <w:tcPr>
            <w:tcW w:w="6411"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6" w:right="0"/>
              <w:jc w:val="left"/>
              <w:rPr>
                <w:rFonts w:ascii="宋体" w:hAnsi="宋体" w:cs="宋体" w:eastAsia="宋体" w:hint="default"/>
                <w:sz w:val="24"/>
                <w:szCs w:val="24"/>
              </w:rPr>
            </w:pPr>
            <w:r>
              <w:rPr>
                <w:rFonts w:ascii="宋体" w:hAnsi="宋体" w:cs="宋体" w:eastAsia="宋体" w:hint="default"/>
                <w:sz w:val="24"/>
                <w:szCs w:val="24"/>
              </w:rPr>
              <w:t>按法定</w:t>
            </w:r>
            <w:r>
              <w:rPr>
                <w:rFonts w:ascii="宋体" w:hAnsi="宋体" w:cs="宋体" w:eastAsia="宋体" w:hint="default"/>
                <w:sz w:val="24"/>
                <w:szCs w:val="24"/>
              </w:rPr>
              <w:t>/</w:t>
            </w:r>
            <w:r>
              <w:rPr>
                <w:rFonts w:ascii="宋体" w:hAnsi="宋体" w:cs="宋体" w:eastAsia="宋体" w:hint="default"/>
                <w:sz w:val="24"/>
                <w:szCs w:val="24"/>
              </w:rPr>
              <w:t>适用税率计算的所得税费用</w:t>
            </w:r>
          </w:p>
        </w:tc>
        <w:tc>
          <w:tcPr>
            <w:tcW w:w="2482"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1,044,736,760.68</w:t>
            </w:r>
          </w:p>
        </w:tc>
      </w:tr>
      <w:tr>
        <w:trPr>
          <w:trHeight w:val="327" w:hRule="exact"/>
        </w:trPr>
        <w:tc>
          <w:tcPr>
            <w:tcW w:w="6411"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6" w:right="0"/>
              <w:jc w:val="left"/>
              <w:rPr>
                <w:rFonts w:ascii="宋体" w:hAnsi="宋体" w:cs="宋体" w:eastAsia="宋体" w:hint="default"/>
                <w:sz w:val="24"/>
                <w:szCs w:val="24"/>
              </w:rPr>
            </w:pPr>
            <w:r>
              <w:rPr>
                <w:rFonts w:ascii="宋体" w:hAnsi="宋体" w:cs="宋体" w:eastAsia="宋体" w:hint="default"/>
                <w:sz w:val="24"/>
                <w:szCs w:val="24"/>
              </w:rPr>
              <w:t>子公司适用不同税率的影响</w:t>
            </w:r>
          </w:p>
        </w:tc>
        <w:tc>
          <w:tcPr>
            <w:tcW w:w="2482" w:type="dxa"/>
            <w:tcBorders>
              <w:top w:val="single" w:sz="6" w:space="0" w:color="000000"/>
              <w:left w:val="single" w:sz="4" w:space="0" w:color="000000"/>
              <w:bottom w:val="single" w:sz="6" w:space="0" w:color="000000"/>
              <w:right w:val="single" w:sz="6" w:space="0" w:color="000000"/>
            </w:tcBorders>
          </w:tcPr>
          <w:p>
            <w:pPr/>
          </w:p>
        </w:tc>
      </w:tr>
      <w:tr>
        <w:trPr>
          <w:trHeight w:val="324" w:hRule="exact"/>
        </w:trPr>
        <w:tc>
          <w:tcPr>
            <w:tcW w:w="6411"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6" w:right="0"/>
              <w:jc w:val="left"/>
              <w:rPr>
                <w:rFonts w:ascii="宋体" w:hAnsi="宋体" w:cs="宋体" w:eastAsia="宋体" w:hint="default"/>
                <w:sz w:val="24"/>
                <w:szCs w:val="24"/>
              </w:rPr>
            </w:pPr>
            <w:r>
              <w:rPr>
                <w:rFonts w:ascii="宋体" w:hAnsi="宋体" w:cs="宋体" w:eastAsia="宋体" w:hint="default"/>
                <w:sz w:val="24"/>
                <w:szCs w:val="24"/>
              </w:rPr>
              <w:t>调整以前期间所得税的影响</w:t>
            </w:r>
          </w:p>
        </w:tc>
        <w:tc>
          <w:tcPr>
            <w:tcW w:w="2482"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-4,437,139.77</w:t>
            </w:r>
          </w:p>
        </w:tc>
      </w:tr>
      <w:tr>
        <w:trPr>
          <w:trHeight w:val="326" w:hRule="exact"/>
        </w:trPr>
        <w:tc>
          <w:tcPr>
            <w:tcW w:w="641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6" w:right="0"/>
              <w:jc w:val="left"/>
              <w:rPr>
                <w:rFonts w:ascii="宋体" w:hAnsi="宋体" w:cs="宋体" w:eastAsia="宋体" w:hint="default"/>
                <w:sz w:val="24"/>
                <w:szCs w:val="24"/>
              </w:rPr>
            </w:pPr>
            <w:r>
              <w:rPr>
                <w:rFonts w:ascii="宋体" w:hAnsi="宋体" w:cs="宋体" w:eastAsia="宋体" w:hint="default"/>
                <w:sz w:val="24"/>
                <w:szCs w:val="24"/>
              </w:rPr>
              <w:t>非应税收入的影响</w:t>
            </w:r>
          </w:p>
        </w:tc>
        <w:tc>
          <w:tcPr>
            <w:tcW w:w="2482" w:type="dxa"/>
            <w:tcBorders>
              <w:top w:val="single" w:sz="6" w:space="0" w:color="000000"/>
              <w:left w:val="single" w:sz="4" w:space="0" w:color="000000"/>
              <w:bottom w:val="single" w:sz="6" w:space="0" w:color="000000"/>
              <w:right w:val="single" w:sz="6" w:space="0" w:color="000000"/>
            </w:tcBorders>
          </w:tcPr>
          <w:p>
            <w:pPr>
              <w:pStyle w:val="TableParagraph"/>
              <w:spacing w:line="279" w:lineRule="exact"/>
              <w:ind w:right="23"/>
              <w:jc w:val="right"/>
              <w:rPr>
                <w:rFonts w:ascii="宋体" w:hAnsi="宋体" w:cs="宋体" w:eastAsia="宋体" w:hint="default"/>
                <w:sz w:val="24"/>
                <w:szCs w:val="24"/>
              </w:rPr>
            </w:pPr>
            <w:r>
              <w:rPr>
                <w:rFonts w:ascii="宋体"/>
                <w:sz w:val="24"/>
              </w:rPr>
              <w:t>-796,686,315.39</w:t>
            </w:r>
          </w:p>
        </w:tc>
      </w:tr>
      <w:tr>
        <w:trPr>
          <w:trHeight w:val="326" w:hRule="exact"/>
        </w:trPr>
        <w:tc>
          <w:tcPr>
            <w:tcW w:w="641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6" w:right="0"/>
              <w:jc w:val="left"/>
              <w:rPr>
                <w:rFonts w:ascii="宋体" w:hAnsi="宋体" w:cs="宋体" w:eastAsia="宋体" w:hint="default"/>
                <w:sz w:val="24"/>
                <w:szCs w:val="24"/>
              </w:rPr>
            </w:pPr>
            <w:r>
              <w:rPr>
                <w:rFonts w:ascii="宋体" w:hAnsi="宋体" w:cs="宋体" w:eastAsia="宋体" w:hint="default"/>
                <w:sz w:val="24"/>
                <w:szCs w:val="24"/>
              </w:rPr>
              <w:t>不可抵扣的成本、费用和损失的影响</w:t>
            </w:r>
          </w:p>
        </w:tc>
        <w:tc>
          <w:tcPr>
            <w:tcW w:w="2482" w:type="dxa"/>
            <w:tcBorders>
              <w:top w:val="single" w:sz="6" w:space="0" w:color="000000"/>
              <w:left w:val="single" w:sz="4" w:space="0" w:color="000000"/>
              <w:bottom w:val="single" w:sz="6" w:space="0" w:color="000000"/>
              <w:right w:val="single" w:sz="6" w:space="0" w:color="000000"/>
            </w:tcBorders>
          </w:tcPr>
          <w:p>
            <w:pPr>
              <w:pStyle w:val="TableParagraph"/>
              <w:spacing w:line="279" w:lineRule="exact"/>
              <w:ind w:right="23"/>
              <w:jc w:val="right"/>
              <w:rPr>
                <w:rFonts w:ascii="宋体" w:hAnsi="宋体" w:cs="宋体" w:eastAsia="宋体" w:hint="default"/>
                <w:sz w:val="24"/>
                <w:szCs w:val="24"/>
              </w:rPr>
            </w:pPr>
            <w:r>
              <w:rPr>
                <w:rFonts w:ascii="宋体"/>
                <w:sz w:val="24"/>
              </w:rPr>
              <w:t>28,793,084.92</w:t>
            </w:r>
          </w:p>
        </w:tc>
      </w:tr>
      <w:tr>
        <w:trPr>
          <w:trHeight w:val="329" w:hRule="exact"/>
        </w:trPr>
        <w:tc>
          <w:tcPr>
            <w:tcW w:w="6411" w:type="dxa"/>
            <w:tcBorders>
              <w:top w:val="single" w:sz="4" w:space="0" w:color="000000"/>
              <w:left w:val="single" w:sz="6" w:space="0" w:color="000000"/>
              <w:bottom w:val="single" w:sz="6" w:space="0" w:color="000000"/>
              <w:right w:val="single" w:sz="6" w:space="0" w:color="000000"/>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研发费用加计扣除影响</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right="23"/>
              <w:jc w:val="right"/>
              <w:rPr>
                <w:rFonts w:ascii="宋体" w:hAnsi="宋体" w:cs="宋体" w:eastAsia="宋体" w:hint="default"/>
                <w:sz w:val="24"/>
                <w:szCs w:val="24"/>
              </w:rPr>
            </w:pPr>
            <w:r>
              <w:rPr>
                <w:rFonts w:ascii="宋体"/>
                <w:sz w:val="24"/>
              </w:rPr>
              <w:t>-85,000.00</w:t>
            </w:r>
          </w:p>
        </w:tc>
      </w:tr>
      <w:tr>
        <w:trPr>
          <w:trHeight w:val="326" w:hRule="exact"/>
        </w:trPr>
        <w:tc>
          <w:tcPr>
            <w:tcW w:w="641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其他永久性差异对当期所得税影响</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408,532,216.80</w:t>
            </w:r>
          </w:p>
        </w:tc>
      </w:tr>
      <w:tr>
        <w:trPr>
          <w:trHeight w:val="324" w:hRule="exact"/>
        </w:trPr>
        <w:tc>
          <w:tcPr>
            <w:tcW w:w="6411" w:type="dxa"/>
            <w:tcBorders>
              <w:top w:val="single" w:sz="6"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使用前期未确认递延所得税资产的可抵扣亏损的影响</w:t>
            </w:r>
          </w:p>
        </w:tc>
        <w:tc>
          <w:tcPr>
            <w:tcW w:w="2482"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-9,807,575.54</w:t>
            </w:r>
          </w:p>
        </w:tc>
      </w:tr>
      <w:tr>
        <w:trPr>
          <w:trHeight w:val="638" w:hRule="exact"/>
        </w:trPr>
        <w:tc>
          <w:tcPr>
            <w:tcW w:w="641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6" w:right="0"/>
              <w:jc w:val="left"/>
              <w:rPr>
                <w:rFonts w:ascii="宋体" w:hAnsi="宋体" w:cs="宋体" w:eastAsia="宋体" w:hint="default"/>
                <w:sz w:val="24"/>
                <w:szCs w:val="24"/>
              </w:rPr>
            </w:pPr>
            <w:r>
              <w:rPr>
                <w:rFonts w:ascii="宋体" w:hAnsi="宋体" w:cs="宋体" w:eastAsia="宋体" w:hint="default"/>
                <w:sz w:val="24"/>
                <w:szCs w:val="24"/>
              </w:rPr>
              <w:t>本期未确认递延所得税资产的可抵扣暂时性差异或可抵扣亏</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损的影响</w:t>
            </w:r>
          </w:p>
        </w:tc>
        <w:tc>
          <w:tcPr>
            <w:tcW w:w="248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8"/>
              <w:ind w:right="23"/>
              <w:jc w:val="right"/>
              <w:rPr>
                <w:rFonts w:ascii="宋体" w:hAnsi="宋体" w:cs="宋体" w:eastAsia="宋体" w:hint="default"/>
                <w:sz w:val="24"/>
                <w:szCs w:val="24"/>
              </w:rPr>
            </w:pPr>
            <w:r>
              <w:rPr>
                <w:rFonts w:ascii="宋体"/>
                <w:sz w:val="24"/>
              </w:rPr>
              <w:t>161,837,534.90</w:t>
            </w:r>
          </w:p>
        </w:tc>
      </w:tr>
      <w:tr>
        <w:trPr>
          <w:trHeight w:val="639" w:hRule="exact"/>
        </w:trPr>
        <w:tc>
          <w:tcPr>
            <w:tcW w:w="6411" w:type="dxa"/>
            <w:tcBorders>
              <w:top w:val="single" w:sz="4" w:space="0" w:color="000000"/>
              <w:left w:val="single" w:sz="6" w:space="0" w:color="000000"/>
              <w:bottom w:val="single" w:sz="6" w:space="0" w:color="000000"/>
              <w:right w:val="single" w:sz="6" w:space="0" w:color="000000"/>
            </w:tcBorders>
          </w:tcPr>
          <w:p>
            <w:pPr>
              <w:pStyle w:val="TableParagraph"/>
              <w:spacing w:line="278" w:lineRule="exact"/>
              <w:ind w:left="24" w:right="0"/>
              <w:jc w:val="left"/>
              <w:rPr>
                <w:rFonts w:ascii="宋体" w:hAnsi="宋体" w:cs="宋体" w:eastAsia="宋体" w:hint="default"/>
                <w:sz w:val="24"/>
                <w:szCs w:val="24"/>
              </w:rPr>
            </w:pPr>
            <w:r>
              <w:rPr>
                <w:rFonts w:ascii="宋体" w:hAnsi="宋体" w:cs="宋体" w:eastAsia="宋体" w:hint="default"/>
                <w:sz w:val="24"/>
                <w:szCs w:val="24"/>
              </w:rPr>
              <w:t>对前期未确认递延所税资产而在本期确认的可抵扣暂时性差</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异或可抵扣亏损的影响</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23"/>
              <w:jc w:val="right"/>
              <w:rPr>
                <w:rFonts w:ascii="宋体" w:hAnsi="宋体" w:cs="宋体" w:eastAsia="宋体" w:hint="default"/>
                <w:sz w:val="24"/>
                <w:szCs w:val="24"/>
              </w:rPr>
            </w:pPr>
            <w:r>
              <w:rPr>
                <w:rFonts w:ascii="宋体"/>
                <w:sz w:val="24"/>
              </w:rPr>
              <w:t>-4,157,482.01</w:t>
            </w:r>
          </w:p>
        </w:tc>
      </w:tr>
      <w:tr>
        <w:trPr>
          <w:trHeight w:val="326" w:hRule="exact"/>
        </w:trPr>
        <w:tc>
          <w:tcPr>
            <w:tcW w:w="6411" w:type="dxa"/>
            <w:tcBorders>
              <w:top w:val="single" w:sz="6"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2482"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828,726,084.59</w:t>
            </w:r>
          </w:p>
        </w:tc>
      </w:tr>
    </w:tbl>
    <w:p>
      <w:pPr>
        <w:spacing w:line="240" w:lineRule="auto" w:before="5"/>
        <w:rPr>
          <w:rFonts w:ascii="宋体" w:hAnsi="宋体" w:cs="宋体" w:eastAsia="宋体" w:hint="default"/>
          <w:sz w:val="23"/>
          <w:szCs w:val="23"/>
        </w:rPr>
      </w:pPr>
    </w:p>
    <w:p>
      <w:pPr>
        <w:pStyle w:val="BodyText"/>
        <w:spacing w:line="240" w:lineRule="auto" w:before="26"/>
        <w:ind w:left="378" w:right="0"/>
        <w:jc w:val="left"/>
      </w:pPr>
      <w:r>
        <w:rPr/>
        <w:t>其他说明：</w:t>
      </w:r>
    </w:p>
    <w:p>
      <w:pPr>
        <w:pStyle w:val="BodyText"/>
        <w:spacing w:line="240" w:lineRule="auto" w:before="58"/>
        <w:ind w:left="378" w:right="0"/>
        <w:jc w:val="left"/>
      </w:pPr>
      <w:r>
        <w:rPr/>
        <w:t>□适用</w:t>
      </w:r>
      <w:r>
        <w:rPr>
          <w:spacing w:val="-1"/>
        </w:rPr>
        <w:t> </w:t>
      </w:r>
      <w:r>
        <w:rPr/>
        <w:t>√不适用</w:t>
      </w:r>
    </w:p>
    <w:p>
      <w:pPr>
        <w:spacing w:line="240" w:lineRule="auto" w:before="9"/>
        <w:rPr>
          <w:rFonts w:ascii="宋体" w:hAnsi="宋体" w:cs="宋体" w:eastAsia="宋体" w:hint="default"/>
          <w:sz w:val="32"/>
          <w:szCs w:val="32"/>
        </w:rPr>
      </w:pPr>
    </w:p>
    <w:p>
      <w:pPr>
        <w:pStyle w:val="Heading2"/>
        <w:spacing w:line="240" w:lineRule="auto" w:before="0"/>
        <w:ind w:left="378" w:right="0"/>
        <w:jc w:val="left"/>
        <w:rPr>
          <w:b w:val="0"/>
          <w:bCs w:val="0"/>
        </w:rPr>
      </w:pPr>
      <w:r>
        <w:rPr>
          <w:rFonts w:ascii="宋体" w:hAnsi="宋体" w:cs="宋体" w:eastAsia="宋体" w:hint="default"/>
        </w:rPr>
        <w:t>56</w:t>
      </w:r>
      <w:r>
        <w:rPr/>
        <w:t>、</w:t>
      </w:r>
      <w:r>
        <w:rPr>
          <w:spacing w:val="-104"/>
        </w:rPr>
        <w:t> </w:t>
      </w:r>
      <w:r>
        <w:rPr/>
        <w:t>其他综合收益</w:t>
      </w:r>
      <w:r>
        <w:rPr>
          <w:b w:val="0"/>
          <w:bCs w:val="0"/>
        </w:rPr>
      </w:r>
    </w:p>
    <w:p>
      <w:pPr>
        <w:pStyle w:val="BodyText"/>
        <w:spacing w:line="313" w:lineRule="exact" w:before="58"/>
        <w:ind w:left="378" w:right="0"/>
        <w:jc w:val="left"/>
      </w:pPr>
      <w:r>
        <w:rPr/>
        <w:t>√适用</w:t>
      </w:r>
      <w:r>
        <w:rPr>
          <w:spacing w:val="-1"/>
        </w:rPr>
        <w:t> </w:t>
      </w:r>
      <w:r>
        <w:rPr/>
        <w:t>□不适用</w:t>
      </w:r>
    </w:p>
    <w:p>
      <w:pPr>
        <w:pStyle w:val="BodyText"/>
        <w:spacing w:line="313" w:lineRule="exact"/>
        <w:ind w:left="378" w:right="0"/>
        <w:jc w:val="left"/>
      </w:pPr>
      <w:r>
        <w:rPr/>
        <w:t>详见第十一节财务报告合并财务报表项目注释</w:t>
      </w:r>
      <w:r>
        <w:rPr>
          <w:spacing w:val="-61"/>
        </w:rPr>
        <w:t> </w:t>
      </w:r>
      <w:r>
        <w:rPr>
          <w:rFonts w:ascii="宋体" w:hAnsi="宋体" w:cs="宋体" w:eastAsia="宋体" w:hint="default"/>
        </w:rPr>
        <w:t>40</w:t>
      </w:r>
      <w:r>
        <w:rPr/>
        <w:t>、其他综合收益之说明。</w:t>
      </w:r>
    </w:p>
    <w:p>
      <w:pPr>
        <w:spacing w:after="0" w:line="313" w:lineRule="exact"/>
        <w:jc w:val="left"/>
        <w:sectPr>
          <w:type w:val="continuous"/>
          <w:pgSz w:w="11910" w:h="16840"/>
          <w:pgMar w:top="1000" w:bottom="280" w:left="1420" w:right="88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600" w:right="1060"/>
        </w:sectPr>
      </w:pPr>
    </w:p>
    <w:p>
      <w:pPr>
        <w:pStyle w:val="Heading2"/>
        <w:spacing w:line="240" w:lineRule="auto"/>
        <w:ind w:left="198" w:right="0"/>
        <w:jc w:val="left"/>
        <w:rPr>
          <w:b w:val="0"/>
          <w:bCs w:val="0"/>
        </w:rPr>
      </w:pPr>
      <w:r>
        <w:rPr>
          <w:rFonts w:ascii="宋体" w:hAnsi="宋体" w:cs="宋体" w:eastAsia="宋体" w:hint="default"/>
        </w:rPr>
        <w:t>57</w:t>
      </w:r>
      <w:r>
        <w:rPr/>
        <w:t>、</w:t>
      </w:r>
      <w:r>
        <w:rPr>
          <w:spacing w:val="-103"/>
        </w:rPr>
        <w:t> </w:t>
      </w:r>
      <w:r>
        <w:rPr/>
        <w:t>现金流量表项目</w:t>
      </w:r>
      <w:r>
        <w:rPr>
          <w:b w:val="0"/>
          <w:bCs w:val="0"/>
        </w:rPr>
      </w:r>
    </w:p>
    <w:p>
      <w:pPr>
        <w:pStyle w:val="Heading2"/>
        <w:tabs>
          <w:tab w:pos="898" w:val="left" w:leader="none"/>
        </w:tabs>
        <w:spacing w:line="240" w:lineRule="auto" w:before="58"/>
        <w:ind w:left="198" w:right="0"/>
        <w:jc w:val="left"/>
        <w:rPr>
          <w:b w:val="0"/>
          <w:bCs w:val="0"/>
        </w:rPr>
      </w:pPr>
      <w:r>
        <w:rPr>
          <w:rFonts w:ascii="宋体" w:hAnsi="宋体" w:cs="宋体" w:eastAsia="宋体" w:hint="default"/>
        </w:rPr>
        <w:t>(1).</w:t>
        <w:tab/>
      </w:r>
      <w:r>
        <w:rPr>
          <w:w w:val="95"/>
        </w:rPr>
        <w:t>收到的其他与经营活动有关的现金：</w:t>
      </w:r>
      <w:r>
        <w:rPr>
          <w:b w:val="0"/>
          <w:bCs w:val="0"/>
        </w:rPr>
      </w:r>
    </w:p>
    <w:p>
      <w:pPr>
        <w:pStyle w:val="BodyText"/>
        <w:spacing w:line="240" w:lineRule="auto" w:before="58"/>
        <w:ind w:left="198"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tabs>
          <w:tab w:pos="1398" w:val="left" w:leader="none"/>
        </w:tabs>
        <w:spacing w:line="240" w:lineRule="auto"/>
        <w:ind w:left="198" w:right="0"/>
        <w:jc w:val="left"/>
      </w:pPr>
      <w:r>
        <w:rPr/>
        <w:t>单位：元</w:t>
        <w:tab/>
        <w:t>币种：人民币</w:t>
      </w:r>
    </w:p>
    <w:p>
      <w:pPr>
        <w:spacing w:after="0" w:line="240" w:lineRule="auto"/>
        <w:jc w:val="left"/>
        <w:sectPr>
          <w:type w:val="continuous"/>
          <w:pgSz w:w="11910" w:h="16840"/>
          <w:pgMar w:top="1000" w:bottom="280" w:left="1600" w:right="1060"/>
          <w:cols w:num="2" w:equalWidth="0">
            <w:col w:w="4752" w:space="1441"/>
            <w:col w:w="3057"/>
          </w:cols>
        </w:sectPr>
      </w:pPr>
    </w:p>
    <w:p>
      <w:pPr>
        <w:spacing w:line="240" w:lineRule="auto" w:before="12"/>
        <w:rPr>
          <w:rFonts w:ascii="宋体" w:hAnsi="宋体" w:cs="宋体" w:eastAsia="宋体" w:hint="default"/>
          <w:sz w:val="2"/>
          <w:szCs w:val="2"/>
        </w:rPr>
      </w:pPr>
    </w:p>
    <w:tbl>
      <w:tblPr>
        <w:tblW w:w="0" w:type="auto"/>
        <w:jc w:val="left"/>
        <w:tblInd w:w="162" w:type="dxa"/>
        <w:tblLayout w:type="fixed"/>
        <w:tblCellMar>
          <w:top w:w="0" w:type="dxa"/>
          <w:left w:w="0" w:type="dxa"/>
          <w:bottom w:w="0" w:type="dxa"/>
          <w:right w:w="0" w:type="dxa"/>
        </w:tblCellMar>
        <w:tblLook w:val="01E0"/>
      </w:tblPr>
      <w:tblGrid>
        <w:gridCol w:w="4001"/>
        <w:gridCol w:w="2552"/>
        <w:gridCol w:w="2343"/>
      </w:tblGrid>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9"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4"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往来款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133,666,244.56</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82,387,648.01</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除税费返还外的其他政府补助</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44,752,063.23</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4,799,306.67</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押金、保证金、代收款等</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1,991,354,291.16</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1,176,633,664.07</w:t>
            </w:r>
          </w:p>
        </w:tc>
      </w:tr>
      <w:tr>
        <w:trPr>
          <w:trHeight w:val="319"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用于按揭担保的保证金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57,219,650.69</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18,122,174.14</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银行存款利息收入</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269,832,639.62</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131,051,036.19</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保证金转入自有资金户的资金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101,022,035.99</w:t>
            </w: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75,219,675.69</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32,825,662.39</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2,673,066,600.94</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1,445,819,491.47</w:t>
            </w:r>
          </w:p>
        </w:tc>
      </w:tr>
    </w:tbl>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00" w:bottom="280" w:left="1600" w:right="1060"/>
        </w:sectPr>
      </w:pPr>
    </w:p>
    <w:p>
      <w:pPr>
        <w:pStyle w:val="Heading2"/>
        <w:tabs>
          <w:tab w:pos="898" w:val="left" w:leader="none"/>
        </w:tabs>
        <w:spacing w:line="240" w:lineRule="auto"/>
        <w:ind w:left="198" w:right="0"/>
        <w:jc w:val="left"/>
        <w:rPr>
          <w:b w:val="0"/>
          <w:bCs w:val="0"/>
        </w:rPr>
      </w:pPr>
      <w:r>
        <w:rPr>
          <w:rFonts w:ascii="宋体" w:hAnsi="宋体" w:cs="宋体" w:eastAsia="宋体" w:hint="default"/>
        </w:rPr>
        <w:t>(2).</w:t>
        <w:tab/>
      </w:r>
      <w:r>
        <w:rPr>
          <w:w w:val="95"/>
        </w:rPr>
        <w:t>支付的其他与经营活动有关的现金：</w:t>
      </w:r>
      <w:r>
        <w:rPr>
          <w:b w:val="0"/>
          <w:bCs w:val="0"/>
        </w:rPr>
      </w:r>
    </w:p>
    <w:p>
      <w:pPr>
        <w:pStyle w:val="BodyText"/>
        <w:spacing w:line="240" w:lineRule="auto" w:before="55"/>
        <w:ind w:left="198"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398" w:val="left" w:leader="none"/>
        </w:tabs>
        <w:spacing w:line="240" w:lineRule="auto"/>
        <w:ind w:left="198" w:right="0"/>
        <w:jc w:val="left"/>
      </w:pPr>
      <w:r>
        <w:rPr/>
        <w:t>单位：元</w:t>
        <w:tab/>
        <w:t>币种：人民币</w:t>
      </w:r>
    </w:p>
    <w:p>
      <w:pPr>
        <w:spacing w:after="0" w:line="240" w:lineRule="auto"/>
        <w:jc w:val="left"/>
        <w:sectPr>
          <w:type w:val="continuous"/>
          <w:pgSz w:w="11910" w:h="16840"/>
          <w:pgMar w:top="1000" w:bottom="280" w:left="1600" w:right="1060"/>
          <w:cols w:num="2" w:equalWidth="0">
            <w:col w:w="4752" w:space="1441"/>
            <w:col w:w="3057"/>
          </w:cols>
        </w:sectPr>
      </w:pPr>
    </w:p>
    <w:p>
      <w:pPr>
        <w:spacing w:line="240" w:lineRule="auto" w:before="12"/>
        <w:rPr>
          <w:rFonts w:ascii="宋体" w:hAnsi="宋体" w:cs="宋体" w:eastAsia="宋体" w:hint="default"/>
          <w:sz w:val="2"/>
          <w:szCs w:val="2"/>
        </w:rPr>
      </w:pPr>
    </w:p>
    <w:tbl>
      <w:tblPr>
        <w:tblW w:w="0" w:type="auto"/>
        <w:jc w:val="left"/>
        <w:tblInd w:w="162" w:type="dxa"/>
        <w:tblLayout w:type="fixed"/>
        <w:tblCellMar>
          <w:top w:w="0" w:type="dxa"/>
          <w:left w:w="0" w:type="dxa"/>
          <w:bottom w:w="0" w:type="dxa"/>
          <w:right w:w="0" w:type="dxa"/>
        </w:tblCellMar>
        <w:tblLook w:val="01E0"/>
      </w:tblPr>
      <w:tblGrid>
        <w:gridCol w:w="3349"/>
        <w:gridCol w:w="2760"/>
        <w:gridCol w:w="2787"/>
      </w:tblGrid>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72"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7"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1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往来款</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117,477,056.23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85,772,402.04</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押金、保证金、代收款等</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2,024,423,296.89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6"/>
              <w:jc w:val="right"/>
              <w:rPr>
                <w:rFonts w:ascii="宋体" w:hAnsi="宋体" w:cs="宋体" w:eastAsia="宋体" w:hint="default"/>
                <w:sz w:val="24"/>
                <w:szCs w:val="24"/>
              </w:rPr>
            </w:pPr>
            <w:r>
              <w:rPr>
                <w:rFonts w:ascii="宋体"/>
                <w:sz w:val="24"/>
              </w:rPr>
              <w:t>1,200,072,260.31</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234,269,168.30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146,157,502.95</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369,041,781.83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267,930,251.30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用于按揭担保的保证金</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59,267,099.73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50,851,157.63</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自有资金转入分离账户</w:t>
            </w:r>
          </w:p>
        </w:tc>
        <w:tc>
          <w:tcPr>
            <w:tcW w:w="2760" w:type="dxa"/>
            <w:tcBorders>
              <w:top w:val="single" w:sz="4" w:space="0" w:color="000000"/>
              <w:left w:val="single" w:sz="4" w:space="0" w:color="000000"/>
              <w:bottom w:val="single" w:sz="4" w:space="0" w:color="000000"/>
              <w:right w:val="single" w:sz="4" w:space="0" w:color="000000"/>
            </w:tcBorders>
          </w:tcPr>
          <w:p>
            <w:pP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293,994,193.54</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56,654,139.29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49,268,087.03</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2,861,132,542.27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2,094,045,854.80</w:t>
            </w:r>
          </w:p>
        </w:tc>
      </w:tr>
    </w:tbl>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00" w:bottom="280" w:left="1600" w:right="1060"/>
        </w:sectPr>
      </w:pPr>
    </w:p>
    <w:p>
      <w:pPr>
        <w:pStyle w:val="Heading2"/>
        <w:tabs>
          <w:tab w:pos="925" w:val="left" w:leader="none"/>
        </w:tabs>
        <w:spacing w:line="240" w:lineRule="auto"/>
        <w:ind w:left="198" w:right="0"/>
        <w:jc w:val="left"/>
        <w:rPr>
          <w:b w:val="0"/>
          <w:bCs w:val="0"/>
        </w:rPr>
      </w:pPr>
      <w:r>
        <w:rPr>
          <w:rFonts w:ascii="宋体" w:hAnsi="宋体" w:cs="宋体" w:eastAsia="宋体" w:hint="default"/>
        </w:rPr>
        <w:t>(3).</w:t>
        <w:tab/>
      </w:r>
      <w:r>
        <w:rPr>
          <w:w w:val="95"/>
        </w:rPr>
        <w:t>收到的其他与投资活动有关的现金</w:t>
      </w:r>
      <w:r>
        <w:rPr>
          <w:b w:val="0"/>
          <w:bCs w:val="0"/>
        </w:rPr>
      </w:r>
    </w:p>
    <w:p>
      <w:pPr>
        <w:pStyle w:val="BodyText"/>
        <w:spacing w:line="240" w:lineRule="auto" w:before="58"/>
        <w:ind w:left="198"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tabs>
          <w:tab w:pos="1398" w:val="left" w:leader="none"/>
        </w:tabs>
        <w:spacing w:line="240" w:lineRule="auto"/>
        <w:ind w:left="198" w:right="0"/>
        <w:jc w:val="left"/>
      </w:pPr>
      <w:r>
        <w:rPr/>
        <w:t>单位：元</w:t>
        <w:tab/>
        <w:t>币种</w:t>
      </w:r>
      <w:r>
        <w:rPr>
          <w:rFonts w:ascii="宋体" w:hAnsi="宋体" w:cs="宋体" w:eastAsia="宋体" w:hint="default"/>
        </w:rPr>
        <w:t>:</w:t>
      </w:r>
      <w:r>
        <w:rPr/>
        <w:t>人民币</w:t>
      </w:r>
    </w:p>
    <w:p>
      <w:pPr>
        <w:spacing w:after="0" w:line="240" w:lineRule="auto"/>
        <w:jc w:val="left"/>
        <w:sectPr>
          <w:type w:val="continuous"/>
          <w:pgSz w:w="11910" w:h="16840"/>
          <w:pgMar w:top="1000" w:bottom="280" w:left="1600" w:right="1060"/>
          <w:cols w:num="2" w:equalWidth="0">
            <w:col w:w="4539" w:space="1774"/>
            <w:col w:w="2937"/>
          </w:cols>
        </w:sectPr>
      </w:pPr>
    </w:p>
    <w:p>
      <w:pPr>
        <w:spacing w:line="240" w:lineRule="auto" w:before="10"/>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679"/>
        <w:gridCol w:w="2268"/>
        <w:gridCol w:w="2060"/>
      </w:tblGrid>
      <w:tr>
        <w:trPr>
          <w:trHeight w:val="322"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30"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22"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收回拆出款项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211,956,288.38</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163,000,000.00</w:t>
            </w:r>
          </w:p>
        </w:tc>
      </w:tr>
      <w:tr>
        <w:trPr>
          <w:trHeight w:val="322"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取得子公司及其他经营单位产生的现金净额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291,362,783.67</w:t>
            </w:r>
          </w:p>
        </w:tc>
      </w:tr>
      <w:tr>
        <w:trPr>
          <w:trHeight w:val="322"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赎回理财产品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21,063,380,000.00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1,636,850,000.00</w:t>
            </w:r>
          </w:p>
        </w:tc>
      </w:tr>
      <w:tr>
        <w:trPr>
          <w:trHeight w:val="322"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136,915,450.98</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179,768,987.19</w:t>
            </w:r>
          </w:p>
        </w:tc>
      </w:tr>
      <w:tr>
        <w:trPr>
          <w:trHeight w:val="322"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21,412,251,739.36</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2,270,981,770.86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tabs>
          <w:tab w:pos="925" w:val="left" w:leader="none"/>
        </w:tabs>
        <w:spacing w:line="240" w:lineRule="auto"/>
        <w:ind w:left="198" w:right="0"/>
        <w:jc w:val="left"/>
        <w:rPr>
          <w:b w:val="0"/>
          <w:bCs w:val="0"/>
        </w:rPr>
      </w:pPr>
      <w:r>
        <w:rPr>
          <w:rFonts w:ascii="宋体" w:hAnsi="宋体" w:cs="宋体" w:eastAsia="宋体" w:hint="default"/>
        </w:rPr>
        <w:t>(4).</w:t>
        <w:tab/>
      </w:r>
      <w:r>
        <w:rPr/>
        <w:t>支付的其他与投资活动有关的现金</w:t>
      </w:r>
      <w:r>
        <w:rPr>
          <w:b w:val="0"/>
          <w:bCs w:val="0"/>
        </w:rPr>
      </w:r>
    </w:p>
    <w:p>
      <w:pPr>
        <w:pStyle w:val="BodyText"/>
        <w:spacing w:line="240" w:lineRule="auto" w:before="55"/>
        <w:ind w:left="198" w:right="0"/>
        <w:jc w:val="left"/>
      </w:pPr>
      <w:r>
        <w:rPr/>
        <w:t>√适用</w:t>
      </w:r>
      <w:r>
        <w:rPr>
          <w:spacing w:val="-1"/>
        </w:rPr>
        <w:t> </w:t>
      </w:r>
      <w:r>
        <w:rPr/>
        <w:t>□不适用</w:t>
      </w:r>
    </w:p>
    <w:p>
      <w:pPr>
        <w:spacing w:after="0" w:line="240" w:lineRule="auto"/>
        <w:jc w:val="left"/>
        <w:sectPr>
          <w:type w:val="continuous"/>
          <w:pgSz w:w="11910" w:h="16840"/>
          <w:pgMar w:top="1000" w:bottom="280" w:left="1600" w:right="1060"/>
        </w:sectPr>
      </w:pPr>
    </w:p>
    <w:p>
      <w:pPr>
        <w:spacing w:line="240" w:lineRule="auto" w:before="5"/>
        <w:rPr>
          <w:rFonts w:ascii="宋体" w:hAnsi="宋体" w:cs="宋体" w:eastAsia="宋体" w:hint="default"/>
          <w:sz w:val="25"/>
          <w:szCs w:val="25"/>
        </w:rPr>
      </w:pPr>
    </w:p>
    <w:p>
      <w:pPr>
        <w:pStyle w:val="BodyText"/>
        <w:tabs>
          <w:tab w:pos="1200" w:val="left" w:leader="none"/>
        </w:tabs>
        <w:spacing w:line="240" w:lineRule="auto" w:before="26"/>
        <w:ind w:left="0" w:right="15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815"/>
        <w:gridCol w:w="2100"/>
        <w:gridCol w:w="1981"/>
      </w:tblGrid>
      <w:tr>
        <w:trPr>
          <w:trHeight w:val="322" w:hRule="exact"/>
        </w:trPr>
        <w:tc>
          <w:tcPr>
            <w:tcW w:w="48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60"/>
              <w:jc w:val="right"/>
              <w:rPr>
                <w:rFonts w:ascii="宋体" w:hAnsi="宋体" w:cs="宋体" w:eastAsia="宋体" w:hint="default"/>
                <w:sz w:val="24"/>
                <w:szCs w:val="24"/>
              </w:rPr>
            </w:pPr>
            <w:r>
              <w:rPr>
                <w:rFonts w:ascii="宋体" w:hAnsi="宋体" w:cs="宋体" w:eastAsia="宋体" w:hint="default"/>
                <w:sz w:val="24"/>
                <w:szCs w:val="24"/>
              </w:rPr>
              <w:t>项目</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4"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4"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48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拆出款项</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224,125,000.00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355,850,000.00</w:t>
            </w:r>
          </w:p>
        </w:tc>
      </w:tr>
      <w:tr>
        <w:trPr>
          <w:trHeight w:val="322" w:hRule="exact"/>
        </w:trPr>
        <w:tc>
          <w:tcPr>
            <w:tcW w:w="48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收购债权</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50,400,000.00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880,000,000.00</w:t>
            </w:r>
          </w:p>
        </w:tc>
      </w:tr>
      <w:tr>
        <w:trPr>
          <w:trHeight w:val="322" w:hRule="exact"/>
        </w:trPr>
        <w:tc>
          <w:tcPr>
            <w:tcW w:w="48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购买理财产品</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22,118,380,000.00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790,000,000.00</w:t>
            </w:r>
          </w:p>
        </w:tc>
      </w:tr>
      <w:tr>
        <w:trPr>
          <w:trHeight w:val="631" w:hRule="exact"/>
        </w:trPr>
        <w:tc>
          <w:tcPr>
            <w:tcW w:w="48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6" w:right="0"/>
              <w:jc w:val="left"/>
              <w:rPr>
                <w:rFonts w:ascii="宋体" w:hAnsi="宋体" w:cs="宋体" w:eastAsia="宋体" w:hint="default"/>
                <w:sz w:val="24"/>
                <w:szCs w:val="24"/>
              </w:rPr>
            </w:pPr>
            <w:r>
              <w:rPr>
                <w:rFonts w:ascii="宋体" w:hAnsi="宋体" w:cs="宋体" w:eastAsia="宋体" w:hint="default"/>
                <w:sz w:val="24"/>
                <w:szCs w:val="24"/>
              </w:rPr>
              <w:t>处置子公司及其他营业单位收到的现金净额</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如为负数</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
              <w:jc w:val="right"/>
              <w:rPr>
                <w:rFonts w:ascii="宋体" w:hAnsi="宋体" w:cs="宋体" w:eastAsia="宋体" w:hint="default"/>
                <w:sz w:val="24"/>
                <w:szCs w:val="24"/>
              </w:rPr>
            </w:pPr>
            <w:r>
              <w:rPr>
                <w:rFonts w:ascii="宋体"/>
                <w:sz w:val="24"/>
              </w:rPr>
              <w:t>36,371,698.45</w:t>
            </w: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85,948,563.98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177,892,557.48</w:t>
            </w:r>
          </w:p>
        </w:tc>
      </w:tr>
      <w:tr>
        <w:trPr>
          <w:trHeight w:val="322" w:hRule="exact"/>
        </w:trPr>
        <w:tc>
          <w:tcPr>
            <w:tcW w:w="48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60"/>
              <w:jc w:val="right"/>
              <w:rPr>
                <w:rFonts w:ascii="宋体" w:hAnsi="宋体" w:cs="宋体" w:eastAsia="宋体" w:hint="default"/>
                <w:sz w:val="24"/>
                <w:szCs w:val="24"/>
              </w:rPr>
            </w:pPr>
            <w:r>
              <w:rPr>
                <w:rFonts w:ascii="宋体" w:hAnsi="宋体" w:cs="宋体" w:eastAsia="宋体" w:hint="default"/>
                <w:sz w:val="24"/>
                <w:szCs w:val="24"/>
              </w:rPr>
              <w:t>合计</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22,515,225,262.43</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2,203,742,557.48</w:t>
            </w:r>
          </w:p>
        </w:tc>
      </w:tr>
    </w:tbl>
    <w:p>
      <w:pPr>
        <w:spacing w:line="240" w:lineRule="auto" w:before="1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0" w:footer="1195" w:top="1120" w:bottom="1380" w:left="1660" w:right="1120"/>
        </w:sectPr>
      </w:pPr>
    </w:p>
    <w:p>
      <w:pPr>
        <w:pStyle w:val="Heading2"/>
        <w:tabs>
          <w:tab w:pos="977" w:val="left" w:leader="none"/>
        </w:tabs>
        <w:spacing w:line="240" w:lineRule="auto"/>
        <w:ind w:left="138" w:right="-20"/>
        <w:jc w:val="left"/>
        <w:rPr>
          <w:b w:val="0"/>
          <w:bCs w:val="0"/>
        </w:rPr>
      </w:pPr>
      <w:r>
        <w:rPr>
          <w:rFonts w:ascii="宋体" w:hAnsi="宋体" w:cs="宋体" w:eastAsia="宋体" w:hint="default"/>
        </w:rPr>
        <w:t>(5).</w:t>
        <w:tab/>
      </w:r>
      <w:r>
        <w:rPr/>
        <w:t>收到的其他与筹资活动有关的现金</w:t>
      </w:r>
      <w:r>
        <w:rPr>
          <w:b w:val="0"/>
          <w:bCs w:val="0"/>
        </w:rPr>
      </w:r>
    </w:p>
    <w:p>
      <w:pPr>
        <w:pStyle w:val="BodyText"/>
        <w:spacing w:line="240" w:lineRule="auto" w:before="55"/>
        <w:ind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338" w:val="left" w:leader="none"/>
        </w:tabs>
        <w:spacing w:line="240" w:lineRule="auto"/>
        <w:ind w:right="0"/>
        <w:jc w:val="left"/>
      </w:pPr>
      <w:r>
        <w:rPr/>
        <w:t>单位：元</w:t>
        <w:tab/>
        <w:t>币种：人民币</w:t>
      </w:r>
    </w:p>
    <w:p>
      <w:pPr>
        <w:spacing w:after="0" w:line="240" w:lineRule="auto"/>
        <w:jc w:val="left"/>
        <w:sectPr>
          <w:type w:val="continuous"/>
          <w:pgSz w:w="11910" w:h="16840"/>
          <w:pgMar w:top="1000" w:bottom="280" w:left="1660" w:right="1120"/>
          <w:cols w:num="2" w:equalWidth="0">
            <w:col w:w="4593" w:space="1600"/>
            <w:col w:w="293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5"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6"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1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拆入款项</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590,840,417.50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345,480,000.00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收到筹资票据贴现</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248,104,686.67</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银行承兑汇票保证金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95,000,000.00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363,255,000.00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用于银行借款质押的定期存单</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250,000,000.00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1,161,163,727.00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贷款保证金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193,744,682.57</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667,525,640.14</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信托保障基金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37,048,500.00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21,989,000.00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8,962,949.67</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87,045,809.46</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1,175,596,549.74</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2,894,563,863.27</w:t>
            </w:r>
          </w:p>
        </w:tc>
      </w:tr>
    </w:tbl>
    <w:p>
      <w:pPr>
        <w:spacing w:line="240" w:lineRule="auto" w:before="1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00" w:bottom="280" w:left="1660" w:right="1120"/>
        </w:sectPr>
      </w:pPr>
    </w:p>
    <w:p>
      <w:pPr>
        <w:pStyle w:val="Heading2"/>
        <w:tabs>
          <w:tab w:pos="977" w:val="left" w:leader="none"/>
        </w:tabs>
        <w:spacing w:line="240" w:lineRule="auto"/>
        <w:ind w:left="138" w:right="0"/>
        <w:jc w:val="left"/>
        <w:rPr>
          <w:b w:val="0"/>
          <w:bCs w:val="0"/>
        </w:rPr>
      </w:pPr>
      <w:r>
        <w:rPr>
          <w:rFonts w:ascii="宋体" w:hAnsi="宋体" w:cs="宋体" w:eastAsia="宋体" w:hint="default"/>
        </w:rPr>
        <w:t>(6).</w:t>
        <w:tab/>
      </w:r>
      <w:r>
        <w:rPr>
          <w:w w:val="95"/>
        </w:rPr>
        <w:t>支付的其他与筹资活动有关的现金</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338" w:val="left" w:leader="none"/>
        </w:tabs>
        <w:spacing w:line="240" w:lineRule="auto"/>
        <w:ind w:right="0"/>
        <w:jc w:val="left"/>
      </w:pPr>
      <w:r>
        <w:rPr/>
        <w:t>单位：元</w:t>
        <w:tab/>
        <w:t>币种：人民币</w:t>
      </w:r>
    </w:p>
    <w:p>
      <w:pPr>
        <w:spacing w:after="0" w:line="240" w:lineRule="auto"/>
        <w:jc w:val="left"/>
        <w:sectPr>
          <w:type w:val="continuous"/>
          <w:pgSz w:w="11910" w:h="16840"/>
          <w:pgMar w:top="1000" w:bottom="280" w:left="1660" w:right="1120"/>
          <w:cols w:num="2" w:equalWidth="0">
            <w:col w:w="4591" w:space="1601"/>
            <w:col w:w="2938"/>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5"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6"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归还拆入款项</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288,324,976.53</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547,316,398.54</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质押的贷款保证金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169,830,924.17</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362,676,334.65</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用于银行借款质押的定期存单</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553,530,000.00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银行承兑汇票保证金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79,260,000.00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134,995,000.00</w:t>
            </w:r>
          </w:p>
        </w:tc>
      </w:tr>
      <w:tr>
        <w:trPr>
          <w:trHeight w:val="31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银行咨询费等其他融资费用</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130,576,564.35</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177,929,546.52</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支付筹资票据承兑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156,890,000.00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558,600,000.00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收购小股东股权</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30,930,000.00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272,900,000.00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收购小股东债权</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15,000,000.00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信托保障基金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20,393,000.00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66,848,000.00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债券发行费用</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9,442,500.00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18,044,250.00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回购股份支付的现金</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1,966,738,152.75</w:t>
            </w:r>
          </w:p>
        </w:tc>
      </w:tr>
      <w:tr>
        <w:trPr>
          <w:trHeight w:val="31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460,216.73</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885,647,965.05</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4,675,037,899.19</w:t>
            </w:r>
          </w:p>
        </w:tc>
      </w:tr>
    </w:tbl>
    <w:p>
      <w:pPr>
        <w:spacing w:after="0" w:line="276" w:lineRule="exact"/>
        <w:jc w:val="right"/>
        <w:rPr>
          <w:rFonts w:ascii="宋体" w:hAnsi="宋体" w:cs="宋体" w:eastAsia="宋体" w:hint="default"/>
          <w:sz w:val="24"/>
          <w:szCs w:val="24"/>
        </w:rPr>
        <w:sectPr>
          <w:type w:val="continuous"/>
          <w:pgSz w:w="11910" w:h="16840"/>
          <w:pgMar w:top="1000" w:bottom="280" w:left="1660" w:right="112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160" w:right="620"/>
        </w:sectPr>
      </w:pPr>
    </w:p>
    <w:p>
      <w:pPr>
        <w:pStyle w:val="Heading2"/>
        <w:spacing w:line="283" w:lineRule="auto"/>
        <w:ind w:left="638" w:right="-18"/>
        <w:jc w:val="left"/>
        <w:rPr>
          <w:b w:val="0"/>
          <w:bCs w:val="0"/>
        </w:rPr>
      </w:pPr>
      <w:r>
        <w:rPr>
          <w:rFonts w:ascii="宋体" w:hAnsi="宋体" w:cs="宋体" w:eastAsia="宋体" w:hint="default"/>
        </w:rPr>
        <w:t>58</w:t>
      </w:r>
      <w:r>
        <w:rPr/>
        <w:t>、</w:t>
      </w:r>
      <w:r>
        <w:rPr>
          <w:spacing w:val="-101"/>
        </w:rPr>
        <w:t> </w:t>
      </w:r>
      <w:r>
        <w:rPr/>
        <w:t>金流量表补充资料</w:t>
      </w:r>
      <w:r>
        <w:rPr>
          <w:w w:val="99"/>
        </w:rPr>
        <w:t> </w:t>
      </w:r>
      <w:r>
        <w:rPr>
          <w:rFonts w:ascii="宋体" w:hAnsi="宋体" w:cs="宋体" w:eastAsia="宋体" w:hint="default"/>
        </w:rPr>
        <w:t>(1)</w:t>
      </w:r>
      <w:r>
        <w:rPr>
          <w:rFonts w:ascii="宋体" w:hAnsi="宋体" w:cs="宋体" w:eastAsia="宋体" w:hint="default"/>
          <w:spacing w:val="-61"/>
        </w:rPr>
        <w:t> </w:t>
      </w:r>
      <w:r>
        <w:rPr/>
        <w:t>现金流量表补充资料</w:t>
      </w:r>
      <w:r>
        <w:rPr>
          <w:b w:val="0"/>
          <w:bCs w:val="0"/>
        </w:rPr>
      </w:r>
    </w:p>
    <w:p>
      <w:pPr>
        <w:pStyle w:val="BodyText"/>
        <w:tabs>
          <w:tab w:pos="1597" w:val="left" w:leader="none"/>
        </w:tabs>
        <w:spacing w:line="240" w:lineRule="auto" w:before="14"/>
        <w:ind w:left="638" w:right="-18"/>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tabs>
          <w:tab w:pos="1838" w:val="left" w:leader="none"/>
        </w:tabs>
        <w:spacing w:line="240" w:lineRule="auto"/>
        <w:ind w:left="638" w:right="0"/>
        <w:jc w:val="left"/>
      </w:pPr>
      <w:r>
        <w:rPr/>
        <w:t>单位：元</w:t>
        <w:tab/>
        <w:t>币种：人民币</w:t>
      </w:r>
    </w:p>
    <w:p>
      <w:pPr>
        <w:spacing w:after="0" w:line="240" w:lineRule="auto"/>
        <w:jc w:val="left"/>
        <w:sectPr>
          <w:type w:val="continuous"/>
          <w:pgSz w:w="11910" w:h="16840"/>
          <w:pgMar w:top="1000" w:bottom="280" w:left="1160" w:right="620"/>
          <w:cols w:num="2" w:equalWidth="0">
            <w:col w:w="3232" w:space="2961"/>
            <w:col w:w="3937"/>
          </w:cols>
        </w:sectPr>
      </w:pPr>
    </w:p>
    <w:p>
      <w:pPr>
        <w:spacing w:line="240" w:lineRule="auto" w:before="12"/>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5192"/>
        <w:gridCol w:w="2412"/>
        <w:gridCol w:w="2276"/>
      </w:tblGrid>
      <w:tr>
        <w:trPr>
          <w:trHeight w:val="322"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补充资料</w:t>
            </w:r>
          </w:p>
        </w:tc>
        <w:tc>
          <w:tcPr>
            <w:tcW w:w="2412" w:type="dxa"/>
            <w:tcBorders>
              <w:top w:val="single" w:sz="4" w:space="0" w:color="000000"/>
              <w:left w:val="single" w:sz="4" w:space="0" w:color="000000"/>
              <w:bottom w:val="single" w:sz="4" w:space="0" w:color="000000"/>
              <w:right w:val="single" w:sz="5" w:space="0" w:color="000000"/>
            </w:tcBorders>
          </w:tcPr>
          <w:p>
            <w:pPr>
              <w:pStyle w:val="TableParagraph"/>
              <w:spacing w:line="274" w:lineRule="exact"/>
              <w:ind w:left="719" w:right="0"/>
              <w:jc w:val="left"/>
              <w:rPr>
                <w:rFonts w:ascii="宋体" w:hAnsi="宋体" w:cs="宋体" w:eastAsia="宋体" w:hint="default"/>
                <w:sz w:val="24"/>
                <w:szCs w:val="24"/>
              </w:rPr>
            </w:pPr>
            <w:r>
              <w:rPr>
                <w:rFonts w:ascii="宋体" w:hAnsi="宋体" w:cs="宋体" w:eastAsia="宋体" w:hint="default"/>
                <w:sz w:val="24"/>
                <w:szCs w:val="24"/>
              </w:rPr>
              <w:t>本期金额</w:t>
            </w:r>
          </w:p>
        </w:tc>
        <w:tc>
          <w:tcPr>
            <w:tcW w:w="2276" w:type="dxa"/>
            <w:tcBorders>
              <w:top w:val="single" w:sz="4" w:space="0" w:color="000000"/>
              <w:left w:val="single" w:sz="5" w:space="0" w:color="000000"/>
              <w:bottom w:val="single" w:sz="4" w:space="0" w:color="000000"/>
              <w:right w:val="single" w:sz="5" w:space="0" w:color="000000"/>
            </w:tcBorders>
          </w:tcPr>
          <w:p>
            <w:pPr>
              <w:pStyle w:val="TableParagraph"/>
              <w:spacing w:line="274" w:lineRule="exact"/>
              <w:ind w:left="651" w:right="0"/>
              <w:jc w:val="left"/>
              <w:rPr>
                <w:rFonts w:ascii="宋体" w:hAnsi="宋体" w:cs="宋体" w:eastAsia="宋体" w:hint="default"/>
                <w:sz w:val="24"/>
                <w:szCs w:val="24"/>
              </w:rPr>
            </w:pPr>
            <w:r>
              <w:rPr>
                <w:rFonts w:ascii="宋体" w:hAnsi="宋体" w:cs="宋体" w:eastAsia="宋体" w:hint="default"/>
                <w:sz w:val="24"/>
                <w:szCs w:val="24"/>
              </w:rPr>
              <w:t>上期金额</w:t>
            </w:r>
          </w:p>
        </w:tc>
      </w:tr>
      <w:tr>
        <w:trPr>
          <w:trHeight w:val="322"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．将净利润调节为经营活动现金流量：</w:t>
            </w:r>
            <w:r>
              <w:rPr>
                <w:rFonts w:ascii="宋体" w:hAnsi="宋体" w:cs="宋体" w:eastAsia="宋体" w:hint="default"/>
                <w:sz w:val="24"/>
                <w:szCs w:val="24"/>
              </w:rPr>
            </w:r>
          </w:p>
        </w:tc>
        <w:tc>
          <w:tcPr>
            <w:tcW w:w="2412" w:type="dxa"/>
            <w:tcBorders>
              <w:top w:val="single" w:sz="4" w:space="0" w:color="000000"/>
              <w:left w:val="single" w:sz="4" w:space="0" w:color="000000"/>
              <w:bottom w:val="single" w:sz="6" w:space="0" w:color="000000"/>
              <w:right w:val="single" w:sz="6" w:space="0" w:color="000000"/>
            </w:tcBorders>
          </w:tcPr>
          <w:p>
            <w:pPr/>
          </w:p>
        </w:tc>
        <w:tc>
          <w:tcPr>
            <w:tcW w:w="2276" w:type="dxa"/>
            <w:tcBorders>
              <w:top w:val="single" w:sz="4" w:space="0" w:color="000000"/>
              <w:left w:val="single" w:sz="6" w:space="0" w:color="000000"/>
              <w:bottom w:val="single" w:sz="6" w:space="0" w:color="000000"/>
              <w:right w:val="single" w:sz="6" w:space="0" w:color="000000"/>
            </w:tcBorders>
          </w:tcPr>
          <w:p>
            <w:pPr/>
          </w:p>
        </w:tc>
      </w:tr>
      <w:tr>
        <w:trPr>
          <w:trHeight w:val="326"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0"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412"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3,350,220,958.11</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5,847,179,529.42</w:t>
            </w:r>
          </w:p>
        </w:tc>
      </w:tr>
      <w:tr>
        <w:trPr>
          <w:trHeight w:val="326"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0" w:right="0"/>
              <w:jc w:val="left"/>
              <w:rPr>
                <w:rFonts w:ascii="宋体" w:hAnsi="宋体" w:cs="宋体" w:eastAsia="宋体" w:hint="default"/>
                <w:sz w:val="24"/>
                <w:szCs w:val="24"/>
              </w:rPr>
            </w:pPr>
            <w:r>
              <w:rPr>
                <w:rFonts w:ascii="宋体" w:hAnsi="宋体" w:cs="宋体" w:eastAsia="宋体" w:hint="default"/>
                <w:sz w:val="24"/>
                <w:szCs w:val="24"/>
              </w:rPr>
              <w:t>加：资产减值准备</w:t>
            </w:r>
          </w:p>
        </w:tc>
        <w:tc>
          <w:tcPr>
            <w:tcW w:w="2412"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352,521,760.26</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16,814,394.57</w:t>
            </w:r>
          </w:p>
        </w:tc>
      </w:tr>
      <w:tr>
        <w:trPr>
          <w:trHeight w:val="636"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固定资产折旧、油气资产折耗、生产性生物资产</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折旧</w:t>
            </w:r>
          </w:p>
        </w:tc>
        <w:tc>
          <w:tcPr>
            <w:tcW w:w="241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8"/>
              <w:ind w:right="98"/>
              <w:jc w:val="right"/>
              <w:rPr>
                <w:rFonts w:ascii="宋体" w:hAnsi="宋体" w:cs="宋体" w:eastAsia="宋体" w:hint="default"/>
                <w:sz w:val="24"/>
                <w:szCs w:val="24"/>
              </w:rPr>
            </w:pPr>
            <w:r>
              <w:rPr>
                <w:rFonts w:ascii="宋体"/>
                <w:sz w:val="24"/>
              </w:rPr>
              <w:t>53,418,202.79</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8"/>
              <w:jc w:val="right"/>
              <w:rPr>
                <w:rFonts w:ascii="宋体" w:hAnsi="宋体" w:cs="宋体" w:eastAsia="宋体" w:hint="default"/>
                <w:sz w:val="24"/>
                <w:szCs w:val="24"/>
              </w:rPr>
            </w:pPr>
            <w:r>
              <w:rPr>
                <w:rFonts w:ascii="宋体"/>
                <w:sz w:val="24"/>
              </w:rPr>
              <w:t>41,472,865.90</w:t>
            </w:r>
          </w:p>
        </w:tc>
      </w:tr>
      <w:tr>
        <w:trPr>
          <w:trHeight w:val="327"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2412" w:type="dxa"/>
            <w:tcBorders>
              <w:top w:val="single" w:sz="6" w:space="0" w:color="000000"/>
              <w:left w:val="single" w:sz="4" w:space="0" w:color="000000"/>
              <w:bottom w:val="single" w:sz="6" w:space="0" w:color="000000"/>
              <w:right w:val="single" w:sz="6" w:space="0" w:color="000000"/>
            </w:tcBorders>
          </w:tcPr>
          <w:p>
            <w:pPr>
              <w:pStyle w:val="TableParagraph"/>
              <w:spacing w:line="279" w:lineRule="exact"/>
              <w:ind w:right="98"/>
              <w:jc w:val="right"/>
              <w:rPr>
                <w:rFonts w:ascii="宋体" w:hAnsi="宋体" w:cs="宋体" w:eastAsia="宋体" w:hint="default"/>
                <w:sz w:val="24"/>
                <w:szCs w:val="24"/>
              </w:rPr>
            </w:pPr>
            <w:r>
              <w:rPr>
                <w:rFonts w:ascii="宋体"/>
                <w:sz w:val="24"/>
              </w:rPr>
              <w:t>7,051,731.64</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right="98"/>
              <w:jc w:val="right"/>
              <w:rPr>
                <w:rFonts w:ascii="宋体" w:hAnsi="宋体" w:cs="宋体" w:eastAsia="宋体" w:hint="default"/>
                <w:sz w:val="24"/>
                <w:szCs w:val="24"/>
              </w:rPr>
            </w:pPr>
            <w:r>
              <w:rPr>
                <w:rFonts w:ascii="宋体"/>
                <w:sz w:val="24"/>
              </w:rPr>
              <w:t>7,188,668.11</w:t>
            </w:r>
          </w:p>
        </w:tc>
      </w:tr>
      <w:tr>
        <w:trPr>
          <w:trHeight w:val="326"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0" w:right="0"/>
              <w:jc w:val="left"/>
              <w:rPr>
                <w:rFonts w:ascii="宋体" w:hAnsi="宋体" w:cs="宋体" w:eastAsia="宋体" w:hint="default"/>
                <w:sz w:val="24"/>
                <w:szCs w:val="24"/>
              </w:rPr>
            </w:pPr>
            <w:r>
              <w:rPr>
                <w:rFonts w:ascii="宋体" w:hAnsi="宋体" w:cs="宋体" w:eastAsia="宋体" w:hint="default"/>
                <w:sz w:val="24"/>
                <w:szCs w:val="24"/>
              </w:rPr>
              <w:t>长期待摊费用摊销</w:t>
            </w:r>
          </w:p>
        </w:tc>
        <w:tc>
          <w:tcPr>
            <w:tcW w:w="2412" w:type="dxa"/>
            <w:tcBorders>
              <w:top w:val="single" w:sz="6" w:space="0" w:color="000000"/>
              <w:left w:val="single" w:sz="4" w:space="0" w:color="000000"/>
              <w:bottom w:val="single" w:sz="6" w:space="0" w:color="000000"/>
              <w:right w:val="single" w:sz="6" w:space="0" w:color="000000"/>
            </w:tcBorders>
          </w:tcPr>
          <w:p>
            <w:pPr>
              <w:pStyle w:val="TableParagraph"/>
              <w:spacing w:line="279" w:lineRule="exact"/>
              <w:ind w:right="98"/>
              <w:jc w:val="right"/>
              <w:rPr>
                <w:rFonts w:ascii="宋体" w:hAnsi="宋体" w:cs="宋体" w:eastAsia="宋体" w:hint="default"/>
                <w:sz w:val="24"/>
                <w:szCs w:val="24"/>
              </w:rPr>
            </w:pPr>
            <w:r>
              <w:rPr>
                <w:rFonts w:ascii="宋体"/>
                <w:sz w:val="24"/>
              </w:rPr>
              <w:t>2,524,050.53</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right="98"/>
              <w:jc w:val="right"/>
              <w:rPr>
                <w:rFonts w:ascii="宋体" w:hAnsi="宋体" w:cs="宋体" w:eastAsia="宋体" w:hint="default"/>
                <w:sz w:val="24"/>
                <w:szCs w:val="24"/>
              </w:rPr>
            </w:pPr>
            <w:r>
              <w:rPr>
                <w:rFonts w:ascii="宋体"/>
                <w:sz w:val="24"/>
              </w:rPr>
              <w:t>4,019,675.32</w:t>
            </w:r>
          </w:p>
        </w:tc>
      </w:tr>
      <w:tr>
        <w:trPr>
          <w:trHeight w:val="638"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0" w:right="0"/>
              <w:jc w:val="left"/>
              <w:rPr>
                <w:rFonts w:ascii="宋体" w:hAnsi="宋体" w:cs="宋体" w:eastAsia="宋体" w:hint="default"/>
                <w:sz w:val="24"/>
                <w:szCs w:val="24"/>
              </w:rPr>
            </w:pPr>
            <w:r>
              <w:rPr>
                <w:rFonts w:ascii="宋体" w:hAnsi="宋体" w:cs="宋体" w:eastAsia="宋体" w:hint="default"/>
                <w:spacing w:val="-3"/>
                <w:sz w:val="24"/>
                <w:szCs w:val="24"/>
              </w:rPr>
              <w:t>处置固定资产、无形资产和其他长期资产的损失</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（收益以“－”号填列）</w:t>
            </w:r>
          </w:p>
        </w:tc>
        <w:tc>
          <w:tcPr>
            <w:tcW w:w="241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8"/>
              <w:ind w:right="98"/>
              <w:jc w:val="right"/>
              <w:rPr>
                <w:rFonts w:ascii="宋体" w:hAnsi="宋体" w:cs="宋体" w:eastAsia="宋体" w:hint="default"/>
                <w:sz w:val="24"/>
                <w:szCs w:val="24"/>
              </w:rPr>
            </w:pPr>
            <w:r>
              <w:rPr>
                <w:rFonts w:ascii="宋体"/>
                <w:sz w:val="24"/>
              </w:rPr>
              <w:t>-515,100.31</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8"/>
              <w:jc w:val="right"/>
              <w:rPr>
                <w:rFonts w:ascii="宋体" w:hAnsi="宋体" w:cs="宋体" w:eastAsia="宋体" w:hint="default"/>
                <w:sz w:val="24"/>
                <w:szCs w:val="24"/>
              </w:rPr>
            </w:pPr>
            <w:r>
              <w:rPr>
                <w:rFonts w:ascii="宋体"/>
                <w:sz w:val="24"/>
              </w:rPr>
              <w:t>3,083,575.74</w:t>
            </w:r>
          </w:p>
        </w:tc>
      </w:tr>
      <w:tr>
        <w:trPr>
          <w:trHeight w:val="326"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0" w:right="0"/>
              <w:jc w:val="left"/>
              <w:rPr>
                <w:rFonts w:ascii="宋体" w:hAnsi="宋体" w:cs="宋体" w:eastAsia="宋体" w:hint="default"/>
                <w:sz w:val="24"/>
                <w:szCs w:val="24"/>
              </w:rPr>
            </w:pPr>
            <w:r>
              <w:rPr>
                <w:rFonts w:ascii="宋体" w:hAnsi="宋体" w:cs="宋体" w:eastAsia="宋体" w:hint="default"/>
                <w:sz w:val="24"/>
                <w:szCs w:val="24"/>
              </w:rPr>
              <w:t>固定资产报废损失（收益以“－”号填列）</w:t>
            </w:r>
          </w:p>
        </w:tc>
        <w:tc>
          <w:tcPr>
            <w:tcW w:w="2412"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165,236.91</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8,365.40</w:t>
            </w:r>
          </w:p>
        </w:tc>
      </w:tr>
      <w:tr>
        <w:trPr>
          <w:trHeight w:val="326"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0" w:right="0"/>
              <w:jc w:val="left"/>
              <w:rPr>
                <w:rFonts w:ascii="宋体" w:hAnsi="宋体" w:cs="宋体" w:eastAsia="宋体" w:hint="default"/>
                <w:sz w:val="24"/>
                <w:szCs w:val="24"/>
              </w:rPr>
            </w:pPr>
            <w:r>
              <w:rPr>
                <w:rFonts w:ascii="宋体" w:hAnsi="宋体" w:cs="宋体" w:eastAsia="宋体" w:hint="default"/>
                <w:sz w:val="24"/>
                <w:szCs w:val="24"/>
              </w:rPr>
              <w:t>公允价值变动损失（收益以“－”号填列）</w:t>
            </w:r>
          </w:p>
        </w:tc>
        <w:tc>
          <w:tcPr>
            <w:tcW w:w="2412"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-25,176,970.60</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3,009,549.23</w:t>
            </w:r>
          </w:p>
        </w:tc>
      </w:tr>
      <w:tr>
        <w:trPr>
          <w:trHeight w:val="326"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0" w:right="0"/>
              <w:jc w:val="left"/>
              <w:rPr>
                <w:rFonts w:ascii="宋体" w:hAnsi="宋体" w:cs="宋体" w:eastAsia="宋体" w:hint="default"/>
                <w:sz w:val="24"/>
                <w:szCs w:val="24"/>
              </w:rPr>
            </w:pPr>
            <w:r>
              <w:rPr>
                <w:rFonts w:ascii="宋体" w:hAnsi="宋体" w:cs="宋体" w:eastAsia="宋体" w:hint="default"/>
                <w:sz w:val="24"/>
                <w:szCs w:val="24"/>
              </w:rPr>
              <w:t>财务费用（收益以“－”号填列）</w:t>
            </w:r>
          </w:p>
        </w:tc>
        <w:tc>
          <w:tcPr>
            <w:tcW w:w="2412"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1,859,414,817.08</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1,384,449,011.43</w:t>
            </w:r>
          </w:p>
        </w:tc>
      </w:tr>
      <w:tr>
        <w:trPr>
          <w:trHeight w:val="326"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0" w:right="0"/>
              <w:jc w:val="left"/>
              <w:rPr>
                <w:rFonts w:ascii="宋体" w:hAnsi="宋体" w:cs="宋体" w:eastAsia="宋体" w:hint="default"/>
                <w:sz w:val="24"/>
                <w:szCs w:val="24"/>
              </w:rPr>
            </w:pPr>
            <w:r>
              <w:rPr>
                <w:rFonts w:ascii="宋体" w:hAnsi="宋体" w:cs="宋体" w:eastAsia="宋体" w:hint="default"/>
                <w:sz w:val="24"/>
                <w:szCs w:val="24"/>
              </w:rPr>
              <w:t>投资损失（收益以“－”号填列）</w:t>
            </w:r>
          </w:p>
        </w:tc>
        <w:tc>
          <w:tcPr>
            <w:tcW w:w="2412"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-3,182,236,717.02</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-353,463,579.79</w:t>
            </w:r>
          </w:p>
        </w:tc>
      </w:tr>
      <w:tr>
        <w:trPr>
          <w:trHeight w:val="326"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0" w:right="0"/>
              <w:jc w:val="left"/>
              <w:rPr>
                <w:rFonts w:ascii="宋体" w:hAnsi="宋体" w:cs="宋体" w:eastAsia="宋体" w:hint="default"/>
                <w:sz w:val="24"/>
                <w:szCs w:val="24"/>
              </w:rPr>
            </w:pPr>
            <w:r>
              <w:rPr>
                <w:rFonts w:ascii="宋体" w:hAnsi="宋体" w:cs="宋体" w:eastAsia="宋体" w:hint="default"/>
                <w:sz w:val="24"/>
                <w:szCs w:val="24"/>
              </w:rPr>
              <w:t>递延所得税资产减少（增加以“－”号填列）</w:t>
            </w:r>
          </w:p>
        </w:tc>
        <w:tc>
          <w:tcPr>
            <w:tcW w:w="2412"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-174,364,632.59</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-215,166,051.51</w:t>
            </w:r>
          </w:p>
        </w:tc>
      </w:tr>
      <w:tr>
        <w:trPr>
          <w:trHeight w:val="326"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0" w:right="0"/>
              <w:jc w:val="left"/>
              <w:rPr>
                <w:rFonts w:ascii="宋体" w:hAnsi="宋体" w:cs="宋体" w:eastAsia="宋体" w:hint="default"/>
                <w:sz w:val="24"/>
                <w:szCs w:val="24"/>
              </w:rPr>
            </w:pPr>
            <w:r>
              <w:rPr>
                <w:rFonts w:ascii="宋体" w:hAnsi="宋体" w:cs="宋体" w:eastAsia="宋体" w:hint="default"/>
                <w:sz w:val="24"/>
                <w:szCs w:val="24"/>
              </w:rPr>
              <w:t>递延所得税负债增加（减少以“－”号填列）</w:t>
            </w:r>
          </w:p>
        </w:tc>
        <w:tc>
          <w:tcPr>
            <w:tcW w:w="2412"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28,524,149.74</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-672,195.68</w:t>
            </w:r>
          </w:p>
        </w:tc>
      </w:tr>
      <w:tr>
        <w:trPr>
          <w:trHeight w:val="324"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0" w:right="0"/>
              <w:jc w:val="left"/>
              <w:rPr>
                <w:rFonts w:ascii="宋体" w:hAnsi="宋体" w:cs="宋体" w:eastAsia="宋体" w:hint="default"/>
                <w:sz w:val="24"/>
                <w:szCs w:val="24"/>
              </w:rPr>
            </w:pPr>
            <w:r>
              <w:rPr>
                <w:rFonts w:ascii="宋体" w:hAnsi="宋体" w:cs="宋体" w:eastAsia="宋体" w:hint="default"/>
                <w:sz w:val="24"/>
                <w:szCs w:val="24"/>
              </w:rPr>
              <w:t>存货的减少（增加以“－”号填列）</w:t>
            </w:r>
          </w:p>
        </w:tc>
        <w:tc>
          <w:tcPr>
            <w:tcW w:w="2412" w:type="dxa"/>
            <w:tcBorders>
              <w:top w:val="single" w:sz="6" w:space="0" w:color="000000"/>
              <w:left w:val="single" w:sz="4"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-5,327,161,136.87</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744,878,520.89</w:t>
            </w:r>
          </w:p>
        </w:tc>
      </w:tr>
      <w:tr>
        <w:trPr>
          <w:trHeight w:val="326"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0" w:right="0"/>
              <w:jc w:val="left"/>
              <w:rPr>
                <w:rFonts w:ascii="宋体" w:hAnsi="宋体" w:cs="宋体" w:eastAsia="宋体" w:hint="default"/>
                <w:sz w:val="24"/>
                <w:szCs w:val="24"/>
              </w:rPr>
            </w:pPr>
            <w:r>
              <w:rPr>
                <w:rFonts w:ascii="宋体" w:hAnsi="宋体" w:cs="宋体" w:eastAsia="宋体" w:hint="default"/>
                <w:sz w:val="24"/>
                <w:szCs w:val="24"/>
              </w:rPr>
              <w:t>经营性应收项目的减少（增加以“－”号填列）</w:t>
            </w:r>
          </w:p>
        </w:tc>
        <w:tc>
          <w:tcPr>
            <w:tcW w:w="2412" w:type="dxa"/>
            <w:tcBorders>
              <w:top w:val="single" w:sz="6" w:space="0" w:color="000000"/>
              <w:left w:val="single" w:sz="4" w:space="0" w:color="000000"/>
              <w:bottom w:val="single" w:sz="6" w:space="0" w:color="000000"/>
              <w:right w:val="single" w:sz="6" w:space="0" w:color="000000"/>
            </w:tcBorders>
          </w:tcPr>
          <w:p>
            <w:pPr>
              <w:pStyle w:val="TableParagraph"/>
              <w:spacing w:line="279" w:lineRule="exact"/>
              <w:ind w:right="98"/>
              <w:jc w:val="right"/>
              <w:rPr>
                <w:rFonts w:ascii="宋体" w:hAnsi="宋体" w:cs="宋体" w:eastAsia="宋体" w:hint="default"/>
                <w:sz w:val="24"/>
                <w:szCs w:val="24"/>
              </w:rPr>
            </w:pPr>
            <w:r>
              <w:rPr>
                <w:rFonts w:ascii="宋体"/>
                <w:sz w:val="24"/>
              </w:rPr>
              <w:t>896,146,775.91</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right="98"/>
              <w:jc w:val="right"/>
              <w:rPr>
                <w:rFonts w:ascii="宋体" w:hAnsi="宋体" w:cs="宋体" w:eastAsia="宋体" w:hint="default"/>
                <w:sz w:val="24"/>
                <w:szCs w:val="24"/>
              </w:rPr>
            </w:pPr>
            <w:r>
              <w:rPr>
                <w:rFonts w:ascii="宋体"/>
                <w:sz w:val="24"/>
              </w:rPr>
              <w:t>-2,145,174,319.02</w:t>
            </w:r>
          </w:p>
        </w:tc>
      </w:tr>
      <w:tr>
        <w:trPr>
          <w:trHeight w:val="326"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0" w:right="0"/>
              <w:jc w:val="left"/>
              <w:rPr>
                <w:rFonts w:ascii="宋体" w:hAnsi="宋体" w:cs="宋体" w:eastAsia="宋体" w:hint="default"/>
                <w:sz w:val="24"/>
                <w:szCs w:val="24"/>
              </w:rPr>
            </w:pPr>
            <w:r>
              <w:rPr>
                <w:rFonts w:ascii="宋体" w:hAnsi="宋体" w:cs="宋体" w:eastAsia="宋体" w:hint="default"/>
                <w:sz w:val="24"/>
                <w:szCs w:val="24"/>
              </w:rPr>
              <w:t>经营性应付项目的增加（减少以“－”号填列）</w:t>
            </w:r>
          </w:p>
        </w:tc>
        <w:tc>
          <w:tcPr>
            <w:tcW w:w="2412" w:type="dxa"/>
            <w:tcBorders>
              <w:top w:val="single" w:sz="6" w:space="0" w:color="000000"/>
              <w:left w:val="single" w:sz="4" w:space="0" w:color="000000"/>
              <w:bottom w:val="single" w:sz="6" w:space="0" w:color="000000"/>
              <w:right w:val="single" w:sz="6" w:space="0" w:color="000000"/>
            </w:tcBorders>
          </w:tcPr>
          <w:p>
            <w:pPr>
              <w:pStyle w:val="TableParagraph"/>
              <w:spacing w:line="279" w:lineRule="exact"/>
              <w:ind w:right="98"/>
              <w:jc w:val="right"/>
              <w:rPr>
                <w:rFonts w:ascii="宋体" w:hAnsi="宋体" w:cs="宋体" w:eastAsia="宋体" w:hint="default"/>
                <w:sz w:val="24"/>
                <w:szCs w:val="24"/>
              </w:rPr>
            </w:pPr>
            <w:r>
              <w:rPr>
                <w:rFonts w:ascii="宋体"/>
                <w:sz w:val="24"/>
              </w:rPr>
              <w:t>4,227,587,000.63</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right="98"/>
              <w:jc w:val="right"/>
              <w:rPr>
                <w:rFonts w:ascii="宋体" w:hAnsi="宋体" w:cs="宋体" w:eastAsia="宋体" w:hint="default"/>
                <w:sz w:val="24"/>
                <w:szCs w:val="24"/>
              </w:rPr>
            </w:pPr>
            <w:r>
              <w:rPr>
                <w:rFonts w:ascii="宋体"/>
                <w:sz w:val="24"/>
              </w:rPr>
              <w:t>5,029,580,689.63</w:t>
            </w:r>
          </w:p>
        </w:tc>
      </w:tr>
      <w:tr>
        <w:trPr>
          <w:trHeight w:val="326"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0"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412" w:type="dxa"/>
            <w:tcBorders>
              <w:top w:val="single" w:sz="6" w:space="0" w:color="000000"/>
              <w:left w:val="single" w:sz="4" w:space="0" w:color="000000"/>
              <w:bottom w:val="single" w:sz="6" w:space="0" w:color="000000"/>
              <w:right w:val="single" w:sz="6" w:space="0" w:color="000000"/>
            </w:tcBorders>
          </w:tcPr>
          <w:p>
            <w:pPr>
              <w:pStyle w:val="TableParagraph"/>
              <w:spacing w:line="279" w:lineRule="exact"/>
              <w:ind w:right="98"/>
              <w:jc w:val="right"/>
              <w:rPr>
                <w:rFonts w:ascii="宋体" w:hAnsi="宋体" w:cs="宋体" w:eastAsia="宋体" w:hint="default"/>
                <w:sz w:val="24"/>
                <w:szCs w:val="24"/>
              </w:rPr>
            </w:pPr>
            <w:r>
              <w:rPr>
                <w:rFonts w:ascii="宋体"/>
                <w:sz w:val="24"/>
              </w:rPr>
              <w:t>-384,945,880.30</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right="98"/>
              <w:jc w:val="right"/>
              <w:rPr>
                <w:rFonts w:ascii="宋体" w:hAnsi="宋体" w:cs="宋体" w:eastAsia="宋体" w:hint="default"/>
                <w:sz w:val="24"/>
                <w:szCs w:val="24"/>
              </w:rPr>
            </w:pPr>
            <w:r>
              <w:rPr>
                <w:rFonts w:ascii="宋体"/>
                <w:sz w:val="24"/>
              </w:rPr>
              <w:t>-5,739,106,878.92</w:t>
            </w:r>
          </w:p>
        </w:tc>
      </w:tr>
      <w:tr>
        <w:trPr>
          <w:trHeight w:val="326"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0"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2412" w:type="dxa"/>
            <w:tcBorders>
              <w:top w:val="single" w:sz="6" w:space="0" w:color="000000"/>
              <w:left w:val="single" w:sz="4" w:space="0" w:color="000000"/>
              <w:bottom w:val="single" w:sz="6" w:space="0" w:color="000000"/>
              <w:right w:val="single" w:sz="6" w:space="0" w:color="000000"/>
            </w:tcBorders>
          </w:tcPr>
          <w:p>
            <w:pPr>
              <w:pStyle w:val="TableParagraph"/>
              <w:spacing w:line="279" w:lineRule="exact"/>
              <w:ind w:right="98"/>
              <w:jc w:val="right"/>
              <w:rPr>
                <w:rFonts w:ascii="宋体" w:hAnsi="宋体" w:cs="宋体" w:eastAsia="宋体" w:hint="default"/>
                <w:sz w:val="24"/>
                <w:szCs w:val="24"/>
              </w:rPr>
            </w:pPr>
            <w:r>
              <w:rPr>
                <w:rFonts w:ascii="宋体"/>
                <w:sz w:val="24"/>
              </w:rPr>
              <w:t>1,683,174,245.91</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right="98"/>
              <w:jc w:val="right"/>
              <w:rPr>
                <w:rFonts w:ascii="宋体" w:hAnsi="宋体" w:cs="宋体" w:eastAsia="宋体" w:hint="default"/>
                <w:sz w:val="24"/>
                <w:szCs w:val="24"/>
              </w:rPr>
            </w:pPr>
            <w:r>
              <w:rPr>
                <w:rFonts w:ascii="宋体"/>
                <w:sz w:val="24"/>
              </w:rPr>
              <w:t>4,628,101,820.72</w:t>
            </w:r>
          </w:p>
        </w:tc>
      </w:tr>
      <w:tr>
        <w:trPr>
          <w:trHeight w:val="326"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．不涉及现金收支的重大投资和筹资活动：</w:t>
            </w:r>
            <w:r>
              <w:rPr>
                <w:rFonts w:ascii="宋体" w:hAnsi="宋体" w:cs="宋体" w:eastAsia="宋体" w:hint="default"/>
                <w:sz w:val="24"/>
                <w:szCs w:val="24"/>
              </w:rPr>
            </w:r>
          </w:p>
        </w:tc>
        <w:tc>
          <w:tcPr>
            <w:tcW w:w="2412" w:type="dxa"/>
            <w:tcBorders>
              <w:top w:val="single" w:sz="6" w:space="0" w:color="000000"/>
              <w:left w:val="single" w:sz="4"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0" w:right="0"/>
              <w:jc w:val="left"/>
              <w:rPr>
                <w:rFonts w:ascii="宋体" w:hAnsi="宋体" w:cs="宋体" w:eastAsia="宋体" w:hint="default"/>
                <w:sz w:val="24"/>
                <w:szCs w:val="24"/>
              </w:rPr>
            </w:pPr>
            <w:r>
              <w:rPr>
                <w:rFonts w:ascii="宋体" w:hAnsi="宋体" w:cs="宋体" w:eastAsia="宋体" w:hint="default"/>
                <w:sz w:val="24"/>
                <w:szCs w:val="24"/>
              </w:rPr>
              <w:t>债务转为资本</w:t>
            </w:r>
          </w:p>
        </w:tc>
        <w:tc>
          <w:tcPr>
            <w:tcW w:w="2412" w:type="dxa"/>
            <w:tcBorders>
              <w:top w:val="single" w:sz="6" w:space="0" w:color="000000"/>
              <w:left w:val="single" w:sz="4"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0" w:right="0"/>
              <w:jc w:val="left"/>
              <w:rPr>
                <w:rFonts w:ascii="宋体" w:hAnsi="宋体" w:cs="宋体" w:eastAsia="宋体" w:hint="default"/>
                <w:sz w:val="24"/>
                <w:szCs w:val="24"/>
              </w:rPr>
            </w:pPr>
            <w:r>
              <w:rPr>
                <w:rFonts w:ascii="宋体" w:hAnsi="宋体" w:cs="宋体" w:eastAsia="宋体" w:hint="default"/>
                <w:sz w:val="24"/>
                <w:szCs w:val="24"/>
              </w:rPr>
              <w:t>一年内到期的可转换公司债券</w:t>
            </w:r>
          </w:p>
        </w:tc>
        <w:tc>
          <w:tcPr>
            <w:tcW w:w="2412" w:type="dxa"/>
            <w:tcBorders>
              <w:top w:val="single" w:sz="6" w:space="0" w:color="000000"/>
              <w:left w:val="single" w:sz="4"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0" w:right="0"/>
              <w:jc w:val="left"/>
              <w:rPr>
                <w:rFonts w:ascii="宋体" w:hAnsi="宋体" w:cs="宋体" w:eastAsia="宋体" w:hint="default"/>
                <w:sz w:val="24"/>
                <w:szCs w:val="24"/>
              </w:rPr>
            </w:pPr>
            <w:r>
              <w:rPr>
                <w:rFonts w:ascii="宋体" w:hAnsi="宋体" w:cs="宋体" w:eastAsia="宋体" w:hint="default"/>
                <w:sz w:val="24"/>
                <w:szCs w:val="24"/>
              </w:rPr>
              <w:t>融资租入固定资产</w:t>
            </w:r>
          </w:p>
        </w:tc>
        <w:tc>
          <w:tcPr>
            <w:tcW w:w="2412" w:type="dxa"/>
            <w:tcBorders>
              <w:top w:val="single" w:sz="6" w:space="0" w:color="000000"/>
              <w:left w:val="single" w:sz="4"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．现金及现金等价物净变动情况：</w:t>
            </w:r>
            <w:r>
              <w:rPr>
                <w:rFonts w:ascii="宋体" w:hAnsi="宋体" w:cs="宋体" w:eastAsia="宋体" w:hint="default"/>
                <w:sz w:val="24"/>
                <w:szCs w:val="24"/>
              </w:rPr>
            </w:r>
          </w:p>
        </w:tc>
        <w:tc>
          <w:tcPr>
            <w:tcW w:w="2412" w:type="dxa"/>
            <w:tcBorders>
              <w:top w:val="single" w:sz="6" w:space="0" w:color="000000"/>
              <w:left w:val="single" w:sz="4"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0" w:right="0"/>
              <w:jc w:val="left"/>
              <w:rPr>
                <w:rFonts w:ascii="宋体" w:hAnsi="宋体" w:cs="宋体" w:eastAsia="宋体" w:hint="default"/>
                <w:sz w:val="24"/>
                <w:szCs w:val="24"/>
              </w:rPr>
            </w:pPr>
            <w:r>
              <w:rPr>
                <w:rFonts w:ascii="宋体" w:hAnsi="宋体" w:cs="宋体" w:eastAsia="宋体" w:hint="default"/>
                <w:sz w:val="24"/>
                <w:szCs w:val="24"/>
              </w:rPr>
              <w:t>现金的期末余额</w:t>
            </w:r>
          </w:p>
        </w:tc>
        <w:tc>
          <w:tcPr>
            <w:tcW w:w="2412" w:type="dxa"/>
            <w:tcBorders>
              <w:top w:val="single" w:sz="6" w:space="0" w:color="000000"/>
              <w:left w:val="single" w:sz="4"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16,220,406,014.05</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15,863,105,197.18</w:t>
            </w:r>
          </w:p>
        </w:tc>
      </w:tr>
      <w:tr>
        <w:trPr>
          <w:trHeight w:val="326"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0" w:right="0"/>
              <w:jc w:val="left"/>
              <w:rPr>
                <w:rFonts w:ascii="宋体" w:hAnsi="宋体" w:cs="宋体" w:eastAsia="宋体" w:hint="default"/>
                <w:sz w:val="24"/>
                <w:szCs w:val="24"/>
              </w:rPr>
            </w:pPr>
            <w:r>
              <w:rPr>
                <w:rFonts w:ascii="宋体" w:hAnsi="宋体" w:cs="宋体" w:eastAsia="宋体" w:hint="default"/>
                <w:sz w:val="24"/>
                <w:szCs w:val="24"/>
              </w:rPr>
              <w:t>减：现金的期初余额</w:t>
            </w:r>
          </w:p>
        </w:tc>
        <w:tc>
          <w:tcPr>
            <w:tcW w:w="2412"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15,863,105,197.18</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11,799,432,344.13</w:t>
            </w:r>
          </w:p>
        </w:tc>
      </w:tr>
      <w:tr>
        <w:trPr>
          <w:trHeight w:val="326"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0" w:right="0"/>
              <w:jc w:val="left"/>
              <w:rPr>
                <w:rFonts w:ascii="宋体" w:hAnsi="宋体" w:cs="宋体" w:eastAsia="宋体" w:hint="default"/>
                <w:sz w:val="24"/>
                <w:szCs w:val="24"/>
              </w:rPr>
            </w:pPr>
            <w:r>
              <w:rPr>
                <w:rFonts w:ascii="宋体" w:hAnsi="宋体" w:cs="宋体" w:eastAsia="宋体" w:hint="default"/>
                <w:sz w:val="24"/>
                <w:szCs w:val="24"/>
              </w:rPr>
              <w:t>加：现金等价物的期末余额</w:t>
            </w:r>
          </w:p>
        </w:tc>
        <w:tc>
          <w:tcPr>
            <w:tcW w:w="2412" w:type="dxa"/>
            <w:tcBorders>
              <w:top w:val="single" w:sz="6" w:space="0" w:color="000000"/>
              <w:left w:val="single" w:sz="4"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0" w:right="0"/>
              <w:jc w:val="left"/>
              <w:rPr>
                <w:rFonts w:ascii="宋体" w:hAnsi="宋体" w:cs="宋体" w:eastAsia="宋体" w:hint="default"/>
                <w:sz w:val="24"/>
                <w:szCs w:val="24"/>
              </w:rPr>
            </w:pPr>
            <w:r>
              <w:rPr>
                <w:rFonts w:ascii="宋体" w:hAnsi="宋体" w:cs="宋体" w:eastAsia="宋体" w:hint="default"/>
                <w:sz w:val="24"/>
                <w:szCs w:val="24"/>
              </w:rPr>
              <w:t>减：现金等价物的期初余额</w:t>
            </w:r>
          </w:p>
        </w:tc>
        <w:tc>
          <w:tcPr>
            <w:tcW w:w="2412" w:type="dxa"/>
            <w:tcBorders>
              <w:top w:val="single" w:sz="6" w:space="0" w:color="000000"/>
              <w:left w:val="single" w:sz="4"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0" w:right="0"/>
              <w:jc w:val="left"/>
              <w:rPr>
                <w:rFonts w:ascii="宋体" w:hAnsi="宋体" w:cs="宋体" w:eastAsia="宋体" w:hint="default"/>
                <w:sz w:val="24"/>
                <w:szCs w:val="24"/>
              </w:rPr>
            </w:pPr>
            <w:r>
              <w:rPr>
                <w:rFonts w:ascii="宋体" w:hAnsi="宋体" w:cs="宋体" w:eastAsia="宋体" w:hint="default"/>
                <w:sz w:val="24"/>
                <w:szCs w:val="24"/>
              </w:rPr>
              <w:t>现金及现金等价物净增加额</w:t>
            </w:r>
          </w:p>
        </w:tc>
        <w:tc>
          <w:tcPr>
            <w:tcW w:w="2412"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357,300,816.87</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4,063,672,853.05</w:t>
            </w:r>
          </w:p>
        </w:tc>
      </w:tr>
    </w:tbl>
    <w:p>
      <w:pPr>
        <w:spacing w:line="240" w:lineRule="auto" w:before="7"/>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00" w:bottom="280" w:left="1160" w:right="620"/>
        </w:sectPr>
      </w:pPr>
    </w:p>
    <w:p>
      <w:pPr>
        <w:pStyle w:val="Heading2"/>
        <w:spacing w:line="240" w:lineRule="auto"/>
        <w:ind w:left="638" w:right="-18"/>
        <w:jc w:val="left"/>
        <w:rPr>
          <w:b w:val="0"/>
          <w:bCs w:val="0"/>
        </w:rPr>
      </w:pPr>
      <w:r>
        <w:rPr>
          <w:rFonts w:ascii="宋体" w:hAnsi="宋体" w:cs="宋体" w:eastAsia="宋体" w:hint="default"/>
        </w:rPr>
        <w:t>(2)</w:t>
      </w:r>
      <w:r>
        <w:rPr>
          <w:rFonts w:ascii="宋体" w:hAnsi="宋体" w:cs="宋体" w:eastAsia="宋体" w:hint="default"/>
          <w:spacing w:val="-62"/>
        </w:rPr>
        <w:t> </w:t>
      </w:r>
      <w:r>
        <w:rPr/>
        <w:t>本期支付的取得子公司的现金净额</w:t>
      </w:r>
      <w:r>
        <w:rPr>
          <w:b w:val="0"/>
          <w:bCs w:val="0"/>
        </w:rPr>
      </w:r>
    </w:p>
    <w:p>
      <w:pPr>
        <w:pStyle w:val="BodyText"/>
        <w:spacing w:line="240" w:lineRule="auto" w:before="55"/>
        <w:ind w:left="63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838" w:val="left" w:leader="none"/>
        </w:tabs>
        <w:spacing w:line="240" w:lineRule="auto"/>
        <w:ind w:left="638" w:right="0"/>
        <w:jc w:val="left"/>
      </w:pPr>
      <w:r>
        <w:rPr/>
        <w:t>单位：元</w:t>
        <w:tab/>
        <w:t>币种：人民币</w:t>
      </w:r>
    </w:p>
    <w:p>
      <w:pPr>
        <w:spacing w:after="0" w:line="240" w:lineRule="auto"/>
        <w:jc w:val="left"/>
        <w:sectPr>
          <w:type w:val="continuous"/>
          <w:pgSz w:w="11910" w:h="16840"/>
          <w:pgMar w:top="1000" w:bottom="280" w:left="1160" w:right="620"/>
          <w:cols w:num="2" w:equalWidth="0">
            <w:col w:w="4677" w:space="1516"/>
            <w:col w:w="3937"/>
          </w:cols>
        </w:sectPr>
      </w:pPr>
    </w:p>
    <w:p>
      <w:pPr>
        <w:spacing w:line="240" w:lineRule="auto" w:before="12"/>
        <w:rPr>
          <w:rFonts w:ascii="宋体" w:hAnsi="宋体" w:cs="宋体" w:eastAsia="宋体" w:hint="default"/>
          <w:sz w:val="2"/>
          <w:szCs w:val="2"/>
        </w:rPr>
      </w:pPr>
    </w:p>
    <w:tbl>
      <w:tblPr>
        <w:tblW w:w="0" w:type="auto"/>
        <w:jc w:val="left"/>
        <w:tblInd w:w="525" w:type="dxa"/>
        <w:tblLayout w:type="fixed"/>
        <w:tblCellMar>
          <w:top w:w="0" w:type="dxa"/>
          <w:left w:w="0" w:type="dxa"/>
          <w:bottom w:w="0" w:type="dxa"/>
          <w:right w:w="0" w:type="dxa"/>
        </w:tblCellMar>
        <w:tblLook w:val="01E0"/>
      </w:tblPr>
      <w:tblGrid>
        <w:gridCol w:w="5917"/>
        <w:gridCol w:w="3133"/>
      </w:tblGrid>
      <w:tr>
        <w:trPr>
          <w:trHeight w:val="320" w:hRule="exact"/>
        </w:trPr>
        <w:tc>
          <w:tcPr>
            <w:tcW w:w="5917" w:type="dxa"/>
            <w:tcBorders>
              <w:top w:val="single" w:sz="4" w:space="0" w:color="000000"/>
              <w:left w:val="single" w:sz="4" w:space="0" w:color="000000"/>
              <w:bottom w:val="single" w:sz="4" w:space="0" w:color="000000"/>
              <w:right w:val="single" w:sz="4" w:space="0" w:color="000000"/>
            </w:tcBorders>
          </w:tcPr>
          <w:p>
            <w:pP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金额</w:t>
            </w:r>
          </w:p>
        </w:tc>
      </w:tr>
      <w:tr>
        <w:trPr>
          <w:trHeight w:val="32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本期发生的企业合并于本期支付的现金或现金等价物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55,500,000.00</w:t>
            </w:r>
          </w:p>
        </w:tc>
      </w:tr>
      <w:tr>
        <w:trPr>
          <w:trHeight w:val="32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其中：海南满天星旅业开发有限公司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55,500,000.00</w:t>
            </w:r>
          </w:p>
        </w:tc>
      </w:tr>
    </w:tbl>
    <w:p>
      <w:pPr>
        <w:spacing w:after="0" w:line="274" w:lineRule="exact"/>
        <w:jc w:val="right"/>
        <w:rPr>
          <w:rFonts w:ascii="宋体" w:hAnsi="宋体" w:cs="宋体" w:eastAsia="宋体" w:hint="default"/>
          <w:sz w:val="24"/>
          <w:szCs w:val="24"/>
        </w:rPr>
        <w:sectPr>
          <w:type w:val="continuous"/>
          <w:pgSz w:w="11910" w:h="16840"/>
          <w:pgMar w:top="1000" w:bottom="280" w:left="1160" w:right="6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25" w:type="dxa"/>
        <w:tblLayout w:type="fixed"/>
        <w:tblCellMar>
          <w:top w:w="0" w:type="dxa"/>
          <w:left w:w="0" w:type="dxa"/>
          <w:bottom w:w="0" w:type="dxa"/>
          <w:right w:w="0" w:type="dxa"/>
        </w:tblCellMar>
        <w:tblLook w:val="01E0"/>
      </w:tblPr>
      <w:tblGrid>
        <w:gridCol w:w="5917"/>
        <w:gridCol w:w="3133"/>
      </w:tblGrid>
      <w:tr>
        <w:trPr>
          <w:trHeight w:val="32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减：购买日子公司持有的现金及现金等价物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19,316,855.14</w:t>
            </w:r>
          </w:p>
        </w:tc>
      </w:tr>
      <w:tr>
        <w:trPr>
          <w:trHeight w:val="32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其中：海南满天星旅业开发有限公司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19,316,855.14</w:t>
            </w:r>
          </w:p>
        </w:tc>
      </w:tr>
      <w:tr>
        <w:trPr>
          <w:trHeight w:val="32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取得子公司支付的现金净额</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36,183,144.86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0" w:footer="1195" w:top="1120" w:bottom="1380" w:left="1460" w:right="1040"/>
        </w:sectPr>
      </w:pPr>
    </w:p>
    <w:p>
      <w:pPr>
        <w:pStyle w:val="Heading2"/>
        <w:spacing w:line="240" w:lineRule="auto"/>
        <w:ind w:left="338" w:right="-18"/>
        <w:jc w:val="left"/>
        <w:rPr>
          <w:b w:val="0"/>
          <w:bCs w:val="0"/>
        </w:rPr>
      </w:pPr>
      <w:r>
        <w:rPr>
          <w:rFonts w:ascii="宋体" w:hAnsi="宋体" w:cs="宋体" w:eastAsia="宋体" w:hint="default"/>
        </w:rPr>
        <w:t>(3)</w:t>
      </w:r>
      <w:r>
        <w:rPr>
          <w:rFonts w:ascii="宋体" w:hAnsi="宋体" w:cs="宋体" w:eastAsia="宋体" w:hint="default"/>
          <w:spacing w:val="-62"/>
        </w:rPr>
        <w:t> </w:t>
      </w:r>
      <w:r>
        <w:rPr/>
        <w:t>本期收到的处置子公司的现金净额</w:t>
      </w:r>
      <w:r>
        <w:rPr>
          <w:b w:val="0"/>
          <w:bCs w:val="0"/>
        </w:rPr>
      </w:r>
    </w:p>
    <w:p>
      <w:pPr>
        <w:pStyle w:val="BodyText"/>
        <w:spacing w:line="240" w:lineRule="auto" w:before="55"/>
        <w:ind w:left="33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538" w:val="left" w:leader="none"/>
        </w:tabs>
        <w:spacing w:line="240" w:lineRule="auto"/>
        <w:ind w:left="338" w:right="0"/>
        <w:jc w:val="left"/>
      </w:pPr>
      <w:r>
        <w:rPr/>
        <w:t>单位：元</w:t>
        <w:tab/>
        <w:t>币种：人民币</w:t>
      </w:r>
    </w:p>
    <w:p>
      <w:pPr>
        <w:spacing w:after="0" w:line="240" w:lineRule="auto"/>
        <w:jc w:val="left"/>
        <w:sectPr>
          <w:type w:val="continuous"/>
          <w:pgSz w:w="11910" w:h="16840"/>
          <w:pgMar w:top="1000" w:bottom="280" w:left="1460" w:right="1040"/>
          <w:cols w:num="2" w:equalWidth="0">
            <w:col w:w="4377" w:space="1816"/>
            <w:col w:w="3217"/>
          </w:cols>
        </w:sectPr>
      </w:pPr>
    </w:p>
    <w:p>
      <w:pPr>
        <w:spacing w:line="240" w:lineRule="auto" w:before="12"/>
        <w:rPr>
          <w:rFonts w:ascii="宋体" w:hAnsi="宋体" w:cs="宋体" w:eastAsia="宋体" w:hint="default"/>
          <w:sz w:val="2"/>
          <w:szCs w:val="2"/>
        </w:rPr>
      </w:pPr>
    </w:p>
    <w:tbl>
      <w:tblPr>
        <w:tblW w:w="0" w:type="auto"/>
        <w:jc w:val="left"/>
        <w:tblInd w:w="225" w:type="dxa"/>
        <w:tblLayout w:type="fixed"/>
        <w:tblCellMar>
          <w:top w:w="0" w:type="dxa"/>
          <w:left w:w="0" w:type="dxa"/>
          <w:bottom w:w="0" w:type="dxa"/>
          <w:right w:w="0" w:type="dxa"/>
        </w:tblCellMar>
        <w:tblLook w:val="01E0"/>
      </w:tblPr>
      <w:tblGrid>
        <w:gridCol w:w="6347"/>
        <w:gridCol w:w="2703"/>
      </w:tblGrid>
      <w:tr>
        <w:trPr>
          <w:trHeight w:val="319" w:hRule="exact"/>
        </w:trPr>
        <w:tc>
          <w:tcPr>
            <w:tcW w:w="6347"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金额</w:t>
            </w:r>
          </w:p>
        </w:tc>
      </w:tr>
      <w:tr>
        <w:trPr>
          <w:trHeight w:val="322"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本期处置子公司于本期收到的现金或现金等价物</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204,000,000.00</w:t>
            </w:r>
          </w:p>
        </w:tc>
      </w:tr>
      <w:tr>
        <w:trPr>
          <w:trHeight w:val="322"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其中：杭州兴和投资发展有限公司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204,000,000.00</w:t>
            </w:r>
          </w:p>
        </w:tc>
      </w:tr>
      <w:tr>
        <w:trPr>
          <w:trHeight w:val="322"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03" w:right="0"/>
              <w:jc w:val="left"/>
              <w:rPr>
                <w:rFonts w:ascii="宋体" w:hAnsi="宋体" w:cs="宋体" w:eastAsia="宋体" w:hint="default"/>
                <w:sz w:val="24"/>
                <w:szCs w:val="24"/>
              </w:rPr>
            </w:pPr>
            <w:r>
              <w:rPr>
                <w:rFonts w:ascii="宋体" w:hAnsi="宋体" w:cs="宋体" w:eastAsia="宋体" w:hint="default"/>
                <w:sz w:val="24"/>
                <w:szCs w:val="24"/>
              </w:rPr>
              <w:t>新湖期货有限公司</w:t>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减：丧失控制权日子公司持有的现金及现金等价物</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240,371,698.45</w:t>
            </w:r>
          </w:p>
        </w:tc>
      </w:tr>
      <w:tr>
        <w:trPr>
          <w:trHeight w:val="322"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其中：杭州兴和投资发展有限公司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2,279,124.55</w:t>
            </w:r>
          </w:p>
        </w:tc>
      </w:tr>
      <w:tr>
        <w:trPr>
          <w:trHeight w:val="322"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03" w:right="0"/>
              <w:jc w:val="left"/>
              <w:rPr>
                <w:rFonts w:ascii="宋体" w:hAnsi="宋体" w:cs="宋体" w:eastAsia="宋体" w:hint="default"/>
                <w:sz w:val="24"/>
                <w:szCs w:val="24"/>
              </w:rPr>
            </w:pPr>
            <w:r>
              <w:rPr>
                <w:rFonts w:ascii="宋体" w:hAnsi="宋体" w:cs="宋体" w:eastAsia="宋体" w:hint="default"/>
                <w:sz w:val="24"/>
                <w:szCs w:val="24"/>
              </w:rPr>
              <w:t>新湖期货有限公司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238,092,573.90</w:t>
            </w:r>
          </w:p>
        </w:tc>
      </w:tr>
      <w:tr>
        <w:trPr>
          <w:trHeight w:val="319"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加：以前期间处置子公司于本期收到的现金或现金等价物</w:t>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处置子公司收到的现金净额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-36,371,698.45</w:t>
            </w:r>
          </w:p>
        </w:tc>
      </w:tr>
    </w:tbl>
    <w:p>
      <w:pPr>
        <w:pStyle w:val="BodyText"/>
        <w:spacing w:line="274" w:lineRule="exact"/>
        <w:ind w:left="338" w:right="97"/>
        <w:jc w:val="left"/>
      </w:pPr>
      <w:r>
        <w:rPr/>
        <w:t>注：因处置子公司收到现金净额为负数转入支付其他与投资活动有关的现金。</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00" w:bottom="280" w:left="1460" w:right="1040"/>
        </w:sectPr>
      </w:pPr>
    </w:p>
    <w:p>
      <w:pPr>
        <w:pStyle w:val="Heading2"/>
        <w:spacing w:line="240" w:lineRule="auto"/>
        <w:ind w:left="338" w:right="-18"/>
        <w:jc w:val="left"/>
        <w:rPr>
          <w:b w:val="0"/>
          <w:bCs w:val="0"/>
        </w:rPr>
      </w:pPr>
      <w:r>
        <w:rPr>
          <w:rFonts w:ascii="宋体" w:hAnsi="宋体" w:cs="宋体" w:eastAsia="宋体" w:hint="default"/>
        </w:rPr>
        <w:t>(4)</w:t>
      </w:r>
      <w:r>
        <w:rPr>
          <w:rFonts w:ascii="宋体" w:hAnsi="宋体" w:cs="宋体" w:eastAsia="宋体" w:hint="default"/>
          <w:spacing w:val="-62"/>
        </w:rPr>
        <w:t> </w:t>
      </w:r>
      <w:r>
        <w:rPr/>
        <w:t>现金和现金等价物的构成</w:t>
      </w:r>
      <w:r>
        <w:rPr>
          <w:b w:val="0"/>
          <w:bCs w:val="0"/>
        </w:rPr>
      </w:r>
    </w:p>
    <w:p>
      <w:pPr>
        <w:pStyle w:val="BodyText"/>
        <w:spacing w:line="240" w:lineRule="auto" w:before="55"/>
        <w:ind w:left="33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538" w:val="left" w:leader="none"/>
        </w:tabs>
        <w:spacing w:line="240" w:lineRule="auto"/>
        <w:ind w:left="338" w:right="0"/>
        <w:jc w:val="left"/>
      </w:pPr>
      <w:r>
        <w:rPr/>
        <w:t>单位：元</w:t>
        <w:tab/>
        <w:t>币种：人民币</w:t>
      </w:r>
    </w:p>
    <w:p>
      <w:pPr>
        <w:spacing w:after="0" w:line="240" w:lineRule="auto"/>
        <w:jc w:val="left"/>
        <w:sectPr>
          <w:type w:val="continuous"/>
          <w:pgSz w:w="11910" w:h="16840"/>
          <w:pgMar w:top="1000" w:bottom="280" w:left="1460" w:right="1040"/>
          <w:cols w:num="2" w:equalWidth="0">
            <w:col w:w="3414" w:space="2779"/>
            <w:col w:w="3217"/>
          </w:cols>
        </w:sectPr>
      </w:pPr>
    </w:p>
    <w:p>
      <w:pPr>
        <w:spacing w:line="240" w:lineRule="auto" w:before="12"/>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4649"/>
        <w:gridCol w:w="2256"/>
        <w:gridCol w:w="2257"/>
      </w:tblGrid>
      <w:tr>
        <w:trPr>
          <w:trHeight w:val="322"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1"/>
              <w:jc w:val="center"/>
              <w:rPr>
                <w:rFonts w:ascii="宋体" w:hAnsi="宋体" w:cs="宋体" w:eastAsia="宋体" w:hint="default"/>
                <w:sz w:val="24"/>
                <w:szCs w:val="24"/>
              </w:rPr>
            </w:pPr>
            <w:r>
              <w:rPr>
                <w:rFonts w:ascii="宋体" w:hAnsi="宋体" w:cs="宋体" w:eastAsia="宋体" w:hint="default"/>
                <w:sz w:val="24"/>
                <w:szCs w:val="24"/>
              </w:rPr>
              <w:t>项目</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3"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3"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19"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一、现金</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16,220,406,014.05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15,863,105,197.18</w:t>
            </w:r>
          </w:p>
        </w:tc>
      </w:tr>
      <w:tr>
        <w:trPr>
          <w:trHeight w:val="322"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其中：库存现金</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926,318.54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836,843.97</w:t>
            </w:r>
          </w:p>
        </w:tc>
      </w:tr>
      <w:tr>
        <w:trPr>
          <w:trHeight w:val="322"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可随时用于支付的银行存款</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14,944,529,282.21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14,716,270,095.03</w:t>
            </w:r>
          </w:p>
        </w:tc>
      </w:tr>
      <w:tr>
        <w:trPr>
          <w:trHeight w:val="322"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94"/>
              <w:jc w:val="right"/>
              <w:rPr>
                <w:rFonts w:ascii="宋体" w:hAnsi="宋体" w:cs="宋体" w:eastAsia="宋体" w:hint="default"/>
                <w:sz w:val="24"/>
                <w:szCs w:val="24"/>
              </w:rPr>
            </w:pPr>
            <w:r>
              <w:rPr>
                <w:rFonts w:ascii="宋体" w:hAnsi="宋体" w:cs="宋体" w:eastAsia="宋体" w:hint="default"/>
                <w:sz w:val="24"/>
                <w:szCs w:val="24"/>
              </w:rPr>
              <w:t>可随时用于支付的其他货币资金</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1,274,950,413.30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1,145,998,258.18</w:t>
            </w:r>
          </w:p>
        </w:tc>
      </w:tr>
      <w:tr>
        <w:trPr>
          <w:trHeight w:val="322"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94"/>
              <w:jc w:val="right"/>
              <w:rPr>
                <w:rFonts w:ascii="宋体" w:hAnsi="宋体" w:cs="宋体" w:eastAsia="宋体" w:hint="default"/>
                <w:sz w:val="24"/>
                <w:szCs w:val="24"/>
              </w:rPr>
            </w:pPr>
            <w:r>
              <w:rPr>
                <w:rFonts w:ascii="宋体" w:hAnsi="宋体" w:cs="宋体" w:eastAsia="宋体" w:hint="default"/>
                <w:sz w:val="24"/>
                <w:szCs w:val="24"/>
              </w:rPr>
              <w:t>可用于支付的存放中央银行款项</w:t>
            </w: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存放同业款项</w:t>
            </w: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拆放同业款项</w:t>
            </w: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二、现金等价物</w:t>
            </w: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其中：三个月内到期的债券投资</w:t>
            </w: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三、期末现金及现金等价物余额</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16,220,406,014.05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15,863,105,197.18</w:t>
            </w:r>
          </w:p>
        </w:tc>
      </w:tr>
      <w:tr>
        <w:trPr>
          <w:trHeight w:val="634"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其中：母公司或集团内子公司使用受限制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的现金和现金等价物</w:t>
            </w: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3"/>
          <w:szCs w:val="23"/>
        </w:rPr>
      </w:pPr>
    </w:p>
    <w:p>
      <w:pPr>
        <w:pStyle w:val="BodyText"/>
        <w:spacing w:line="240" w:lineRule="auto" w:before="26"/>
        <w:ind w:left="338" w:right="97"/>
        <w:jc w:val="left"/>
      </w:pPr>
      <w:r>
        <w:rPr/>
        <w:t>其他说明：</w:t>
      </w:r>
    </w:p>
    <w:p>
      <w:pPr>
        <w:pStyle w:val="BodyText"/>
        <w:spacing w:line="240" w:lineRule="auto" w:before="55"/>
        <w:ind w:left="338" w:right="97"/>
        <w:jc w:val="left"/>
      </w:pPr>
      <w:r>
        <w:rPr/>
        <w:t>√适用</w:t>
      </w:r>
      <w:r>
        <w:rPr>
          <w:spacing w:val="-1"/>
        </w:rPr>
        <w:t> </w:t>
      </w:r>
      <w:r>
        <w:rPr/>
        <w:t>□不适用</w:t>
      </w:r>
    </w:p>
    <w:p>
      <w:pPr>
        <w:spacing w:after="0" w:line="240" w:lineRule="auto"/>
        <w:jc w:val="left"/>
        <w:sectPr>
          <w:type w:val="continuous"/>
          <w:pgSz w:w="11910" w:h="16840"/>
          <w:pgMar w:top="1000" w:bottom="280" w:left="1460" w:right="1040"/>
        </w:sectPr>
      </w:pPr>
    </w:p>
    <w:p>
      <w:pPr>
        <w:spacing w:line="240" w:lineRule="auto" w:before="5"/>
        <w:rPr>
          <w:rFonts w:ascii="宋体" w:hAnsi="宋体" w:cs="宋体" w:eastAsia="宋体" w:hint="default"/>
          <w:sz w:val="25"/>
          <w:szCs w:val="25"/>
        </w:rPr>
      </w:pPr>
    </w:p>
    <w:p>
      <w:pPr>
        <w:pStyle w:val="BodyText"/>
        <w:spacing w:line="240" w:lineRule="auto" w:before="26"/>
        <w:ind w:left="958" w:right="0"/>
        <w:jc w:val="left"/>
      </w:pPr>
      <w:r>
        <w:rPr/>
        <w:t>期末银行存款中用于质押的定期存款、其他</w:t>
      </w:r>
      <w:r>
        <w:rPr>
          <w:spacing w:val="-60"/>
        </w:rPr>
        <w:t> </w:t>
      </w:r>
      <w:r>
        <w:rPr>
          <w:rFonts w:ascii="宋体" w:hAnsi="宋体" w:cs="宋体" w:eastAsia="宋体" w:hint="default"/>
        </w:rPr>
        <w:t>61,580,901.32</w:t>
      </w:r>
      <w:r>
        <w:rPr>
          <w:rFonts w:ascii="宋体" w:hAnsi="宋体" w:cs="宋体" w:eastAsia="宋体" w:hint="default"/>
          <w:spacing w:val="-60"/>
        </w:rPr>
        <w:t> </w:t>
      </w:r>
      <w:r>
        <w:rPr/>
        <w:t>元，其他货币资金中</w:t>
      </w:r>
    </w:p>
    <w:p>
      <w:pPr>
        <w:pStyle w:val="BodyText"/>
        <w:spacing w:line="240" w:lineRule="auto" w:before="154"/>
        <w:ind w:left="538" w:right="0"/>
        <w:jc w:val="left"/>
      </w:pPr>
      <w:r>
        <w:rPr>
          <w:spacing w:val="-7"/>
        </w:rPr>
        <w:t>用于担保的保证金、贷款保证金、按揭保证金、开工保证金等 </w:t>
      </w:r>
      <w:r>
        <w:rPr>
          <w:rFonts w:ascii="宋体" w:hAnsi="宋体" w:cs="宋体" w:eastAsia="宋体" w:hint="default"/>
        </w:rPr>
        <w:t>1,526,450,028.27</w:t>
      </w:r>
      <w:r>
        <w:rPr>
          <w:rFonts w:ascii="宋体" w:hAnsi="宋体" w:cs="宋体" w:eastAsia="宋体" w:hint="default"/>
          <w:spacing w:val="-92"/>
        </w:rPr>
        <w:t> </w:t>
      </w:r>
      <w:r>
        <w:rPr/>
        <w:t>元，</w:t>
      </w:r>
    </w:p>
    <w:p>
      <w:pPr>
        <w:pStyle w:val="BodyText"/>
        <w:spacing w:line="240" w:lineRule="auto" w:before="151"/>
        <w:ind w:left="538" w:right="0"/>
        <w:jc w:val="left"/>
      </w:pPr>
      <w:r>
        <w:rPr/>
        <w:t>合计</w:t>
      </w:r>
      <w:r>
        <w:rPr>
          <w:spacing w:val="-61"/>
        </w:rPr>
        <w:t> </w:t>
      </w:r>
      <w:r>
        <w:rPr>
          <w:rFonts w:ascii="宋体" w:hAnsi="宋体" w:cs="宋体" w:eastAsia="宋体" w:hint="default"/>
        </w:rPr>
        <w:t>1,588,030,929.59</w:t>
      </w:r>
      <w:r>
        <w:rPr>
          <w:rFonts w:ascii="宋体" w:hAnsi="宋体" w:cs="宋体" w:eastAsia="宋体" w:hint="default"/>
          <w:spacing w:val="-60"/>
        </w:rPr>
        <w:t> </w:t>
      </w:r>
      <w:r>
        <w:rPr/>
        <w:t>元，因使用受到限制，不属于现金及现金等价物。</w:t>
      </w:r>
    </w:p>
    <w:p>
      <w:pPr>
        <w:spacing w:line="240" w:lineRule="auto" w:before="0"/>
        <w:rPr>
          <w:rFonts w:ascii="宋体" w:hAnsi="宋体" w:cs="宋体" w:eastAsia="宋体" w:hint="default"/>
          <w:sz w:val="24"/>
          <w:szCs w:val="24"/>
        </w:rPr>
      </w:pPr>
    </w:p>
    <w:p>
      <w:pPr>
        <w:spacing w:line="283" w:lineRule="auto" w:before="212"/>
        <w:ind w:left="538" w:right="1608" w:firstLine="0"/>
        <w:jc w:val="left"/>
        <w:rPr>
          <w:rFonts w:ascii="宋体" w:hAnsi="宋体" w:cs="宋体" w:eastAsia="宋体" w:hint="default"/>
          <w:sz w:val="24"/>
          <w:szCs w:val="24"/>
        </w:rPr>
      </w:pPr>
      <w:r>
        <w:rPr>
          <w:rFonts w:ascii="宋体" w:hAnsi="宋体" w:cs="宋体" w:eastAsia="宋体" w:hint="default"/>
          <w:b/>
          <w:bCs/>
          <w:sz w:val="24"/>
          <w:szCs w:val="24"/>
        </w:rPr>
        <w:t>59</w:t>
      </w:r>
      <w:r>
        <w:rPr>
          <w:rFonts w:ascii="宋体" w:hAnsi="宋体" w:cs="宋体" w:eastAsia="宋体" w:hint="default"/>
          <w:b/>
          <w:bCs/>
          <w:sz w:val="24"/>
          <w:szCs w:val="24"/>
        </w:rPr>
        <w:t>、</w:t>
      </w:r>
      <w:r>
        <w:rPr>
          <w:rFonts w:ascii="宋体" w:hAnsi="宋体" w:cs="宋体" w:eastAsia="宋体" w:hint="default"/>
          <w:b/>
          <w:bCs/>
          <w:spacing w:val="-100"/>
          <w:sz w:val="24"/>
          <w:szCs w:val="24"/>
        </w:rPr>
        <w:t> </w:t>
      </w:r>
      <w:r>
        <w:rPr>
          <w:rFonts w:ascii="宋体" w:hAnsi="宋体" w:cs="宋体" w:eastAsia="宋体" w:hint="default"/>
          <w:b/>
          <w:bCs/>
          <w:sz w:val="24"/>
          <w:szCs w:val="24"/>
        </w:rPr>
        <w:t>所有者权益变动表项目注释</w:t>
      </w:r>
      <w:r>
        <w:rPr>
          <w:rFonts w:ascii="宋体" w:hAnsi="宋体" w:cs="宋体" w:eastAsia="宋体" w:hint="default"/>
          <w:b/>
          <w:bCs/>
          <w:w w:val="99"/>
          <w:sz w:val="24"/>
          <w:szCs w:val="24"/>
        </w:rPr>
        <w:t> </w:t>
      </w:r>
      <w:r>
        <w:rPr>
          <w:rFonts w:ascii="宋体" w:hAnsi="宋体" w:cs="宋体" w:eastAsia="宋体" w:hint="default"/>
          <w:sz w:val="24"/>
          <w:szCs w:val="24"/>
        </w:rPr>
        <w:t>说明对上年期末余额进行调整的“其他”项目名称及调整金额等事项：</w:t>
      </w:r>
    </w:p>
    <w:p>
      <w:pPr>
        <w:pStyle w:val="BodyText"/>
        <w:spacing w:line="269" w:lineRule="exact"/>
        <w:ind w:left="538" w:right="0"/>
        <w:jc w:val="left"/>
      </w:pPr>
      <w:r>
        <w:rPr/>
        <w:t>□适用</w:t>
      </w:r>
      <w:r>
        <w:rPr>
          <w:spacing w:val="-1"/>
        </w:rPr>
        <w:t> </w:t>
      </w:r>
      <w:r>
        <w:rPr/>
        <w:t>√不适用</w:t>
      </w:r>
    </w:p>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5" w:top="1120" w:bottom="1380" w:left="1260" w:right="1040"/>
        </w:sectPr>
      </w:pPr>
    </w:p>
    <w:p>
      <w:pPr>
        <w:pStyle w:val="Heading2"/>
        <w:spacing w:line="240" w:lineRule="auto"/>
        <w:ind w:left="538" w:right="-17"/>
        <w:jc w:val="left"/>
        <w:rPr>
          <w:b w:val="0"/>
          <w:bCs w:val="0"/>
        </w:rPr>
      </w:pPr>
      <w:r>
        <w:rPr>
          <w:rFonts w:ascii="宋体" w:hAnsi="宋体" w:cs="宋体" w:eastAsia="宋体" w:hint="default"/>
        </w:rPr>
        <w:t>60</w:t>
      </w:r>
      <w:r>
        <w:rPr/>
        <w:t>、</w:t>
      </w:r>
      <w:r>
        <w:rPr>
          <w:spacing w:val="-103"/>
        </w:rPr>
        <w:t> </w:t>
      </w:r>
      <w:r>
        <w:rPr/>
        <w:t>所有权或使用权受到限制的资产</w:t>
      </w:r>
      <w:r>
        <w:rPr>
          <w:b w:val="0"/>
          <w:bCs w:val="0"/>
        </w:rPr>
      </w:r>
    </w:p>
    <w:p>
      <w:pPr>
        <w:pStyle w:val="BodyText"/>
        <w:spacing w:line="240" w:lineRule="auto" w:before="58"/>
        <w:ind w:left="538"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738" w:val="left" w:leader="none"/>
        </w:tabs>
        <w:spacing w:line="240" w:lineRule="auto"/>
        <w:ind w:left="538" w:right="0"/>
        <w:jc w:val="left"/>
      </w:pPr>
      <w:r>
        <w:rPr/>
        <w:t>单位：元</w:t>
        <w:tab/>
        <w:t>币种：人民币</w:t>
      </w:r>
    </w:p>
    <w:p>
      <w:pPr>
        <w:spacing w:after="0" w:line="240" w:lineRule="auto"/>
        <w:jc w:val="left"/>
        <w:sectPr>
          <w:type w:val="continuous"/>
          <w:pgSz w:w="11910" w:h="16840"/>
          <w:pgMar w:top="1000" w:bottom="280" w:left="1260" w:right="1040"/>
          <w:cols w:num="2" w:equalWidth="0">
            <w:col w:w="4415" w:space="1777"/>
            <w:col w:w="3418"/>
          </w:cols>
        </w:sectPr>
      </w:pPr>
    </w:p>
    <w:p>
      <w:pPr>
        <w:spacing w:line="240" w:lineRule="auto" w:before="12"/>
        <w:rPr>
          <w:rFonts w:ascii="宋体" w:hAnsi="宋体" w:cs="宋体" w:eastAsia="宋体" w:hint="default"/>
          <w:sz w:val="2"/>
          <w:szCs w:val="2"/>
        </w:rPr>
      </w:pPr>
    </w:p>
    <w:tbl>
      <w:tblPr>
        <w:tblW w:w="0" w:type="auto"/>
        <w:jc w:val="left"/>
        <w:tblInd w:w="499" w:type="dxa"/>
        <w:tblLayout w:type="fixed"/>
        <w:tblCellMar>
          <w:top w:w="0" w:type="dxa"/>
          <w:left w:w="0" w:type="dxa"/>
          <w:bottom w:w="0" w:type="dxa"/>
          <w:right w:w="0" w:type="dxa"/>
        </w:tblCellMar>
        <w:tblLook w:val="01E0"/>
      </w:tblPr>
      <w:tblGrid>
        <w:gridCol w:w="2300"/>
        <w:gridCol w:w="2696"/>
        <w:gridCol w:w="3901"/>
      </w:tblGrid>
      <w:tr>
        <w:trPr>
          <w:trHeight w:val="319"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21" w:right="0"/>
              <w:jc w:val="left"/>
              <w:rPr>
                <w:rFonts w:ascii="宋体" w:hAnsi="宋体" w:cs="宋体" w:eastAsia="宋体" w:hint="default"/>
                <w:sz w:val="24"/>
                <w:szCs w:val="24"/>
              </w:rPr>
            </w:pPr>
            <w:r>
              <w:rPr>
                <w:rFonts w:ascii="宋体" w:hAnsi="宋体" w:cs="宋体" w:eastAsia="宋体" w:hint="default"/>
                <w:sz w:val="24"/>
                <w:szCs w:val="24"/>
              </w:rPr>
              <w:t>期末账面价值</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受限原因</w:t>
            </w:r>
          </w:p>
        </w:tc>
      </w:tr>
      <w:tr>
        <w:trPr>
          <w:trHeight w:val="324" w:hRule="exact"/>
        </w:trPr>
        <w:tc>
          <w:tcPr>
            <w:tcW w:w="2300" w:type="dxa"/>
            <w:tcBorders>
              <w:top w:val="single" w:sz="4" w:space="0" w:color="000000"/>
              <w:left w:val="single" w:sz="4" w:space="0" w:color="000000"/>
              <w:bottom w:val="single" w:sz="6"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2696" w:type="dxa"/>
            <w:tcBorders>
              <w:top w:val="single" w:sz="4" w:space="0" w:color="000000"/>
              <w:left w:val="single" w:sz="4" w:space="0" w:color="000000"/>
              <w:bottom w:val="single" w:sz="6"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1,588,030,929.59</w:t>
            </w:r>
          </w:p>
        </w:tc>
        <w:tc>
          <w:tcPr>
            <w:tcW w:w="3901" w:type="dxa"/>
            <w:tcBorders>
              <w:top w:val="single" w:sz="4" w:space="0" w:color="000000"/>
              <w:left w:val="single" w:sz="4" w:space="0" w:color="000000"/>
              <w:bottom w:val="single" w:sz="6"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详见本财务报表附注货币资金之说明</w:t>
            </w:r>
          </w:p>
        </w:tc>
      </w:tr>
      <w:tr>
        <w:trPr>
          <w:trHeight w:val="326" w:hRule="exact"/>
        </w:trPr>
        <w:tc>
          <w:tcPr>
            <w:tcW w:w="2300"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111,734,716.48</w:t>
            </w:r>
          </w:p>
        </w:tc>
        <w:tc>
          <w:tcPr>
            <w:tcW w:w="39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质押</w:t>
            </w:r>
          </w:p>
        </w:tc>
      </w:tr>
      <w:tr>
        <w:trPr>
          <w:trHeight w:val="326" w:hRule="exact"/>
        </w:trPr>
        <w:tc>
          <w:tcPr>
            <w:tcW w:w="2300" w:type="dxa"/>
            <w:tcBorders>
              <w:top w:val="single" w:sz="4" w:space="0" w:color="000000"/>
              <w:left w:val="single" w:sz="4" w:space="0" w:color="000000"/>
              <w:bottom w:val="single" w:sz="6"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2696" w:type="dxa"/>
            <w:tcBorders>
              <w:top w:val="single" w:sz="6" w:space="0" w:color="000000"/>
              <w:left w:val="single" w:sz="4" w:space="0" w:color="000000"/>
              <w:bottom w:val="single" w:sz="6"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30,040,918,622.09</w:t>
            </w:r>
          </w:p>
        </w:tc>
        <w:tc>
          <w:tcPr>
            <w:tcW w:w="3901" w:type="dxa"/>
            <w:tcBorders>
              <w:top w:val="single" w:sz="6" w:space="0" w:color="000000"/>
              <w:left w:val="single" w:sz="4" w:space="0" w:color="000000"/>
              <w:bottom w:val="single" w:sz="6"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抵押</w:t>
            </w:r>
          </w:p>
        </w:tc>
      </w:tr>
      <w:tr>
        <w:trPr>
          <w:trHeight w:val="326"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长期股权投资</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9,818,063,980.90</w:t>
            </w:r>
          </w:p>
        </w:tc>
        <w:tc>
          <w:tcPr>
            <w:tcW w:w="39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质押</w:t>
            </w:r>
          </w:p>
        </w:tc>
      </w:tr>
      <w:tr>
        <w:trPr>
          <w:trHeight w:val="326"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334,571,231.58</w:t>
            </w:r>
          </w:p>
        </w:tc>
        <w:tc>
          <w:tcPr>
            <w:tcW w:w="39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质押</w:t>
            </w:r>
          </w:p>
        </w:tc>
      </w:tr>
      <w:tr>
        <w:trPr>
          <w:trHeight w:val="326" w:hRule="exact"/>
        </w:trPr>
        <w:tc>
          <w:tcPr>
            <w:tcW w:w="2300"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投资性房地产</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652,066,970.24</w:t>
            </w:r>
          </w:p>
        </w:tc>
        <w:tc>
          <w:tcPr>
            <w:tcW w:w="39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抵押</w:t>
            </w:r>
          </w:p>
        </w:tc>
      </w:tr>
      <w:tr>
        <w:trPr>
          <w:trHeight w:val="32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6"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2696" w:type="dxa"/>
            <w:tcBorders>
              <w:top w:val="single" w:sz="6"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253,614,867.77</w:t>
            </w:r>
          </w:p>
        </w:tc>
        <w:tc>
          <w:tcPr>
            <w:tcW w:w="3901" w:type="dxa"/>
            <w:tcBorders>
              <w:top w:val="single" w:sz="6"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抵押</w:t>
            </w:r>
          </w:p>
        </w:tc>
      </w:tr>
      <w:tr>
        <w:trPr>
          <w:trHeight w:val="32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2696" w:type="dxa"/>
            <w:tcBorders>
              <w:top w:val="single" w:sz="4" w:space="0" w:color="000000"/>
              <w:left w:val="single" w:sz="4" w:space="0" w:color="000000"/>
              <w:bottom w:val="single" w:sz="6" w:space="0" w:color="000000"/>
              <w:right w:val="single" w:sz="4" w:space="0" w:color="000000"/>
            </w:tcBorders>
          </w:tcPr>
          <w:p>
            <w:pPr/>
          </w:p>
        </w:tc>
        <w:tc>
          <w:tcPr>
            <w:tcW w:w="3901" w:type="dxa"/>
            <w:tcBorders>
              <w:top w:val="single" w:sz="4" w:space="0" w:color="000000"/>
              <w:left w:val="single" w:sz="4" w:space="0" w:color="000000"/>
              <w:bottom w:val="single" w:sz="6" w:space="0" w:color="000000"/>
              <w:right w:val="single" w:sz="4" w:space="0" w:color="000000"/>
            </w:tcBorders>
          </w:tcPr>
          <w:p>
            <w:pPr/>
          </w:p>
        </w:tc>
      </w:tr>
      <w:tr>
        <w:trPr>
          <w:trHeight w:val="326"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696" w:type="dxa"/>
            <w:tcBorders>
              <w:top w:val="single" w:sz="6" w:space="0" w:color="000000"/>
              <w:left w:val="single" w:sz="4" w:space="0" w:color="000000"/>
              <w:bottom w:val="single" w:sz="6"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42,799,001,318.65</w:t>
            </w:r>
          </w:p>
        </w:tc>
        <w:tc>
          <w:tcPr>
            <w:tcW w:w="3901" w:type="dxa"/>
            <w:tcBorders>
              <w:top w:val="single" w:sz="6" w:space="0" w:color="000000"/>
              <w:left w:val="single" w:sz="4" w:space="0" w:color="000000"/>
              <w:bottom w:val="single" w:sz="6"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sz w:val="24"/>
              </w:rPr>
              <w:t>/</w:t>
            </w:r>
          </w:p>
        </w:tc>
      </w:tr>
    </w:tbl>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00" w:bottom="280" w:left="1260" w:right="1040"/>
        </w:sectPr>
      </w:pPr>
    </w:p>
    <w:p>
      <w:pPr>
        <w:tabs>
          <w:tab w:pos="1238" w:val="left" w:leader="none"/>
        </w:tabs>
        <w:spacing w:line="283" w:lineRule="auto" w:before="26"/>
        <w:ind w:left="538" w:right="0" w:firstLine="0"/>
        <w:jc w:val="left"/>
        <w:rPr>
          <w:rFonts w:ascii="宋体" w:hAnsi="宋体" w:cs="宋体" w:eastAsia="宋体" w:hint="default"/>
          <w:sz w:val="24"/>
          <w:szCs w:val="24"/>
        </w:rPr>
      </w:pPr>
      <w:r>
        <w:rPr>
          <w:rFonts w:ascii="宋体" w:hAnsi="宋体" w:cs="宋体" w:eastAsia="宋体" w:hint="default"/>
          <w:b/>
          <w:bCs/>
          <w:sz w:val="24"/>
          <w:szCs w:val="24"/>
        </w:rPr>
        <w:t>61</w:t>
      </w:r>
      <w:r>
        <w:rPr>
          <w:rFonts w:ascii="宋体" w:hAnsi="宋体" w:cs="宋体" w:eastAsia="宋体" w:hint="default"/>
          <w:b/>
          <w:bCs/>
          <w:sz w:val="24"/>
          <w:szCs w:val="24"/>
        </w:rPr>
        <w:t>、</w:t>
      </w:r>
      <w:r>
        <w:rPr>
          <w:rFonts w:ascii="宋体" w:hAnsi="宋体" w:cs="宋体" w:eastAsia="宋体" w:hint="default"/>
          <w:b/>
          <w:bCs/>
          <w:spacing w:val="-101"/>
          <w:sz w:val="24"/>
          <w:szCs w:val="24"/>
        </w:rPr>
        <w:t> </w:t>
      </w:r>
      <w:r>
        <w:rPr>
          <w:rFonts w:ascii="宋体" w:hAnsi="宋体" w:cs="宋体" w:eastAsia="宋体" w:hint="default"/>
          <w:b/>
          <w:bCs/>
          <w:sz w:val="24"/>
          <w:szCs w:val="24"/>
        </w:rPr>
        <w:t>外币货币性项目</w:t>
      </w:r>
      <w:r>
        <w:rPr>
          <w:rFonts w:ascii="宋体" w:hAnsi="宋体" w:cs="宋体" w:eastAsia="宋体" w:hint="default"/>
          <w:b/>
          <w:bCs/>
          <w:w w:val="99"/>
          <w:sz w:val="24"/>
          <w:szCs w:val="24"/>
        </w:rPr>
        <w:t> </w:t>
      </w:r>
      <w:r>
        <w:rPr>
          <w:rFonts w:ascii="宋体" w:hAnsi="宋体" w:cs="宋体" w:eastAsia="宋体" w:hint="default"/>
          <w:b/>
          <w:bCs/>
          <w:sz w:val="24"/>
          <w:szCs w:val="24"/>
        </w:rPr>
        <w:t>(1).</w:t>
        <w:tab/>
      </w:r>
      <w:r>
        <w:rPr>
          <w:rFonts w:ascii="宋体" w:hAnsi="宋体" w:cs="宋体" w:eastAsia="宋体" w:hint="default"/>
          <w:b/>
          <w:bCs/>
          <w:sz w:val="21"/>
          <w:szCs w:val="21"/>
        </w:rPr>
        <w:t>外币货币性项目</w:t>
      </w:r>
      <w:r>
        <w:rPr>
          <w:rFonts w:ascii="宋体" w:hAnsi="宋体" w:cs="宋体" w:eastAsia="宋体" w:hint="default"/>
          <w:sz w:val="24"/>
          <w:szCs w:val="24"/>
        </w:rPr>
        <w:t>：</w:t>
      </w:r>
    </w:p>
    <w:p>
      <w:pPr>
        <w:pStyle w:val="BodyText"/>
        <w:spacing w:line="240" w:lineRule="auto" w:before="14"/>
        <w:ind w:left="538"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538" w:right="0"/>
        <w:jc w:val="left"/>
      </w:pPr>
      <w:r>
        <w:rPr/>
        <w:t>单位：元</w:t>
      </w:r>
    </w:p>
    <w:p>
      <w:pPr>
        <w:spacing w:after="0" w:line="240" w:lineRule="auto"/>
        <w:jc w:val="left"/>
        <w:sectPr>
          <w:type w:val="continuous"/>
          <w:pgSz w:w="11910" w:h="16840"/>
          <w:pgMar w:top="1000" w:bottom="280" w:left="1260" w:right="1040"/>
          <w:cols w:num="2" w:equalWidth="0">
            <w:col w:w="2958" w:space="4915"/>
            <w:col w:w="1737"/>
          </w:cols>
        </w:sectPr>
      </w:pPr>
    </w:p>
    <w:p>
      <w:pPr>
        <w:spacing w:line="240" w:lineRule="auto" w:before="10"/>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128"/>
        <w:gridCol w:w="2136"/>
        <w:gridCol w:w="1970"/>
        <w:gridCol w:w="2137"/>
      </w:tblGrid>
      <w:tr>
        <w:trPr>
          <w:trHeight w:val="634"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43" w:right="0"/>
              <w:jc w:val="left"/>
              <w:rPr>
                <w:rFonts w:ascii="宋体" w:hAnsi="宋体" w:cs="宋体" w:eastAsia="宋体" w:hint="default"/>
                <w:sz w:val="24"/>
                <w:szCs w:val="24"/>
              </w:rPr>
            </w:pPr>
            <w:r>
              <w:rPr>
                <w:rFonts w:ascii="宋体" w:hAnsi="宋体" w:cs="宋体" w:eastAsia="宋体" w:hint="default"/>
                <w:sz w:val="24"/>
                <w:szCs w:val="24"/>
              </w:rPr>
              <w:t>期末外币余额</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99" w:right="0"/>
              <w:jc w:val="left"/>
              <w:rPr>
                <w:rFonts w:ascii="宋体" w:hAnsi="宋体" w:cs="宋体" w:eastAsia="宋体" w:hint="default"/>
                <w:sz w:val="24"/>
                <w:szCs w:val="24"/>
              </w:rPr>
            </w:pPr>
            <w:r>
              <w:rPr>
                <w:rFonts w:ascii="宋体" w:hAnsi="宋体" w:cs="宋体" w:eastAsia="宋体" w:hint="default"/>
                <w:sz w:val="24"/>
                <w:szCs w:val="24"/>
              </w:rPr>
              <w:t>折算汇率</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期末折算人民币</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余额</w:t>
            </w:r>
          </w:p>
        </w:tc>
      </w:tr>
      <w:tr>
        <w:trPr>
          <w:trHeight w:val="322"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2136"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1,444,262,168.43</w:t>
            </w:r>
          </w:p>
        </w:tc>
      </w:tr>
      <w:tr>
        <w:trPr>
          <w:trHeight w:val="322"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其中：美元</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164,379,477.95</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6.5342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1,074,088,384.83</w:t>
            </w:r>
          </w:p>
        </w:tc>
      </w:tr>
      <w:tr>
        <w:trPr>
          <w:trHeight w:val="319"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港币</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442,834,851.18</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0.83591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370,173,783.60</w:t>
            </w:r>
          </w:p>
        </w:tc>
      </w:tr>
      <w:tr>
        <w:trPr>
          <w:trHeight w:val="322"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应付利息</w:t>
            </w:r>
          </w:p>
        </w:tc>
        <w:tc>
          <w:tcPr>
            <w:tcW w:w="2136"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101,510,235.89</w:t>
            </w:r>
          </w:p>
        </w:tc>
      </w:tr>
      <w:tr>
        <w:trPr>
          <w:trHeight w:val="322"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其中：美元</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14,095,890.41</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6.5342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92,105,367.12</w:t>
            </w:r>
          </w:p>
        </w:tc>
      </w:tr>
      <w:tr>
        <w:trPr>
          <w:trHeight w:val="322"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港币</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11,251,054.26</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0.83591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9,404,868.77</w:t>
            </w:r>
          </w:p>
        </w:tc>
      </w:tr>
      <w:tr>
        <w:trPr>
          <w:trHeight w:val="322"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2136"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6,530,045,090.10</w:t>
            </w:r>
          </w:p>
        </w:tc>
      </w:tr>
      <w:tr>
        <w:trPr>
          <w:trHeight w:val="322"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其中：美元</w:t>
            </w:r>
          </w:p>
        </w:tc>
        <w:tc>
          <w:tcPr>
            <w:tcW w:w="2136"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港币</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7,811,899,714.20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0.83591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6,530,045,090.10</w:t>
            </w:r>
          </w:p>
        </w:tc>
      </w:tr>
      <w:tr>
        <w:trPr>
          <w:trHeight w:val="319"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应付债券</w:t>
            </w:r>
          </w:p>
        </w:tc>
        <w:tc>
          <w:tcPr>
            <w:tcW w:w="2136"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4,533,082,669.02</w:t>
            </w:r>
          </w:p>
        </w:tc>
      </w:tr>
      <w:tr>
        <w:trPr>
          <w:trHeight w:val="322"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其中：美元</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693,747,156.35</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3"/>
              <w:jc w:val="right"/>
              <w:rPr>
                <w:rFonts w:ascii="宋体" w:hAnsi="宋体" w:cs="宋体" w:eastAsia="宋体" w:hint="default"/>
                <w:sz w:val="24"/>
                <w:szCs w:val="24"/>
              </w:rPr>
            </w:pPr>
            <w:r>
              <w:rPr>
                <w:rFonts w:ascii="宋体"/>
                <w:sz w:val="24"/>
              </w:rPr>
              <w:t>6.5342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4,533,082,669.02</w:t>
            </w:r>
          </w:p>
        </w:tc>
      </w:tr>
    </w:tbl>
    <w:p>
      <w:pPr>
        <w:spacing w:after="0" w:line="277" w:lineRule="exact"/>
        <w:jc w:val="right"/>
        <w:rPr>
          <w:rFonts w:ascii="宋体" w:hAnsi="宋体" w:cs="宋体" w:eastAsia="宋体" w:hint="default"/>
          <w:sz w:val="24"/>
          <w:szCs w:val="24"/>
        </w:rPr>
        <w:sectPr>
          <w:type w:val="continuous"/>
          <w:pgSz w:w="11910" w:h="16840"/>
          <w:pgMar w:top="1000" w:bottom="280" w:left="1260" w:right="1040"/>
        </w:sectPr>
      </w:pPr>
    </w:p>
    <w:p>
      <w:pPr>
        <w:spacing w:line="240" w:lineRule="auto" w:before="5"/>
        <w:rPr>
          <w:rFonts w:ascii="宋体" w:hAnsi="宋体" w:cs="宋体" w:eastAsia="宋体" w:hint="default"/>
          <w:sz w:val="25"/>
          <w:szCs w:val="25"/>
        </w:rPr>
      </w:pPr>
    </w:p>
    <w:p>
      <w:pPr>
        <w:pStyle w:val="Heading2"/>
        <w:tabs>
          <w:tab w:pos="1398" w:val="left" w:leader="none"/>
        </w:tabs>
        <w:spacing w:line="312" w:lineRule="exact" w:before="56"/>
        <w:ind w:left="1118" w:right="714" w:hanging="420"/>
        <w:jc w:val="left"/>
        <w:rPr>
          <w:b w:val="0"/>
          <w:bCs w:val="0"/>
        </w:rPr>
      </w:pPr>
      <w:r>
        <w:rPr>
          <w:rFonts w:ascii="宋体" w:hAnsi="宋体" w:cs="宋体" w:eastAsia="宋体" w:hint="default"/>
          <w:spacing w:val="1"/>
          <w:w w:val="99"/>
        </w:rPr>
        <w:t>(2).</w:t>
        <w:tab/>
      </w:r>
      <w:r>
        <w:rPr>
          <w:spacing w:val="-7"/>
          <w:w w:val="99"/>
          <w:sz w:val="21"/>
          <w:szCs w:val="21"/>
        </w:rPr>
        <w:t>境外</w:t>
      </w:r>
      <w:r>
        <w:rPr>
          <w:spacing w:val="-7"/>
          <w:w w:val="99"/>
        </w:rPr>
        <w:t>经营实体说明，包括对于重要的境外经营实体，应披露其境外主要经营地、</w:t>
      </w:r>
      <w:r>
        <w:rPr>
          <w:spacing w:val="-90"/>
          <w:w w:val="99"/>
        </w:rPr>
        <w:t> </w:t>
      </w:r>
      <w:r>
        <w:rPr>
          <w:spacing w:val="-90"/>
          <w:w w:val="99"/>
        </w:rPr>
      </w:r>
      <w:r>
        <w:rPr/>
        <w:t>记账本位币及选择依据，记账本位币发生变化的还应披露原因。</w:t>
      </w:r>
      <w:r>
        <w:rPr>
          <w:b w:val="0"/>
          <w:bCs w:val="0"/>
        </w:rPr>
      </w:r>
    </w:p>
    <w:p>
      <w:pPr>
        <w:pStyle w:val="BodyText"/>
        <w:spacing w:line="240" w:lineRule="auto" w:before="29"/>
        <w:ind w:left="698" w:right="714"/>
        <w:jc w:val="left"/>
      </w:pPr>
      <w:r>
        <w:rPr/>
        <w:t>√适用</w:t>
      </w:r>
      <w:r>
        <w:rPr>
          <w:spacing w:val="-1"/>
        </w:rPr>
        <w:t> </w:t>
      </w:r>
      <w:r>
        <w:rPr/>
        <w:t>□不适用</w:t>
      </w:r>
    </w:p>
    <w:p>
      <w:pPr>
        <w:spacing w:line="240" w:lineRule="auto" w:before="8"/>
        <w:rPr>
          <w:rFonts w:ascii="宋体" w:hAnsi="宋体" w:cs="宋体" w:eastAsia="宋体" w:hint="default"/>
          <w:sz w:val="26"/>
          <w:szCs w:val="26"/>
        </w:rPr>
      </w:pPr>
    </w:p>
    <w:tbl>
      <w:tblPr>
        <w:tblW w:w="0" w:type="auto"/>
        <w:jc w:val="left"/>
        <w:tblInd w:w="585" w:type="dxa"/>
        <w:tblLayout w:type="fixed"/>
        <w:tblCellMar>
          <w:top w:w="0" w:type="dxa"/>
          <w:left w:w="0" w:type="dxa"/>
          <w:bottom w:w="0" w:type="dxa"/>
          <w:right w:w="0" w:type="dxa"/>
        </w:tblCellMar>
        <w:tblLook w:val="01E0"/>
      </w:tblPr>
      <w:tblGrid>
        <w:gridCol w:w="3529"/>
        <w:gridCol w:w="1992"/>
        <w:gridCol w:w="1784"/>
        <w:gridCol w:w="1745"/>
      </w:tblGrid>
      <w:tr>
        <w:trPr>
          <w:trHeight w:val="41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919" w:right="0"/>
              <w:jc w:val="left"/>
              <w:rPr>
                <w:rFonts w:ascii="宋体" w:hAnsi="宋体" w:cs="宋体" w:eastAsia="宋体" w:hint="default"/>
                <w:sz w:val="24"/>
                <w:szCs w:val="24"/>
              </w:rPr>
            </w:pPr>
            <w:r>
              <w:rPr>
                <w:rFonts w:ascii="宋体" w:hAnsi="宋体" w:cs="宋体" w:eastAsia="宋体" w:hint="default"/>
                <w:sz w:val="24"/>
                <w:szCs w:val="24"/>
              </w:rPr>
              <w:t>境外子公司名称</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center"/>
              <w:rPr>
                <w:rFonts w:ascii="宋体" w:hAnsi="宋体" w:cs="宋体" w:eastAsia="宋体" w:hint="default"/>
                <w:sz w:val="24"/>
                <w:szCs w:val="24"/>
              </w:rPr>
            </w:pPr>
            <w:r>
              <w:rPr>
                <w:rFonts w:ascii="宋体" w:hAnsi="宋体" w:cs="宋体" w:eastAsia="宋体" w:hint="default"/>
                <w:sz w:val="24"/>
                <w:szCs w:val="24"/>
              </w:rPr>
              <w:t>注册地</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center"/>
              <w:rPr>
                <w:rFonts w:ascii="宋体" w:hAnsi="宋体" w:cs="宋体" w:eastAsia="宋体" w:hint="default"/>
                <w:sz w:val="24"/>
                <w:szCs w:val="24"/>
              </w:rPr>
            </w:pPr>
            <w:r>
              <w:rPr>
                <w:rFonts w:ascii="宋体" w:hAnsi="宋体" w:cs="宋体" w:eastAsia="宋体" w:hint="default"/>
                <w:sz w:val="24"/>
                <w:szCs w:val="24"/>
              </w:rPr>
              <w:t>记账本位币</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86" w:right="0"/>
              <w:jc w:val="left"/>
              <w:rPr>
                <w:rFonts w:ascii="宋体" w:hAnsi="宋体" w:cs="宋体" w:eastAsia="宋体" w:hint="default"/>
                <w:sz w:val="24"/>
                <w:szCs w:val="24"/>
              </w:rPr>
            </w:pPr>
            <w:r>
              <w:rPr>
                <w:rFonts w:ascii="宋体" w:hAnsi="宋体" w:cs="宋体" w:eastAsia="宋体" w:hint="default"/>
                <w:sz w:val="24"/>
                <w:szCs w:val="24"/>
              </w:rPr>
              <w:t>选择依据</w:t>
            </w:r>
          </w:p>
        </w:tc>
      </w:tr>
      <w:tr>
        <w:trPr>
          <w:trHeight w:val="41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sz w:val="24"/>
                <w:szCs w:val="24"/>
              </w:rPr>
              <w:t>香港新湖投资有限公司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center"/>
              <w:rPr>
                <w:rFonts w:ascii="宋体" w:hAnsi="宋体" w:cs="宋体" w:eastAsia="宋体" w:hint="default"/>
                <w:sz w:val="24"/>
                <w:szCs w:val="24"/>
              </w:rPr>
            </w:pPr>
            <w:r>
              <w:rPr>
                <w:rFonts w:ascii="宋体" w:hAnsi="宋体" w:cs="宋体" w:eastAsia="宋体" w:hint="default"/>
                <w:sz w:val="24"/>
                <w:szCs w:val="24"/>
              </w:rPr>
              <w:t>香港</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center"/>
              <w:rPr>
                <w:rFonts w:ascii="宋体" w:hAnsi="宋体" w:cs="宋体" w:eastAsia="宋体" w:hint="default"/>
                <w:sz w:val="24"/>
                <w:szCs w:val="24"/>
              </w:rPr>
            </w:pPr>
            <w:r>
              <w:rPr>
                <w:rFonts w:ascii="宋体" w:hAnsi="宋体" w:cs="宋体" w:eastAsia="宋体" w:hint="default"/>
                <w:sz w:val="24"/>
                <w:szCs w:val="24"/>
              </w:rPr>
              <w:t>美元</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7"/>
                <w:szCs w:val="27"/>
              </w:rPr>
            </w:pPr>
          </w:p>
          <w:p>
            <w:pPr>
              <w:pStyle w:val="TableParagraph"/>
              <w:spacing w:line="237" w:lineRule="auto"/>
              <w:ind w:left="146" w:right="146"/>
              <w:jc w:val="center"/>
              <w:rPr>
                <w:rFonts w:ascii="宋体" w:hAnsi="宋体" w:cs="宋体" w:eastAsia="宋体" w:hint="default"/>
                <w:sz w:val="24"/>
                <w:szCs w:val="24"/>
              </w:rPr>
            </w:pPr>
            <w:r>
              <w:rPr>
                <w:rFonts w:ascii="宋体" w:hAnsi="宋体" w:cs="宋体" w:eastAsia="宋体" w:hint="default"/>
                <w:sz w:val="24"/>
                <w:szCs w:val="24"/>
              </w:rPr>
              <w:t>以企业日常经 营活动中所使 用的货币综合 选择</w:t>
            </w:r>
          </w:p>
        </w:tc>
      </w:tr>
      <w:tr>
        <w:trPr>
          <w:trHeight w:val="410"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sz w:val="24"/>
                <w:szCs w:val="24"/>
              </w:rPr>
              <w:t>泰昌投资有限公司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center"/>
              <w:rPr>
                <w:rFonts w:ascii="宋体" w:hAnsi="宋体" w:cs="宋体" w:eastAsia="宋体" w:hint="default"/>
                <w:sz w:val="24"/>
                <w:szCs w:val="24"/>
              </w:rPr>
            </w:pPr>
            <w:r>
              <w:rPr>
                <w:rFonts w:ascii="宋体" w:hAnsi="宋体" w:cs="宋体" w:eastAsia="宋体" w:hint="default"/>
                <w:sz w:val="24"/>
                <w:szCs w:val="24"/>
              </w:rPr>
              <w:t>英属维尔京群岛</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center"/>
              <w:rPr>
                <w:rFonts w:ascii="宋体" w:hAnsi="宋体" w:cs="宋体" w:eastAsia="宋体" w:hint="default"/>
                <w:sz w:val="24"/>
                <w:szCs w:val="24"/>
              </w:rPr>
            </w:pPr>
            <w:r>
              <w:rPr>
                <w:rFonts w:ascii="宋体" w:hAnsi="宋体" w:cs="宋体" w:eastAsia="宋体" w:hint="default"/>
                <w:sz w:val="24"/>
                <w:szCs w:val="24"/>
              </w:rPr>
              <w:t>美元</w:t>
            </w:r>
          </w:p>
        </w:tc>
        <w:tc>
          <w:tcPr>
            <w:tcW w:w="1745" w:type="dxa"/>
            <w:vMerge/>
            <w:tcBorders>
              <w:left w:val="single" w:sz="4" w:space="0" w:color="000000"/>
              <w:right w:val="single" w:sz="4" w:space="0" w:color="000000"/>
            </w:tcBorders>
          </w:tcPr>
          <w:p>
            <w:pPr/>
          </w:p>
        </w:tc>
      </w:tr>
      <w:tr>
        <w:trPr>
          <w:trHeight w:val="41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sz w:val="24"/>
                <w:szCs w:val="24"/>
              </w:rPr>
              <w:t>香港冠盛投资有限公司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center"/>
              <w:rPr>
                <w:rFonts w:ascii="宋体" w:hAnsi="宋体" w:cs="宋体" w:eastAsia="宋体" w:hint="default"/>
                <w:sz w:val="24"/>
                <w:szCs w:val="24"/>
              </w:rPr>
            </w:pPr>
            <w:r>
              <w:rPr>
                <w:rFonts w:ascii="宋体" w:hAnsi="宋体" w:cs="宋体" w:eastAsia="宋体" w:hint="default"/>
                <w:sz w:val="24"/>
                <w:szCs w:val="24"/>
              </w:rPr>
              <w:t>香港</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center"/>
              <w:rPr>
                <w:rFonts w:ascii="宋体" w:hAnsi="宋体" w:cs="宋体" w:eastAsia="宋体" w:hint="default"/>
                <w:sz w:val="24"/>
                <w:szCs w:val="24"/>
              </w:rPr>
            </w:pPr>
            <w:r>
              <w:rPr>
                <w:rFonts w:ascii="宋体" w:hAnsi="宋体" w:cs="宋体" w:eastAsia="宋体" w:hint="default"/>
                <w:sz w:val="24"/>
                <w:szCs w:val="24"/>
              </w:rPr>
              <w:t>港元</w:t>
            </w:r>
          </w:p>
        </w:tc>
        <w:tc>
          <w:tcPr>
            <w:tcW w:w="1745" w:type="dxa"/>
            <w:vMerge/>
            <w:tcBorders>
              <w:left w:val="single" w:sz="4" w:space="0" w:color="000000"/>
              <w:right w:val="single" w:sz="4" w:space="0" w:color="000000"/>
            </w:tcBorders>
          </w:tcPr>
          <w:p>
            <w:pPr/>
          </w:p>
        </w:tc>
      </w:tr>
      <w:tr>
        <w:trPr>
          <w:trHeight w:val="41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sz w:val="24"/>
                <w:szCs w:val="24"/>
              </w:rPr>
              <w:t>冠宏投资有限公司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center"/>
              <w:rPr>
                <w:rFonts w:ascii="宋体" w:hAnsi="宋体" w:cs="宋体" w:eastAsia="宋体" w:hint="default"/>
                <w:sz w:val="24"/>
                <w:szCs w:val="24"/>
              </w:rPr>
            </w:pPr>
            <w:r>
              <w:rPr>
                <w:rFonts w:ascii="宋体" w:hAnsi="宋体" w:cs="宋体" w:eastAsia="宋体" w:hint="default"/>
                <w:sz w:val="24"/>
                <w:szCs w:val="24"/>
              </w:rPr>
              <w:t>开曼群岛</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center"/>
              <w:rPr>
                <w:rFonts w:ascii="宋体" w:hAnsi="宋体" w:cs="宋体" w:eastAsia="宋体" w:hint="default"/>
                <w:sz w:val="24"/>
                <w:szCs w:val="24"/>
              </w:rPr>
            </w:pPr>
            <w:r>
              <w:rPr>
                <w:rFonts w:ascii="宋体" w:hAnsi="宋体" w:cs="宋体" w:eastAsia="宋体" w:hint="default"/>
                <w:sz w:val="24"/>
                <w:szCs w:val="24"/>
              </w:rPr>
              <w:t>美元</w:t>
            </w:r>
          </w:p>
        </w:tc>
        <w:tc>
          <w:tcPr>
            <w:tcW w:w="1745" w:type="dxa"/>
            <w:vMerge/>
            <w:tcBorders>
              <w:left w:val="single" w:sz="4" w:space="0" w:color="000000"/>
              <w:right w:val="single" w:sz="4" w:space="0" w:color="000000"/>
            </w:tcBorders>
          </w:tcPr>
          <w:p>
            <w:pPr/>
          </w:p>
        </w:tc>
      </w:tr>
      <w:tr>
        <w:trPr>
          <w:trHeight w:val="410"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sz w:val="24"/>
                <w:szCs w:val="24"/>
              </w:rPr>
              <w:t>泰信控股有限公司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center"/>
              <w:rPr>
                <w:rFonts w:ascii="宋体" w:hAnsi="宋体" w:cs="宋体" w:eastAsia="宋体" w:hint="default"/>
                <w:sz w:val="24"/>
                <w:szCs w:val="24"/>
              </w:rPr>
            </w:pPr>
            <w:r>
              <w:rPr>
                <w:rFonts w:ascii="宋体" w:hAnsi="宋体" w:cs="宋体" w:eastAsia="宋体" w:hint="default"/>
                <w:sz w:val="24"/>
                <w:szCs w:val="24"/>
              </w:rPr>
              <w:t>开曼群岛</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center"/>
              <w:rPr>
                <w:rFonts w:ascii="宋体" w:hAnsi="宋体" w:cs="宋体" w:eastAsia="宋体" w:hint="default"/>
                <w:sz w:val="24"/>
                <w:szCs w:val="24"/>
              </w:rPr>
            </w:pPr>
            <w:r>
              <w:rPr>
                <w:rFonts w:ascii="宋体" w:hAnsi="宋体" w:cs="宋体" w:eastAsia="宋体" w:hint="default"/>
                <w:sz w:val="24"/>
                <w:szCs w:val="24"/>
              </w:rPr>
              <w:t>美元</w:t>
            </w:r>
          </w:p>
        </w:tc>
        <w:tc>
          <w:tcPr>
            <w:tcW w:w="1745" w:type="dxa"/>
            <w:vMerge/>
            <w:tcBorders>
              <w:left w:val="single" w:sz="4" w:space="0" w:color="000000"/>
              <w:right w:val="single" w:sz="4" w:space="0" w:color="000000"/>
            </w:tcBorders>
          </w:tcPr>
          <w:p>
            <w:pPr/>
          </w:p>
        </w:tc>
      </w:tr>
      <w:tr>
        <w:trPr>
          <w:trHeight w:val="41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sz w:val="24"/>
                <w:szCs w:val="24"/>
              </w:rPr>
              <w:t>泰融控股有限公司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center"/>
              <w:rPr>
                <w:rFonts w:ascii="宋体" w:hAnsi="宋体" w:cs="宋体" w:eastAsia="宋体" w:hint="default"/>
                <w:sz w:val="24"/>
                <w:szCs w:val="24"/>
              </w:rPr>
            </w:pPr>
            <w:r>
              <w:rPr>
                <w:rFonts w:ascii="宋体" w:hAnsi="宋体" w:cs="宋体" w:eastAsia="宋体" w:hint="default"/>
                <w:sz w:val="24"/>
                <w:szCs w:val="24"/>
              </w:rPr>
              <w:t>开曼群岛</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center"/>
              <w:rPr>
                <w:rFonts w:ascii="宋体" w:hAnsi="宋体" w:cs="宋体" w:eastAsia="宋体" w:hint="default"/>
                <w:sz w:val="24"/>
                <w:szCs w:val="24"/>
              </w:rPr>
            </w:pPr>
            <w:r>
              <w:rPr>
                <w:rFonts w:ascii="宋体" w:hAnsi="宋体" w:cs="宋体" w:eastAsia="宋体" w:hint="default"/>
                <w:sz w:val="24"/>
                <w:szCs w:val="24"/>
              </w:rPr>
              <w:t>美元</w:t>
            </w:r>
          </w:p>
        </w:tc>
        <w:tc>
          <w:tcPr>
            <w:tcW w:w="1745" w:type="dxa"/>
            <w:vMerge/>
            <w:tcBorders>
              <w:left w:val="single" w:sz="4" w:space="0" w:color="000000"/>
              <w:right w:val="single" w:sz="4" w:space="0" w:color="000000"/>
            </w:tcBorders>
          </w:tcPr>
          <w:p>
            <w:pPr/>
          </w:p>
        </w:tc>
      </w:tr>
      <w:tr>
        <w:trPr>
          <w:trHeight w:val="41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sz w:val="24"/>
                <w:szCs w:val="24"/>
              </w:rPr>
              <w:t>香港新澳投资有限公司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center"/>
              <w:rPr>
                <w:rFonts w:ascii="宋体" w:hAnsi="宋体" w:cs="宋体" w:eastAsia="宋体" w:hint="default"/>
                <w:sz w:val="24"/>
                <w:szCs w:val="24"/>
              </w:rPr>
            </w:pPr>
            <w:r>
              <w:rPr>
                <w:rFonts w:ascii="宋体" w:hAnsi="宋体" w:cs="宋体" w:eastAsia="宋体" w:hint="default"/>
                <w:sz w:val="24"/>
                <w:szCs w:val="24"/>
              </w:rPr>
              <w:t>香港</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center"/>
              <w:rPr>
                <w:rFonts w:ascii="宋体" w:hAnsi="宋体" w:cs="宋体" w:eastAsia="宋体" w:hint="default"/>
                <w:sz w:val="24"/>
                <w:szCs w:val="24"/>
              </w:rPr>
            </w:pPr>
            <w:r>
              <w:rPr>
                <w:rFonts w:ascii="宋体" w:hAnsi="宋体" w:cs="宋体" w:eastAsia="宋体" w:hint="default"/>
                <w:sz w:val="24"/>
                <w:szCs w:val="24"/>
              </w:rPr>
              <w:t>美元</w:t>
            </w:r>
          </w:p>
        </w:tc>
        <w:tc>
          <w:tcPr>
            <w:tcW w:w="1745" w:type="dxa"/>
            <w:vMerge/>
            <w:tcBorders>
              <w:left w:val="single" w:sz="4" w:space="0" w:color="000000"/>
              <w:right w:val="single" w:sz="4" w:space="0" w:color="000000"/>
            </w:tcBorders>
          </w:tcPr>
          <w:p>
            <w:pPr/>
          </w:p>
        </w:tc>
      </w:tr>
      <w:tr>
        <w:trPr>
          <w:trHeight w:val="410"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sz w:val="24"/>
                <w:szCs w:val="24"/>
              </w:rPr>
              <w:t>澳洲兴澳投资有限公司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center"/>
              <w:rPr>
                <w:rFonts w:ascii="宋体" w:hAnsi="宋体" w:cs="宋体" w:eastAsia="宋体" w:hint="default"/>
                <w:sz w:val="24"/>
                <w:szCs w:val="24"/>
              </w:rPr>
            </w:pPr>
            <w:r>
              <w:rPr>
                <w:rFonts w:ascii="宋体" w:hAnsi="宋体" w:cs="宋体" w:eastAsia="宋体" w:hint="default"/>
                <w:sz w:val="24"/>
                <w:szCs w:val="24"/>
              </w:rPr>
              <w:t>澳大利亚</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center"/>
              <w:rPr>
                <w:rFonts w:ascii="宋体" w:hAnsi="宋体" w:cs="宋体" w:eastAsia="宋体" w:hint="default"/>
                <w:sz w:val="24"/>
                <w:szCs w:val="24"/>
              </w:rPr>
            </w:pPr>
            <w:r>
              <w:rPr>
                <w:rFonts w:ascii="宋体" w:hAnsi="宋体" w:cs="宋体" w:eastAsia="宋体" w:hint="default"/>
                <w:sz w:val="24"/>
                <w:szCs w:val="24"/>
              </w:rPr>
              <w:t>美元</w:t>
            </w:r>
          </w:p>
        </w:tc>
        <w:tc>
          <w:tcPr>
            <w:tcW w:w="1745" w:type="dxa"/>
            <w:vMerge/>
            <w:tcBorders>
              <w:left w:val="single" w:sz="4" w:space="0" w:color="000000"/>
              <w:right w:val="single" w:sz="4" w:space="0" w:color="000000"/>
            </w:tcBorders>
          </w:tcPr>
          <w:p>
            <w:pPr/>
          </w:p>
        </w:tc>
      </w:tr>
      <w:tr>
        <w:trPr>
          <w:trHeight w:val="41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0"/>
                <w:szCs w:val="20"/>
              </w:rPr>
            </w:pPr>
            <w:r>
              <w:rPr>
                <w:rFonts w:ascii="宋体"/>
                <w:sz w:val="20"/>
              </w:rPr>
              <w:t>Xinhu</w:t>
            </w:r>
            <w:r>
              <w:rPr>
                <w:rFonts w:ascii="宋体"/>
                <w:spacing w:val="-50"/>
                <w:sz w:val="20"/>
              </w:rPr>
              <w:t> </w:t>
            </w:r>
            <w:r>
              <w:rPr>
                <w:rFonts w:ascii="宋体"/>
                <w:sz w:val="20"/>
              </w:rPr>
              <w:t>(BVI)</w:t>
            </w:r>
            <w:r>
              <w:rPr>
                <w:rFonts w:ascii="宋体"/>
                <w:spacing w:val="-52"/>
                <w:sz w:val="20"/>
              </w:rPr>
              <w:t> </w:t>
            </w:r>
            <w:r>
              <w:rPr>
                <w:rFonts w:ascii="宋体"/>
                <w:sz w:val="20"/>
              </w:rPr>
              <w:t>Holding</w:t>
            </w:r>
            <w:r>
              <w:rPr>
                <w:rFonts w:ascii="宋体"/>
                <w:spacing w:val="-50"/>
                <w:sz w:val="20"/>
              </w:rPr>
              <w:t> </w:t>
            </w:r>
            <w:r>
              <w:rPr>
                <w:rFonts w:ascii="宋体"/>
                <w:sz w:val="20"/>
              </w:rPr>
              <w:t>Company</w:t>
            </w:r>
            <w:r>
              <w:rPr>
                <w:rFonts w:ascii="宋体"/>
                <w:spacing w:val="-50"/>
                <w:sz w:val="20"/>
              </w:rPr>
              <w:t> </w:t>
            </w:r>
            <w:r>
              <w:rPr>
                <w:rFonts w:ascii="宋体"/>
                <w:sz w:val="20"/>
              </w:rPr>
              <w:t>Limited</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center"/>
              <w:rPr>
                <w:rFonts w:ascii="宋体" w:hAnsi="宋体" w:cs="宋体" w:eastAsia="宋体" w:hint="default"/>
                <w:sz w:val="24"/>
                <w:szCs w:val="24"/>
              </w:rPr>
            </w:pPr>
            <w:r>
              <w:rPr>
                <w:rFonts w:ascii="宋体" w:hAnsi="宋体" w:cs="宋体" w:eastAsia="宋体" w:hint="default"/>
                <w:sz w:val="24"/>
                <w:szCs w:val="24"/>
              </w:rPr>
              <w:t>英属维尔京群岛</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center"/>
              <w:rPr>
                <w:rFonts w:ascii="宋体" w:hAnsi="宋体" w:cs="宋体" w:eastAsia="宋体" w:hint="default"/>
                <w:sz w:val="24"/>
                <w:szCs w:val="24"/>
              </w:rPr>
            </w:pPr>
            <w:r>
              <w:rPr>
                <w:rFonts w:ascii="宋体" w:hAnsi="宋体" w:cs="宋体" w:eastAsia="宋体" w:hint="default"/>
                <w:sz w:val="24"/>
                <w:szCs w:val="24"/>
              </w:rPr>
              <w:t>美元</w:t>
            </w:r>
          </w:p>
        </w:tc>
        <w:tc>
          <w:tcPr>
            <w:tcW w:w="1745" w:type="dxa"/>
            <w:vMerge/>
            <w:tcBorders>
              <w:left w:val="single" w:sz="4" w:space="0" w:color="000000"/>
              <w:right w:val="single" w:sz="4" w:space="0" w:color="000000"/>
            </w:tcBorders>
          </w:tcPr>
          <w:p>
            <w:pPr/>
          </w:p>
        </w:tc>
      </w:tr>
      <w:tr>
        <w:trPr>
          <w:trHeight w:val="52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sz w:val="20"/>
              </w:rPr>
              <w:t>Xinhu (Oversea)2017</w:t>
            </w:r>
            <w:r>
              <w:rPr>
                <w:rFonts w:ascii="宋体"/>
                <w:spacing w:val="-11"/>
                <w:sz w:val="20"/>
              </w:rPr>
              <w:t> </w:t>
            </w:r>
            <w:r>
              <w:rPr>
                <w:rFonts w:ascii="宋体"/>
                <w:sz w:val="20"/>
              </w:rPr>
              <w:t>Investment</w:t>
            </w:r>
          </w:p>
          <w:p>
            <w:pPr>
              <w:pStyle w:val="TableParagraph"/>
              <w:spacing w:line="260" w:lineRule="exact"/>
              <w:ind w:left="103" w:right="0"/>
              <w:jc w:val="left"/>
              <w:rPr>
                <w:rFonts w:ascii="宋体" w:hAnsi="宋体" w:cs="宋体" w:eastAsia="宋体" w:hint="default"/>
                <w:sz w:val="20"/>
                <w:szCs w:val="20"/>
              </w:rPr>
            </w:pPr>
            <w:r>
              <w:rPr>
                <w:rFonts w:ascii="宋体"/>
                <w:sz w:val="20"/>
              </w:rPr>
              <w:t>Co.,Ltd</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center"/>
              <w:rPr>
                <w:rFonts w:ascii="宋体" w:hAnsi="宋体" w:cs="宋体" w:eastAsia="宋体" w:hint="default"/>
                <w:sz w:val="24"/>
                <w:szCs w:val="24"/>
              </w:rPr>
            </w:pPr>
            <w:r>
              <w:rPr>
                <w:rFonts w:ascii="宋体" w:hAnsi="宋体" w:cs="宋体" w:eastAsia="宋体" w:hint="default"/>
                <w:sz w:val="24"/>
                <w:szCs w:val="24"/>
              </w:rPr>
              <w:t>英属维尔京群岛</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24"/>
                <w:szCs w:val="24"/>
              </w:rPr>
            </w:pPr>
            <w:r>
              <w:rPr>
                <w:rFonts w:ascii="宋体" w:hAnsi="宋体" w:cs="宋体" w:eastAsia="宋体" w:hint="default"/>
                <w:sz w:val="24"/>
                <w:szCs w:val="24"/>
              </w:rPr>
              <w:t>美元</w:t>
            </w:r>
          </w:p>
        </w:tc>
        <w:tc>
          <w:tcPr>
            <w:tcW w:w="1745" w:type="dxa"/>
            <w:vMerge/>
            <w:tcBorders>
              <w:left w:val="single" w:sz="4" w:space="0" w:color="000000"/>
              <w:right w:val="single" w:sz="4" w:space="0" w:color="000000"/>
            </w:tcBorders>
          </w:tcPr>
          <w:p>
            <w:pPr/>
          </w:p>
        </w:tc>
      </w:tr>
      <w:tr>
        <w:trPr>
          <w:trHeight w:val="550"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20"/>
                <w:szCs w:val="20"/>
              </w:rPr>
            </w:pPr>
            <w:r>
              <w:rPr>
                <w:rFonts w:ascii="宋体"/>
                <w:sz w:val="20"/>
              </w:rPr>
              <w:t>Total Partner Global</w:t>
            </w:r>
            <w:r>
              <w:rPr>
                <w:rFonts w:ascii="宋体"/>
                <w:spacing w:val="-9"/>
                <w:sz w:val="20"/>
              </w:rPr>
              <w:t> </w:t>
            </w:r>
            <w:r>
              <w:rPr>
                <w:rFonts w:ascii="宋体"/>
                <w:sz w:val="20"/>
              </w:rPr>
              <w:t>Limited</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
              <w:jc w:val="center"/>
              <w:rPr>
                <w:rFonts w:ascii="宋体" w:hAnsi="宋体" w:cs="宋体" w:eastAsia="宋体" w:hint="default"/>
                <w:sz w:val="24"/>
                <w:szCs w:val="24"/>
              </w:rPr>
            </w:pPr>
            <w:r>
              <w:rPr>
                <w:rFonts w:ascii="宋体" w:hAnsi="宋体" w:cs="宋体" w:eastAsia="宋体" w:hint="default"/>
                <w:sz w:val="24"/>
                <w:szCs w:val="24"/>
              </w:rPr>
              <w:t>英属维尔京群岛</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
              <w:jc w:val="center"/>
              <w:rPr>
                <w:rFonts w:ascii="宋体" w:hAnsi="宋体" w:cs="宋体" w:eastAsia="宋体" w:hint="default"/>
                <w:sz w:val="24"/>
                <w:szCs w:val="24"/>
              </w:rPr>
            </w:pPr>
            <w:r>
              <w:rPr>
                <w:rFonts w:ascii="宋体" w:hAnsi="宋体" w:cs="宋体" w:eastAsia="宋体" w:hint="default"/>
                <w:sz w:val="24"/>
                <w:szCs w:val="24"/>
              </w:rPr>
              <w:t>港元</w:t>
            </w:r>
          </w:p>
        </w:tc>
        <w:tc>
          <w:tcPr>
            <w:tcW w:w="1745" w:type="dxa"/>
            <w:vMerge/>
            <w:tcBorders>
              <w:left w:val="single" w:sz="4" w:space="0" w:color="000000"/>
              <w:right w:val="single" w:sz="4" w:space="0" w:color="000000"/>
            </w:tcBorders>
          </w:tcPr>
          <w:p>
            <w:pPr/>
          </w:p>
        </w:tc>
      </w:tr>
      <w:tr>
        <w:trPr>
          <w:trHeight w:val="41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0"/>
                <w:szCs w:val="20"/>
              </w:rPr>
            </w:pPr>
            <w:r>
              <w:rPr>
                <w:rFonts w:ascii="宋体"/>
                <w:sz w:val="20"/>
              </w:rPr>
              <w:t>Summit Idea</w:t>
            </w:r>
            <w:r>
              <w:rPr>
                <w:rFonts w:ascii="宋体"/>
                <w:spacing w:val="-5"/>
                <w:sz w:val="20"/>
              </w:rPr>
              <w:t> </w:t>
            </w:r>
            <w:r>
              <w:rPr>
                <w:rFonts w:ascii="宋体"/>
                <w:sz w:val="20"/>
              </w:rPr>
              <w:t>Limited</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center"/>
              <w:rPr>
                <w:rFonts w:ascii="宋体" w:hAnsi="宋体" w:cs="宋体" w:eastAsia="宋体" w:hint="default"/>
                <w:sz w:val="24"/>
                <w:szCs w:val="24"/>
              </w:rPr>
            </w:pPr>
            <w:r>
              <w:rPr>
                <w:rFonts w:ascii="宋体" w:hAnsi="宋体" w:cs="宋体" w:eastAsia="宋体" w:hint="default"/>
                <w:sz w:val="24"/>
                <w:szCs w:val="24"/>
              </w:rPr>
              <w:t>英属维尔京群岛</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center"/>
              <w:rPr>
                <w:rFonts w:ascii="宋体" w:hAnsi="宋体" w:cs="宋体" w:eastAsia="宋体" w:hint="default"/>
                <w:sz w:val="24"/>
                <w:szCs w:val="24"/>
              </w:rPr>
            </w:pPr>
            <w:r>
              <w:rPr>
                <w:rFonts w:ascii="宋体" w:hAnsi="宋体" w:cs="宋体" w:eastAsia="宋体" w:hint="default"/>
                <w:sz w:val="24"/>
                <w:szCs w:val="24"/>
              </w:rPr>
              <w:t>港元</w:t>
            </w:r>
          </w:p>
        </w:tc>
        <w:tc>
          <w:tcPr>
            <w:tcW w:w="1745"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2"/>
        <w:spacing w:line="240" w:lineRule="auto"/>
        <w:ind w:left="698" w:right="714"/>
        <w:jc w:val="left"/>
        <w:rPr>
          <w:b w:val="0"/>
          <w:bCs w:val="0"/>
        </w:rPr>
      </w:pPr>
      <w:r>
        <w:rPr>
          <w:rFonts w:ascii="宋体" w:hAnsi="宋体" w:cs="宋体" w:eastAsia="宋体" w:hint="default"/>
        </w:rPr>
        <w:t>62</w:t>
      </w:r>
      <w:r>
        <w:rPr/>
        <w:t>、</w:t>
      </w:r>
      <w:r>
        <w:rPr>
          <w:spacing w:val="-100"/>
        </w:rPr>
        <w:t> </w:t>
      </w:r>
      <w:r>
        <w:rPr/>
        <w:t>政府补助</w:t>
      </w:r>
      <w:r>
        <w:rPr>
          <w:b w:val="0"/>
          <w:bCs w:val="0"/>
        </w:rPr>
      </w:r>
    </w:p>
    <w:p>
      <w:pPr>
        <w:pStyle w:val="BodyText"/>
        <w:spacing w:line="312" w:lineRule="exact" w:before="86"/>
        <w:ind w:left="818" w:right="6648" w:hanging="120"/>
        <w:jc w:val="left"/>
      </w:pPr>
      <w:r>
        <w:rPr/>
        <w:t>（</w:t>
      </w:r>
      <w:r>
        <w:rPr>
          <w:rFonts w:ascii="宋体" w:hAnsi="宋体" w:cs="宋体" w:eastAsia="宋体" w:hint="default"/>
        </w:rPr>
        <w:t>1</w:t>
      </w:r>
      <w:r>
        <w:rPr/>
        <w:t>）明细情况 </w:t>
      </w:r>
      <w:r>
        <w:rPr>
          <w:rFonts w:ascii="宋体" w:hAnsi="宋体" w:cs="宋体" w:eastAsia="宋体" w:hint="default"/>
        </w:rPr>
        <w:t>1</w:t>
      </w:r>
      <w:r>
        <w:rPr/>
        <w:t>）与资产相关的政府补助</w:t>
      </w:r>
    </w:p>
    <w:tbl>
      <w:tblPr>
        <w:tblW w:w="0" w:type="auto"/>
        <w:jc w:val="left"/>
        <w:tblInd w:w="100" w:type="dxa"/>
        <w:tblLayout w:type="fixed"/>
        <w:tblCellMar>
          <w:top w:w="0" w:type="dxa"/>
          <w:left w:w="0" w:type="dxa"/>
          <w:bottom w:w="0" w:type="dxa"/>
          <w:right w:w="0" w:type="dxa"/>
        </w:tblCellMar>
        <w:tblLook w:val="01E0"/>
      </w:tblPr>
      <w:tblGrid>
        <w:gridCol w:w="1877"/>
        <w:gridCol w:w="1546"/>
        <w:gridCol w:w="1488"/>
        <w:gridCol w:w="1188"/>
        <w:gridCol w:w="1546"/>
        <w:gridCol w:w="1594"/>
        <w:gridCol w:w="780"/>
      </w:tblGrid>
      <w:tr>
        <w:trPr>
          <w:trHeight w:val="554"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8"/>
              <w:jc w:val="right"/>
              <w:rPr>
                <w:rFonts w:ascii="宋体" w:hAnsi="宋体" w:cs="宋体" w:eastAsia="宋体" w:hint="default"/>
                <w:sz w:val="21"/>
                <w:szCs w:val="21"/>
              </w:rPr>
            </w:pPr>
            <w:r>
              <w:rPr>
                <w:rFonts w:ascii="宋体" w:hAnsi="宋体" w:cs="宋体" w:eastAsia="宋体" w:hint="default"/>
                <w:spacing w:val="-1"/>
                <w:sz w:val="21"/>
                <w:szCs w:val="21"/>
              </w:rPr>
              <w:t>本期新增补助</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6"/>
              <w:jc w:val="right"/>
              <w:rPr>
                <w:rFonts w:ascii="宋体" w:hAnsi="宋体" w:cs="宋体" w:eastAsia="宋体" w:hint="default"/>
                <w:sz w:val="21"/>
                <w:szCs w:val="21"/>
              </w:rPr>
            </w:pPr>
            <w:r>
              <w:rPr>
                <w:rFonts w:ascii="宋体" w:hAnsi="宋体" w:cs="宋体" w:eastAsia="宋体" w:hint="default"/>
                <w:spacing w:val="-1"/>
                <w:sz w:val="21"/>
                <w:szCs w:val="21"/>
              </w:rPr>
              <w:t>本期摊销</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72" w:right="0"/>
              <w:jc w:val="left"/>
              <w:rPr>
                <w:rFonts w:ascii="宋体" w:hAnsi="宋体" w:cs="宋体" w:eastAsia="宋体" w:hint="default"/>
                <w:sz w:val="21"/>
                <w:szCs w:val="21"/>
              </w:rPr>
            </w:pPr>
            <w:r>
              <w:rPr>
                <w:rFonts w:ascii="宋体" w:hAnsi="宋体" w:cs="宋体" w:eastAsia="宋体" w:hint="default"/>
                <w:sz w:val="21"/>
                <w:szCs w:val="21"/>
              </w:rPr>
              <w:t>本期摊销</w:t>
            </w:r>
          </w:p>
          <w:p>
            <w:pPr>
              <w:pStyle w:val="TableParagraph"/>
              <w:spacing w:line="273" w:lineRule="exact"/>
              <w:ind w:left="372"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2"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418"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土地整理补偿</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28,950,666.67</w:t>
            </w:r>
          </w:p>
        </w:tc>
        <w:tc>
          <w:tcPr>
            <w:tcW w:w="14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28,950,666.67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2.05MWp</w:t>
            </w:r>
            <w:r>
              <w:rPr>
                <w:rFonts w:ascii="宋体" w:hAnsi="宋体" w:cs="宋体" w:eastAsia="宋体" w:hint="default"/>
                <w:spacing w:val="-53"/>
                <w:sz w:val="21"/>
                <w:szCs w:val="21"/>
              </w:rPr>
              <w:t> </w:t>
            </w:r>
            <w:r>
              <w:rPr>
                <w:rFonts w:ascii="宋体" w:hAnsi="宋体" w:cs="宋体" w:eastAsia="宋体" w:hint="default"/>
                <w:sz w:val="21"/>
                <w:szCs w:val="21"/>
              </w:rPr>
              <w:t>光伏发电</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7,900,000.00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7,900,000.00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杭州·白沙坞桥梁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建造补助</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690,000.00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690,000.00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平阳县西湾围垦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工程省补助资金</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6,000,000.00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1,000,000.00</w:t>
            </w:r>
          </w:p>
        </w:tc>
        <w:tc>
          <w:tcPr>
            <w:tcW w:w="1188"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7,000,000.00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契税返还</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 w:right="99"/>
              <w:jc w:val="right"/>
              <w:rPr>
                <w:rFonts w:ascii="宋体" w:hAnsi="宋体" w:cs="宋体" w:eastAsia="宋体" w:hint="default"/>
                <w:sz w:val="21"/>
                <w:szCs w:val="21"/>
              </w:rPr>
            </w:pPr>
            <w:r>
              <w:rPr>
                <w:rFonts w:ascii="宋体"/>
                <w:spacing w:val="-1"/>
                <w:sz w:val="21"/>
              </w:rPr>
              <w:t>182,286,405.00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36,574,800.00</w:t>
            </w:r>
          </w:p>
        </w:tc>
        <w:tc>
          <w:tcPr>
            <w:tcW w:w="1188"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 w:right="98"/>
              <w:jc w:val="right"/>
              <w:rPr>
                <w:rFonts w:ascii="宋体" w:hAnsi="宋体" w:cs="宋体" w:eastAsia="宋体" w:hint="default"/>
                <w:sz w:val="21"/>
                <w:szCs w:val="21"/>
              </w:rPr>
            </w:pPr>
            <w:r>
              <w:rPr>
                <w:rFonts w:ascii="宋体"/>
                <w:spacing w:val="-1"/>
                <w:sz w:val="21"/>
              </w:rPr>
              <w:t>218,861,205.00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城新线墨城段修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复工程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295,000.00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295,000.00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教育建设补助</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1,043,980.87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720,000.00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206,616.60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1,557,364.27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72"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tabs>
                <w:tab w:pos="737" w:val="left" w:leader="none"/>
              </w:tabs>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 w:right="99"/>
              <w:jc w:val="right"/>
              <w:rPr>
                <w:rFonts w:ascii="宋体" w:hAnsi="宋体" w:cs="宋体" w:eastAsia="宋体" w:hint="default"/>
                <w:sz w:val="21"/>
                <w:szCs w:val="21"/>
              </w:rPr>
            </w:pPr>
            <w:r>
              <w:rPr>
                <w:rFonts w:ascii="宋体"/>
                <w:spacing w:val="-1"/>
                <w:sz w:val="21"/>
              </w:rPr>
              <w:t>227,166,052.54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38,294,800.00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206,616.60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 w:right="98"/>
              <w:jc w:val="right"/>
              <w:rPr>
                <w:rFonts w:ascii="宋体" w:hAnsi="宋体" w:cs="宋体" w:eastAsia="宋体" w:hint="default"/>
                <w:sz w:val="21"/>
                <w:szCs w:val="21"/>
              </w:rPr>
            </w:pPr>
            <w:r>
              <w:rPr>
                <w:rFonts w:ascii="宋体"/>
                <w:spacing w:val="-1"/>
                <w:sz w:val="21"/>
              </w:rPr>
              <w:t>265,254,235.94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9"/>
          <w:szCs w:val="19"/>
        </w:rPr>
      </w:pPr>
    </w:p>
    <w:p>
      <w:pPr>
        <w:pStyle w:val="BodyText"/>
        <w:spacing w:line="240" w:lineRule="auto" w:before="26"/>
        <w:ind w:left="818" w:right="714"/>
        <w:jc w:val="left"/>
      </w:pPr>
      <w:r>
        <w:rPr>
          <w:rFonts w:ascii="宋体" w:hAnsi="宋体" w:cs="宋体" w:eastAsia="宋体" w:hint="default"/>
        </w:rPr>
        <w:t>2</w:t>
      </w:r>
      <w:r>
        <w:rPr/>
        <w:t>）与收益相关，且用于补偿公司已发生的相关成本费用或损失的政府补助</w:t>
      </w:r>
    </w:p>
    <w:p>
      <w:pPr>
        <w:spacing w:after="0" w:line="240" w:lineRule="auto"/>
        <w:jc w:val="left"/>
        <w:sectPr>
          <w:pgSz w:w="11910" w:h="16840"/>
          <w:pgMar w:header="0" w:footer="1195" w:top="1120" w:bottom="1380" w:left="1100" w:right="5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889" w:type="dxa"/>
        <w:tblLayout w:type="fixed"/>
        <w:tblCellMar>
          <w:top w:w="0" w:type="dxa"/>
          <w:left w:w="0" w:type="dxa"/>
          <w:bottom w:w="0" w:type="dxa"/>
          <w:right w:w="0" w:type="dxa"/>
        </w:tblCellMar>
        <w:tblLook w:val="01E0"/>
      </w:tblPr>
      <w:tblGrid>
        <w:gridCol w:w="3164"/>
        <w:gridCol w:w="2256"/>
        <w:gridCol w:w="2110"/>
        <w:gridCol w:w="1351"/>
      </w:tblGrid>
      <w:tr>
        <w:trPr>
          <w:trHeight w:val="478"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tabs>
                <w:tab w:pos="823" w:val="left" w:leader="none"/>
              </w:tabs>
              <w:spacing w:line="277" w:lineRule="exact"/>
              <w:ind w:left="343" w:right="0"/>
              <w:jc w:val="left"/>
              <w:rPr>
                <w:rFonts w:ascii="宋体" w:hAnsi="宋体" w:cs="宋体" w:eastAsia="宋体" w:hint="default"/>
                <w:sz w:val="24"/>
                <w:szCs w:val="24"/>
              </w:rPr>
            </w:pPr>
            <w:r>
              <w:rPr>
                <w:rFonts w:ascii="宋体" w:hAnsi="宋体" w:cs="宋体" w:eastAsia="宋体" w:hint="default"/>
                <w:sz w:val="24"/>
                <w:szCs w:val="24"/>
              </w:rPr>
              <w:t>项</w:t>
              <w:tab/>
              <w:t>目</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3"/>
              <w:jc w:val="center"/>
              <w:rPr>
                <w:rFonts w:ascii="宋体" w:hAnsi="宋体" w:cs="宋体" w:eastAsia="宋体" w:hint="default"/>
                <w:sz w:val="24"/>
                <w:szCs w:val="24"/>
              </w:rPr>
            </w:pPr>
            <w:r>
              <w:rPr>
                <w:rFonts w:ascii="宋体" w:hAnsi="宋体" w:cs="宋体" w:eastAsia="宋体" w:hint="default"/>
                <w:sz w:val="24"/>
                <w:szCs w:val="24"/>
              </w:rPr>
              <w:t>金额</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
              <w:jc w:val="center"/>
              <w:rPr>
                <w:rFonts w:ascii="宋体" w:hAnsi="宋体" w:cs="宋体" w:eastAsia="宋体" w:hint="default"/>
                <w:sz w:val="24"/>
                <w:szCs w:val="24"/>
              </w:rPr>
            </w:pPr>
            <w:r>
              <w:rPr>
                <w:rFonts w:ascii="宋体" w:hAnsi="宋体" w:cs="宋体" w:eastAsia="宋体" w:hint="default"/>
                <w:sz w:val="24"/>
                <w:szCs w:val="24"/>
              </w:rPr>
              <w:t>列报项目</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429" w:right="0"/>
              <w:jc w:val="left"/>
              <w:rPr>
                <w:rFonts w:ascii="宋体" w:hAnsi="宋体" w:cs="宋体" w:eastAsia="宋体" w:hint="default"/>
                <w:sz w:val="24"/>
                <w:szCs w:val="24"/>
              </w:rPr>
            </w:pPr>
            <w:r>
              <w:rPr>
                <w:rFonts w:ascii="宋体" w:hAnsi="宋体" w:cs="宋体" w:eastAsia="宋体" w:hint="default"/>
                <w:sz w:val="24"/>
                <w:szCs w:val="24"/>
              </w:rPr>
              <w:t>说明</w:t>
            </w:r>
          </w:p>
        </w:tc>
      </w:tr>
      <w:tr>
        <w:trPr>
          <w:trHeight w:val="478"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4,086,573.23</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其他收益</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政府奖励</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420,000.00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其他收益</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职工职业培训补贴</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1,637,280.00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其他收益</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教育补助</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987,410.00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其他收益</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46,000.00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其他收益</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tabs>
                <w:tab w:pos="823" w:val="left" w:leader="none"/>
              </w:tabs>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小</w:t>
              <w:tab/>
              <w:t>计</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7,177,263.23</w:t>
            </w:r>
          </w:p>
        </w:tc>
        <w:tc>
          <w:tcPr>
            <w:tcW w:w="211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BodyText"/>
        <w:spacing w:line="240" w:lineRule="auto" w:before="26"/>
        <w:ind w:left="918" w:right="0"/>
        <w:jc w:val="left"/>
      </w:pPr>
      <w:r>
        <w:rPr>
          <w:rFonts w:ascii="宋体" w:hAnsi="宋体" w:cs="宋体" w:eastAsia="宋体" w:hint="default"/>
        </w:rPr>
        <w:t>(2)</w:t>
      </w:r>
      <w:r>
        <w:rPr>
          <w:rFonts w:ascii="宋体" w:hAnsi="宋体" w:cs="宋体" w:eastAsia="宋体" w:hint="default"/>
          <w:spacing w:val="-1"/>
        </w:rPr>
        <w:t> </w:t>
      </w:r>
      <w:r>
        <w:rPr/>
        <w:t>本期计入当期损益的政府补助金额为</w:t>
      </w:r>
      <w:r>
        <w:rPr>
          <w:spacing w:val="-60"/>
        </w:rPr>
        <w:t> </w:t>
      </w:r>
      <w:r>
        <w:rPr>
          <w:rFonts w:ascii="宋体" w:hAnsi="宋体" w:cs="宋体" w:eastAsia="宋体" w:hint="default"/>
        </w:rPr>
        <w:t>7,383,879.83</w:t>
      </w:r>
      <w:r>
        <w:rPr>
          <w:rFonts w:ascii="宋体" w:hAnsi="宋体" w:cs="宋体" w:eastAsia="宋体" w:hint="default"/>
          <w:spacing w:val="-60"/>
        </w:rPr>
        <w:t> </w:t>
      </w:r>
      <w:r>
        <w:rPr/>
        <w:t>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240" w:lineRule="auto" w:before="207"/>
        <w:ind w:left="918" w:right="0"/>
        <w:jc w:val="left"/>
        <w:rPr>
          <w:b w:val="0"/>
          <w:bCs w:val="0"/>
        </w:rPr>
      </w:pPr>
      <w:r>
        <w:rPr>
          <w:rFonts w:ascii="宋体" w:hAnsi="宋体" w:cs="宋体" w:eastAsia="宋体" w:hint="default"/>
        </w:rPr>
        <w:t>63</w:t>
      </w:r>
      <w:r>
        <w:rPr/>
        <w:t>、</w:t>
      </w:r>
      <w:r>
        <w:rPr>
          <w:spacing w:val="-100"/>
        </w:rPr>
        <w:t> </w:t>
      </w:r>
      <w:r>
        <w:rPr/>
        <w:t>其他</w:t>
      </w:r>
      <w:r>
        <w:rPr>
          <w:b w:val="0"/>
          <w:bCs w:val="0"/>
        </w:rPr>
      </w:r>
    </w:p>
    <w:p>
      <w:pPr>
        <w:pStyle w:val="BodyText"/>
        <w:spacing w:line="240" w:lineRule="auto" w:before="58"/>
        <w:ind w:left="918" w:right="0"/>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5" w:top="1120" w:bottom="1380" w:left="880" w:right="340"/>
        </w:sectPr>
      </w:pPr>
    </w:p>
    <w:p>
      <w:pPr>
        <w:pStyle w:val="Heading2"/>
        <w:tabs>
          <w:tab w:pos="1757" w:val="left" w:leader="none"/>
        </w:tabs>
        <w:spacing w:line="283" w:lineRule="auto"/>
        <w:ind w:left="918" w:right="990"/>
        <w:jc w:val="left"/>
        <w:rPr>
          <w:b w:val="0"/>
          <w:bCs w:val="0"/>
        </w:rPr>
      </w:pPr>
      <w:r>
        <w:rPr/>
        <w:t>八、</w:t>
        <w:tab/>
        <w:t>合并范围的变更</w:t>
      </w:r>
      <w:r>
        <w:rPr>
          <w:w w:val="99"/>
        </w:rPr>
        <w:t> </w:t>
      </w:r>
      <w:r>
        <w:rPr>
          <w:rFonts w:ascii="宋体" w:hAnsi="宋体" w:cs="宋体" w:eastAsia="宋体" w:hint="default"/>
        </w:rPr>
        <w:t>1</w:t>
      </w:r>
      <w:r>
        <w:rPr/>
        <w:t>、</w:t>
      </w:r>
      <w:r>
        <w:rPr>
          <w:spacing w:val="-66"/>
        </w:rPr>
        <w:t> </w:t>
      </w:r>
      <w:r>
        <w:rPr/>
        <w:t>非同一控制下企业合并</w:t>
      </w:r>
      <w:r>
        <w:rPr>
          <w:b w:val="0"/>
          <w:bCs w:val="0"/>
        </w:rPr>
      </w:r>
    </w:p>
    <w:p>
      <w:pPr>
        <w:pStyle w:val="BodyText"/>
        <w:spacing w:line="240" w:lineRule="auto" w:before="15"/>
        <w:ind w:left="918" w:right="990"/>
        <w:jc w:val="left"/>
      </w:pPr>
      <w:r>
        <w:rPr/>
        <w:t>√适用</w:t>
      </w:r>
      <w:r>
        <w:rPr>
          <w:spacing w:val="-1"/>
        </w:rPr>
        <w:t> </w:t>
      </w:r>
      <w:r>
        <w:rPr/>
        <w:t>□不适用</w:t>
      </w:r>
    </w:p>
    <w:p>
      <w:pPr>
        <w:tabs>
          <w:tab w:pos="1575" w:val="left" w:leader="none"/>
        </w:tabs>
        <w:spacing w:before="61"/>
        <w:ind w:left="918" w:right="-4"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pacing w:val="-1"/>
          <w:sz w:val="21"/>
          <w:szCs w:val="21"/>
        </w:rPr>
        <w:t>本期发生的非同一控制下企业合并</w:t>
      </w:r>
      <w:r>
        <w:rPr>
          <w:rFonts w:ascii="宋体" w:hAnsi="宋体" w:cs="宋体" w:eastAsia="宋体" w:hint="default"/>
          <w:spacing w:val="-1"/>
          <w:sz w:val="21"/>
          <w:szCs w:val="21"/>
        </w:rPr>
      </w:r>
    </w:p>
    <w:p>
      <w:pPr>
        <w:pStyle w:val="BodyText"/>
        <w:spacing w:line="240" w:lineRule="auto" w:before="52"/>
        <w:ind w:left="918" w:right="99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2118" w:val="left" w:leader="none"/>
        </w:tabs>
        <w:spacing w:line="240" w:lineRule="auto" w:before="213"/>
        <w:ind w:left="918" w:right="0"/>
        <w:jc w:val="left"/>
      </w:pPr>
      <w:r>
        <w:rPr/>
        <w:t>单位：元</w:t>
        <w:tab/>
        <w:t>币种：人民币</w:t>
      </w:r>
    </w:p>
    <w:p>
      <w:pPr>
        <w:spacing w:after="0" w:line="240" w:lineRule="auto"/>
        <w:jc w:val="left"/>
        <w:sectPr>
          <w:type w:val="continuous"/>
          <w:pgSz w:w="11910" w:h="16840"/>
          <w:pgMar w:top="1000" w:bottom="280" w:left="880" w:right="340"/>
          <w:cols w:num="2" w:equalWidth="0">
            <w:col w:w="4739" w:space="1453"/>
            <w:col w:w="4498"/>
          </w:cols>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41"/>
        <w:gridCol w:w="1176"/>
        <w:gridCol w:w="1417"/>
        <w:gridCol w:w="816"/>
        <w:gridCol w:w="456"/>
        <w:gridCol w:w="1195"/>
        <w:gridCol w:w="1010"/>
        <w:gridCol w:w="1059"/>
        <w:gridCol w:w="1776"/>
      </w:tblGrid>
      <w:tr>
        <w:trPr>
          <w:trHeight w:val="187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310" w:lineRule="exact"/>
              <w:ind w:left="643" w:right="166" w:hanging="481"/>
              <w:jc w:val="left"/>
              <w:rPr>
                <w:rFonts w:ascii="宋体" w:hAnsi="宋体" w:cs="宋体" w:eastAsia="宋体" w:hint="default"/>
                <w:sz w:val="24"/>
                <w:szCs w:val="24"/>
              </w:rPr>
            </w:pPr>
            <w:r>
              <w:rPr>
                <w:rFonts w:ascii="宋体" w:hAnsi="宋体" w:cs="宋体" w:eastAsia="宋体" w:hint="default"/>
                <w:sz w:val="24"/>
                <w:szCs w:val="24"/>
              </w:rPr>
              <w:t>被购买方名 称</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310" w:lineRule="exact"/>
              <w:ind w:left="343" w:right="101" w:hanging="240"/>
              <w:jc w:val="left"/>
              <w:rPr>
                <w:rFonts w:ascii="宋体" w:hAnsi="宋体" w:cs="宋体" w:eastAsia="宋体" w:hint="default"/>
                <w:sz w:val="24"/>
                <w:szCs w:val="24"/>
              </w:rPr>
            </w:pPr>
            <w:r>
              <w:rPr>
                <w:rFonts w:ascii="宋体" w:hAnsi="宋体" w:cs="宋体" w:eastAsia="宋体" w:hint="default"/>
                <w:sz w:val="24"/>
                <w:szCs w:val="24"/>
              </w:rPr>
              <w:t>股权取得 时点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310" w:lineRule="exact"/>
              <w:ind w:left="583" w:right="101" w:hanging="480"/>
              <w:jc w:val="left"/>
              <w:rPr>
                <w:rFonts w:ascii="宋体" w:hAnsi="宋体" w:cs="宋体" w:eastAsia="宋体" w:hint="default"/>
                <w:sz w:val="24"/>
                <w:szCs w:val="24"/>
              </w:rPr>
            </w:pPr>
            <w:r>
              <w:rPr>
                <w:rFonts w:ascii="宋体" w:hAnsi="宋体" w:cs="宋体" w:eastAsia="宋体" w:hint="default"/>
                <w:sz w:val="24"/>
                <w:szCs w:val="24"/>
              </w:rPr>
              <w:t>股权取得成 本</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37" w:lineRule="auto"/>
              <w:ind w:left="163" w:right="161"/>
              <w:jc w:val="both"/>
              <w:rPr>
                <w:rFonts w:ascii="宋体" w:hAnsi="宋体" w:cs="宋体" w:eastAsia="宋体" w:hint="default"/>
                <w:sz w:val="24"/>
                <w:szCs w:val="24"/>
              </w:rPr>
            </w:pPr>
            <w:r>
              <w:rPr>
                <w:rFonts w:ascii="宋体" w:hAnsi="宋体" w:cs="宋体" w:eastAsia="宋体" w:hint="default"/>
                <w:sz w:val="24"/>
                <w:szCs w:val="24"/>
              </w:rPr>
              <w:t>股权 取得 比例</w:t>
            </w:r>
          </w:p>
          <w:p>
            <w:pPr>
              <w:pStyle w:val="TableParagraph"/>
              <w:spacing w:line="312" w:lineRule="exact"/>
              <w:ind w:left="103" w:right="0"/>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股</w:t>
            </w:r>
          </w:p>
          <w:p>
            <w:pPr>
              <w:pStyle w:val="TableParagraph"/>
              <w:spacing w:line="237" w:lineRule="auto" w:before="1"/>
              <w:ind w:left="103" w:right="101"/>
              <w:jc w:val="both"/>
              <w:rPr>
                <w:rFonts w:ascii="宋体" w:hAnsi="宋体" w:cs="宋体" w:eastAsia="宋体" w:hint="default"/>
                <w:sz w:val="24"/>
                <w:szCs w:val="24"/>
              </w:rPr>
            </w:pPr>
            <w:r>
              <w:rPr>
                <w:rFonts w:ascii="宋体" w:hAnsi="宋体" w:cs="宋体" w:eastAsia="宋体" w:hint="default"/>
                <w:sz w:val="24"/>
                <w:szCs w:val="24"/>
              </w:rPr>
              <w:t>权 取 得 方 式</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购买日</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37" w:lineRule="auto"/>
              <w:ind w:left="136" w:right="143"/>
              <w:jc w:val="both"/>
              <w:rPr>
                <w:rFonts w:ascii="宋体" w:hAnsi="宋体" w:cs="宋体" w:eastAsia="宋体" w:hint="default"/>
                <w:sz w:val="24"/>
                <w:szCs w:val="24"/>
              </w:rPr>
            </w:pPr>
            <w:r>
              <w:rPr>
                <w:rFonts w:ascii="宋体" w:hAnsi="宋体" w:cs="宋体" w:eastAsia="宋体" w:hint="default"/>
                <w:sz w:val="24"/>
                <w:szCs w:val="24"/>
              </w:rPr>
              <w:t>购买日 的确定 依据</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163" w:right="164"/>
              <w:jc w:val="center"/>
              <w:rPr>
                <w:rFonts w:ascii="宋体" w:hAnsi="宋体" w:cs="宋体" w:eastAsia="宋体" w:hint="default"/>
                <w:sz w:val="24"/>
                <w:szCs w:val="24"/>
              </w:rPr>
            </w:pPr>
            <w:r>
              <w:rPr>
                <w:rFonts w:ascii="宋体" w:hAnsi="宋体" w:cs="宋体" w:eastAsia="宋体" w:hint="default"/>
                <w:sz w:val="24"/>
                <w:szCs w:val="24"/>
              </w:rPr>
              <w:t>购买日 至期末 被购买 方的收 入</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37" w:lineRule="auto"/>
              <w:ind w:left="163" w:right="161"/>
              <w:jc w:val="center"/>
              <w:rPr>
                <w:rFonts w:ascii="宋体" w:hAnsi="宋体" w:cs="宋体" w:eastAsia="宋体" w:hint="default"/>
                <w:sz w:val="24"/>
                <w:szCs w:val="24"/>
              </w:rPr>
            </w:pPr>
            <w:r>
              <w:rPr>
                <w:rFonts w:ascii="宋体" w:hAnsi="宋体" w:cs="宋体" w:eastAsia="宋体" w:hint="default"/>
                <w:sz w:val="24"/>
                <w:szCs w:val="24"/>
              </w:rPr>
              <w:t>购买日至期末 被购买方的净 利润</w:t>
            </w:r>
          </w:p>
        </w:tc>
      </w:tr>
      <w:tr>
        <w:trPr>
          <w:trHeight w:val="125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100" w:right="228"/>
              <w:jc w:val="both"/>
              <w:rPr>
                <w:rFonts w:ascii="宋体" w:hAnsi="宋体" w:cs="宋体" w:eastAsia="宋体" w:hint="default"/>
                <w:sz w:val="24"/>
                <w:szCs w:val="24"/>
              </w:rPr>
            </w:pPr>
            <w:r>
              <w:rPr>
                <w:rFonts w:ascii="宋体" w:hAnsi="宋体" w:cs="宋体" w:eastAsia="宋体" w:hint="default"/>
                <w:sz w:val="24"/>
                <w:szCs w:val="24"/>
              </w:rPr>
              <w:t>海南满天星 旅业开发有 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sz w:val="24"/>
              </w:rPr>
              <w:t>2017-3-6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sz w:val="24"/>
              </w:rPr>
              <w:t>55,500,000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sz w:val="24"/>
              </w:rPr>
              <w:t>50.50</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312" w:lineRule="exact"/>
              <w:ind w:left="103" w:right="101"/>
              <w:jc w:val="left"/>
              <w:rPr>
                <w:rFonts w:ascii="宋体" w:hAnsi="宋体" w:cs="宋体" w:eastAsia="宋体" w:hint="default"/>
                <w:sz w:val="24"/>
                <w:szCs w:val="24"/>
              </w:rPr>
            </w:pPr>
            <w:r>
              <w:rPr>
                <w:rFonts w:ascii="宋体" w:hAnsi="宋体" w:cs="宋体" w:eastAsia="宋体" w:hint="default"/>
                <w:sz w:val="24"/>
                <w:szCs w:val="24"/>
              </w:rPr>
              <w:t>购 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right="17"/>
              <w:jc w:val="center"/>
              <w:rPr>
                <w:rFonts w:ascii="宋体" w:hAnsi="宋体" w:cs="宋体" w:eastAsia="宋体" w:hint="default"/>
                <w:sz w:val="24"/>
                <w:szCs w:val="24"/>
              </w:rPr>
            </w:pPr>
            <w:r>
              <w:rPr>
                <w:rFonts w:ascii="宋体"/>
                <w:sz w:val="24"/>
              </w:rPr>
              <w:t>2017-3-6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both"/>
              <w:rPr>
                <w:rFonts w:ascii="宋体" w:hAnsi="宋体" w:cs="宋体" w:eastAsia="宋体" w:hint="default"/>
                <w:sz w:val="24"/>
                <w:szCs w:val="24"/>
              </w:rPr>
            </w:pPr>
            <w:r>
              <w:rPr>
                <w:rFonts w:ascii="宋体" w:hAnsi="宋体" w:cs="宋体" w:eastAsia="宋体" w:hint="default"/>
                <w:sz w:val="24"/>
                <w:szCs w:val="24"/>
              </w:rPr>
              <w:t>办妥工</w:t>
            </w:r>
          </w:p>
          <w:p>
            <w:pPr>
              <w:pStyle w:val="TableParagraph"/>
              <w:spacing w:line="312" w:lineRule="exact" w:before="29"/>
              <w:ind w:left="100" w:right="179"/>
              <w:jc w:val="both"/>
              <w:rPr>
                <w:rFonts w:ascii="宋体" w:hAnsi="宋体" w:cs="宋体" w:eastAsia="宋体" w:hint="default"/>
                <w:sz w:val="24"/>
                <w:szCs w:val="24"/>
              </w:rPr>
            </w:pPr>
            <w:r>
              <w:rPr>
                <w:rFonts w:ascii="宋体" w:hAnsi="宋体" w:cs="宋体" w:eastAsia="宋体" w:hint="default"/>
                <w:sz w:val="24"/>
                <w:szCs w:val="24"/>
              </w:rPr>
              <w:t>商变更 登记手 续</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466" w:right="0"/>
              <w:jc w:val="left"/>
              <w:rPr>
                <w:rFonts w:ascii="宋体" w:hAnsi="宋体" w:cs="宋体" w:eastAsia="宋体" w:hint="default"/>
                <w:sz w:val="24"/>
                <w:szCs w:val="24"/>
              </w:rPr>
            </w:pPr>
            <w:r>
              <w:rPr>
                <w:rFonts w:ascii="宋体"/>
                <w:sz w:val="24"/>
              </w:rPr>
              <w:t>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sz w:val="24"/>
              </w:rPr>
              <w:t>-7,229,095.33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00" w:bottom="280" w:left="880" w:right="340"/>
        </w:sectPr>
      </w:pPr>
    </w:p>
    <w:p>
      <w:pPr>
        <w:spacing w:before="26"/>
        <w:ind w:left="918" w:right="-19" w:firstLine="0"/>
        <w:jc w:val="left"/>
        <w:rPr>
          <w:rFonts w:ascii="宋体" w:hAnsi="宋体" w:cs="宋体" w:eastAsia="宋体" w:hint="default"/>
          <w:sz w:val="21"/>
          <w:szCs w:val="21"/>
        </w:rPr>
      </w:pPr>
      <w:r>
        <w:rPr>
          <w:rFonts w:ascii="宋体" w:hAnsi="宋体" w:cs="宋体" w:eastAsia="宋体" w:hint="default"/>
          <w:b/>
          <w:bCs/>
          <w:sz w:val="24"/>
          <w:szCs w:val="24"/>
        </w:rPr>
        <w:t>(2).</w:t>
      </w:r>
      <w:r>
        <w:rPr>
          <w:rFonts w:ascii="宋体" w:hAnsi="宋体" w:cs="宋体" w:eastAsia="宋体" w:hint="default"/>
          <w:b/>
          <w:bCs/>
          <w:spacing w:val="54"/>
          <w:sz w:val="24"/>
          <w:szCs w:val="24"/>
        </w:rPr>
        <w:t> </w:t>
      </w:r>
      <w:r>
        <w:rPr>
          <w:rFonts w:ascii="宋体" w:hAnsi="宋体" w:cs="宋体" w:eastAsia="宋体" w:hint="default"/>
          <w:b/>
          <w:bCs/>
          <w:sz w:val="21"/>
          <w:szCs w:val="21"/>
        </w:rPr>
        <w:t>合并成本及商誉</w:t>
      </w:r>
      <w:r>
        <w:rPr>
          <w:rFonts w:ascii="宋体" w:hAnsi="宋体" w:cs="宋体" w:eastAsia="宋体" w:hint="default"/>
          <w:sz w:val="21"/>
          <w:szCs w:val="21"/>
        </w:rPr>
      </w:r>
    </w:p>
    <w:p>
      <w:pPr>
        <w:pStyle w:val="BodyText"/>
        <w:spacing w:line="240" w:lineRule="auto" w:before="46"/>
        <w:ind w:left="9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29"/>
          <w:szCs w:val="29"/>
        </w:rPr>
      </w:pPr>
    </w:p>
    <w:p>
      <w:pPr>
        <w:pStyle w:val="BodyText"/>
        <w:tabs>
          <w:tab w:pos="2118" w:val="left" w:leader="none"/>
        </w:tabs>
        <w:spacing w:line="240" w:lineRule="auto"/>
        <w:ind w:left="918" w:right="0"/>
        <w:jc w:val="left"/>
      </w:pPr>
      <w:r>
        <w:rPr/>
        <w:t>单位：元</w:t>
        <w:tab/>
        <w:t>币种：人民币</w:t>
      </w:r>
    </w:p>
    <w:p>
      <w:pPr>
        <w:spacing w:after="0" w:line="240" w:lineRule="auto"/>
        <w:jc w:val="left"/>
        <w:sectPr>
          <w:type w:val="continuous"/>
          <w:pgSz w:w="11910" w:h="16840"/>
          <w:pgMar w:top="1000" w:bottom="280" w:left="880" w:right="340"/>
          <w:cols w:num="2" w:equalWidth="0">
            <w:col w:w="3055" w:space="3138"/>
            <w:col w:w="4497"/>
          </w:cols>
        </w:sectPr>
      </w:pPr>
    </w:p>
    <w:p>
      <w:pPr>
        <w:spacing w:line="240" w:lineRule="auto" w:before="10"/>
        <w:rPr>
          <w:rFonts w:ascii="宋体" w:hAnsi="宋体" w:cs="宋体" w:eastAsia="宋体" w:hint="default"/>
          <w:sz w:val="2"/>
          <w:szCs w:val="2"/>
        </w:rPr>
      </w:pPr>
    </w:p>
    <w:tbl>
      <w:tblPr>
        <w:tblW w:w="0" w:type="auto"/>
        <w:jc w:val="left"/>
        <w:tblInd w:w="805" w:type="dxa"/>
        <w:tblLayout w:type="fixed"/>
        <w:tblCellMar>
          <w:top w:w="0" w:type="dxa"/>
          <w:left w:w="0" w:type="dxa"/>
          <w:bottom w:w="0" w:type="dxa"/>
          <w:right w:w="0" w:type="dxa"/>
        </w:tblCellMar>
        <w:tblLook w:val="01E0"/>
      </w:tblPr>
      <w:tblGrid>
        <w:gridCol w:w="4928"/>
        <w:gridCol w:w="4121"/>
      </w:tblGrid>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合并成本</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4" w:right="0"/>
              <w:jc w:val="left"/>
              <w:rPr>
                <w:rFonts w:ascii="宋体" w:hAnsi="宋体" w:cs="宋体" w:eastAsia="宋体" w:hint="default"/>
                <w:sz w:val="24"/>
                <w:szCs w:val="24"/>
              </w:rPr>
            </w:pPr>
            <w:r>
              <w:rPr>
                <w:rFonts w:ascii="宋体" w:hAnsi="宋体" w:cs="宋体" w:eastAsia="宋体" w:hint="default"/>
                <w:sz w:val="24"/>
                <w:szCs w:val="24"/>
              </w:rPr>
              <w:t>海南满天星旅业开发有限公司</w:t>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现金</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55,500,000.00</w:t>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合并成本合计</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55,500,000.00</w:t>
            </w:r>
          </w:p>
        </w:tc>
      </w:tr>
    </w:tbl>
    <w:p>
      <w:pPr>
        <w:spacing w:after="0" w:line="274" w:lineRule="exact"/>
        <w:jc w:val="right"/>
        <w:rPr>
          <w:rFonts w:ascii="宋体" w:hAnsi="宋体" w:cs="宋体" w:eastAsia="宋体" w:hint="default"/>
          <w:sz w:val="24"/>
          <w:szCs w:val="24"/>
        </w:rPr>
        <w:sectPr>
          <w:type w:val="continuous"/>
          <w:pgSz w:w="11910" w:h="16840"/>
          <w:pgMar w:top="1000" w:bottom="280" w:left="880" w:right="3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345" w:type="dxa"/>
        <w:tblLayout w:type="fixed"/>
        <w:tblCellMar>
          <w:top w:w="0" w:type="dxa"/>
          <w:left w:w="0" w:type="dxa"/>
          <w:bottom w:w="0" w:type="dxa"/>
          <w:right w:w="0" w:type="dxa"/>
        </w:tblCellMar>
        <w:tblLook w:val="01E0"/>
      </w:tblPr>
      <w:tblGrid>
        <w:gridCol w:w="4928"/>
        <w:gridCol w:w="4121"/>
      </w:tblGrid>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减：取得的可辨认净资产公允价值份额</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55,500,000.00</w:t>
            </w:r>
          </w:p>
        </w:tc>
      </w:tr>
      <w:tr>
        <w:trPr>
          <w:trHeight w:val="63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商誉</w:t>
            </w:r>
            <w:r>
              <w:rPr>
                <w:rFonts w:ascii="宋体" w:hAnsi="宋体" w:cs="宋体" w:eastAsia="宋体" w:hint="default"/>
                <w:sz w:val="24"/>
                <w:szCs w:val="24"/>
              </w:rPr>
              <w:t>/</w:t>
            </w:r>
            <w:r>
              <w:rPr>
                <w:rFonts w:ascii="宋体" w:hAnsi="宋体" w:cs="宋体" w:eastAsia="宋体" w:hint="default"/>
                <w:sz w:val="24"/>
                <w:szCs w:val="24"/>
              </w:rPr>
              <w:t>合并成本小于取得的可辨认净资产公允</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价值份额的金额</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0.00</w:t>
            </w:r>
          </w:p>
        </w:tc>
      </w:tr>
    </w:tbl>
    <w:p>
      <w:pPr>
        <w:spacing w:line="240" w:lineRule="auto" w:before="10"/>
        <w:rPr>
          <w:rFonts w:ascii="宋体" w:hAnsi="宋体" w:cs="宋体" w:eastAsia="宋体" w:hint="default"/>
          <w:sz w:val="18"/>
          <w:szCs w:val="18"/>
        </w:rPr>
      </w:pPr>
    </w:p>
    <w:p>
      <w:pPr>
        <w:pStyle w:val="BodyText"/>
        <w:spacing w:line="355" w:lineRule="auto" w:before="26"/>
        <w:ind w:left="878" w:right="3028" w:hanging="420"/>
        <w:jc w:val="left"/>
      </w:pPr>
      <w:r>
        <w:rPr/>
        <w:t>合并成本公允价值的确定方法、或有对价及其变动的说明： 合并成本均以现金支付，合并过程无或有对价。</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91"/>
          <w:pgSz w:w="11910" w:h="16840"/>
          <w:pgMar w:footer="1195" w:header="0" w:top="1120" w:bottom="1380" w:left="1340" w:right="820"/>
        </w:sectPr>
      </w:pPr>
    </w:p>
    <w:p>
      <w:pPr>
        <w:pStyle w:val="Heading2"/>
        <w:spacing w:line="240" w:lineRule="auto"/>
        <w:ind w:left="458" w:right="-17"/>
        <w:jc w:val="left"/>
        <w:rPr>
          <w:b w:val="0"/>
          <w:bCs w:val="0"/>
        </w:rPr>
      </w:pPr>
      <w:r>
        <w:rPr>
          <w:rFonts w:ascii="宋体" w:hAnsi="宋体" w:cs="宋体" w:eastAsia="宋体" w:hint="default"/>
        </w:rPr>
        <w:t>(3).</w:t>
      </w:r>
      <w:r>
        <w:rPr>
          <w:rFonts w:ascii="宋体" w:hAnsi="宋体" w:cs="宋体" w:eastAsia="宋体" w:hint="default"/>
          <w:spacing w:val="49"/>
        </w:rPr>
        <w:t> </w:t>
      </w:r>
      <w:r>
        <w:rPr/>
        <w:t>被购买方于</w:t>
      </w:r>
      <w:r>
        <w:rPr>
          <w:sz w:val="21"/>
          <w:szCs w:val="21"/>
        </w:rPr>
        <w:t>购买</w:t>
      </w:r>
      <w:r>
        <w:rPr/>
        <w:t>日可辨认资产、负债</w:t>
      </w:r>
      <w:r>
        <w:rPr>
          <w:b w:val="0"/>
          <w:bCs w:val="0"/>
        </w:rPr>
      </w:r>
    </w:p>
    <w:p>
      <w:pPr>
        <w:pStyle w:val="BodyText"/>
        <w:spacing w:line="240" w:lineRule="auto" w:before="58"/>
        <w:ind w:left="458"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tabs>
          <w:tab w:pos="1658" w:val="left" w:leader="none"/>
        </w:tabs>
        <w:spacing w:line="240" w:lineRule="auto"/>
        <w:ind w:left="458" w:right="0"/>
        <w:jc w:val="left"/>
      </w:pPr>
      <w:r>
        <w:rPr/>
        <w:t>单位：元</w:t>
        <w:tab/>
        <w:t>币种：人民币</w:t>
      </w:r>
    </w:p>
    <w:p>
      <w:pPr>
        <w:spacing w:after="0" w:line="240" w:lineRule="auto"/>
        <w:jc w:val="left"/>
        <w:sectPr>
          <w:type w:val="continuous"/>
          <w:pgSz w:w="11910" w:h="16840"/>
          <w:pgMar w:top="1000" w:bottom="280" w:left="1340" w:right="820"/>
          <w:cols w:num="2" w:equalWidth="0">
            <w:col w:w="4910" w:space="1283"/>
            <w:col w:w="3557"/>
          </w:cols>
        </w:sectPr>
      </w:pPr>
    </w:p>
    <w:p>
      <w:pPr>
        <w:spacing w:line="240" w:lineRule="auto" w:before="10"/>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465"/>
        <w:gridCol w:w="3269"/>
        <w:gridCol w:w="3776"/>
      </w:tblGrid>
      <w:tr>
        <w:trPr>
          <w:trHeight w:val="322" w:hRule="exact"/>
        </w:trPr>
        <w:tc>
          <w:tcPr>
            <w:tcW w:w="2465" w:type="dxa"/>
            <w:vMerge w:val="restart"/>
            <w:tcBorders>
              <w:top w:val="single" w:sz="4" w:space="0" w:color="000000"/>
              <w:left w:val="single" w:sz="4" w:space="0" w:color="000000"/>
              <w:right w:val="single" w:sz="4" w:space="0" w:color="000000"/>
            </w:tcBorders>
          </w:tcPr>
          <w:p>
            <w:pPr/>
          </w:p>
        </w:tc>
        <w:tc>
          <w:tcPr>
            <w:tcW w:w="70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955" w:right="0"/>
              <w:jc w:val="left"/>
              <w:rPr>
                <w:rFonts w:ascii="宋体" w:hAnsi="宋体" w:cs="宋体" w:eastAsia="宋体" w:hint="default"/>
                <w:sz w:val="24"/>
                <w:szCs w:val="24"/>
              </w:rPr>
            </w:pPr>
            <w:r>
              <w:rPr>
                <w:rFonts w:ascii="宋体" w:hAnsi="宋体" w:cs="宋体" w:eastAsia="宋体" w:hint="default"/>
                <w:sz w:val="24"/>
                <w:szCs w:val="24"/>
              </w:rPr>
              <w:t>海南满天星旅业开发有限公司</w:t>
            </w:r>
          </w:p>
        </w:tc>
      </w:tr>
      <w:tr>
        <w:trPr>
          <w:trHeight w:val="293" w:hRule="exact"/>
        </w:trPr>
        <w:tc>
          <w:tcPr>
            <w:tcW w:w="2465" w:type="dxa"/>
            <w:vMerge/>
            <w:tcBorders>
              <w:left w:val="single" w:sz="4" w:space="0" w:color="000000"/>
              <w:bottom w:val="single" w:sz="4" w:space="0" w:color="000000"/>
              <w:right w:val="single" w:sz="4" w:space="0" w:color="000000"/>
            </w:tcBorders>
          </w:tcPr>
          <w:p>
            <w:pP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89" w:right="0"/>
              <w:jc w:val="left"/>
              <w:rPr>
                <w:rFonts w:ascii="宋体" w:hAnsi="宋体" w:cs="宋体" w:eastAsia="宋体" w:hint="default"/>
                <w:sz w:val="24"/>
                <w:szCs w:val="24"/>
              </w:rPr>
            </w:pPr>
            <w:r>
              <w:rPr>
                <w:rFonts w:ascii="宋体" w:hAnsi="宋体" w:cs="宋体" w:eastAsia="宋体" w:hint="default"/>
                <w:sz w:val="24"/>
                <w:szCs w:val="24"/>
              </w:rPr>
              <w:t>购买日公允价值</w:t>
            </w:r>
          </w:p>
        </w:tc>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41" w:right="0"/>
              <w:jc w:val="left"/>
              <w:rPr>
                <w:rFonts w:ascii="宋体" w:hAnsi="宋体" w:cs="宋体" w:eastAsia="宋体" w:hint="default"/>
                <w:sz w:val="24"/>
                <w:szCs w:val="24"/>
              </w:rPr>
            </w:pPr>
            <w:r>
              <w:rPr>
                <w:rFonts w:ascii="宋体" w:hAnsi="宋体" w:cs="宋体" w:eastAsia="宋体" w:hint="default"/>
                <w:sz w:val="24"/>
                <w:szCs w:val="24"/>
              </w:rPr>
              <w:t>购买日账面价值</w:t>
            </w:r>
          </w:p>
        </w:tc>
      </w:tr>
      <w:tr>
        <w:trPr>
          <w:trHeight w:val="319"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520,789,847.32</w:t>
            </w:r>
          </w:p>
        </w:tc>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490,537,589.02</w:t>
            </w:r>
          </w:p>
        </w:tc>
      </w:tr>
      <w:tr>
        <w:trPr>
          <w:trHeight w:val="370"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103"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101"/>
              <w:jc w:val="right"/>
              <w:rPr>
                <w:rFonts w:ascii="宋体" w:hAnsi="宋体" w:cs="宋体" w:eastAsia="宋体" w:hint="default"/>
                <w:sz w:val="24"/>
                <w:szCs w:val="24"/>
              </w:rPr>
            </w:pPr>
            <w:r>
              <w:rPr>
                <w:rFonts w:ascii="宋体"/>
                <w:sz w:val="24"/>
              </w:rPr>
              <w:t>19,316,855.14</w:t>
            </w:r>
          </w:p>
        </w:tc>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101"/>
              <w:jc w:val="right"/>
              <w:rPr>
                <w:rFonts w:ascii="宋体" w:hAnsi="宋体" w:cs="宋体" w:eastAsia="宋体" w:hint="default"/>
                <w:sz w:val="24"/>
                <w:szCs w:val="24"/>
              </w:rPr>
            </w:pPr>
            <w:r>
              <w:rPr>
                <w:rFonts w:ascii="宋体"/>
                <w:sz w:val="24"/>
              </w:rPr>
              <w:t>19,316,855.14</w:t>
            </w:r>
          </w:p>
        </w:tc>
      </w:tr>
      <w:tr>
        <w:trPr>
          <w:trHeight w:val="32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389,263,661.57</w:t>
            </w:r>
          </w:p>
        </w:tc>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389,263,661.57</w:t>
            </w:r>
          </w:p>
        </w:tc>
      </w:tr>
      <w:tr>
        <w:trPr>
          <w:trHeight w:val="367"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应收款项</w:t>
            </w:r>
          </w:p>
        </w:tc>
        <w:tc>
          <w:tcPr>
            <w:tcW w:w="3269" w:type="dxa"/>
            <w:tcBorders>
              <w:top w:val="single" w:sz="4" w:space="0" w:color="000000"/>
              <w:left w:val="single" w:sz="4" w:space="0" w:color="000000"/>
              <w:bottom w:val="single" w:sz="4" w:space="0" w:color="000000"/>
              <w:right w:val="single" w:sz="4" w:space="0" w:color="000000"/>
            </w:tcBorders>
          </w:tcPr>
          <w:p>
            <w:pPr/>
          </w:p>
        </w:tc>
        <w:tc>
          <w:tcPr>
            <w:tcW w:w="37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19,043,066.12</w:t>
            </w:r>
          </w:p>
        </w:tc>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19,043,066.12</w:t>
            </w:r>
          </w:p>
        </w:tc>
      </w:tr>
      <w:tr>
        <w:trPr>
          <w:trHeight w:val="367"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103"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91,060,461.64</w:t>
            </w:r>
          </w:p>
        </w:tc>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60,808,203.34</w:t>
            </w:r>
          </w:p>
        </w:tc>
      </w:tr>
      <w:tr>
        <w:trPr>
          <w:trHeight w:val="32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1,019,963.08</w:t>
            </w:r>
          </w:p>
        </w:tc>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1,019,963.08</w:t>
            </w:r>
          </w:p>
        </w:tc>
      </w:tr>
      <w:tr>
        <w:trPr>
          <w:trHeight w:val="367"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742,318.06</w:t>
            </w:r>
          </w:p>
        </w:tc>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742,318.06</w:t>
            </w:r>
          </w:p>
        </w:tc>
      </w:tr>
      <w:tr>
        <w:trPr>
          <w:trHeight w:val="370"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103"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6,111.14</w:t>
            </w:r>
          </w:p>
        </w:tc>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6,111.14</w:t>
            </w:r>
          </w:p>
        </w:tc>
      </w:tr>
      <w:tr>
        <w:trPr>
          <w:trHeight w:val="319"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长期待摊费用</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337,410.57</w:t>
            </w:r>
          </w:p>
        </w:tc>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337,410.57</w:t>
            </w:r>
          </w:p>
        </w:tc>
      </w:tr>
      <w:tr>
        <w:trPr>
          <w:trHeight w:val="32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负债：</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410,888,857.22</w:t>
            </w:r>
          </w:p>
        </w:tc>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410,888,857.22</w:t>
            </w:r>
          </w:p>
        </w:tc>
      </w:tr>
      <w:tr>
        <w:trPr>
          <w:trHeight w:val="370"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借款</w:t>
            </w:r>
          </w:p>
        </w:tc>
        <w:tc>
          <w:tcPr>
            <w:tcW w:w="3269" w:type="dxa"/>
            <w:tcBorders>
              <w:top w:val="single" w:sz="4" w:space="0" w:color="000000"/>
              <w:left w:val="single" w:sz="4" w:space="0" w:color="000000"/>
              <w:bottom w:val="single" w:sz="4" w:space="0" w:color="000000"/>
              <w:right w:val="single" w:sz="4" w:space="0" w:color="000000"/>
            </w:tcBorders>
          </w:tcPr>
          <w:p>
            <w:pPr/>
          </w:p>
        </w:tc>
        <w:tc>
          <w:tcPr>
            <w:tcW w:w="3776"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应付款项</w:t>
            </w:r>
          </w:p>
        </w:tc>
        <w:tc>
          <w:tcPr>
            <w:tcW w:w="3269" w:type="dxa"/>
            <w:tcBorders>
              <w:top w:val="single" w:sz="4" w:space="0" w:color="000000"/>
              <w:left w:val="single" w:sz="4" w:space="0" w:color="000000"/>
              <w:bottom w:val="single" w:sz="4" w:space="0" w:color="000000"/>
              <w:right w:val="single" w:sz="4" w:space="0" w:color="000000"/>
            </w:tcBorders>
          </w:tcPr>
          <w:p>
            <w:pPr/>
          </w:p>
        </w:tc>
        <w:tc>
          <w:tcPr>
            <w:tcW w:w="37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应付职工薪酬</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291,319.61</w:t>
            </w:r>
          </w:p>
        </w:tc>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291,319.61</w:t>
            </w:r>
          </w:p>
        </w:tc>
      </w:tr>
      <w:tr>
        <w:trPr>
          <w:trHeight w:val="32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410,597,537.61</w:t>
            </w:r>
          </w:p>
        </w:tc>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410,597,537.61</w:t>
            </w:r>
          </w:p>
        </w:tc>
      </w:tr>
      <w:tr>
        <w:trPr>
          <w:trHeight w:val="367"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递延所得税负债</w:t>
            </w:r>
          </w:p>
        </w:tc>
        <w:tc>
          <w:tcPr>
            <w:tcW w:w="3269" w:type="dxa"/>
            <w:tcBorders>
              <w:top w:val="single" w:sz="4" w:space="0" w:color="000000"/>
              <w:left w:val="single" w:sz="4" w:space="0" w:color="000000"/>
              <w:bottom w:val="single" w:sz="4" w:space="0" w:color="000000"/>
              <w:right w:val="single" w:sz="4" w:space="0" w:color="000000"/>
            </w:tcBorders>
          </w:tcPr>
          <w:p>
            <w:pPr/>
          </w:p>
        </w:tc>
        <w:tc>
          <w:tcPr>
            <w:tcW w:w="37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净资产</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109,900,990.10</w:t>
            </w:r>
          </w:p>
        </w:tc>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79,648,731.80</w:t>
            </w:r>
          </w:p>
        </w:tc>
      </w:tr>
      <w:tr>
        <w:trPr>
          <w:trHeight w:val="32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减：少数股东权益</w:t>
            </w:r>
          </w:p>
        </w:tc>
        <w:tc>
          <w:tcPr>
            <w:tcW w:w="3269" w:type="dxa"/>
            <w:tcBorders>
              <w:top w:val="single" w:sz="4" w:space="0" w:color="000000"/>
              <w:left w:val="single" w:sz="4" w:space="0" w:color="000000"/>
              <w:bottom w:val="single" w:sz="4" w:space="0" w:color="000000"/>
              <w:right w:val="single" w:sz="4" w:space="0" w:color="000000"/>
            </w:tcBorders>
          </w:tcPr>
          <w:p>
            <w:pPr/>
          </w:p>
        </w:tc>
        <w:tc>
          <w:tcPr>
            <w:tcW w:w="37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取得的净资产</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109,900,990.10</w:t>
            </w:r>
          </w:p>
        </w:tc>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79,648,731.80</w:t>
            </w:r>
          </w:p>
        </w:tc>
      </w:tr>
    </w:tbl>
    <w:p>
      <w:pPr>
        <w:spacing w:line="240" w:lineRule="auto" w:before="2"/>
        <w:rPr>
          <w:rFonts w:ascii="宋体" w:hAnsi="宋体" w:cs="宋体" w:eastAsia="宋体" w:hint="default"/>
          <w:sz w:val="23"/>
          <w:szCs w:val="23"/>
        </w:rPr>
      </w:pPr>
    </w:p>
    <w:p>
      <w:pPr>
        <w:pStyle w:val="BodyText"/>
        <w:spacing w:line="283" w:lineRule="auto" w:before="26"/>
        <w:ind w:left="938" w:right="4948" w:hanging="480"/>
        <w:jc w:val="left"/>
      </w:pPr>
      <w:r>
        <w:rPr/>
        <w:t>可辨认资产、负债公允价值的确定方法： 以交易双方协商价确定。</w:t>
      </w:r>
    </w:p>
    <w:p>
      <w:pPr>
        <w:spacing w:line="283" w:lineRule="auto" w:before="14"/>
        <w:ind w:left="458" w:right="1588" w:firstLine="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pacing w:val="50"/>
          <w:sz w:val="24"/>
          <w:szCs w:val="24"/>
        </w:rPr>
        <w:t> </w:t>
      </w:r>
      <w:r>
        <w:rPr>
          <w:rFonts w:ascii="宋体" w:hAnsi="宋体" w:cs="宋体" w:eastAsia="宋体" w:hint="default"/>
          <w:b/>
          <w:bCs/>
          <w:sz w:val="24"/>
          <w:szCs w:val="24"/>
        </w:rPr>
        <w:t>购买日之前持有的股权按照公允价值重新计量产生的利得或损失</w:t>
      </w:r>
      <w:r>
        <w:rPr>
          <w:rFonts w:ascii="宋体" w:hAnsi="宋体" w:cs="宋体" w:eastAsia="宋体" w:hint="default"/>
          <w:b/>
          <w:bCs/>
          <w:w w:val="99"/>
          <w:sz w:val="24"/>
          <w:szCs w:val="24"/>
        </w:rPr>
        <w:t> </w:t>
      </w:r>
      <w:r>
        <w:rPr>
          <w:rFonts w:ascii="宋体" w:hAnsi="宋体" w:cs="宋体" w:eastAsia="宋体" w:hint="default"/>
          <w:sz w:val="24"/>
          <w:szCs w:val="24"/>
        </w:rPr>
        <w:t>是否存在通过多次交易分步实现企业合并且在报告期内取得控制权的交易</w:t>
      </w:r>
    </w:p>
    <w:p>
      <w:pPr>
        <w:pStyle w:val="BodyText"/>
        <w:spacing w:line="269" w:lineRule="exact"/>
        <w:ind w:left="458" w:right="3028"/>
        <w:jc w:val="left"/>
      </w:pPr>
      <w:r>
        <w:rPr/>
        <w:t>□适用</w:t>
      </w:r>
      <w:r>
        <w:rPr>
          <w:spacing w:val="-1"/>
        </w:rPr>
        <w:t> </w:t>
      </w:r>
      <w:r>
        <w:rPr/>
        <w:t>√不适用</w:t>
      </w:r>
    </w:p>
    <w:p>
      <w:pPr>
        <w:spacing w:after="0" w:line="269" w:lineRule="exact"/>
        <w:jc w:val="left"/>
        <w:sectPr>
          <w:type w:val="continuous"/>
          <w:pgSz w:w="11910" w:h="16840"/>
          <w:pgMar w:top="1000" w:bottom="280" w:left="1340" w:right="820"/>
        </w:sectPr>
      </w:pPr>
    </w:p>
    <w:p>
      <w:pPr>
        <w:spacing w:line="240" w:lineRule="auto" w:before="5"/>
        <w:rPr>
          <w:rFonts w:ascii="宋体" w:hAnsi="宋体" w:cs="宋体" w:eastAsia="宋体" w:hint="default"/>
          <w:sz w:val="25"/>
          <w:szCs w:val="25"/>
        </w:rPr>
      </w:pPr>
    </w:p>
    <w:p>
      <w:pPr>
        <w:pStyle w:val="Heading2"/>
        <w:spacing w:line="312" w:lineRule="exact" w:before="56"/>
        <w:ind w:left="138" w:right="99"/>
        <w:jc w:val="left"/>
        <w:rPr>
          <w:b w:val="0"/>
          <w:bCs w:val="0"/>
        </w:rPr>
      </w:pPr>
      <w:r>
        <w:rPr>
          <w:rFonts w:ascii="宋体" w:hAnsi="宋体" w:cs="宋体" w:eastAsia="宋体" w:hint="default"/>
        </w:rPr>
        <w:t>(5).</w:t>
      </w:r>
      <w:r>
        <w:rPr>
          <w:rFonts w:ascii="宋体" w:hAnsi="宋体" w:cs="宋体" w:eastAsia="宋体" w:hint="default"/>
          <w:spacing w:val="32"/>
        </w:rPr>
        <w:t> </w:t>
      </w:r>
      <w:r>
        <w:rPr/>
        <w:t>购买日或合并当期期末无法合理确定合并对价或被购买方可辨认资产、负债公</w:t>
      </w:r>
      <w:r>
        <w:rPr>
          <w:w w:val="99"/>
        </w:rPr>
        <w:t> </w:t>
      </w:r>
      <w:r>
        <w:rPr/>
        <w:t>允价值的相关说明</w:t>
      </w:r>
      <w:r>
        <w:rPr>
          <w:b w:val="0"/>
          <w:bCs w:val="0"/>
        </w:rPr>
      </w:r>
    </w:p>
    <w:p>
      <w:pPr>
        <w:pStyle w:val="BodyText"/>
        <w:tabs>
          <w:tab w:pos="1097" w:val="left" w:leader="none"/>
        </w:tabs>
        <w:spacing w:line="240" w:lineRule="auto" w:before="29"/>
        <w:ind w:right="0"/>
        <w:jc w:val="left"/>
      </w:pPr>
      <w:r>
        <w:rPr>
          <w:spacing w:val="-1"/>
        </w:rPr>
        <w:t>□适用</w:t>
        <w:tab/>
      </w:r>
      <w:r>
        <w:rPr/>
        <w:t>√不适用</w:t>
      </w:r>
    </w:p>
    <w:p>
      <w:pPr>
        <w:spacing w:line="240" w:lineRule="auto" w:before="1"/>
        <w:rPr>
          <w:rFonts w:ascii="宋体" w:hAnsi="宋体" w:cs="宋体" w:eastAsia="宋体" w:hint="default"/>
          <w:sz w:val="28"/>
          <w:szCs w:val="28"/>
        </w:rPr>
      </w:pPr>
    </w:p>
    <w:p>
      <w:pPr>
        <w:pStyle w:val="Heading2"/>
        <w:spacing w:line="240" w:lineRule="auto" w:before="0"/>
        <w:ind w:left="138" w:right="0"/>
        <w:jc w:val="left"/>
        <w:rPr>
          <w:b w:val="0"/>
          <w:bCs w:val="0"/>
        </w:rPr>
      </w:pPr>
      <w:r>
        <w:rPr>
          <w:rFonts w:ascii="宋体" w:hAnsi="宋体" w:cs="宋体" w:eastAsia="宋体" w:hint="default"/>
        </w:rPr>
        <w:t>2</w:t>
      </w:r>
      <w:r>
        <w:rPr/>
        <w:t>、</w:t>
      </w:r>
      <w:r>
        <w:rPr>
          <w:spacing w:val="-65"/>
        </w:rPr>
        <w:t> </w:t>
      </w:r>
      <w:r>
        <w:rPr/>
        <w:t>同一控制下企业合并</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138" w:right="0"/>
        <w:jc w:val="left"/>
        <w:rPr>
          <w:b w:val="0"/>
          <w:bCs w:val="0"/>
        </w:rPr>
      </w:pPr>
      <w:r>
        <w:rPr>
          <w:rFonts w:ascii="宋体" w:hAnsi="宋体" w:cs="宋体" w:eastAsia="宋体" w:hint="default"/>
        </w:rPr>
        <w:t>3</w:t>
      </w:r>
      <w:r>
        <w:rPr/>
        <w:t>、</w:t>
      </w:r>
      <w:r>
        <w:rPr>
          <w:spacing w:val="-64"/>
        </w:rPr>
        <w:t> </w:t>
      </w:r>
      <w:r>
        <w:rPr/>
        <w:t>反向购买</w:t>
      </w:r>
      <w:r>
        <w:rPr>
          <w:b w:val="0"/>
          <w:bCs w:val="0"/>
        </w:rPr>
      </w:r>
    </w:p>
    <w:p>
      <w:pPr>
        <w:pStyle w:val="BodyText"/>
        <w:spacing w:line="240" w:lineRule="auto" w:before="58"/>
        <w:ind w:right="0"/>
        <w:jc w:val="left"/>
      </w:pPr>
      <w:r>
        <w:rPr/>
        <w:t>□适用</w:t>
      </w:r>
      <w:r>
        <w:rPr>
          <w:spacing w:val="-1"/>
        </w:rPr>
        <w:t> </w:t>
      </w:r>
      <w:r>
        <w:rPr/>
        <w:t>√不适用</w:t>
      </w:r>
    </w:p>
    <w:p>
      <w:pPr>
        <w:spacing w:after="0" w:line="240" w:lineRule="auto"/>
        <w:jc w:val="left"/>
        <w:sectPr>
          <w:footerReference w:type="default" r:id="rId92"/>
          <w:pgSz w:w="11910" w:h="16840"/>
          <w:pgMar w:footer="1195" w:header="0" w:top="1120" w:bottom="1380" w:left="1660" w:right="11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93"/>
          <w:footerReference w:type="default" r:id="rId94"/>
          <w:pgSz w:w="16840" w:h="11910" w:orient="landscape"/>
          <w:pgMar w:header="882" w:footer="1195" w:top="1120" w:bottom="1380" w:left="940" w:right="840"/>
          <w:pgNumType w:start="172"/>
        </w:sectPr>
      </w:pPr>
    </w:p>
    <w:p>
      <w:pPr>
        <w:spacing w:line="283" w:lineRule="auto" w:before="26"/>
        <w:ind w:left="584" w:right="-20" w:firstLine="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w:t>
      </w:r>
      <w:r>
        <w:rPr>
          <w:rFonts w:ascii="宋体" w:hAnsi="宋体" w:cs="宋体" w:eastAsia="宋体" w:hint="default"/>
          <w:b/>
          <w:bCs/>
          <w:spacing w:val="-64"/>
          <w:sz w:val="24"/>
          <w:szCs w:val="24"/>
        </w:rPr>
        <w:t> </w:t>
      </w:r>
      <w:r>
        <w:rPr>
          <w:rFonts w:ascii="宋体" w:hAnsi="宋体" w:cs="宋体" w:eastAsia="宋体" w:hint="default"/>
          <w:b/>
          <w:bCs/>
          <w:sz w:val="24"/>
          <w:szCs w:val="24"/>
        </w:rPr>
        <w:t>处置子公司</w:t>
      </w:r>
      <w:r>
        <w:rPr>
          <w:rFonts w:ascii="宋体" w:hAnsi="宋体" w:cs="宋体" w:eastAsia="宋体" w:hint="default"/>
          <w:b/>
          <w:bCs/>
          <w:w w:val="99"/>
          <w:sz w:val="24"/>
          <w:szCs w:val="24"/>
        </w:rPr>
        <w:t> </w:t>
      </w:r>
      <w:r>
        <w:rPr>
          <w:rFonts w:ascii="宋体" w:hAnsi="宋体" w:cs="宋体" w:eastAsia="宋体" w:hint="default"/>
          <w:sz w:val="24"/>
          <w:szCs w:val="24"/>
        </w:rPr>
        <w:t>是否存在单次处置对子公司投资即丧失控制权的情形</w:t>
      </w:r>
    </w:p>
    <w:p>
      <w:pPr>
        <w:pStyle w:val="BodyText"/>
        <w:spacing w:line="269" w:lineRule="exact"/>
        <w:ind w:left="584"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9"/>
          <w:szCs w:val="29"/>
        </w:rPr>
      </w:pPr>
    </w:p>
    <w:p>
      <w:pPr>
        <w:pStyle w:val="BodyText"/>
        <w:tabs>
          <w:tab w:pos="1663" w:val="left" w:leader="none"/>
        </w:tabs>
        <w:spacing w:line="240" w:lineRule="auto"/>
        <w:ind w:left="584"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000" w:bottom="280" w:left="940" w:right="840"/>
          <w:cols w:num="2" w:equalWidth="0">
            <w:col w:w="6105" w:space="5369"/>
            <w:col w:w="358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18"/>
        <w:gridCol w:w="1166"/>
        <w:gridCol w:w="857"/>
        <w:gridCol w:w="874"/>
        <w:gridCol w:w="874"/>
        <w:gridCol w:w="1046"/>
        <w:gridCol w:w="1332"/>
        <w:gridCol w:w="1008"/>
        <w:gridCol w:w="1322"/>
        <w:gridCol w:w="1323"/>
        <w:gridCol w:w="1322"/>
        <w:gridCol w:w="1208"/>
        <w:gridCol w:w="1174"/>
      </w:tblGrid>
      <w:tr>
        <w:trPr>
          <w:trHeight w:val="1645"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72" w:right="48" w:hanging="420"/>
              <w:jc w:val="left"/>
              <w:rPr>
                <w:rFonts w:ascii="宋体" w:hAnsi="宋体" w:cs="宋体" w:eastAsia="宋体" w:hint="default"/>
                <w:sz w:val="21"/>
                <w:szCs w:val="21"/>
              </w:rPr>
            </w:pPr>
            <w:r>
              <w:rPr>
                <w:rFonts w:ascii="宋体" w:hAnsi="宋体" w:cs="宋体" w:eastAsia="宋体" w:hint="default"/>
                <w:sz w:val="21"/>
                <w:szCs w:val="21"/>
              </w:rPr>
              <w:t>股权处置价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 w:right="0" w:firstLine="2"/>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5" w:lineRule="exact"/>
              <w:ind w:left="11" w:right="0"/>
              <w:jc w:val="left"/>
              <w:rPr>
                <w:rFonts w:ascii="宋体" w:hAnsi="宋体" w:cs="宋体" w:eastAsia="宋体" w:hint="default"/>
                <w:sz w:val="21"/>
                <w:szCs w:val="21"/>
              </w:rPr>
            </w:pPr>
            <w:r>
              <w:rPr>
                <w:rFonts w:ascii="宋体" w:hAnsi="宋体" w:cs="宋体" w:eastAsia="宋体" w:hint="default"/>
                <w:sz w:val="21"/>
                <w:szCs w:val="21"/>
              </w:rPr>
              <w:t>股权处置</w:t>
            </w:r>
          </w:p>
          <w:p>
            <w:pPr>
              <w:pStyle w:val="TableParagraph"/>
              <w:spacing w:line="275" w:lineRule="exact"/>
              <w:ind w:left="-12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7"/>
                <w:sz w:val="21"/>
                <w:szCs w:val="21"/>
              </w:rPr>
              <w:t> </w:t>
            </w:r>
            <w:r>
              <w:rPr>
                <w:rFonts w:ascii="宋体" w:hAnsi="宋体" w:cs="宋体" w:eastAsia="宋体" w:hint="default"/>
                <w:sz w:val="21"/>
                <w:szCs w:val="21"/>
              </w:rPr>
              <w:t>方式</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1" w:right="7"/>
              <w:jc w:val="left"/>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权的时点</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98" w:right="93"/>
              <w:jc w:val="both"/>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权时点的</w:t>
            </w:r>
            <w:r>
              <w:rPr>
                <w:rFonts w:ascii="宋体" w:hAnsi="宋体" w:cs="宋体" w:eastAsia="宋体" w:hint="default"/>
                <w:w w:val="100"/>
                <w:sz w:val="21"/>
                <w:szCs w:val="21"/>
              </w:rPr>
              <w:t> </w:t>
            </w:r>
            <w:r>
              <w:rPr>
                <w:rFonts w:ascii="宋体" w:hAnsi="宋体" w:cs="宋体" w:eastAsia="宋体" w:hint="default"/>
                <w:sz w:val="21"/>
                <w:szCs w:val="21"/>
              </w:rPr>
              <w:t>确定依据</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处置价款与处</w:t>
            </w:r>
          </w:p>
          <w:p>
            <w:pPr>
              <w:pStyle w:val="TableParagraph"/>
              <w:spacing w:line="237" w:lineRule="auto" w:before="2"/>
              <w:ind w:left="28" w:right="29"/>
              <w:jc w:val="center"/>
              <w:rPr>
                <w:rFonts w:ascii="宋体" w:hAnsi="宋体" w:cs="宋体" w:eastAsia="宋体" w:hint="default"/>
                <w:sz w:val="21"/>
                <w:szCs w:val="21"/>
              </w:rPr>
            </w:pPr>
            <w:r>
              <w:rPr>
                <w:rFonts w:ascii="宋体" w:hAnsi="宋体" w:cs="宋体" w:eastAsia="宋体" w:hint="default"/>
                <w:spacing w:val="-1"/>
                <w:sz w:val="21"/>
                <w:szCs w:val="21"/>
              </w:rPr>
              <w:t>置投资对应的</w:t>
            </w:r>
            <w:r>
              <w:rPr>
                <w:rFonts w:ascii="宋体" w:hAnsi="宋体" w:cs="宋体" w:eastAsia="宋体" w:hint="default"/>
                <w:w w:val="100"/>
                <w:sz w:val="21"/>
                <w:szCs w:val="21"/>
              </w:rPr>
              <w:t> </w:t>
            </w:r>
            <w:r>
              <w:rPr>
                <w:rFonts w:ascii="宋体" w:hAnsi="宋体" w:cs="宋体" w:eastAsia="宋体" w:hint="default"/>
                <w:spacing w:val="-1"/>
                <w:sz w:val="21"/>
                <w:szCs w:val="21"/>
              </w:rPr>
              <w:t>合并财务报表</w:t>
            </w:r>
            <w:r>
              <w:rPr>
                <w:rFonts w:ascii="宋体" w:hAnsi="宋体" w:cs="宋体" w:eastAsia="宋体" w:hint="default"/>
                <w:w w:val="100"/>
                <w:sz w:val="21"/>
                <w:szCs w:val="21"/>
              </w:rPr>
              <w:t> </w:t>
            </w:r>
            <w:r>
              <w:rPr>
                <w:rFonts w:ascii="宋体" w:hAnsi="宋体" w:cs="宋体" w:eastAsia="宋体" w:hint="default"/>
                <w:spacing w:val="-1"/>
                <w:sz w:val="21"/>
                <w:szCs w:val="21"/>
              </w:rPr>
              <w:t>层面享有该子</w:t>
            </w:r>
            <w:r>
              <w:rPr>
                <w:rFonts w:ascii="宋体" w:hAnsi="宋体" w:cs="宋体" w:eastAsia="宋体" w:hint="default"/>
                <w:w w:val="100"/>
                <w:sz w:val="21"/>
                <w:szCs w:val="21"/>
              </w:rPr>
              <w:t> </w:t>
            </w:r>
            <w:r>
              <w:rPr>
                <w:rFonts w:ascii="宋体" w:hAnsi="宋体" w:cs="宋体" w:eastAsia="宋体" w:hint="default"/>
                <w:spacing w:val="-1"/>
                <w:sz w:val="21"/>
                <w:szCs w:val="21"/>
              </w:rPr>
              <w:t>公司净资产份</w:t>
            </w:r>
            <w:r>
              <w:rPr>
                <w:rFonts w:ascii="宋体" w:hAnsi="宋体" w:cs="宋体" w:eastAsia="宋体" w:hint="default"/>
                <w:w w:val="100"/>
                <w:sz w:val="21"/>
                <w:szCs w:val="21"/>
              </w:rPr>
              <w:t> </w:t>
            </w:r>
            <w:r>
              <w:rPr>
                <w:rFonts w:ascii="宋体" w:hAnsi="宋体" w:cs="宋体" w:eastAsia="宋体" w:hint="default"/>
                <w:sz w:val="21"/>
                <w:szCs w:val="21"/>
              </w:rPr>
              <w:t>额的差额</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6" w:right="23" w:firstLine="52"/>
              <w:jc w:val="both"/>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26" w:right="21"/>
              <w:jc w:val="center"/>
              <w:rPr>
                <w:rFonts w:ascii="宋体" w:hAnsi="宋体" w:cs="宋体" w:eastAsia="宋体" w:hint="default"/>
                <w:sz w:val="21"/>
                <w:szCs w:val="21"/>
              </w:rPr>
            </w:pPr>
            <w:r>
              <w:rPr>
                <w:rFonts w:ascii="宋体" w:hAnsi="宋体" w:cs="宋体" w:eastAsia="宋体" w:hint="default"/>
                <w:spacing w:val="-1"/>
                <w:sz w:val="21"/>
                <w:szCs w:val="21"/>
              </w:rPr>
              <w:t>丧失控制权之</w:t>
            </w:r>
            <w:r>
              <w:rPr>
                <w:rFonts w:ascii="宋体" w:hAnsi="宋体" w:cs="宋体" w:eastAsia="宋体" w:hint="default"/>
                <w:w w:val="100"/>
                <w:sz w:val="21"/>
                <w:szCs w:val="21"/>
              </w:rPr>
              <w:t> </w:t>
            </w:r>
            <w:r>
              <w:rPr>
                <w:rFonts w:ascii="宋体" w:hAnsi="宋体" w:cs="宋体" w:eastAsia="宋体" w:hint="default"/>
                <w:spacing w:val="-1"/>
                <w:sz w:val="21"/>
                <w:szCs w:val="21"/>
              </w:rPr>
              <w:t>日剩余股权的</w:t>
            </w:r>
            <w:r>
              <w:rPr>
                <w:rFonts w:ascii="宋体" w:hAnsi="宋体" w:cs="宋体" w:eastAsia="宋体" w:hint="default"/>
                <w:w w:val="100"/>
                <w:sz w:val="21"/>
                <w:szCs w:val="21"/>
              </w:rPr>
              <w:t> </w:t>
            </w:r>
            <w:r>
              <w:rPr>
                <w:rFonts w:ascii="宋体" w:hAnsi="宋体" w:cs="宋体" w:eastAsia="宋体" w:hint="default"/>
                <w:sz w:val="21"/>
                <w:szCs w:val="21"/>
              </w:rPr>
              <w:t>账面价值</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26" w:right="22"/>
              <w:jc w:val="center"/>
              <w:rPr>
                <w:rFonts w:ascii="宋体" w:hAnsi="宋体" w:cs="宋体" w:eastAsia="宋体" w:hint="default"/>
                <w:sz w:val="21"/>
                <w:szCs w:val="21"/>
              </w:rPr>
            </w:pPr>
            <w:r>
              <w:rPr>
                <w:rFonts w:ascii="宋体" w:hAnsi="宋体" w:cs="宋体" w:eastAsia="宋体" w:hint="default"/>
                <w:spacing w:val="-1"/>
                <w:sz w:val="21"/>
                <w:szCs w:val="21"/>
              </w:rPr>
              <w:t>丧失控制权之</w:t>
            </w:r>
            <w:r>
              <w:rPr>
                <w:rFonts w:ascii="宋体" w:hAnsi="宋体" w:cs="宋体" w:eastAsia="宋体" w:hint="default"/>
                <w:w w:val="100"/>
                <w:sz w:val="21"/>
                <w:szCs w:val="21"/>
              </w:rPr>
              <w:t> </w:t>
            </w:r>
            <w:r>
              <w:rPr>
                <w:rFonts w:ascii="宋体" w:hAnsi="宋体" w:cs="宋体" w:eastAsia="宋体" w:hint="default"/>
                <w:spacing w:val="-1"/>
                <w:sz w:val="21"/>
                <w:szCs w:val="21"/>
              </w:rPr>
              <w:t>日剩余股权的</w:t>
            </w:r>
            <w:r>
              <w:rPr>
                <w:rFonts w:ascii="宋体" w:hAnsi="宋体" w:cs="宋体" w:eastAsia="宋体" w:hint="default"/>
                <w:w w:val="100"/>
                <w:sz w:val="21"/>
                <w:szCs w:val="21"/>
              </w:rPr>
              <w:t> </w:t>
            </w:r>
            <w:r>
              <w:rPr>
                <w:rFonts w:ascii="宋体" w:hAnsi="宋体" w:cs="宋体" w:eastAsia="宋体" w:hint="default"/>
                <w:sz w:val="21"/>
                <w:szCs w:val="21"/>
              </w:rPr>
              <w:t>公允价值</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6" w:right="21"/>
              <w:jc w:val="center"/>
              <w:rPr>
                <w:rFonts w:ascii="宋体" w:hAnsi="宋体" w:cs="宋体" w:eastAsia="宋体" w:hint="default"/>
                <w:sz w:val="21"/>
                <w:szCs w:val="21"/>
              </w:rPr>
            </w:pPr>
            <w:r>
              <w:rPr>
                <w:rFonts w:ascii="宋体" w:hAnsi="宋体" w:cs="宋体" w:eastAsia="宋体" w:hint="default"/>
                <w:spacing w:val="-1"/>
                <w:sz w:val="21"/>
                <w:szCs w:val="21"/>
              </w:rPr>
              <w:t>按照公允价值</w:t>
            </w:r>
            <w:r>
              <w:rPr>
                <w:rFonts w:ascii="宋体" w:hAnsi="宋体" w:cs="宋体" w:eastAsia="宋体" w:hint="default"/>
                <w:w w:val="100"/>
                <w:sz w:val="21"/>
                <w:szCs w:val="21"/>
              </w:rPr>
              <w:t> </w:t>
            </w:r>
            <w:r>
              <w:rPr>
                <w:rFonts w:ascii="宋体" w:hAnsi="宋体" w:cs="宋体" w:eastAsia="宋体" w:hint="default"/>
                <w:spacing w:val="-1"/>
                <w:sz w:val="21"/>
                <w:szCs w:val="21"/>
              </w:rPr>
              <w:t>重新计量剩余</w:t>
            </w:r>
            <w:r>
              <w:rPr>
                <w:rFonts w:ascii="宋体" w:hAnsi="宋体" w:cs="宋体" w:eastAsia="宋体" w:hint="default"/>
                <w:w w:val="100"/>
                <w:sz w:val="21"/>
                <w:szCs w:val="21"/>
              </w:rPr>
              <w:t> </w:t>
            </w:r>
            <w:r>
              <w:rPr>
                <w:rFonts w:ascii="宋体" w:hAnsi="宋体" w:cs="宋体" w:eastAsia="宋体" w:hint="default"/>
                <w:spacing w:val="-1"/>
                <w:sz w:val="21"/>
                <w:szCs w:val="21"/>
              </w:rPr>
              <w:t>股权产生的利</w:t>
            </w:r>
            <w:r>
              <w:rPr>
                <w:rFonts w:ascii="宋体" w:hAnsi="宋体" w:cs="宋体" w:eastAsia="宋体" w:hint="default"/>
                <w:w w:val="100"/>
                <w:sz w:val="21"/>
                <w:szCs w:val="21"/>
              </w:rPr>
              <w:t> </w:t>
            </w:r>
            <w:r>
              <w:rPr>
                <w:rFonts w:ascii="宋体" w:hAnsi="宋体" w:cs="宋体" w:eastAsia="宋体" w:hint="default"/>
                <w:sz w:val="21"/>
                <w:szCs w:val="21"/>
              </w:rPr>
              <w:t>得或损失</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74" w:right="67"/>
              <w:jc w:val="both"/>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之日剩余股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权公允价值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的确定方法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及主要假设</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与原子公司</w:t>
            </w:r>
          </w:p>
          <w:p>
            <w:pPr>
              <w:pStyle w:val="TableParagraph"/>
              <w:spacing w:line="237" w:lineRule="auto" w:before="2"/>
              <w:ind w:left="57" w:right="50"/>
              <w:jc w:val="center"/>
              <w:rPr>
                <w:rFonts w:ascii="宋体" w:hAnsi="宋体" w:cs="宋体" w:eastAsia="宋体" w:hint="default"/>
                <w:sz w:val="21"/>
                <w:szCs w:val="21"/>
              </w:rPr>
            </w:pPr>
            <w:r>
              <w:rPr>
                <w:rFonts w:ascii="宋体" w:hAnsi="宋体" w:cs="宋体" w:eastAsia="宋体" w:hint="default"/>
                <w:sz w:val="21"/>
                <w:szCs w:val="21"/>
              </w:rPr>
              <w:t>股权投资相</w:t>
            </w:r>
            <w:r>
              <w:rPr>
                <w:rFonts w:ascii="宋体" w:hAnsi="宋体" w:cs="宋体" w:eastAsia="宋体" w:hint="default"/>
                <w:w w:val="100"/>
                <w:sz w:val="21"/>
                <w:szCs w:val="21"/>
              </w:rPr>
              <w:t> </w:t>
            </w:r>
            <w:r>
              <w:rPr>
                <w:rFonts w:ascii="宋体" w:hAnsi="宋体" w:cs="宋体" w:eastAsia="宋体" w:hint="default"/>
                <w:sz w:val="21"/>
                <w:szCs w:val="21"/>
              </w:rPr>
              <w:t>关的其他综</w:t>
            </w:r>
            <w:r>
              <w:rPr>
                <w:rFonts w:ascii="宋体" w:hAnsi="宋体" w:cs="宋体" w:eastAsia="宋体" w:hint="default"/>
                <w:w w:val="100"/>
                <w:sz w:val="21"/>
                <w:szCs w:val="21"/>
              </w:rPr>
              <w:t> </w:t>
            </w:r>
            <w:r>
              <w:rPr>
                <w:rFonts w:ascii="宋体" w:hAnsi="宋体" w:cs="宋体" w:eastAsia="宋体" w:hint="default"/>
                <w:sz w:val="21"/>
                <w:szCs w:val="21"/>
              </w:rPr>
              <w:t>合收益转入</w:t>
            </w:r>
            <w:r>
              <w:rPr>
                <w:rFonts w:ascii="宋体" w:hAnsi="宋体" w:cs="宋体" w:eastAsia="宋体" w:hint="default"/>
                <w:w w:val="100"/>
                <w:sz w:val="21"/>
                <w:szCs w:val="21"/>
              </w:rPr>
              <w:t> </w:t>
            </w:r>
            <w:r>
              <w:rPr>
                <w:rFonts w:ascii="宋体" w:hAnsi="宋体" w:cs="宋体" w:eastAsia="宋体" w:hint="default"/>
                <w:sz w:val="21"/>
                <w:szCs w:val="21"/>
              </w:rPr>
              <w:t>投资损益的</w:t>
            </w:r>
            <w:r>
              <w:rPr>
                <w:rFonts w:ascii="宋体" w:hAnsi="宋体" w:cs="宋体" w:eastAsia="宋体" w:hint="default"/>
                <w:w w:val="100"/>
                <w:sz w:val="21"/>
                <w:szCs w:val="21"/>
              </w:rPr>
              <w:t> </w:t>
            </w:r>
            <w:r>
              <w:rPr>
                <w:rFonts w:ascii="宋体" w:hAnsi="宋体" w:cs="宋体" w:eastAsia="宋体" w:hint="default"/>
                <w:sz w:val="21"/>
                <w:szCs w:val="21"/>
              </w:rPr>
              <w:t>金额</w:t>
            </w:r>
          </w:p>
        </w:tc>
      </w:tr>
      <w:tr>
        <w:trPr>
          <w:trHeight w:val="828"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3"/>
              <w:jc w:val="left"/>
              <w:rPr>
                <w:rFonts w:ascii="宋体" w:hAnsi="宋体" w:cs="宋体" w:eastAsia="宋体" w:hint="default"/>
                <w:sz w:val="21"/>
                <w:szCs w:val="21"/>
              </w:rPr>
            </w:pPr>
            <w:r>
              <w:rPr>
                <w:rFonts w:ascii="宋体" w:hAnsi="宋体" w:cs="宋体" w:eastAsia="宋体" w:hint="default"/>
                <w:sz w:val="21"/>
                <w:szCs w:val="21"/>
              </w:rPr>
              <w:t>杭州兴和投资</w:t>
            </w:r>
            <w:r>
              <w:rPr>
                <w:rFonts w:ascii="宋体" w:hAnsi="宋体" w:cs="宋体" w:eastAsia="宋体" w:hint="default"/>
                <w:w w:val="100"/>
                <w:sz w:val="21"/>
                <w:szCs w:val="21"/>
              </w:rPr>
              <w:t> </w:t>
            </w:r>
            <w:r>
              <w:rPr>
                <w:rFonts w:ascii="宋体" w:hAnsi="宋体" w:cs="宋体" w:eastAsia="宋体" w:hint="default"/>
                <w:sz w:val="21"/>
                <w:szCs w:val="21"/>
              </w:rPr>
              <w:t>发展有限公司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400,000,000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z w:val="21"/>
              </w:rPr>
              <w:t>100.00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出售</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2"/>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p>
            <w:pPr>
              <w:pStyle w:val="TableParagraph"/>
              <w:spacing w:line="282"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办妥工商</w:t>
            </w:r>
          </w:p>
          <w:p>
            <w:pPr>
              <w:pStyle w:val="TableParagraph"/>
              <w:spacing w:line="272" w:lineRule="exact" w:before="27"/>
              <w:ind w:right="192"/>
              <w:jc w:val="left"/>
              <w:rPr>
                <w:rFonts w:ascii="宋体" w:hAnsi="宋体" w:cs="宋体" w:eastAsia="宋体" w:hint="default"/>
                <w:sz w:val="21"/>
                <w:szCs w:val="21"/>
              </w:rPr>
            </w:pPr>
            <w:r>
              <w:rPr>
                <w:rFonts w:ascii="宋体" w:hAnsi="宋体" w:cs="宋体" w:eastAsia="宋体" w:hint="default"/>
                <w:sz w:val="21"/>
                <w:szCs w:val="21"/>
              </w:rPr>
              <w:t>变更登记</w:t>
            </w:r>
            <w:r>
              <w:rPr>
                <w:rFonts w:ascii="宋体" w:hAnsi="宋体" w:cs="宋体" w:eastAsia="宋体" w:hint="default"/>
                <w:w w:val="100"/>
                <w:sz w:val="21"/>
                <w:szCs w:val="21"/>
              </w:rPr>
              <w:t> </w:t>
            </w:r>
            <w:r>
              <w:rPr>
                <w:rFonts w:ascii="宋体" w:hAnsi="宋体" w:cs="宋体" w:eastAsia="宋体" w:hint="default"/>
                <w:sz w:val="21"/>
                <w:szCs w:val="21"/>
              </w:rPr>
              <w:t>手续</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 w:right="0"/>
              <w:jc w:val="left"/>
              <w:rPr>
                <w:rFonts w:ascii="Times New Roman" w:hAnsi="Times New Roman" w:cs="Times New Roman" w:eastAsia="Times New Roman" w:hint="default"/>
                <w:sz w:val="21"/>
                <w:szCs w:val="21"/>
              </w:rPr>
            </w:pPr>
            <w:r>
              <w:rPr>
                <w:rFonts w:ascii="Times New Roman"/>
                <w:sz w:val="21"/>
              </w:rPr>
              <w:t>170,375,132.95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0" w:right="-5"/>
              <w:jc w:val="left"/>
              <w:rPr>
                <w:rFonts w:ascii="Times New Roman" w:hAnsi="Times New Roman" w:cs="Times New Roman" w:eastAsia="Times New Roman" w:hint="default"/>
                <w:sz w:val="21"/>
                <w:szCs w:val="21"/>
              </w:rPr>
            </w:pPr>
            <w:r>
              <w:rPr>
                <w:rFonts w:ascii="Times New Roman"/>
                <w:sz w:val="21"/>
              </w:rPr>
              <w:t>146,932.15</w:t>
            </w:r>
          </w:p>
        </w:tc>
      </w:tr>
      <w:tr>
        <w:trPr>
          <w:trHeight w:val="826"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right="43"/>
              <w:jc w:val="left"/>
              <w:rPr>
                <w:rFonts w:ascii="宋体" w:hAnsi="宋体" w:cs="宋体" w:eastAsia="宋体" w:hint="default"/>
                <w:sz w:val="21"/>
                <w:szCs w:val="21"/>
              </w:rPr>
            </w:pPr>
            <w:r>
              <w:rPr>
                <w:rFonts w:ascii="宋体" w:hAnsi="宋体" w:cs="宋体" w:eastAsia="宋体" w:hint="default"/>
                <w:sz w:val="21"/>
                <w:szCs w:val="21"/>
              </w:rPr>
              <w:t>新湖期货有限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注</w:t>
            </w:r>
            <w:r>
              <w:rPr>
                <w:rFonts w:ascii="Times New Roman" w:hAnsi="Times New Roman" w:cs="Times New Roman" w:eastAsia="Times New Roman" w:hint="default"/>
                <w:spacing w:val="-1"/>
                <w:sz w:val="21"/>
                <w:szCs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z w:val="21"/>
              </w:rPr>
              <w:t>54.00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2"/>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p>
            <w:pPr>
              <w:pStyle w:val="TableParagraph"/>
              <w:spacing w:line="281"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133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25" w:right="-3"/>
              <w:jc w:val="left"/>
              <w:rPr>
                <w:rFonts w:ascii="Times New Roman" w:hAnsi="Times New Roman" w:cs="Times New Roman" w:eastAsia="Times New Roman" w:hint="default"/>
                <w:sz w:val="21"/>
                <w:szCs w:val="21"/>
              </w:rPr>
            </w:pPr>
            <w:r>
              <w:rPr>
                <w:rFonts w:ascii="Times New Roman"/>
                <w:sz w:val="21"/>
              </w:rPr>
              <w:t>37.67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3"/>
              <w:jc w:val="left"/>
              <w:rPr>
                <w:rFonts w:ascii="Times New Roman" w:hAnsi="Times New Roman" w:cs="Times New Roman" w:eastAsia="Times New Roman" w:hint="default"/>
                <w:sz w:val="21"/>
                <w:szCs w:val="21"/>
              </w:rPr>
            </w:pPr>
            <w:r>
              <w:rPr>
                <w:rFonts w:ascii="Times New Roman"/>
                <w:sz w:val="21"/>
              </w:rPr>
              <w:t>276,153,392.95</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left"/>
              <w:rPr>
                <w:rFonts w:ascii="Times New Roman" w:hAnsi="Times New Roman" w:cs="Times New Roman" w:eastAsia="Times New Roman" w:hint="default"/>
                <w:sz w:val="21"/>
                <w:szCs w:val="21"/>
              </w:rPr>
            </w:pPr>
            <w:r>
              <w:rPr>
                <w:rFonts w:ascii="Times New Roman"/>
                <w:sz w:val="21"/>
              </w:rPr>
              <w:t>454,995,785.32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3"/>
              <w:jc w:val="left"/>
              <w:rPr>
                <w:rFonts w:ascii="Times New Roman" w:hAnsi="Times New Roman" w:cs="Times New Roman" w:eastAsia="Times New Roman" w:hint="default"/>
                <w:sz w:val="21"/>
                <w:szCs w:val="21"/>
              </w:rPr>
            </w:pPr>
            <w:r>
              <w:rPr>
                <w:rFonts w:ascii="Times New Roman"/>
                <w:sz w:val="21"/>
              </w:rPr>
              <w:t>178,842,392.37</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left"/>
              <w:rPr>
                <w:rFonts w:ascii="宋体" w:hAnsi="宋体" w:cs="宋体" w:eastAsia="宋体" w:hint="default"/>
                <w:sz w:val="21"/>
                <w:szCs w:val="21"/>
              </w:rPr>
            </w:pPr>
            <w:r>
              <w:rPr>
                <w:rFonts w:ascii="宋体" w:hAnsi="宋体" w:cs="宋体" w:eastAsia="宋体" w:hint="default"/>
                <w:sz w:val="21"/>
                <w:szCs w:val="21"/>
              </w:rPr>
              <w:t>以被处置部</w:t>
            </w:r>
          </w:p>
          <w:p>
            <w:pPr>
              <w:pStyle w:val="TableParagraph"/>
              <w:spacing w:line="240" w:lineRule="auto"/>
              <w:ind w:left="2" w:right="139"/>
              <w:jc w:val="left"/>
              <w:rPr>
                <w:rFonts w:ascii="宋体" w:hAnsi="宋体" w:cs="宋体" w:eastAsia="宋体" w:hint="default"/>
                <w:sz w:val="21"/>
                <w:szCs w:val="21"/>
              </w:rPr>
            </w:pPr>
            <w:r>
              <w:rPr>
                <w:rFonts w:ascii="宋体" w:hAnsi="宋体" w:cs="宋体" w:eastAsia="宋体" w:hint="default"/>
                <w:sz w:val="21"/>
                <w:szCs w:val="21"/>
              </w:rPr>
              <w:t>分股权的处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置价款确定</w:t>
            </w:r>
          </w:p>
        </w:tc>
        <w:tc>
          <w:tcPr>
            <w:tcW w:w="1174" w:type="dxa"/>
            <w:tcBorders>
              <w:top w:val="single" w:sz="4" w:space="0" w:color="000000"/>
              <w:left w:val="single" w:sz="4" w:space="0" w:color="000000"/>
              <w:bottom w:val="single" w:sz="4" w:space="0" w:color="000000"/>
              <w:right w:val="single" w:sz="4" w:space="0" w:color="000000"/>
            </w:tcBorders>
          </w:tcPr>
          <w:p>
            <w:pPr/>
          </w:p>
        </w:tc>
      </w:tr>
    </w:tbl>
    <w:p>
      <w:pPr>
        <w:spacing w:line="241" w:lineRule="exact" w:before="0"/>
        <w:ind w:left="584" w:right="0" w:firstLine="420"/>
        <w:jc w:val="left"/>
        <w:rPr>
          <w:rFonts w:ascii="宋体" w:hAnsi="宋体" w:cs="宋体" w:eastAsia="宋体" w:hint="default"/>
          <w:sz w:val="21"/>
          <w:szCs w:val="21"/>
        </w:rPr>
      </w:pPr>
      <w:r>
        <w:rPr>
          <w:rFonts w:ascii="宋体" w:hAnsi="宋体" w:cs="宋体" w:eastAsia="宋体" w:hint="default"/>
          <w:spacing w:val="-2"/>
          <w:sz w:val="21"/>
          <w:szCs w:val="21"/>
        </w:rPr>
        <w:t>注：杭州兴和投资发展有限公司（以下简称兴和投资）持有新湖期货</w:t>
      </w:r>
      <w:r>
        <w:rPr>
          <w:rFonts w:ascii="宋体" w:hAnsi="宋体" w:cs="宋体" w:eastAsia="宋体" w:hint="default"/>
          <w:sz w:val="21"/>
          <w:szCs w:val="21"/>
        </w:rPr>
        <w:t> </w:t>
      </w:r>
      <w:r>
        <w:rPr>
          <w:rFonts w:ascii="宋体" w:hAnsi="宋体" w:cs="宋体" w:eastAsia="宋体" w:hint="default"/>
          <w:spacing w:val="-2"/>
          <w:sz w:val="21"/>
          <w:szCs w:val="21"/>
        </w:rPr>
        <w:t>54%</w:t>
      </w:r>
      <w:r>
        <w:rPr>
          <w:rFonts w:ascii="宋体" w:hAnsi="宋体" w:cs="宋体" w:eastAsia="宋体" w:hint="default"/>
          <w:spacing w:val="-2"/>
          <w:sz w:val="21"/>
          <w:szCs w:val="21"/>
        </w:rPr>
        <w:t>股权，故本期公司处置兴和投资</w:t>
      </w:r>
      <w:r>
        <w:rPr>
          <w:rFonts w:ascii="宋体" w:hAnsi="宋体" w:cs="宋体" w:eastAsia="宋体" w:hint="default"/>
          <w:spacing w:val="26"/>
          <w:sz w:val="21"/>
          <w:szCs w:val="21"/>
        </w:rPr>
        <w:t> </w:t>
      </w:r>
      <w:r>
        <w:rPr>
          <w:rFonts w:ascii="宋体" w:hAnsi="宋体" w:cs="宋体" w:eastAsia="宋体" w:hint="default"/>
          <w:spacing w:val="-2"/>
          <w:sz w:val="21"/>
          <w:szCs w:val="21"/>
        </w:rPr>
        <w:t>100%</w:t>
      </w:r>
      <w:r>
        <w:rPr>
          <w:rFonts w:ascii="宋体" w:hAnsi="宋体" w:cs="宋体" w:eastAsia="宋体" w:hint="default"/>
          <w:spacing w:val="-2"/>
          <w:sz w:val="21"/>
          <w:szCs w:val="21"/>
        </w:rPr>
        <w:t>的股权时，对新湖期货一并丧失控制</w:t>
      </w:r>
    </w:p>
    <w:p>
      <w:pPr>
        <w:spacing w:before="135"/>
        <w:ind w:left="584" w:right="0" w:firstLine="0"/>
        <w:jc w:val="left"/>
        <w:rPr>
          <w:rFonts w:ascii="宋体" w:hAnsi="宋体" w:cs="宋体" w:eastAsia="宋体" w:hint="default"/>
          <w:sz w:val="21"/>
          <w:szCs w:val="21"/>
        </w:rPr>
      </w:pPr>
      <w:r>
        <w:rPr>
          <w:rFonts w:ascii="宋体" w:hAnsi="宋体" w:cs="宋体" w:eastAsia="宋体" w:hint="default"/>
          <w:w w:val="100"/>
          <w:sz w:val="21"/>
          <w:szCs w:val="21"/>
        </w:rPr>
        <w:t>权</w:t>
      </w:r>
      <w:r>
        <w:rPr>
          <w:rFonts w:ascii="宋体" w:hAnsi="宋体" w:cs="宋体" w:eastAsia="宋体" w:hint="default"/>
          <w:spacing w:val="-101"/>
          <w:w w:val="100"/>
          <w:sz w:val="21"/>
          <w:szCs w:val="21"/>
        </w:rPr>
        <w:t>，</w:t>
      </w:r>
      <w:r>
        <w:rPr>
          <w:rFonts w:ascii="宋体" w:hAnsi="宋体" w:cs="宋体" w:eastAsia="宋体" w:hint="default"/>
          <w:w w:val="100"/>
          <w:sz w:val="21"/>
          <w:szCs w:val="21"/>
        </w:rPr>
        <w:t>同</w:t>
      </w:r>
      <w:r>
        <w:rPr>
          <w:rFonts w:ascii="宋体" w:hAnsi="宋体" w:cs="宋体" w:eastAsia="宋体" w:hint="default"/>
          <w:spacing w:val="-3"/>
          <w:w w:val="100"/>
          <w:sz w:val="21"/>
          <w:szCs w:val="21"/>
        </w:rPr>
        <w:t>时</w:t>
      </w:r>
      <w:r>
        <w:rPr>
          <w:rFonts w:ascii="宋体" w:hAnsi="宋体" w:cs="宋体" w:eastAsia="宋体" w:hint="default"/>
          <w:w w:val="100"/>
          <w:sz w:val="21"/>
          <w:szCs w:val="21"/>
        </w:rPr>
        <w:t>对新</w:t>
      </w:r>
      <w:r>
        <w:rPr>
          <w:rFonts w:ascii="宋体" w:hAnsi="宋体" w:cs="宋体" w:eastAsia="宋体" w:hint="default"/>
          <w:spacing w:val="-3"/>
          <w:w w:val="100"/>
          <w:sz w:val="21"/>
          <w:szCs w:val="21"/>
        </w:rPr>
        <w:t>湖</w:t>
      </w:r>
      <w:r>
        <w:rPr>
          <w:rFonts w:ascii="宋体" w:hAnsi="宋体" w:cs="宋体" w:eastAsia="宋体" w:hint="default"/>
          <w:w w:val="100"/>
          <w:sz w:val="21"/>
          <w:szCs w:val="21"/>
        </w:rPr>
        <w:t>期</w:t>
      </w:r>
      <w:r>
        <w:rPr>
          <w:rFonts w:ascii="宋体" w:hAnsi="宋体" w:cs="宋体" w:eastAsia="宋体" w:hint="default"/>
          <w:spacing w:val="-3"/>
          <w:w w:val="100"/>
          <w:sz w:val="21"/>
          <w:szCs w:val="21"/>
        </w:rPr>
        <w:t>货</w:t>
      </w:r>
      <w:r>
        <w:rPr>
          <w:rFonts w:ascii="宋体" w:hAnsi="宋体" w:cs="宋体" w:eastAsia="宋体" w:hint="default"/>
          <w:w w:val="100"/>
          <w:sz w:val="21"/>
          <w:szCs w:val="21"/>
        </w:rPr>
        <w:t>的</w:t>
      </w:r>
      <w:r>
        <w:rPr>
          <w:rFonts w:ascii="宋体" w:hAnsi="宋体" w:cs="宋体" w:eastAsia="宋体" w:hint="default"/>
          <w:spacing w:val="-3"/>
          <w:w w:val="100"/>
          <w:sz w:val="21"/>
          <w:szCs w:val="21"/>
        </w:rPr>
        <w:t>全资</w:t>
      </w:r>
      <w:r>
        <w:rPr>
          <w:rFonts w:ascii="宋体" w:hAnsi="宋体" w:cs="宋体" w:eastAsia="宋体" w:hint="default"/>
          <w:w w:val="100"/>
          <w:sz w:val="21"/>
          <w:szCs w:val="21"/>
        </w:rPr>
        <w:t>子公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新</w:t>
      </w:r>
      <w:r>
        <w:rPr>
          <w:rFonts w:ascii="宋体" w:hAnsi="宋体" w:cs="宋体" w:eastAsia="宋体" w:hint="default"/>
          <w:spacing w:val="-3"/>
          <w:w w:val="100"/>
          <w:sz w:val="21"/>
          <w:szCs w:val="21"/>
        </w:rPr>
        <w:t>湖</w:t>
      </w:r>
      <w:r>
        <w:rPr>
          <w:rFonts w:ascii="宋体" w:hAnsi="宋体" w:cs="宋体" w:eastAsia="宋体" w:hint="default"/>
          <w:w w:val="100"/>
          <w:sz w:val="21"/>
          <w:szCs w:val="21"/>
        </w:rPr>
        <w:t>瑞</w:t>
      </w:r>
      <w:r>
        <w:rPr>
          <w:rFonts w:ascii="宋体" w:hAnsi="宋体" w:cs="宋体" w:eastAsia="宋体" w:hint="default"/>
          <w:spacing w:val="-3"/>
          <w:w w:val="100"/>
          <w:sz w:val="21"/>
          <w:szCs w:val="21"/>
        </w:rPr>
        <w:t>丰</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服务</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101"/>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新</w:t>
      </w:r>
      <w:r>
        <w:rPr>
          <w:rFonts w:ascii="宋体" w:hAnsi="宋体" w:cs="宋体" w:eastAsia="宋体" w:hint="default"/>
          <w:spacing w:val="-3"/>
          <w:w w:val="100"/>
          <w:sz w:val="21"/>
          <w:szCs w:val="21"/>
        </w:rPr>
        <w:t>湖瑞</w:t>
      </w:r>
      <w:r>
        <w:rPr>
          <w:rFonts w:ascii="宋体" w:hAnsi="宋体" w:cs="宋体" w:eastAsia="宋体" w:hint="default"/>
          <w:w w:val="100"/>
          <w:sz w:val="21"/>
          <w:szCs w:val="21"/>
        </w:rPr>
        <w:t>丰资</w:t>
      </w:r>
      <w:r>
        <w:rPr>
          <w:rFonts w:ascii="宋体" w:hAnsi="宋体" w:cs="宋体" w:eastAsia="宋体" w:hint="default"/>
          <w:spacing w:val="-3"/>
          <w:w w:val="100"/>
          <w:sz w:val="21"/>
          <w:szCs w:val="21"/>
        </w:rPr>
        <w:t>产</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和</w:t>
      </w:r>
      <w:r>
        <w:rPr>
          <w:rFonts w:ascii="宋体" w:hAnsi="宋体" w:cs="宋体" w:eastAsia="宋体" w:hint="default"/>
          <w:spacing w:val="-3"/>
          <w:w w:val="100"/>
          <w:sz w:val="21"/>
          <w:szCs w:val="21"/>
        </w:rPr>
        <w:t>新</w:t>
      </w:r>
      <w:r>
        <w:rPr>
          <w:rFonts w:ascii="宋体" w:hAnsi="宋体" w:cs="宋体" w:eastAsia="宋体" w:hint="default"/>
          <w:w w:val="100"/>
          <w:sz w:val="21"/>
          <w:szCs w:val="21"/>
        </w:rPr>
        <w:t>湖国</w:t>
      </w:r>
      <w:r>
        <w:rPr>
          <w:rFonts w:ascii="宋体" w:hAnsi="宋体" w:cs="宋体" w:eastAsia="宋体" w:hint="default"/>
          <w:spacing w:val="-3"/>
          <w:w w:val="100"/>
          <w:sz w:val="21"/>
          <w:szCs w:val="21"/>
        </w:rPr>
        <w:t>际</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w:t>
      </w:r>
      <w:r>
        <w:rPr>
          <w:rFonts w:ascii="宋体" w:hAnsi="宋体" w:cs="宋体" w:eastAsia="宋体" w:hint="default"/>
          <w:spacing w:val="-3"/>
          <w:w w:val="100"/>
          <w:sz w:val="21"/>
          <w:szCs w:val="21"/>
        </w:rPr>
        <w:t>香</w:t>
      </w:r>
      <w:r>
        <w:rPr>
          <w:rFonts w:ascii="宋体" w:hAnsi="宋体" w:cs="宋体" w:eastAsia="宋体" w:hint="default"/>
          <w:w w:val="100"/>
          <w:sz w:val="21"/>
          <w:szCs w:val="21"/>
        </w:rPr>
        <w:t>港</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司也</w:t>
      </w:r>
      <w:r>
        <w:rPr>
          <w:rFonts w:ascii="宋体" w:hAnsi="宋体" w:cs="宋体" w:eastAsia="宋体" w:hint="default"/>
          <w:spacing w:val="-3"/>
          <w:w w:val="100"/>
          <w:sz w:val="21"/>
          <w:szCs w:val="21"/>
        </w:rPr>
        <w:t>一</w:t>
      </w:r>
      <w:r>
        <w:rPr>
          <w:rFonts w:ascii="宋体" w:hAnsi="宋体" w:cs="宋体" w:eastAsia="宋体" w:hint="default"/>
          <w:w w:val="100"/>
          <w:sz w:val="21"/>
          <w:szCs w:val="21"/>
        </w:rPr>
        <w:t>并</w:t>
      </w:r>
      <w:r>
        <w:rPr>
          <w:rFonts w:ascii="宋体" w:hAnsi="宋体" w:cs="宋体" w:eastAsia="宋体" w:hint="default"/>
          <w:spacing w:val="-3"/>
          <w:w w:val="100"/>
          <w:sz w:val="21"/>
          <w:szCs w:val="21"/>
        </w:rPr>
        <w:t>丧失控制权</w: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pStyle w:val="BodyText"/>
        <w:spacing w:line="312" w:lineRule="exact" w:before="177"/>
        <w:ind w:left="584" w:right="0"/>
        <w:jc w:val="left"/>
      </w:pPr>
      <w:r>
        <w:rPr/>
        <w:t>其他说明：</w:t>
      </w:r>
    </w:p>
    <w:p>
      <w:pPr>
        <w:pStyle w:val="BodyText"/>
        <w:spacing w:line="312" w:lineRule="exact" w:before="28"/>
        <w:ind w:left="1004" w:right="6114" w:hanging="421"/>
        <w:jc w:val="left"/>
      </w:pPr>
      <w:r>
        <w:rPr/>
        <w:t>√适用</w:t>
      </w:r>
      <w:r>
        <w:rPr>
          <w:spacing w:val="-1"/>
        </w:rPr>
        <w:t> </w:t>
      </w:r>
      <w:r>
        <w:rPr/>
        <w:t>□不适用</w:t>
      </w:r>
      <w:r>
        <w:rPr/>
        <w:t> 兴和投资股权处置情况详见本财务报表附注十二关联方及关联交易之说明。</w:t>
      </w:r>
    </w:p>
    <w:p>
      <w:pPr>
        <w:spacing w:line="240" w:lineRule="auto" w:before="4"/>
        <w:rPr>
          <w:rFonts w:ascii="宋体" w:hAnsi="宋体" w:cs="宋体" w:eastAsia="宋体" w:hint="default"/>
          <w:sz w:val="33"/>
          <w:szCs w:val="33"/>
        </w:rPr>
      </w:pPr>
    </w:p>
    <w:p>
      <w:pPr>
        <w:pStyle w:val="BodyText"/>
        <w:spacing w:line="313" w:lineRule="exact"/>
        <w:ind w:left="584" w:right="0"/>
        <w:jc w:val="left"/>
      </w:pPr>
      <w:r>
        <w:rPr/>
        <w:t>是否存在通过多次交易分步处置对子公司投资且在本期丧失控制权的情形</w:t>
      </w:r>
    </w:p>
    <w:p>
      <w:pPr>
        <w:pStyle w:val="BodyText"/>
        <w:spacing w:line="313" w:lineRule="exact"/>
        <w:ind w:left="584" w:right="0"/>
        <w:jc w:val="left"/>
      </w:pPr>
      <w:r>
        <w:rPr/>
        <w:t>□适用 √不适用</w:t>
      </w:r>
    </w:p>
    <w:p>
      <w:pPr>
        <w:spacing w:after="0" w:line="313" w:lineRule="exact"/>
        <w:jc w:val="left"/>
        <w:sectPr>
          <w:type w:val="continuous"/>
          <w:pgSz w:w="16840" w:h="11910" w:orient="landscape"/>
          <w:pgMar w:top="1000" w:bottom="280" w:left="940" w:right="840"/>
        </w:sectPr>
      </w:pPr>
    </w:p>
    <w:p>
      <w:pPr>
        <w:spacing w:line="283" w:lineRule="auto" w:before="111"/>
        <w:ind w:left="224" w:right="4954" w:firstLine="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w:t>
      </w:r>
      <w:r>
        <w:rPr>
          <w:rFonts w:ascii="宋体" w:hAnsi="宋体" w:cs="宋体" w:eastAsia="宋体" w:hint="default"/>
          <w:b/>
          <w:bCs/>
          <w:spacing w:val="-64"/>
          <w:sz w:val="24"/>
          <w:szCs w:val="24"/>
        </w:rPr>
        <w:t> </w:t>
      </w:r>
      <w:r>
        <w:rPr>
          <w:rFonts w:ascii="宋体" w:hAnsi="宋体" w:cs="宋体" w:eastAsia="宋体" w:hint="default"/>
          <w:b/>
          <w:bCs/>
          <w:sz w:val="24"/>
          <w:szCs w:val="24"/>
        </w:rPr>
        <w:t>其他原因的合并范围变动</w:t>
      </w:r>
      <w:r>
        <w:rPr>
          <w:rFonts w:ascii="宋体" w:hAnsi="宋体" w:cs="宋体" w:eastAsia="宋体" w:hint="default"/>
          <w:b/>
          <w:bCs/>
          <w:w w:val="99"/>
          <w:sz w:val="24"/>
          <w:szCs w:val="24"/>
        </w:rPr>
        <w:t> </w:t>
      </w:r>
      <w:r>
        <w:rPr>
          <w:rFonts w:ascii="宋体" w:hAnsi="宋体" w:cs="宋体" w:eastAsia="宋体" w:hint="default"/>
          <w:sz w:val="24"/>
          <w:szCs w:val="24"/>
        </w:rPr>
        <w:t>说明其他原因导致的合并范围变动（如，新设子公司、清算子公司等）及其相关情况：</w:t>
      </w:r>
    </w:p>
    <w:p>
      <w:pPr>
        <w:pStyle w:val="BodyText"/>
        <w:spacing w:line="268" w:lineRule="exact"/>
        <w:ind w:left="224" w:right="0"/>
        <w:jc w:val="left"/>
      </w:pPr>
      <w:r>
        <w:rPr/>
        <w:t>√适用</w:t>
      </w:r>
      <w:r>
        <w:rPr>
          <w:spacing w:val="-1"/>
        </w:rPr>
        <w:t> </w:t>
      </w:r>
      <w:r>
        <w:rPr/>
        <w:t>□不适用</w:t>
      </w:r>
    </w:p>
    <w:p>
      <w:pPr>
        <w:pStyle w:val="BodyText"/>
        <w:spacing w:line="313" w:lineRule="exact"/>
        <w:ind w:left="224" w:right="0"/>
        <w:jc w:val="left"/>
      </w:pPr>
      <w:r>
        <w:rPr>
          <w:rFonts w:ascii="宋体" w:hAnsi="宋体" w:cs="宋体" w:eastAsia="宋体" w:hint="default"/>
        </w:rPr>
        <w:t>1</w:t>
      </w:r>
      <w:r>
        <w:rPr/>
        <w:t>、合并范围增加</w:t>
      </w: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928"/>
        <w:gridCol w:w="1844"/>
        <w:gridCol w:w="2246"/>
        <w:gridCol w:w="2657"/>
        <w:gridCol w:w="2415"/>
      </w:tblGrid>
      <w:tr>
        <w:trPr>
          <w:trHeight w:val="47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公司名称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24"/>
                <w:szCs w:val="24"/>
              </w:rPr>
            </w:pPr>
            <w:r>
              <w:rPr>
                <w:rFonts w:ascii="宋体" w:hAnsi="宋体" w:cs="宋体" w:eastAsia="宋体" w:hint="default"/>
                <w:sz w:val="24"/>
                <w:szCs w:val="24"/>
              </w:rPr>
              <w:t>股权取得方式</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24"/>
                <w:szCs w:val="24"/>
              </w:rPr>
            </w:pPr>
            <w:r>
              <w:rPr>
                <w:rFonts w:ascii="宋体" w:hAnsi="宋体" w:cs="宋体" w:eastAsia="宋体" w:hint="default"/>
                <w:sz w:val="24"/>
                <w:szCs w:val="24"/>
              </w:rPr>
              <w:t>股权取得时点</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4"/>
                <w:szCs w:val="24"/>
              </w:rPr>
            </w:pPr>
            <w:r>
              <w:rPr>
                <w:rFonts w:ascii="宋体" w:hAnsi="宋体" w:cs="宋体" w:eastAsia="宋体" w:hint="default"/>
                <w:sz w:val="24"/>
                <w:szCs w:val="24"/>
              </w:rPr>
              <w:t>出资额</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24"/>
                <w:szCs w:val="24"/>
              </w:rPr>
            </w:pPr>
            <w:r>
              <w:rPr>
                <w:rFonts w:ascii="宋体" w:hAnsi="宋体" w:cs="宋体" w:eastAsia="宋体" w:hint="default"/>
                <w:sz w:val="24"/>
                <w:szCs w:val="24"/>
              </w:rPr>
              <w:t>出资比例（</w:t>
            </w:r>
            <w:r>
              <w:rPr>
                <w:rFonts w:ascii="宋体" w:hAnsi="宋体" w:cs="宋体" w:eastAsia="宋体" w:hint="default"/>
                <w:sz w:val="24"/>
                <w:szCs w:val="24"/>
              </w:rPr>
              <w:t>%</w:t>
            </w:r>
            <w:r>
              <w:rPr>
                <w:rFonts w:ascii="宋体" w:hAnsi="宋体" w:cs="宋体" w:eastAsia="宋体" w:hint="default"/>
                <w:sz w:val="24"/>
                <w:szCs w:val="24"/>
              </w:rPr>
              <w:t>）</w:t>
            </w:r>
          </w:p>
        </w:tc>
      </w:tr>
      <w:tr>
        <w:trPr>
          <w:trHeight w:val="47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启东新湖碧海旅游管理有限公司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hAnsi="宋体" w:cs="宋体" w:eastAsia="宋体" w:hint="default"/>
                <w:sz w:val="24"/>
                <w:szCs w:val="24"/>
              </w:rPr>
              <w:t>新设</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2017-9-20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2,000</w:t>
            </w:r>
            <w:r>
              <w:rPr>
                <w:rFonts w:ascii="宋体" w:hAnsi="宋体" w:cs="宋体" w:eastAsia="宋体" w:hint="default"/>
                <w:spacing w:val="-60"/>
                <w:sz w:val="24"/>
                <w:szCs w:val="24"/>
              </w:rPr>
              <w:t> </w:t>
            </w:r>
            <w:r>
              <w:rPr>
                <w:rFonts w:ascii="宋体" w:hAnsi="宋体" w:cs="宋体" w:eastAsia="宋体" w:hint="default"/>
                <w:sz w:val="24"/>
                <w:szCs w:val="24"/>
              </w:rPr>
              <w:t>万美元</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100</w:t>
            </w:r>
          </w:p>
        </w:tc>
      </w:tr>
      <w:tr>
        <w:trPr>
          <w:trHeight w:val="47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香港冠盛投资有限公司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hAnsi="宋体" w:cs="宋体" w:eastAsia="宋体" w:hint="default"/>
                <w:sz w:val="24"/>
                <w:szCs w:val="24"/>
              </w:rPr>
              <w:t>新设</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2017-6-23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尚未出资</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100</w:t>
            </w:r>
          </w:p>
        </w:tc>
      </w:tr>
      <w:tr>
        <w:trPr>
          <w:trHeight w:val="47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泰信控股有限公司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hAnsi="宋体" w:cs="宋体" w:eastAsia="宋体" w:hint="default"/>
                <w:sz w:val="24"/>
                <w:szCs w:val="24"/>
              </w:rPr>
              <w:t>新设</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2017-9-27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尚未出资</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100</w:t>
            </w:r>
          </w:p>
        </w:tc>
      </w:tr>
      <w:tr>
        <w:trPr>
          <w:trHeight w:val="47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泰融控股有限公司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hAnsi="宋体" w:cs="宋体" w:eastAsia="宋体" w:hint="default"/>
                <w:sz w:val="24"/>
                <w:szCs w:val="24"/>
              </w:rPr>
              <w:t>新设</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2017-9-27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尚未出资</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100</w:t>
            </w:r>
          </w:p>
        </w:tc>
      </w:tr>
      <w:tr>
        <w:trPr>
          <w:trHeight w:val="47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浙江新湖智脑投资管理合伙企业（有限合伙）</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hAnsi="宋体" w:cs="宋体" w:eastAsia="宋体" w:hint="default"/>
                <w:sz w:val="24"/>
                <w:szCs w:val="24"/>
              </w:rPr>
              <w:t>新设</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2017-11-15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尚未出资</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100</w:t>
            </w:r>
          </w:p>
        </w:tc>
      </w:tr>
      <w:tr>
        <w:trPr>
          <w:trHeight w:val="47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平阳宝瑞置业有限公司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hAnsi="宋体" w:cs="宋体" w:eastAsia="宋体" w:hint="default"/>
                <w:sz w:val="24"/>
                <w:szCs w:val="24"/>
              </w:rPr>
              <w:t>新设</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2017-10-17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尚未出资</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100</w:t>
            </w:r>
          </w:p>
        </w:tc>
      </w:tr>
      <w:tr>
        <w:trPr>
          <w:trHeight w:val="47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冠宏投资有限公司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hAnsi="宋体" w:cs="宋体" w:eastAsia="宋体" w:hint="default"/>
                <w:sz w:val="24"/>
                <w:szCs w:val="24"/>
              </w:rPr>
              <w:t>新设</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2017-12-13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尚未出资</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100</w:t>
            </w:r>
          </w:p>
        </w:tc>
      </w:tr>
    </w:tbl>
    <w:p>
      <w:pPr>
        <w:spacing w:line="240" w:lineRule="auto" w:before="10"/>
        <w:rPr>
          <w:rFonts w:ascii="宋体" w:hAnsi="宋体" w:cs="宋体" w:eastAsia="宋体" w:hint="default"/>
          <w:sz w:val="18"/>
          <w:szCs w:val="18"/>
        </w:rPr>
      </w:pPr>
    </w:p>
    <w:p>
      <w:pPr>
        <w:pStyle w:val="BodyText"/>
        <w:spacing w:line="240" w:lineRule="auto" w:before="26"/>
        <w:ind w:left="224" w:right="0"/>
        <w:jc w:val="left"/>
      </w:pPr>
      <w:r>
        <w:rPr>
          <w:rFonts w:ascii="Calibri" w:hAnsi="Calibri" w:cs="Calibri" w:eastAsia="Calibri" w:hint="default"/>
        </w:rPr>
        <w:t>2</w:t>
      </w:r>
      <w:r>
        <w:rPr/>
        <w:t>、</w:t>
      </w:r>
      <w:r>
        <w:rPr>
          <w:spacing w:val="-62"/>
        </w:rPr>
        <w:t> </w:t>
      </w:r>
      <w:r>
        <w:rPr/>
        <w:t>合并范围增加</w:t>
      </w:r>
    </w:p>
    <w:tbl>
      <w:tblPr>
        <w:tblW w:w="0" w:type="auto"/>
        <w:jc w:val="left"/>
        <w:tblInd w:w="111" w:type="dxa"/>
        <w:tblLayout w:type="fixed"/>
        <w:tblCellMar>
          <w:top w:w="0" w:type="dxa"/>
          <w:left w:w="0" w:type="dxa"/>
          <w:bottom w:w="0" w:type="dxa"/>
          <w:right w:w="0" w:type="dxa"/>
        </w:tblCellMar>
        <w:tblLook w:val="01E0"/>
      </w:tblPr>
      <w:tblGrid>
        <w:gridCol w:w="3372"/>
        <w:gridCol w:w="1947"/>
        <w:gridCol w:w="2657"/>
        <w:gridCol w:w="2657"/>
        <w:gridCol w:w="3456"/>
      </w:tblGrid>
      <w:tr>
        <w:trPr>
          <w:trHeight w:val="475" w:hRule="exact"/>
        </w:trPr>
        <w:tc>
          <w:tcPr>
            <w:tcW w:w="33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公司名称</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4"/>
                <w:szCs w:val="24"/>
              </w:rPr>
            </w:pPr>
            <w:r>
              <w:rPr>
                <w:rFonts w:ascii="宋体" w:hAnsi="宋体" w:cs="宋体" w:eastAsia="宋体" w:hint="default"/>
                <w:sz w:val="24"/>
                <w:szCs w:val="24"/>
              </w:rPr>
              <w:t>股权处置方式</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4"/>
                <w:szCs w:val="24"/>
              </w:rPr>
            </w:pPr>
            <w:r>
              <w:rPr>
                <w:rFonts w:ascii="宋体" w:hAnsi="宋体" w:cs="宋体" w:eastAsia="宋体" w:hint="default"/>
                <w:sz w:val="24"/>
                <w:szCs w:val="24"/>
              </w:rPr>
              <w:t>股权处置时点</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4"/>
                <w:szCs w:val="24"/>
              </w:rPr>
            </w:pPr>
            <w:r>
              <w:rPr>
                <w:rFonts w:ascii="宋体" w:hAnsi="宋体" w:cs="宋体" w:eastAsia="宋体" w:hint="default"/>
                <w:sz w:val="24"/>
                <w:szCs w:val="24"/>
              </w:rPr>
              <w:t>处置日净资产</w:t>
            </w:r>
          </w:p>
        </w:tc>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4"/>
                <w:szCs w:val="24"/>
              </w:rPr>
            </w:pPr>
            <w:r>
              <w:rPr>
                <w:rFonts w:ascii="宋体" w:hAnsi="宋体" w:cs="宋体" w:eastAsia="宋体" w:hint="default"/>
                <w:sz w:val="24"/>
                <w:szCs w:val="24"/>
              </w:rPr>
              <w:t>期初至处置日净利润</w:t>
            </w:r>
          </w:p>
        </w:tc>
      </w:tr>
      <w:tr>
        <w:trPr>
          <w:trHeight w:val="478" w:hRule="exact"/>
        </w:trPr>
        <w:tc>
          <w:tcPr>
            <w:tcW w:w="33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杭州新翼投资管理有限公司</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注销</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2017-12-15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sz w:val="24"/>
              </w:rPr>
              <w:t>730.62</w:t>
            </w:r>
          </w:p>
        </w:tc>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-184.08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240" w:lineRule="auto"/>
        <w:ind w:left="224" w:right="0"/>
        <w:jc w:val="left"/>
        <w:rPr>
          <w:b w:val="0"/>
          <w:bCs w:val="0"/>
        </w:rPr>
      </w:pPr>
      <w:r>
        <w:rPr>
          <w:rFonts w:ascii="宋体" w:hAnsi="宋体" w:cs="宋体" w:eastAsia="宋体" w:hint="default"/>
        </w:rPr>
        <w:t>6</w:t>
      </w:r>
      <w:r>
        <w:rPr/>
        <w:t>、</w:t>
      </w:r>
      <w:r>
        <w:rPr>
          <w:spacing w:val="-62"/>
        </w:rPr>
        <w:t> </w:t>
      </w:r>
      <w:r>
        <w:rPr/>
        <w:t>其他</w:t>
      </w:r>
      <w:r>
        <w:rPr>
          <w:b w:val="0"/>
          <w:bCs w:val="0"/>
        </w:rPr>
      </w:r>
    </w:p>
    <w:p>
      <w:pPr>
        <w:pStyle w:val="BodyText"/>
        <w:tabs>
          <w:tab w:pos="1184" w:val="left" w:leader="none"/>
        </w:tabs>
        <w:spacing w:line="240" w:lineRule="auto" w:before="58"/>
        <w:ind w:left="224" w:right="0"/>
        <w:jc w:val="left"/>
      </w:pPr>
      <w:r>
        <w:rPr/>
        <w:t>□适用</w:t>
        <w:tab/>
        <w:t>√不适用</w:t>
      </w:r>
    </w:p>
    <w:p>
      <w:pPr>
        <w:spacing w:after="0" w:line="240" w:lineRule="auto"/>
        <w:jc w:val="left"/>
        <w:sectPr>
          <w:pgSz w:w="16840" w:h="11910" w:orient="landscape"/>
          <w:pgMar w:header="882"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tabs>
          <w:tab w:pos="1917" w:val="left" w:leader="none"/>
        </w:tabs>
        <w:spacing w:line="283" w:lineRule="auto"/>
        <w:ind w:left="1078" w:right="6917"/>
        <w:jc w:val="left"/>
        <w:rPr>
          <w:b w:val="0"/>
          <w:bCs w:val="0"/>
        </w:rPr>
      </w:pPr>
      <w:r>
        <w:rPr/>
        <w:t>九、</w:t>
        <w:tab/>
        <w:t>在其他主体中的权益</w:t>
      </w:r>
      <w:r>
        <w:rPr>
          <w:w w:val="99"/>
        </w:rPr>
        <w:t> </w:t>
      </w:r>
      <w:r>
        <w:rPr>
          <w:rFonts w:ascii="宋体" w:hAnsi="宋体" w:cs="宋体" w:eastAsia="宋体" w:hint="default"/>
        </w:rPr>
        <w:t>1</w:t>
      </w:r>
      <w:r>
        <w:rPr/>
        <w:t>、</w:t>
      </w:r>
      <w:r>
        <w:rPr>
          <w:spacing w:val="-66"/>
        </w:rPr>
        <w:t> </w:t>
      </w:r>
      <w:r>
        <w:rPr/>
        <w:t>在子公司中的权益</w:t>
      </w:r>
      <w:r>
        <w:rPr>
          <w:b w:val="0"/>
          <w:bCs w:val="0"/>
        </w:rPr>
      </w:r>
    </w:p>
    <w:p>
      <w:pPr>
        <w:pStyle w:val="Heading2"/>
        <w:spacing w:line="240" w:lineRule="auto" w:before="12"/>
        <w:ind w:left="1078" w:right="6917"/>
        <w:jc w:val="left"/>
        <w:rPr>
          <w:b w:val="0"/>
          <w:bCs w:val="0"/>
        </w:rPr>
      </w:pPr>
      <w:r>
        <w:rPr>
          <w:rFonts w:ascii="宋体" w:hAnsi="宋体" w:cs="宋体" w:eastAsia="宋体" w:hint="default"/>
        </w:rPr>
        <w:t>(1).</w:t>
      </w:r>
      <w:r>
        <w:rPr>
          <w:rFonts w:ascii="宋体" w:hAnsi="宋体" w:cs="宋体" w:eastAsia="宋体" w:hint="default"/>
          <w:spacing w:val="36"/>
        </w:rPr>
        <w:t> </w:t>
      </w:r>
      <w:r>
        <w:rPr/>
        <w:t>企业集团的构成</w:t>
      </w:r>
      <w:r>
        <w:rPr>
          <w:b w:val="0"/>
          <w:bCs w:val="0"/>
        </w:rPr>
      </w:r>
    </w:p>
    <w:p>
      <w:pPr>
        <w:pStyle w:val="BodyText"/>
        <w:spacing w:line="240" w:lineRule="auto" w:before="58"/>
        <w:ind w:left="1078" w:right="6917"/>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584"/>
        <w:gridCol w:w="1138"/>
        <w:gridCol w:w="1097"/>
        <w:gridCol w:w="2245"/>
        <w:gridCol w:w="590"/>
        <w:gridCol w:w="655"/>
        <w:gridCol w:w="1472"/>
      </w:tblGrid>
      <w:tr>
        <w:trPr>
          <w:trHeight w:val="554" w:hRule="exact"/>
        </w:trPr>
        <w:tc>
          <w:tcPr>
            <w:tcW w:w="358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1469" w:right="1469"/>
              <w:jc w:val="center"/>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455" w:right="141" w:hanging="315"/>
              <w:jc w:val="left"/>
              <w:rPr>
                <w:rFonts w:ascii="宋体" w:hAnsi="宋体" w:cs="宋体" w:eastAsia="宋体" w:hint="default"/>
                <w:sz w:val="21"/>
                <w:szCs w:val="21"/>
              </w:rPr>
            </w:pPr>
            <w:r>
              <w:rPr>
                <w:rFonts w:ascii="宋体" w:hAnsi="宋体" w:cs="宋体" w:eastAsia="宋体" w:hint="default"/>
                <w:sz w:val="21"/>
                <w:szCs w:val="21"/>
              </w:rPr>
              <w:t>主要经营</w:t>
            </w:r>
            <w:r>
              <w:rPr>
                <w:rFonts w:ascii="宋体" w:hAnsi="宋体" w:cs="宋体" w:eastAsia="宋体" w:hint="default"/>
                <w:w w:val="100"/>
                <w:sz w:val="21"/>
                <w:szCs w:val="21"/>
              </w:rPr>
              <w:t> </w:t>
            </w:r>
            <w:r>
              <w:rPr>
                <w:rFonts w:ascii="宋体" w:hAnsi="宋体" w:cs="宋体" w:eastAsia="宋体" w:hint="default"/>
                <w:sz w:val="21"/>
                <w:szCs w:val="21"/>
              </w:rPr>
              <w:t>地</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22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69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73" w:lineRule="exact"/>
              <w:ind w:left="2" w:right="0"/>
              <w:jc w:val="center"/>
              <w:rPr>
                <w:rFonts w:ascii="宋体" w:hAnsi="宋体" w:cs="宋体" w:eastAsia="宋体" w:hint="default"/>
                <w:sz w:val="21"/>
                <w:szCs w:val="21"/>
              </w:rPr>
            </w:pPr>
            <w:r>
              <w:rPr>
                <w:rFonts w:ascii="宋体"/>
                <w:sz w:val="21"/>
              </w:rPr>
              <w:t>(%)</w:t>
            </w:r>
          </w:p>
        </w:tc>
        <w:tc>
          <w:tcPr>
            <w:tcW w:w="147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520" w:right="516"/>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554" w:hRule="exact"/>
        </w:trPr>
        <w:tc>
          <w:tcPr>
            <w:tcW w:w="3584"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097" w:type="dxa"/>
            <w:vMerge/>
            <w:tcBorders>
              <w:left w:val="single" w:sz="4" w:space="0" w:color="000000"/>
              <w:bottom w:val="single" w:sz="4" w:space="0" w:color="000000"/>
              <w:right w:val="single" w:sz="4" w:space="0" w:color="000000"/>
            </w:tcBorders>
          </w:tcPr>
          <w:p>
            <w:pPr/>
          </w:p>
        </w:tc>
        <w:tc>
          <w:tcPr>
            <w:tcW w:w="2245" w:type="dxa"/>
            <w:vMerge/>
            <w:tcBorders>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w w:val="100"/>
                <w:sz w:val="21"/>
                <w:szCs w:val="21"/>
              </w:rPr>
              <w:t>直</w:t>
            </w:r>
          </w:p>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w w:val="100"/>
                <w:sz w:val="21"/>
                <w:szCs w:val="21"/>
              </w:rPr>
              <w:t>接</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8"/>
              <w:jc w:val="right"/>
              <w:rPr>
                <w:rFonts w:ascii="宋体" w:hAnsi="宋体" w:cs="宋体" w:eastAsia="宋体" w:hint="default"/>
                <w:sz w:val="21"/>
                <w:szCs w:val="21"/>
              </w:rPr>
            </w:pPr>
            <w:r>
              <w:rPr>
                <w:rFonts w:ascii="宋体" w:hAnsi="宋体" w:cs="宋体" w:eastAsia="宋体" w:hint="default"/>
                <w:sz w:val="21"/>
                <w:szCs w:val="21"/>
              </w:rPr>
              <w:t>间接</w:t>
            </w:r>
          </w:p>
        </w:tc>
        <w:tc>
          <w:tcPr>
            <w:tcW w:w="1472" w:type="dxa"/>
            <w:vMerge/>
            <w:tcBorders>
              <w:left w:val="single" w:sz="4" w:space="0" w:color="000000"/>
              <w:bottom w:val="single" w:sz="4" w:space="0" w:color="000000"/>
              <w:right w:val="single" w:sz="4" w:space="0" w:color="000000"/>
            </w:tcBorders>
          </w:tcPr>
          <w:p>
            <w:pP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沈阳沈北金谷置业有限公司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沈阳青蓝装饰工程有限公司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装修、景观园林工程</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沈阳新湖明珠置业有限公司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天津新湖凯华投资有限公司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天津新湖中宝投资有限公司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655"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义乌北方（天津）国际商贸城有限公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pacing w:val="-9"/>
                <w:sz w:val="21"/>
                <w:szCs w:val="21"/>
              </w:rPr>
              <w:t>市场建设、房地产开发</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天津新湖商业管理有限公司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市场管理及服务</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天津海建市政工程有限公司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市政、装修、景观</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滨州新湖房地产开发有限公司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滨州</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滨州</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南通新湖置业有限公司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南通</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南通启阳建设开发有限公司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南通</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南通启新置业有限公司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南通</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4"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南通启仁置业有限公司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南通</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苏州充橙商业管理有限公司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吴江</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吴江</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商业管理</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上海新湖城市开发有限公司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上海新湖天虹城市开发有限公司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杭州新湖明珠置业有限公司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杭州新湖鸬鸟置业有限公司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浙江新湖海创地产发展有限公司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嘉兴新湖中房置业有限公司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嘉兴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w:t>
            </w:r>
          </w:p>
        </w:tc>
        <w:tc>
          <w:tcPr>
            <w:tcW w:w="655"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舟山新湖置业有限公司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舟山</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舟山</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55</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丽水新湖置业有限公司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丽水</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丽水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温岭新湖地产发展有限公司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温岭</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4"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乐清新湖置业有限公司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乐清</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65</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瑞安市中宝置业有限公司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瑞安</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平阳伟成置业有限公司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平阳</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平阳隆恒置业有限公司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平阳</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平阳安瑞置业有限公司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平阳</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平阳宝瑞置业有限公司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平阳</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九江新湖中宝置业有限公司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九江</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启东新湖投资开发有限公司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南通</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江海滩涂围垦</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655"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启东三水汇生态环境科技有限公司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南通</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南通</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健身</w:t>
            </w:r>
            <w:r>
              <w:rPr>
                <w:rFonts w:ascii="宋体" w:hAnsi="宋体" w:cs="宋体" w:eastAsia="宋体" w:hint="default"/>
                <w:spacing w:val="-92"/>
                <w:w w:val="100"/>
                <w:sz w:val="21"/>
                <w:szCs w:val="21"/>
              </w:rPr>
              <w:t>、</w:t>
            </w:r>
            <w:r>
              <w:rPr>
                <w:rFonts w:ascii="宋体" w:hAnsi="宋体" w:cs="宋体" w:eastAsia="宋体" w:hint="default"/>
                <w:w w:val="100"/>
                <w:sz w:val="21"/>
                <w:szCs w:val="21"/>
              </w:rPr>
              <w:t>垂</w:t>
            </w:r>
            <w:r>
              <w:rPr>
                <w:rFonts w:ascii="宋体" w:hAnsi="宋体" w:cs="宋体" w:eastAsia="宋体" w:hint="default"/>
                <w:spacing w:val="-3"/>
                <w:w w:val="100"/>
                <w:sz w:val="21"/>
                <w:szCs w:val="21"/>
              </w:rPr>
              <w:t>钓</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会</w:t>
            </w:r>
            <w:r>
              <w:rPr>
                <w:rFonts w:ascii="宋体" w:hAnsi="宋体" w:cs="宋体" w:eastAsia="宋体" w:hint="default"/>
                <w:w w:val="100"/>
                <w:sz w:val="21"/>
                <w:szCs w:val="21"/>
              </w:rPr>
              <w:t>议</w:t>
            </w:r>
            <w:r>
              <w:rPr>
                <w:rFonts w:ascii="宋体" w:hAnsi="宋体" w:cs="宋体" w:eastAsia="宋体" w:hint="default"/>
                <w:spacing w:val="-3"/>
                <w:w w:val="100"/>
                <w:sz w:val="21"/>
                <w:szCs w:val="21"/>
              </w:rPr>
              <w:t>服</w:t>
            </w:r>
            <w:r>
              <w:rPr>
                <w:rFonts w:ascii="宋体" w:hAnsi="宋体" w:cs="宋体" w:eastAsia="宋体" w:hint="default"/>
                <w:w w:val="100"/>
                <w:sz w:val="21"/>
                <w:szCs w:val="21"/>
              </w:rPr>
              <w:t>务；</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9"/>
                <w:sz w:val="21"/>
                <w:szCs w:val="21"/>
              </w:rPr>
              <w:t>农作物种植、销售、租</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赁</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启东新湖碧海旅游管理有限公司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南通</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旅游服务、餐饮服务</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上海拓驿投资管理有限公司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655"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新湖中宝投资管理有限公司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655"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3" w:lineRule="exact"/>
        <w:jc w:val="left"/>
        <w:rPr>
          <w:rFonts w:ascii="宋体" w:hAnsi="宋体" w:cs="宋体" w:eastAsia="宋体" w:hint="default"/>
          <w:sz w:val="21"/>
          <w:szCs w:val="21"/>
        </w:rPr>
        <w:sectPr>
          <w:headerReference w:type="default" r:id="rId95"/>
          <w:footerReference w:type="default" r:id="rId96"/>
          <w:pgSz w:w="11910" w:h="16840"/>
          <w:pgMar w:header="882" w:footer="1195" w:top="1120" w:bottom="1380" w:left="720" w:right="180"/>
          <w:pgNumType w:start="174"/>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3584"/>
        <w:gridCol w:w="1138"/>
        <w:gridCol w:w="1097"/>
        <w:gridCol w:w="2245"/>
        <w:gridCol w:w="590"/>
        <w:gridCol w:w="655"/>
        <w:gridCol w:w="1472"/>
      </w:tblGrid>
      <w:tr>
        <w:trPr>
          <w:trHeight w:val="284"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浙江新湖金融信息服务有限公司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金融服务</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100</w:t>
            </w:r>
          </w:p>
        </w:tc>
        <w:tc>
          <w:tcPr>
            <w:tcW w:w="655"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浙江新湖智脑投资管理合伙企业</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贵州新湖能源有限公司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毕节</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毕节</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矿产品销售、能源项目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w:t>
            </w:r>
          </w:p>
        </w:tc>
        <w:tc>
          <w:tcPr>
            <w:tcW w:w="655"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嘉兴市南湖国际教育投资有限公司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嘉兴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教育产业的投资、开发</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嘉兴南湖国际实验中学</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嘉兴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普通中学</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嘉兴市南湖区南湖国际罗马都市幼儿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园</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嘉兴</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嘉兴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学前教育</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嘉兴经济技术开发区世贸新城幼儿园</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嘉兴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教育服务</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嘉兴南湖国际教育文化交流中心</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嘉兴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教育培训</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嘉兴中宝教育科技有限公司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嘉兴</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嘉兴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教育设备的销售、售后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80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新湖影视传播有限公司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影视投资、广告、文化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教育培训等</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w:t>
            </w:r>
          </w:p>
        </w:tc>
        <w:tc>
          <w:tcPr>
            <w:tcW w:w="655"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东阳新湖艺人经纪有限公司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横店</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横店</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艺人经纪</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上海众孚实业有限公司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上海融喆投资发展有限公司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香港新湖投资有限公司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655"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泰昌投资有限公司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英属维尔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京群岛</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英属维尔</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京群岛</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香港新澳投资有限公司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655"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香港冠盛投资有限公司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澳洲兴澳投资有限公司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澳大利亚</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澳大利亚</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sz w:val="21"/>
              </w:rPr>
              <w:t>Xinhu (BVI) Holding</w:t>
            </w:r>
            <w:r>
              <w:rPr>
                <w:rFonts w:ascii="宋体"/>
                <w:spacing w:val="-3"/>
                <w:sz w:val="21"/>
              </w:rPr>
              <w:t> </w:t>
            </w:r>
            <w:r>
              <w:rPr>
                <w:rFonts w:ascii="宋体"/>
                <w:sz w:val="21"/>
              </w:rPr>
              <w:t>Company</w:t>
            </w:r>
          </w:p>
          <w:p>
            <w:pPr>
              <w:pStyle w:val="TableParagraph"/>
              <w:spacing w:line="273" w:lineRule="exact"/>
              <w:ind w:left="100" w:right="0"/>
              <w:jc w:val="left"/>
              <w:rPr>
                <w:rFonts w:ascii="宋体" w:hAnsi="宋体" w:cs="宋体" w:eastAsia="宋体" w:hint="default"/>
                <w:sz w:val="21"/>
                <w:szCs w:val="21"/>
              </w:rPr>
            </w:pPr>
            <w:r>
              <w:rPr>
                <w:rFonts w:ascii="宋体"/>
                <w:sz w:val="21"/>
              </w:rPr>
              <w:t>Limited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英属维尔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京群岛</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英属维尔</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京群岛</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7"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Xinhu (Oversea) 2017</w:t>
            </w:r>
            <w:r>
              <w:rPr>
                <w:rFonts w:ascii="宋体"/>
                <w:spacing w:val="-4"/>
                <w:sz w:val="21"/>
              </w:rPr>
              <w:t> </w:t>
            </w:r>
            <w:r>
              <w:rPr>
                <w:rFonts w:ascii="宋体"/>
                <w:sz w:val="21"/>
              </w:rPr>
              <w:t>Investment</w:t>
            </w:r>
          </w:p>
          <w:p>
            <w:pPr>
              <w:pStyle w:val="TableParagraph"/>
              <w:spacing w:line="273" w:lineRule="exact"/>
              <w:ind w:left="100" w:right="0"/>
              <w:jc w:val="left"/>
              <w:rPr>
                <w:rFonts w:ascii="宋体" w:hAnsi="宋体" w:cs="宋体" w:eastAsia="宋体" w:hint="default"/>
                <w:sz w:val="21"/>
                <w:szCs w:val="21"/>
              </w:rPr>
            </w:pPr>
            <w:r>
              <w:rPr>
                <w:rFonts w:ascii="宋体"/>
                <w:sz w:val="21"/>
              </w:rPr>
              <w:t>Company Limited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英属维尔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京群岛</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英属维尔</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京群岛</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泰信控股有限公司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开曼群岛</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开曼群岛</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泰融控股有限公司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开曼群岛</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开曼群岛</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冠宏投资有限公司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开曼群岛</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开曼群岛</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沈阳新湖房地产开发有限公司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4"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泰安新湖房地产开发有限公司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泰安</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泰安</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5"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苏州新湖置业有限公司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吴江</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吴江</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4"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上海中瀚置业有限公司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w:t>
            </w:r>
          </w:p>
        </w:tc>
        <w:tc>
          <w:tcPr>
            <w:tcW w:w="655"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4"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上海新湖房地产开发有限公司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98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4"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新湖地产集团有限公司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w:t>
            </w:r>
          </w:p>
        </w:tc>
        <w:tc>
          <w:tcPr>
            <w:tcW w:w="655"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4"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杭州新湖美丽洲置业有限公司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7"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衢州新湖房地产开发有限公司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衢州</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衢州</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5"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绍兴百大房地产有限责任公司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绍兴</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绍兴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90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10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281"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绍兴市红太阳物业管理有限公司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物业管理</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tc>
      </w:tr>
    </w:tbl>
    <w:p>
      <w:pPr>
        <w:spacing w:after="0" w:line="241" w:lineRule="exact"/>
        <w:jc w:val="left"/>
        <w:rPr>
          <w:rFonts w:ascii="宋体" w:hAnsi="宋体" w:cs="宋体" w:eastAsia="宋体" w:hint="default"/>
          <w:sz w:val="21"/>
          <w:szCs w:val="21"/>
        </w:rPr>
        <w:sectPr>
          <w:pgSz w:w="11910" w:h="16840"/>
          <w:pgMar w:header="882" w:footer="1195" w:top="1120" w:bottom="1380" w:left="720" w:right="1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3584"/>
        <w:gridCol w:w="1138"/>
        <w:gridCol w:w="1097"/>
        <w:gridCol w:w="2245"/>
        <w:gridCol w:w="590"/>
        <w:gridCol w:w="655"/>
        <w:gridCol w:w="1472"/>
      </w:tblGrid>
      <w:tr>
        <w:trPr>
          <w:trHeight w:val="284" w:hRule="exact"/>
        </w:trPr>
        <w:tc>
          <w:tcPr>
            <w:tcW w:w="358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4"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温州新湖房地产开发有限公司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温州</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温州</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90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4"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九江新湖远洲置业有限公司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九江</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九江</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70</w:t>
            </w:r>
          </w:p>
        </w:tc>
        <w:tc>
          <w:tcPr>
            <w:tcW w:w="655"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4"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上海玛宝房地产开发有限公司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7"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上海亚龙古城房地产开发有限公司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浙江新兰得置业有限公司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5"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浙江澳辰地产发展有限公司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兰溪</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兰溪</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海南满天星旅业开发有限公司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三亚</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三亚</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旅游业、房地产业</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50.5</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平阳县利得海涂围垦开发有限公司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平阳</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平阳</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海涂开发</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51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29</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丰宁承龙矿业有限公司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丰宁</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丰宁</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矿产品勘查、购销</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80</w:t>
            </w:r>
          </w:p>
        </w:tc>
        <w:tc>
          <w:tcPr>
            <w:tcW w:w="655"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浙江允升投资集团有限公司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嘉兴</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嘉兴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w:t>
            </w:r>
          </w:p>
        </w:tc>
        <w:tc>
          <w:tcPr>
            <w:tcW w:w="655"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杭州大清谷旅游开发有限公司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旅游服务</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90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5"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嘉兴新国浩商贸有限公司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嘉兴</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嘉兴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商业贸易</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7"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杭州余杭财经投资有限公司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杭州鸬鸟旅游开发有限公司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旅游资源开发</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Total Partner Global</w:t>
            </w:r>
            <w:r>
              <w:rPr>
                <w:rFonts w:ascii="宋体"/>
                <w:spacing w:val="-1"/>
                <w:sz w:val="21"/>
              </w:rPr>
              <w:t> </w:t>
            </w:r>
            <w:r>
              <w:rPr>
                <w:rFonts w:ascii="宋体"/>
                <w:sz w:val="21"/>
              </w:rPr>
              <w:t>Limited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英属维尔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京群岛</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英属维尔</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京群岛</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Summit Idea</w:t>
            </w:r>
            <w:r>
              <w:rPr>
                <w:rFonts w:ascii="宋体"/>
                <w:spacing w:val="-1"/>
                <w:sz w:val="21"/>
              </w:rPr>
              <w:t> </w:t>
            </w:r>
            <w:r>
              <w:rPr>
                <w:rFonts w:ascii="宋体"/>
                <w:sz w:val="21"/>
              </w:rPr>
              <w:t>Limited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英属维尔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京群岛</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英属维尔</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京群岛</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5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4"/>
        <w:rPr>
          <w:rFonts w:ascii="Times New Roman" w:hAnsi="Times New Roman" w:cs="Times New Roman" w:eastAsia="Times New Roman" w:hint="default"/>
          <w:sz w:val="21"/>
          <w:szCs w:val="21"/>
        </w:rPr>
      </w:pPr>
    </w:p>
    <w:p>
      <w:pPr>
        <w:pStyle w:val="BodyText"/>
        <w:spacing w:line="313" w:lineRule="exact" w:before="26"/>
        <w:ind w:left="1078" w:right="0"/>
        <w:jc w:val="left"/>
      </w:pPr>
      <w:r>
        <w:rPr/>
        <w:t>在子公司的持股比例不同于表决权比例的说明：</w:t>
      </w:r>
    </w:p>
    <w:p>
      <w:pPr>
        <w:pStyle w:val="BodyText"/>
        <w:spacing w:line="313" w:lineRule="exact"/>
        <w:ind w:left="1498" w:right="0"/>
        <w:jc w:val="left"/>
      </w:pPr>
      <w:r>
        <w:rPr>
          <w:rFonts w:ascii="宋体" w:hAnsi="宋体" w:cs="宋体" w:eastAsia="宋体" w:hint="default"/>
        </w:rPr>
        <w:t>1) </w:t>
      </w:r>
      <w:r>
        <w:rPr>
          <w:spacing w:val="2"/>
        </w:rPr>
        <w:t>本公司持股</w:t>
      </w:r>
      <w:r>
        <w:rPr>
          <w:spacing w:val="16"/>
        </w:rPr>
        <w:t> </w:t>
      </w:r>
      <w:r>
        <w:rPr>
          <w:rFonts w:ascii="宋体" w:hAnsi="宋体" w:cs="宋体" w:eastAsia="宋体" w:hint="default"/>
          <w:spacing w:val="3"/>
        </w:rPr>
        <w:t>60%</w:t>
      </w:r>
      <w:r>
        <w:rPr>
          <w:spacing w:val="3"/>
        </w:rPr>
        <w:t>的上海融喆投资发展有限公司持有瑞安市中宝置业有限公司</w:t>
      </w:r>
    </w:p>
    <w:p>
      <w:pPr>
        <w:pStyle w:val="BodyText"/>
        <w:spacing w:line="240" w:lineRule="auto" w:before="151"/>
        <w:ind w:left="1078" w:right="0"/>
        <w:jc w:val="left"/>
      </w:pPr>
      <w:r>
        <w:rPr>
          <w:rFonts w:ascii="宋体" w:hAnsi="宋体" w:cs="宋体" w:eastAsia="宋体" w:hint="default"/>
        </w:rPr>
        <w:t>100%</w:t>
      </w:r>
      <w:r>
        <w:rPr/>
        <w:t>股权，故本公司对瑞安市中宝置业有限公司的表决权比例为</w:t>
      </w:r>
      <w:r>
        <w:rPr>
          <w:spacing w:val="-60"/>
        </w:rPr>
        <w:t> </w:t>
      </w:r>
      <w:r>
        <w:rPr>
          <w:rFonts w:ascii="宋体" w:hAnsi="宋体" w:cs="宋体" w:eastAsia="宋体" w:hint="default"/>
        </w:rPr>
        <w:t>100%</w:t>
      </w:r>
      <w:r>
        <w:rPr/>
        <w:t>。</w:t>
      </w:r>
    </w:p>
    <w:p>
      <w:pPr>
        <w:pStyle w:val="BodyText"/>
        <w:spacing w:line="355" w:lineRule="auto" w:before="154"/>
        <w:ind w:left="1078" w:right="1091" w:firstLine="419"/>
        <w:jc w:val="both"/>
      </w:pPr>
      <w:r>
        <w:rPr>
          <w:rFonts w:ascii="宋体" w:hAnsi="宋体" w:cs="宋体" w:eastAsia="宋体" w:hint="default"/>
        </w:rPr>
        <w:t>2) </w:t>
      </w:r>
      <w:r>
        <w:rPr>
          <w:spacing w:val="2"/>
        </w:rPr>
        <w:t>本公司持股</w:t>
      </w:r>
      <w:r>
        <w:rPr>
          <w:spacing w:val="20"/>
        </w:rPr>
        <w:t> </w:t>
      </w:r>
      <w:r>
        <w:rPr>
          <w:rFonts w:ascii="宋体" w:hAnsi="宋体" w:cs="宋体" w:eastAsia="宋体" w:hint="default"/>
          <w:spacing w:val="3"/>
        </w:rPr>
        <w:t>80%</w:t>
      </w:r>
      <w:r>
        <w:rPr>
          <w:spacing w:val="3"/>
        </w:rPr>
        <w:t>的嘉兴南湖国际教育文化交流中心持有嘉兴中宝教育科技有</w:t>
      </w:r>
      <w:r>
        <w:rPr/>
        <w:t> 限公司</w:t>
      </w:r>
      <w:r>
        <w:rPr>
          <w:spacing w:val="-61"/>
        </w:rPr>
        <w:t> </w:t>
      </w:r>
      <w:r>
        <w:rPr>
          <w:rFonts w:ascii="宋体" w:hAnsi="宋体" w:cs="宋体" w:eastAsia="宋体" w:hint="default"/>
        </w:rPr>
        <w:t>100%</w:t>
      </w:r>
      <w:r>
        <w:rPr/>
        <w:t>股权，故本公司对嘉兴中宝教育科技有限公司的表决权比例为</w:t>
      </w:r>
      <w:r>
        <w:rPr>
          <w:spacing w:val="-59"/>
        </w:rPr>
        <w:t> </w:t>
      </w:r>
      <w:r>
        <w:rPr>
          <w:rFonts w:ascii="宋体" w:hAnsi="宋体" w:cs="宋体" w:eastAsia="宋体" w:hint="default"/>
        </w:rPr>
        <w:t>100%</w:t>
      </w:r>
      <w:r>
        <w:rPr/>
        <w:t>。</w:t>
      </w:r>
    </w:p>
    <w:p>
      <w:pPr>
        <w:pStyle w:val="BodyText"/>
        <w:spacing w:line="357" w:lineRule="auto" w:before="38"/>
        <w:ind w:left="1078" w:right="1092" w:firstLine="479"/>
        <w:jc w:val="both"/>
      </w:pPr>
      <w:r>
        <w:rPr>
          <w:rFonts w:ascii="宋体" w:hAnsi="宋体" w:cs="宋体" w:eastAsia="宋体" w:hint="default"/>
        </w:rPr>
        <w:t>3)</w:t>
      </w:r>
      <w:r>
        <w:rPr>
          <w:rFonts w:ascii="宋体" w:hAnsi="宋体" w:cs="宋体" w:eastAsia="宋体" w:hint="default"/>
          <w:spacing w:val="3"/>
        </w:rPr>
        <w:t> </w:t>
      </w:r>
      <w:r>
        <w:rPr/>
        <w:t>本公司直接持有温州新湖房地产开发有限公司</w:t>
      </w:r>
      <w:r>
        <w:rPr>
          <w:spacing w:val="-58"/>
        </w:rPr>
        <w:t> </w:t>
      </w:r>
      <w:r>
        <w:rPr>
          <w:rFonts w:ascii="宋体" w:hAnsi="宋体" w:cs="宋体" w:eastAsia="宋体" w:hint="default"/>
          <w:spacing w:val="-5"/>
        </w:rPr>
        <w:t>90%</w:t>
      </w:r>
      <w:r>
        <w:rPr>
          <w:spacing w:val="-5"/>
        </w:rPr>
        <w:t>股权，本公司持股</w:t>
      </w:r>
      <w:r>
        <w:rPr>
          <w:spacing w:val="-59"/>
        </w:rPr>
        <w:t> </w:t>
      </w:r>
      <w:r>
        <w:rPr>
          <w:rFonts w:ascii="宋体" w:hAnsi="宋体" w:cs="宋体" w:eastAsia="宋体" w:hint="default"/>
        </w:rPr>
        <w:t>98%</w:t>
      </w:r>
      <w:r>
        <w:rPr/>
        <w:t>的上 海新湖房地产开发有限公司持有温州新湖房地产开发有限公司</w:t>
      </w:r>
      <w:r>
        <w:rPr>
          <w:spacing w:val="-60"/>
        </w:rPr>
        <w:t> </w:t>
      </w:r>
      <w:r>
        <w:rPr>
          <w:rFonts w:ascii="宋体" w:hAnsi="宋体" w:cs="宋体" w:eastAsia="宋体" w:hint="default"/>
        </w:rPr>
        <w:t>10%</w:t>
      </w:r>
      <w:r>
        <w:rPr/>
        <w:t>股权，故本公司对 温州新湖房地产开发有限公司的表决权比例为</w:t>
      </w:r>
      <w:r>
        <w:rPr>
          <w:spacing w:val="-60"/>
        </w:rPr>
        <w:t> </w:t>
      </w:r>
      <w:r>
        <w:rPr>
          <w:rFonts w:ascii="宋体" w:hAnsi="宋体" w:cs="宋体" w:eastAsia="宋体" w:hint="default"/>
        </w:rPr>
        <w:t>100%</w:t>
      </w:r>
      <w:r>
        <w:rPr/>
        <w:t>。</w:t>
      </w:r>
    </w:p>
    <w:p>
      <w:pPr>
        <w:spacing w:after="0" w:line="357" w:lineRule="auto"/>
        <w:jc w:val="both"/>
        <w:sectPr>
          <w:pgSz w:w="11910" w:h="16840"/>
          <w:pgMar w:header="882" w:footer="1195" w:top="1120" w:bottom="1380" w:left="720" w:right="18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200" w:right="680"/>
        </w:sectPr>
      </w:pPr>
    </w:p>
    <w:p>
      <w:pPr>
        <w:pStyle w:val="Heading2"/>
        <w:spacing w:line="240" w:lineRule="auto"/>
        <w:ind w:left="598" w:right="-18"/>
        <w:jc w:val="left"/>
        <w:rPr>
          <w:b w:val="0"/>
          <w:bCs w:val="0"/>
        </w:rPr>
      </w:pPr>
      <w:r>
        <w:rPr>
          <w:rFonts w:ascii="宋体" w:hAnsi="宋体" w:cs="宋体" w:eastAsia="宋体" w:hint="default"/>
        </w:rPr>
        <w:t>(2).</w:t>
      </w:r>
      <w:r>
        <w:rPr>
          <w:rFonts w:ascii="宋体" w:hAnsi="宋体" w:cs="宋体" w:eastAsia="宋体" w:hint="default"/>
          <w:spacing w:val="36"/>
        </w:rPr>
        <w:t> </w:t>
      </w:r>
      <w:r>
        <w:rPr/>
        <w:t>重要的非全资子公司</w:t>
      </w:r>
      <w:r>
        <w:rPr>
          <w:b w:val="0"/>
          <w:bCs w:val="0"/>
        </w:rPr>
      </w:r>
    </w:p>
    <w:p>
      <w:pPr>
        <w:pStyle w:val="BodyText"/>
        <w:spacing w:line="240" w:lineRule="auto" w:before="58"/>
        <w:ind w:left="59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918" w:val="left" w:leader="none"/>
        </w:tabs>
        <w:spacing w:line="240" w:lineRule="auto"/>
        <w:ind w:left="598"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1910" w:h="16840"/>
          <w:pgMar w:top="1000" w:bottom="280" w:left="1200" w:right="680"/>
          <w:cols w:num="2" w:equalWidth="0">
            <w:col w:w="3410" w:space="2783"/>
            <w:col w:w="3837"/>
          </w:cols>
        </w:sectPr>
      </w:pPr>
    </w:p>
    <w:p>
      <w:pPr>
        <w:spacing w:line="240" w:lineRule="auto" w:before="10"/>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357"/>
        <w:gridCol w:w="1815"/>
        <w:gridCol w:w="1937"/>
        <w:gridCol w:w="1942"/>
        <w:gridCol w:w="1742"/>
      </w:tblGrid>
      <w:tr>
        <w:trPr>
          <w:trHeight w:val="634"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73" w:right="0"/>
              <w:jc w:val="left"/>
              <w:rPr>
                <w:rFonts w:ascii="宋体" w:hAnsi="宋体" w:cs="宋体" w:eastAsia="宋体" w:hint="default"/>
                <w:sz w:val="24"/>
                <w:szCs w:val="24"/>
              </w:rPr>
            </w:pPr>
            <w:r>
              <w:rPr>
                <w:rFonts w:ascii="宋体" w:hAnsi="宋体" w:cs="宋体" w:eastAsia="宋体" w:hint="default"/>
                <w:sz w:val="24"/>
                <w:szCs w:val="24"/>
              </w:rPr>
              <w:t>子公司名称</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少数股东持股</w:t>
            </w:r>
          </w:p>
          <w:p>
            <w:pPr>
              <w:pStyle w:val="TableParagraph"/>
              <w:spacing w:line="312" w:lineRule="exact"/>
              <w:ind w:right="2"/>
              <w:jc w:val="center"/>
              <w:rPr>
                <w:rFonts w:ascii="宋体" w:hAnsi="宋体" w:cs="宋体" w:eastAsia="宋体" w:hint="default"/>
                <w:sz w:val="24"/>
                <w:szCs w:val="24"/>
              </w:rPr>
            </w:pPr>
            <w:r>
              <w:rPr>
                <w:rFonts w:ascii="宋体" w:hAnsi="宋体" w:cs="宋体" w:eastAsia="宋体" w:hint="default"/>
                <w:sz w:val="24"/>
                <w:szCs w:val="24"/>
              </w:rPr>
              <w:t>比例（</w:t>
            </w:r>
            <w:r>
              <w:rPr>
                <w:rFonts w:ascii="宋体" w:hAnsi="宋体" w:cs="宋体" w:eastAsia="宋体" w:hint="default"/>
                <w:sz w:val="24"/>
                <w:szCs w:val="24"/>
              </w:rPr>
              <w:t>%</w:t>
            </w:r>
            <w:r>
              <w:rPr>
                <w:rFonts w:ascii="宋体" w:hAnsi="宋体" w:cs="宋体" w:eastAsia="宋体" w:hint="default"/>
                <w:sz w:val="24"/>
                <w:szCs w:val="24"/>
              </w:rPr>
              <w:t>）</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hAnsi="宋体" w:cs="宋体" w:eastAsia="宋体" w:hint="default"/>
                <w:sz w:val="24"/>
                <w:szCs w:val="24"/>
              </w:rPr>
              <w:t>本期归属于少数</w:t>
            </w:r>
          </w:p>
          <w:p>
            <w:pPr>
              <w:pStyle w:val="TableParagraph"/>
              <w:spacing w:line="312" w:lineRule="exact"/>
              <w:ind w:right="5"/>
              <w:jc w:val="center"/>
              <w:rPr>
                <w:rFonts w:ascii="宋体" w:hAnsi="宋体" w:cs="宋体" w:eastAsia="宋体" w:hint="default"/>
                <w:sz w:val="24"/>
                <w:szCs w:val="24"/>
              </w:rPr>
            </w:pPr>
            <w:r>
              <w:rPr>
                <w:rFonts w:ascii="宋体" w:hAnsi="宋体" w:cs="宋体" w:eastAsia="宋体" w:hint="default"/>
                <w:sz w:val="24"/>
                <w:szCs w:val="24"/>
              </w:rPr>
              <w:t>股东的损益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4" w:right="0"/>
              <w:jc w:val="left"/>
              <w:rPr>
                <w:rFonts w:ascii="宋体" w:hAnsi="宋体" w:cs="宋体" w:eastAsia="宋体" w:hint="default"/>
                <w:sz w:val="24"/>
                <w:szCs w:val="24"/>
              </w:rPr>
            </w:pPr>
            <w:r>
              <w:rPr>
                <w:rFonts w:ascii="宋体" w:hAnsi="宋体" w:cs="宋体" w:eastAsia="宋体" w:hint="default"/>
                <w:sz w:val="24"/>
                <w:szCs w:val="24"/>
              </w:rPr>
              <w:t>本期向少数股东</w:t>
            </w:r>
          </w:p>
          <w:p>
            <w:pPr>
              <w:pStyle w:val="TableParagraph"/>
              <w:spacing w:line="312" w:lineRule="exact"/>
              <w:ind w:left="124" w:right="0"/>
              <w:jc w:val="left"/>
              <w:rPr>
                <w:rFonts w:ascii="宋体" w:hAnsi="宋体" w:cs="宋体" w:eastAsia="宋体" w:hint="default"/>
                <w:sz w:val="24"/>
                <w:szCs w:val="24"/>
              </w:rPr>
            </w:pPr>
            <w:r>
              <w:rPr>
                <w:rFonts w:ascii="宋体" w:hAnsi="宋体" w:cs="宋体" w:eastAsia="宋体" w:hint="default"/>
                <w:sz w:val="24"/>
                <w:szCs w:val="24"/>
              </w:rPr>
              <w:t>宣告分派的股利</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 w:right="0"/>
              <w:jc w:val="center"/>
              <w:rPr>
                <w:rFonts w:ascii="宋体" w:hAnsi="宋体" w:cs="宋体" w:eastAsia="宋体" w:hint="default"/>
                <w:sz w:val="24"/>
                <w:szCs w:val="24"/>
              </w:rPr>
            </w:pPr>
            <w:r>
              <w:rPr>
                <w:rFonts w:ascii="宋体" w:hAnsi="宋体" w:cs="宋体" w:eastAsia="宋体" w:hint="default"/>
                <w:sz w:val="24"/>
                <w:szCs w:val="24"/>
              </w:rPr>
              <w:t>期末少数股东</w:t>
            </w:r>
          </w:p>
          <w:p>
            <w:pPr>
              <w:pStyle w:val="TableParagraph"/>
              <w:spacing w:line="312" w:lineRule="exact"/>
              <w:ind w:left="14" w:right="0"/>
              <w:jc w:val="center"/>
              <w:rPr>
                <w:rFonts w:ascii="宋体" w:hAnsi="宋体" w:cs="宋体" w:eastAsia="宋体" w:hint="default"/>
                <w:sz w:val="24"/>
                <w:szCs w:val="24"/>
              </w:rPr>
            </w:pPr>
            <w:r>
              <w:rPr>
                <w:rFonts w:ascii="宋体" w:hAnsi="宋体" w:cs="宋体" w:eastAsia="宋体" w:hint="default"/>
                <w:sz w:val="24"/>
                <w:szCs w:val="24"/>
              </w:rPr>
              <w:t>权益余额</w:t>
            </w:r>
          </w:p>
        </w:tc>
      </w:tr>
      <w:tr>
        <w:trPr>
          <w:trHeight w:val="634"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九江新湖远洲置业</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宋体" w:hAnsi="宋体" w:cs="宋体" w:eastAsia="宋体" w:hint="default"/>
                <w:sz w:val="24"/>
                <w:szCs w:val="24"/>
              </w:rPr>
            </w:pPr>
            <w:r>
              <w:rPr>
                <w:rFonts w:ascii="宋体"/>
                <w:sz w:val="24"/>
              </w:rPr>
              <w:t>30.00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宋体" w:hAnsi="宋体" w:cs="宋体" w:eastAsia="宋体" w:hint="default"/>
                <w:sz w:val="24"/>
                <w:szCs w:val="24"/>
              </w:rPr>
            </w:pPr>
            <w:r>
              <w:rPr>
                <w:rFonts w:ascii="宋体"/>
                <w:sz w:val="24"/>
              </w:rPr>
              <w:t>-57.79</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868" w:right="0"/>
              <w:jc w:val="left"/>
              <w:rPr>
                <w:rFonts w:ascii="宋体" w:hAnsi="宋体" w:cs="宋体" w:eastAsia="宋体" w:hint="default"/>
                <w:sz w:val="24"/>
                <w:szCs w:val="24"/>
              </w:rPr>
            </w:pPr>
            <w:r>
              <w:rPr>
                <w:rFonts w:ascii="宋体"/>
                <w:sz w:val="24"/>
              </w:rPr>
              <w:t>2,850.00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4,457.14</w:t>
            </w:r>
          </w:p>
        </w:tc>
      </w:tr>
      <w:tr>
        <w:trPr>
          <w:trHeight w:val="631"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嘉兴新湖中房置业</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宋体" w:hAnsi="宋体" w:cs="宋体" w:eastAsia="宋体" w:hint="default"/>
                <w:sz w:val="24"/>
                <w:szCs w:val="24"/>
              </w:rPr>
            </w:pPr>
            <w:r>
              <w:rPr>
                <w:rFonts w:ascii="宋体"/>
                <w:sz w:val="24"/>
              </w:rPr>
              <w:t>49.00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宋体" w:hAnsi="宋体" w:cs="宋体" w:eastAsia="宋体" w:hint="default"/>
                <w:sz w:val="24"/>
                <w:szCs w:val="24"/>
              </w:rPr>
            </w:pPr>
            <w:r>
              <w:rPr>
                <w:rFonts w:ascii="宋体"/>
                <w:sz w:val="24"/>
              </w:rPr>
              <w:t>-666.85</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11,006.36</w:t>
            </w:r>
          </w:p>
        </w:tc>
      </w:tr>
      <w:tr>
        <w:trPr>
          <w:trHeight w:val="634"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乐清新湖置业有限</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宋体" w:hAnsi="宋体" w:cs="宋体" w:eastAsia="宋体" w:hint="default"/>
                <w:sz w:val="24"/>
                <w:szCs w:val="24"/>
              </w:rPr>
            </w:pPr>
            <w:r>
              <w:rPr>
                <w:rFonts w:ascii="宋体"/>
                <w:sz w:val="24"/>
              </w:rPr>
              <w:t>35.00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宋体" w:hAnsi="宋体" w:cs="宋体" w:eastAsia="宋体" w:hint="default"/>
                <w:sz w:val="24"/>
                <w:szCs w:val="24"/>
              </w:rPr>
            </w:pPr>
            <w:r>
              <w:rPr>
                <w:rFonts w:ascii="宋体"/>
                <w:sz w:val="24"/>
              </w:rPr>
              <w:t>1,405.75</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6,249.94</w:t>
            </w:r>
          </w:p>
        </w:tc>
      </w:tr>
      <w:tr>
        <w:trPr>
          <w:trHeight w:val="631"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平阳县利得海涂围</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垦开发有限公司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宋体" w:hAnsi="宋体" w:cs="宋体" w:eastAsia="宋体" w:hint="default"/>
                <w:sz w:val="24"/>
                <w:szCs w:val="24"/>
              </w:rPr>
            </w:pPr>
            <w:r>
              <w:rPr>
                <w:rFonts w:ascii="宋体"/>
                <w:sz w:val="24"/>
              </w:rPr>
              <w:t>20.00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宋体" w:hAnsi="宋体" w:cs="宋体" w:eastAsia="宋体" w:hint="default"/>
                <w:sz w:val="24"/>
                <w:szCs w:val="24"/>
              </w:rPr>
            </w:pPr>
            <w:r>
              <w:rPr>
                <w:rFonts w:ascii="宋体"/>
                <w:sz w:val="24"/>
              </w:rPr>
              <w:t>-147.92</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36,884.64</w:t>
            </w:r>
          </w:p>
        </w:tc>
      </w:tr>
    </w:tbl>
    <w:p>
      <w:pPr>
        <w:spacing w:line="240" w:lineRule="auto" w:before="10"/>
        <w:rPr>
          <w:rFonts w:ascii="宋体" w:hAnsi="宋体" w:cs="宋体" w:eastAsia="宋体" w:hint="default"/>
          <w:sz w:val="18"/>
          <w:szCs w:val="18"/>
        </w:rPr>
      </w:pPr>
    </w:p>
    <w:p>
      <w:pPr>
        <w:pStyle w:val="BodyText"/>
        <w:spacing w:line="313" w:lineRule="exact" w:before="26"/>
        <w:ind w:left="598" w:right="794"/>
        <w:jc w:val="left"/>
      </w:pPr>
      <w:r>
        <w:rPr/>
        <w:t>子公司少数股东的持股比例不同于表决权比例的说明：</w:t>
      </w:r>
    </w:p>
    <w:p>
      <w:pPr>
        <w:pStyle w:val="BodyText"/>
        <w:spacing w:line="313" w:lineRule="exact"/>
        <w:ind w:left="598" w:right="794"/>
        <w:jc w:val="left"/>
      </w:pPr>
      <w:r>
        <w:rPr/>
        <w:t>□适用</w:t>
      </w:r>
      <w:r>
        <w:rPr>
          <w:spacing w:val="-1"/>
        </w:rPr>
        <w:t> </w:t>
      </w:r>
      <w:r>
        <w:rPr/>
        <w:t>√不适用</w:t>
      </w:r>
    </w:p>
    <w:p>
      <w:pPr>
        <w:spacing w:line="240" w:lineRule="auto" w:before="8"/>
        <w:rPr>
          <w:rFonts w:ascii="宋体" w:hAnsi="宋体" w:cs="宋体" w:eastAsia="宋体" w:hint="default"/>
          <w:sz w:val="23"/>
          <w:szCs w:val="23"/>
        </w:rPr>
      </w:pPr>
    </w:p>
    <w:p>
      <w:pPr>
        <w:spacing w:line="20" w:lineRule="exact"/>
        <w:ind w:left="59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280" w:left="1200" w:right="680"/>
        </w:sectPr>
      </w:pPr>
    </w:p>
    <w:p>
      <w:pPr>
        <w:spacing w:before="20"/>
        <w:ind w:left="7232" w:right="7258"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944"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97"/>
          <w:footerReference w:type="default" r:id="rId98"/>
          <w:pgSz w:w="16840" w:h="11910" w:orient="landscape"/>
          <w:pgMar w:header="0" w:footer="0" w:top="800" w:bottom="280" w:left="460" w:right="540"/>
        </w:sectPr>
      </w:pPr>
    </w:p>
    <w:p>
      <w:pPr>
        <w:pStyle w:val="Heading2"/>
        <w:spacing w:line="240" w:lineRule="auto"/>
        <w:ind w:left="980" w:right="-19"/>
        <w:jc w:val="left"/>
        <w:rPr>
          <w:b w:val="0"/>
          <w:bCs w:val="0"/>
        </w:rPr>
      </w:pPr>
      <w:r>
        <w:rPr>
          <w:rFonts w:ascii="宋体" w:hAnsi="宋体" w:cs="宋体" w:eastAsia="宋体" w:hint="default"/>
        </w:rPr>
        <w:t>(3).</w:t>
      </w:r>
      <w:r>
        <w:rPr>
          <w:rFonts w:ascii="宋体" w:hAnsi="宋体" w:cs="宋体" w:eastAsia="宋体" w:hint="default"/>
          <w:spacing w:val="36"/>
        </w:rPr>
        <w:t> </w:t>
      </w:r>
      <w:r>
        <w:rPr/>
        <w:t>重要非全资子公司的主要财务信息</w:t>
      </w:r>
      <w:r>
        <w:rPr>
          <w:b w:val="0"/>
          <w:bCs w:val="0"/>
        </w:rPr>
      </w:r>
    </w:p>
    <w:p>
      <w:pPr>
        <w:pStyle w:val="BodyText"/>
        <w:spacing w:line="240" w:lineRule="auto" w:before="58"/>
        <w:ind w:left="980"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2299" w:val="left" w:leader="none"/>
        </w:tabs>
        <w:spacing w:line="240" w:lineRule="auto"/>
        <w:ind w:left="980"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000" w:bottom="280" w:left="460" w:right="540"/>
          <w:cols w:num="2" w:equalWidth="0">
            <w:col w:w="5237" w:space="5997"/>
            <w:col w:w="4606"/>
          </w:cols>
        </w:sectPr>
      </w:pPr>
    </w:p>
    <w:p>
      <w:pPr>
        <w:spacing w:line="240" w:lineRule="auto" w:before="12"/>
        <w:rPr>
          <w:rFonts w:ascii="宋体" w:hAnsi="宋体" w:cs="宋体" w:eastAsia="宋体" w:hint="default"/>
          <w:sz w:val="2"/>
          <w:szCs w:val="2"/>
        </w:rPr>
      </w:pPr>
    </w:p>
    <w:tbl>
      <w:tblPr>
        <w:tblW w:w="0" w:type="auto"/>
        <w:jc w:val="left"/>
        <w:tblInd w:w="307" w:type="dxa"/>
        <w:tblLayout w:type="fixed"/>
        <w:tblCellMar>
          <w:top w:w="0" w:type="dxa"/>
          <w:left w:w="0" w:type="dxa"/>
          <w:bottom w:w="0" w:type="dxa"/>
          <w:right w:w="0" w:type="dxa"/>
        </w:tblCellMar>
        <w:tblLook w:val="01E0"/>
      </w:tblPr>
      <w:tblGrid>
        <w:gridCol w:w="1455"/>
        <w:gridCol w:w="1296"/>
        <w:gridCol w:w="936"/>
        <w:gridCol w:w="1297"/>
        <w:gridCol w:w="1116"/>
        <w:gridCol w:w="1116"/>
        <w:gridCol w:w="1116"/>
        <w:gridCol w:w="1296"/>
        <w:gridCol w:w="936"/>
        <w:gridCol w:w="1297"/>
        <w:gridCol w:w="1116"/>
        <w:gridCol w:w="1116"/>
        <w:gridCol w:w="1116"/>
      </w:tblGrid>
      <w:tr>
        <w:trPr>
          <w:trHeight w:val="250" w:hRule="exact"/>
        </w:trPr>
        <w:tc>
          <w:tcPr>
            <w:tcW w:w="145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8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8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6"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1455"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center"/>
              <w:rPr>
                <w:rFonts w:ascii="宋体" w:hAnsi="宋体" w:cs="宋体" w:eastAsia="宋体" w:hint="default"/>
                <w:sz w:val="18"/>
                <w:szCs w:val="18"/>
              </w:rPr>
            </w:pPr>
            <w:r>
              <w:rPr>
                <w:rFonts w:ascii="宋体" w:hAnsi="宋体" w:cs="宋体" w:eastAsia="宋体" w:hint="default"/>
                <w:sz w:val="18"/>
                <w:szCs w:val="18"/>
              </w:rPr>
              <w:t>非流动资</w:t>
            </w:r>
          </w:p>
          <w:p>
            <w:pPr>
              <w:pStyle w:val="TableParagraph"/>
              <w:spacing w:line="240" w:lineRule="auto"/>
              <w:ind w:left="55"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4"/>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center"/>
              <w:rPr>
                <w:rFonts w:ascii="宋体" w:hAnsi="宋体" w:cs="宋体" w:eastAsia="宋体" w:hint="default"/>
                <w:sz w:val="18"/>
                <w:szCs w:val="18"/>
              </w:rPr>
            </w:pPr>
            <w:r>
              <w:rPr>
                <w:rFonts w:ascii="宋体" w:hAnsi="宋体" w:cs="宋体" w:eastAsia="宋体" w:hint="default"/>
                <w:sz w:val="18"/>
                <w:szCs w:val="18"/>
              </w:rPr>
              <w:t>非流动资</w:t>
            </w:r>
          </w:p>
          <w:p>
            <w:pPr>
              <w:pStyle w:val="TableParagraph"/>
              <w:spacing w:line="240" w:lineRule="auto"/>
              <w:ind w:left="55"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9"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1"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475"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九江新湖远洲</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置业有限公司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23,846.90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360.90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24,207.80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9,350.68</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9,350.68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32,655.89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1,974.68</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34,630.57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10,080.82</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10,080.82</w:t>
            </w:r>
          </w:p>
        </w:tc>
      </w:tr>
      <w:tr>
        <w:trPr>
          <w:trHeight w:val="478"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嘉兴新湖中房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置业有限公司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121,147.22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5,204.90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126,352.12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103,890.17</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103,890.17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168,557.00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912.17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169,469.17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145,646.30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145,646.30</w:t>
            </w:r>
          </w:p>
        </w:tc>
      </w:tr>
      <w:tr>
        <w:trPr>
          <w:trHeight w:val="478"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乐清新湖置业</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278,404.29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4,456.56</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282,860.85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263,915.98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1,087.91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265,003.89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238,267.10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1,636.84</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239,903.94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117,063.40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109,000.00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226,063.40</w:t>
            </w:r>
          </w:p>
        </w:tc>
      </w:tr>
      <w:tr>
        <w:trPr>
          <w:trHeight w:val="710"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平阳县利得海</w:t>
            </w:r>
          </w:p>
          <w:p>
            <w:pPr>
              <w:pStyle w:val="TableParagraph"/>
              <w:spacing w:line="240" w:lineRule="auto"/>
              <w:ind w:left="103" w:right="261"/>
              <w:jc w:val="left"/>
              <w:rPr>
                <w:rFonts w:ascii="宋体" w:hAnsi="宋体" w:cs="宋体" w:eastAsia="宋体" w:hint="default"/>
                <w:sz w:val="18"/>
                <w:szCs w:val="18"/>
              </w:rPr>
            </w:pPr>
            <w:r>
              <w:rPr>
                <w:rFonts w:ascii="宋体" w:hAnsi="宋体" w:cs="宋体" w:eastAsia="宋体" w:hint="default"/>
                <w:sz w:val="18"/>
                <w:szCs w:val="18"/>
              </w:rPr>
              <w:t>涂围垦开发有 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1,005,540.61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3,237.09</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1,008,777.70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359,798.21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359,556.30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719,354.51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1,051,849.06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2,972.91</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1,054,821.97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203,284.25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466,374.92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669,659.17</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3857"/>
        <w:gridCol w:w="1400"/>
        <w:gridCol w:w="1339"/>
        <w:gridCol w:w="1486"/>
        <w:gridCol w:w="1644"/>
        <w:gridCol w:w="1417"/>
        <w:gridCol w:w="1339"/>
        <w:gridCol w:w="1486"/>
        <w:gridCol w:w="1632"/>
      </w:tblGrid>
      <w:tr>
        <w:trPr>
          <w:trHeight w:val="370" w:hRule="exact"/>
        </w:trPr>
        <w:tc>
          <w:tcPr>
            <w:tcW w:w="385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2" w:right="0"/>
              <w:jc w:val="center"/>
              <w:rPr>
                <w:rFonts w:ascii="宋体" w:hAnsi="宋体" w:cs="宋体" w:eastAsia="宋体" w:hint="default"/>
                <w:sz w:val="24"/>
                <w:szCs w:val="24"/>
              </w:rPr>
            </w:pPr>
            <w:r>
              <w:rPr>
                <w:rFonts w:ascii="宋体" w:hAnsi="宋体" w:cs="宋体" w:eastAsia="宋体" w:hint="default"/>
                <w:sz w:val="24"/>
                <w:szCs w:val="24"/>
              </w:rPr>
              <w:t>子公司名称</w:t>
            </w:r>
          </w:p>
        </w:tc>
        <w:tc>
          <w:tcPr>
            <w:tcW w:w="58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2" w:right="0"/>
              <w:jc w:val="center"/>
              <w:rPr>
                <w:rFonts w:ascii="宋体" w:hAnsi="宋体" w:cs="宋体" w:eastAsia="宋体" w:hint="default"/>
                <w:sz w:val="24"/>
                <w:szCs w:val="24"/>
              </w:rPr>
            </w:pPr>
            <w:r>
              <w:rPr>
                <w:rFonts w:ascii="宋体" w:hAnsi="宋体" w:cs="宋体" w:eastAsia="宋体" w:hint="default"/>
                <w:sz w:val="24"/>
                <w:szCs w:val="24"/>
              </w:rPr>
              <w:t>本期发生额</w:t>
            </w:r>
          </w:p>
        </w:tc>
        <w:tc>
          <w:tcPr>
            <w:tcW w:w="58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7" w:right="0"/>
              <w:jc w:val="center"/>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725" w:hRule="exact"/>
        </w:trPr>
        <w:tc>
          <w:tcPr>
            <w:tcW w:w="3857" w:type="dxa"/>
            <w:vMerge/>
            <w:tcBorders>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13"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04"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综合收益总</w:t>
            </w:r>
          </w:p>
          <w:p>
            <w:pPr>
              <w:pStyle w:val="TableParagraph"/>
              <w:spacing w:line="240" w:lineRule="auto" w:before="43"/>
              <w:ind w:right="0"/>
              <w:jc w:val="center"/>
              <w:rPr>
                <w:rFonts w:ascii="宋体" w:hAnsi="宋体" w:cs="宋体" w:eastAsia="宋体" w:hint="default"/>
                <w:sz w:val="24"/>
                <w:szCs w:val="24"/>
              </w:rPr>
            </w:pPr>
            <w:r>
              <w:rPr>
                <w:rFonts w:ascii="宋体" w:hAnsi="宋体" w:cs="宋体" w:eastAsia="宋体" w:hint="default"/>
                <w:sz w:val="24"/>
                <w:szCs w:val="24"/>
              </w:rPr>
              <w:t>额</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
              <w:jc w:val="center"/>
              <w:rPr>
                <w:rFonts w:ascii="宋体" w:hAnsi="宋体" w:cs="宋体" w:eastAsia="宋体" w:hint="default"/>
                <w:sz w:val="24"/>
                <w:szCs w:val="24"/>
              </w:rPr>
            </w:pPr>
            <w:r>
              <w:rPr>
                <w:rFonts w:ascii="宋体" w:hAnsi="宋体" w:cs="宋体" w:eastAsia="宋体" w:hint="default"/>
                <w:sz w:val="24"/>
                <w:szCs w:val="24"/>
              </w:rPr>
              <w:t>经营活动现</w:t>
            </w:r>
          </w:p>
          <w:p>
            <w:pPr>
              <w:pStyle w:val="TableParagraph"/>
              <w:spacing w:line="240" w:lineRule="auto" w:before="43"/>
              <w:ind w:right="5"/>
              <w:jc w:val="center"/>
              <w:rPr>
                <w:rFonts w:ascii="宋体" w:hAnsi="宋体" w:cs="宋体" w:eastAsia="宋体" w:hint="default"/>
                <w:sz w:val="24"/>
                <w:szCs w:val="24"/>
              </w:rPr>
            </w:pPr>
            <w:r>
              <w:rPr>
                <w:rFonts w:ascii="宋体" w:hAnsi="宋体" w:cs="宋体" w:eastAsia="宋体" w:hint="default"/>
                <w:sz w:val="24"/>
                <w:szCs w:val="24"/>
              </w:rPr>
              <w:t>金流量</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23"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02"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综合收益总</w:t>
            </w:r>
          </w:p>
          <w:p>
            <w:pPr>
              <w:pStyle w:val="TableParagraph"/>
              <w:spacing w:line="240" w:lineRule="auto" w:before="43"/>
              <w:ind w:right="0"/>
              <w:jc w:val="center"/>
              <w:rPr>
                <w:rFonts w:ascii="宋体" w:hAnsi="宋体" w:cs="宋体" w:eastAsia="宋体" w:hint="default"/>
                <w:sz w:val="24"/>
                <w:szCs w:val="24"/>
              </w:rPr>
            </w:pPr>
            <w:r>
              <w:rPr>
                <w:rFonts w:ascii="宋体" w:hAnsi="宋体" w:cs="宋体" w:eastAsia="宋体" w:hint="default"/>
                <w:sz w:val="24"/>
                <w:szCs w:val="24"/>
              </w:rPr>
              <w:t>额</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经营活动现</w:t>
            </w:r>
          </w:p>
          <w:p>
            <w:pPr>
              <w:pStyle w:val="TableParagraph"/>
              <w:spacing w:line="240" w:lineRule="auto" w:before="43"/>
              <w:ind w:right="0"/>
              <w:jc w:val="center"/>
              <w:rPr>
                <w:rFonts w:ascii="宋体" w:hAnsi="宋体" w:cs="宋体" w:eastAsia="宋体" w:hint="default"/>
                <w:sz w:val="24"/>
                <w:szCs w:val="24"/>
              </w:rPr>
            </w:pPr>
            <w:r>
              <w:rPr>
                <w:rFonts w:ascii="宋体" w:hAnsi="宋体" w:cs="宋体" w:eastAsia="宋体" w:hint="default"/>
                <w:sz w:val="24"/>
                <w:szCs w:val="24"/>
              </w:rPr>
              <w:t>金流量</w:t>
            </w:r>
          </w:p>
        </w:tc>
      </w:tr>
      <w:tr>
        <w:trPr>
          <w:trHeight w:val="367"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九江新湖远洲置业有限公司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06" w:right="0"/>
              <w:jc w:val="left"/>
              <w:rPr>
                <w:rFonts w:ascii="宋体" w:hAnsi="宋体" w:cs="宋体" w:eastAsia="宋体" w:hint="default"/>
                <w:sz w:val="24"/>
                <w:szCs w:val="24"/>
              </w:rPr>
            </w:pPr>
            <w:r>
              <w:rPr>
                <w:rFonts w:ascii="宋体"/>
                <w:sz w:val="24"/>
              </w:rPr>
              <w:t>15,847.56</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-192.62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-192.62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3"/>
              <w:jc w:val="right"/>
              <w:rPr>
                <w:rFonts w:ascii="宋体" w:hAnsi="宋体" w:cs="宋体" w:eastAsia="宋体" w:hint="default"/>
                <w:sz w:val="24"/>
                <w:szCs w:val="24"/>
              </w:rPr>
            </w:pPr>
            <w:r>
              <w:rPr>
                <w:rFonts w:ascii="宋体"/>
                <w:sz w:val="24"/>
              </w:rPr>
              <w:t>9,883.82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21,067.94</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3,466.82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3,466.82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9,525.53</w:t>
            </w:r>
          </w:p>
        </w:tc>
      </w:tr>
      <w:tr>
        <w:trPr>
          <w:trHeight w:val="370"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4"/>
                <w:szCs w:val="24"/>
              </w:rPr>
            </w:pPr>
            <w:r>
              <w:rPr>
                <w:rFonts w:ascii="宋体" w:hAnsi="宋体" w:cs="宋体" w:eastAsia="宋体" w:hint="default"/>
                <w:sz w:val="24"/>
                <w:szCs w:val="24"/>
              </w:rPr>
              <w:t>嘉兴新湖中房置业有限公司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06" w:right="0"/>
              <w:jc w:val="left"/>
              <w:rPr>
                <w:rFonts w:ascii="宋体" w:hAnsi="宋体" w:cs="宋体" w:eastAsia="宋体" w:hint="default"/>
                <w:sz w:val="24"/>
                <w:szCs w:val="24"/>
              </w:rPr>
            </w:pPr>
            <w:r>
              <w:rPr>
                <w:rFonts w:ascii="宋体"/>
                <w:sz w:val="24"/>
              </w:rPr>
              <w:t>70,579.11</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101"/>
              <w:jc w:val="right"/>
              <w:rPr>
                <w:rFonts w:ascii="宋体" w:hAnsi="宋体" w:cs="宋体" w:eastAsia="宋体" w:hint="default"/>
                <w:sz w:val="24"/>
                <w:szCs w:val="24"/>
              </w:rPr>
            </w:pPr>
            <w:r>
              <w:rPr>
                <w:rFonts w:ascii="宋体"/>
                <w:sz w:val="24"/>
              </w:rPr>
              <w:t>-1,360.91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101"/>
              <w:jc w:val="right"/>
              <w:rPr>
                <w:rFonts w:ascii="宋体" w:hAnsi="宋体" w:cs="宋体" w:eastAsia="宋体" w:hint="default"/>
                <w:sz w:val="24"/>
                <w:szCs w:val="24"/>
              </w:rPr>
            </w:pPr>
            <w:r>
              <w:rPr>
                <w:rFonts w:ascii="宋体"/>
                <w:sz w:val="24"/>
              </w:rPr>
              <w:t>-1,360.91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103"/>
              <w:jc w:val="right"/>
              <w:rPr>
                <w:rFonts w:ascii="宋体" w:hAnsi="宋体" w:cs="宋体" w:eastAsia="宋体" w:hint="default"/>
                <w:sz w:val="24"/>
                <w:szCs w:val="24"/>
              </w:rPr>
            </w:pPr>
            <w:r>
              <w:rPr>
                <w:rFonts w:ascii="宋体"/>
                <w:sz w:val="24"/>
              </w:rPr>
              <w:t>13,846.65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101"/>
              <w:jc w:val="right"/>
              <w:rPr>
                <w:rFonts w:ascii="宋体" w:hAnsi="宋体" w:cs="宋体" w:eastAsia="宋体" w:hint="default"/>
                <w:sz w:val="24"/>
                <w:szCs w:val="24"/>
              </w:rPr>
            </w:pPr>
            <w:r>
              <w:rPr>
                <w:rFonts w:ascii="宋体"/>
                <w:sz w:val="24"/>
              </w:rPr>
              <w:t>81,537.51</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101"/>
              <w:jc w:val="right"/>
              <w:rPr>
                <w:rFonts w:ascii="宋体" w:hAnsi="宋体" w:cs="宋体" w:eastAsia="宋体" w:hint="default"/>
                <w:sz w:val="24"/>
                <w:szCs w:val="24"/>
              </w:rPr>
            </w:pPr>
            <w:r>
              <w:rPr>
                <w:rFonts w:ascii="宋体"/>
                <w:sz w:val="24"/>
              </w:rPr>
              <w:t>12,196.34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101"/>
              <w:jc w:val="right"/>
              <w:rPr>
                <w:rFonts w:ascii="宋体" w:hAnsi="宋体" w:cs="宋体" w:eastAsia="宋体" w:hint="default"/>
                <w:sz w:val="24"/>
                <w:szCs w:val="24"/>
              </w:rPr>
            </w:pPr>
            <w:r>
              <w:rPr>
                <w:rFonts w:ascii="宋体"/>
                <w:sz w:val="24"/>
              </w:rPr>
              <w:t>12,196.34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101"/>
              <w:jc w:val="right"/>
              <w:rPr>
                <w:rFonts w:ascii="宋体" w:hAnsi="宋体" w:cs="宋体" w:eastAsia="宋体" w:hint="default"/>
                <w:sz w:val="24"/>
                <w:szCs w:val="24"/>
              </w:rPr>
            </w:pPr>
            <w:r>
              <w:rPr>
                <w:rFonts w:ascii="宋体"/>
                <w:sz w:val="24"/>
              </w:rPr>
              <w:t>83,738.96</w:t>
            </w:r>
          </w:p>
        </w:tc>
      </w:tr>
      <w:tr>
        <w:trPr>
          <w:trHeight w:val="367"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乐清新湖置业有限公司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06" w:right="0"/>
              <w:jc w:val="left"/>
              <w:rPr>
                <w:rFonts w:ascii="宋体" w:hAnsi="宋体" w:cs="宋体" w:eastAsia="宋体" w:hint="default"/>
                <w:sz w:val="24"/>
                <w:szCs w:val="24"/>
              </w:rPr>
            </w:pPr>
            <w:r>
              <w:rPr>
                <w:rFonts w:ascii="宋体"/>
                <w:sz w:val="24"/>
              </w:rPr>
              <w:t>29,648.19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4,016.42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4,016.42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3"/>
              <w:jc w:val="right"/>
              <w:rPr>
                <w:rFonts w:ascii="宋体" w:hAnsi="宋体" w:cs="宋体" w:eastAsia="宋体" w:hint="default"/>
                <w:sz w:val="24"/>
                <w:szCs w:val="24"/>
              </w:rPr>
            </w:pPr>
            <w:r>
              <w:rPr>
                <w:rFonts w:ascii="宋体"/>
                <w:sz w:val="24"/>
              </w:rPr>
              <w:t>164,765.64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188,359.89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11,337.62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11,337.62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51,033.06</w:t>
            </w:r>
          </w:p>
        </w:tc>
      </w:tr>
      <w:tr>
        <w:trPr>
          <w:trHeight w:val="370"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平阳县利得海涂围垦开发有限公司</w:t>
            </w:r>
          </w:p>
        </w:tc>
        <w:tc>
          <w:tcPr>
            <w:tcW w:w="140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-739.61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-739.61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3"/>
              <w:jc w:val="right"/>
              <w:rPr>
                <w:rFonts w:ascii="宋体" w:hAnsi="宋体" w:cs="宋体" w:eastAsia="宋体" w:hint="default"/>
                <w:sz w:val="24"/>
                <w:szCs w:val="24"/>
              </w:rPr>
            </w:pPr>
            <w:r>
              <w:rPr>
                <w:rFonts w:ascii="宋体"/>
                <w:sz w:val="24"/>
              </w:rPr>
              <w:t>92,403.25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-729.01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-729.01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-11,835.09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63"/>
        <w:ind w:left="7232" w:right="7236" w:firstLine="0"/>
        <w:jc w:val="center"/>
        <w:rPr>
          <w:rFonts w:ascii="Calibri" w:hAnsi="Calibri" w:cs="Calibri" w:eastAsia="Calibri" w:hint="default"/>
          <w:sz w:val="18"/>
          <w:szCs w:val="18"/>
        </w:rPr>
      </w:pPr>
      <w:r>
        <w:rPr>
          <w:rFonts w:ascii="Calibri"/>
          <w:b/>
          <w:sz w:val="18"/>
        </w:rPr>
        <w:t>178 </w:t>
      </w:r>
      <w:r>
        <w:rPr>
          <w:rFonts w:ascii="Calibri"/>
          <w:sz w:val="18"/>
        </w:rPr>
        <w:t>/</w:t>
      </w:r>
      <w:r>
        <w:rPr>
          <w:rFonts w:ascii="Calibri"/>
          <w:spacing w:val="-5"/>
          <w:sz w:val="18"/>
        </w:rPr>
        <w:t> </w:t>
      </w:r>
      <w:r>
        <w:rPr>
          <w:rFonts w:ascii="Calibri"/>
          <w:b/>
          <w:sz w:val="18"/>
        </w:rPr>
        <w:t>221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000" w:bottom="280" w:left="460" w:right="54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3"/>
        <w:rPr>
          <w:rFonts w:ascii="Calibri" w:hAnsi="Calibri" w:cs="Calibri" w:eastAsia="Calibri" w:hint="default"/>
          <w:b/>
          <w:bCs/>
          <w:sz w:val="23"/>
          <w:szCs w:val="23"/>
        </w:rPr>
      </w:pPr>
    </w:p>
    <w:p>
      <w:pPr>
        <w:pStyle w:val="Heading2"/>
        <w:spacing w:line="240" w:lineRule="auto"/>
        <w:ind w:left="818" w:right="0"/>
        <w:jc w:val="left"/>
        <w:rPr>
          <w:b w:val="0"/>
          <w:bCs w:val="0"/>
        </w:rPr>
      </w:pPr>
      <w:r>
        <w:rPr>
          <w:rFonts w:ascii="宋体" w:hAnsi="宋体" w:cs="宋体" w:eastAsia="宋体" w:hint="default"/>
        </w:rPr>
        <w:t>(4).</w:t>
      </w:r>
      <w:r>
        <w:rPr>
          <w:rFonts w:ascii="宋体" w:hAnsi="宋体" w:cs="宋体" w:eastAsia="宋体" w:hint="default"/>
          <w:spacing w:val="33"/>
        </w:rPr>
        <w:t> </w:t>
      </w:r>
      <w:r>
        <w:rPr/>
        <w:t>使用企业集团资产和清偿企业集团债务的重大限制：</w:t>
      </w:r>
      <w:r>
        <w:rPr>
          <w:b w:val="0"/>
          <w:bCs w:val="0"/>
        </w:rPr>
      </w:r>
    </w:p>
    <w:p>
      <w:pPr>
        <w:pStyle w:val="BodyText"/>
        <w:spacing w:line="240" w:lineRule="auto" w:before="55"/>
        <w:ind w:left="818" w:right="0"/>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818" w:right="0"/>
        <w:jc w:val="left"/>
        <w:rPr>
          <w:b w:val="0"/>
          <w:bCs w:val="0"/>
        </w:rPr>
      </w:pPr>
      <w:r>
        <w:rPr>
          <w:rFonts w:ascii="宋体" w:hAnsi="宋体" w:cs="宋体" w:eastAsia="宋体" w:hint="default"/>
        </w:rPr>
        <w:t>(5).</w:t>
      </w:r>
      <w:r>
        <w:rPr>
          <w:rFonts w:ascii="宋体" w:hAnsi="宋体" w:cs="宋体" w:eastAsia="宋体" w:hint="default"/>
          <w:spacing w:val="32"/>
        </w:rPr>
        <w:t> </w:t>
      </w:r>
      <w:r>
        <w:rPr/>
        <w:t>向纳入合并财务报表范围的结构化主体提供的财务支持或其他支持：</w:t>
      </w:r>
      <w:r>
        <w:rPr>
          <w:b w:val="0"/>
          <w:bCs w:val="0"/>
        </w:rPr>
      </w:r>
    </w:p>
    <w:p>
      <w:pPr>
        <w:pStyle w:val="BodyText"/>
        <w:tabs>
          <w:tab w:pos="1777" w:val="left" w:leader="none"/>
        </w:tabs>
        <w:spacing w:line="240" w:lineRule="auto" w:before="58"/>
        <w:ind w:left="818" w:right="0"/>
        <w:jc w:val="left"/>
      </w:pPr>
      <w:r>
        <w:rPr>
          <w:spacing w:val="-1"/>
        </w:rPr>
        <w:t>□适用</w:t>
        <w:tab/>
      </w:r>
      <w:r>
        <w:rPr/>
        <w:t>√不适用</w:t>
      </w:r>
    </w:p>
    <w:p>
      <w:pPr>
        <w:spacing w:line="240" w:lineRule="auto" w:before="1"/>
        <w:rPr>
          <w:rFonts w:ascii="宋体" w:hAnsi="宋体" w:cs="宋体" w:eastAsia="宋体" w:hint="default"/>
          <w:sz w:val="28"/>
          <w:szCs w:val="28"/>
        </w:rPr>
      </w:pPr>
    </w:p>
    <w:p>
      <w:pPr>
        <w:pStyle w:val="Heading2"/>
        <w:spacing w:line="240" w:lineRule="auto" w:before="0"/>
        <w:ind w:left="818" w:right="0"/>
        <w:jc w:val="left"/>
        <w:rPr>
          <w:b w:val="0"/>
          <w:bCs w:val="0"/>
        </w:rPr>
      </w:pPr>
      <w:r>
        <w:rPr>
          <w:rFonts w:ascii="宋体" w:hAnsi="宋体" w:cs="宋体" w:eastAsia="宋体" w:hint="default"/>
        </w:rPr>
        <w:t>2</w:t>
      </w:r>
      <w:r>
        <w:rPr/>
        <w:t>、</w:t>
      </w:r>
      <w:r>
        <w:rPr>
          <w:spacing w:val="-69"/>
        </w:rPr>
        <w:t> </w:t>
      </w:r>
      <w:r>
        <w:rPr/>
        <w:t>在子公司的所有者权益份额发生变化且仍控制子公司的交易</w:t>
      </w:r>
      <w:r>
        <w:rPr>
          <w:b w:val="0"/>
          <w:bCs w:val="0"/>
        </w:rPr>
      </w:r>
    </w:p>
    <w:p>
      <w:pPr>
        <w:pStyle w:val="BodyText"/>
        <w:spacing w:line="240" w:lineRule="auto" w:before="58"/>
        <w:ind w:left="818" w:right="0"/>
        <w:jc w:val="left"/>
      </w:pPr>
      <w:r>
        <w:rPr/>
        <w:t>√适用</w:t>
      </w:r>
      <w:r>
        <w:rPr>
          <w:spacing w:val="-1"/>
        </w:rPr>
        <w:t> </w:t>
      </w:r>
      <w:r>
        <w:rPr/>
        <w:t>□不适用</w:t>
      </w:r>
    </w:p>
    <w:p>
      <w:pPr>
        <w:pStyle w:val="Heading2"/>
        <w:tabs>
          <w:tab w:pos="1657" w:val="left" w:leader="none"/>
        </w:tabs>
        <w:spacing w:line="240" w:lineRule="auto" w:before="55"/>
        <w:ind w:left="818" w:right="0"/>
        <w:jc w:val="left"/>
        <w:rPr>
          <w:b w:val="0"/>
          <w:bCs w:val="0"/>
        </w:rPr>
      </w:pPr>
      <w:r>
        <w:rPr>
          <w:rFonts w:ascii="宋体" w:hAnsi="宋体" w:cs="宋体" w:eastAsia="宋体" w:hint="default"/>
        </w:rPr>
        <w:t>(1).</w:t>
        <w:tab/>
      </w:r>
      <w:r>
        <w:rPr/>
        <w:t>在子公司所有者权益份额的变化情况的说明：</w:t>
      </w:r>
      <w:r>
        <w:rPr>
          <w:b w:val="0"/>
          <w:bCs w:val="0"/>
        </w:rPr>
      </w:r>
    </w:p>
    <w:p>
      <w:pPr>
        <w:pStyle w:val="BodyText"/>
        <w:tabs>
          <w:tab w:pos="1777" w:val="left" w:leader="none"/>
        </w:tabs>
        <w:spacing w:line="240" w:lineRule="auto" w:before="58"/>
        <w:ind w:left="818" w:right="0"/>
        <w:jc w:val="left"/>
      </w:pPr>
      <w:r>
        <w:rPr>
          <w:spacing w:val="-1"/>
        </w:rPr>
        <w:t>√适用</w:t>
        <w:tab/>
      </w:r>
      <w:r>
        <w:rPr/>
        <w:t>□不适用</w:t>
      </w:r>
    </w:p>
    <w:p>
      <w:pPr>
        <w:spacing w:line="240" w:lineRule="auto" w:before="8"/>
        <w:rPr>
          <w:rFonts w:ascii="宋体" w:hAnsi="宋体" w:cs="宋体" w:eastAsia="宋体" w:hint="default"/>
          <w:sz w:val="26"/>
          <w:szCs w:val="26"/>
        </w:rPr>
      </w:pPr>
    </w:p>
    <w:tbl>
      <w:tblPr>
        <w:tblW w:w="0" w:type="auto"/>
        <w:jc w:val="left"/>
        <w:tblInd w:w="705" w:type="dxa"/>
        <w:tblLayout w:type="fixed"/>
        <w:tblCellMar>
          <w:top w:w="0" w:type="dxa"/>
          <w:left w:w="0" w:type="dxa"/>
          <w:bottom w:w="0" w:type="dxa"/>
          <w:right w:w="0" w:type="dxa"/>
        </w:tblCellMar>
        <w:tblLook w:val="01E0"/>
      </w:tblPr>
      <w:tblGrid>
        <w:gridCol w:w="2453"/>
        <w:gridCol w:w="2199"/>
        <w:gridCol w:w="2199"/>
        <w:gridCol w:w="2199"/>
      </w:tblGrid>
      <w:tr>
        <w:trPr>
          <w:trHeight w:val="478"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子公司名称</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7"/>
              <w:jc w:val="center"/>
              <w:rPr>
                <w:rFonts w:ascii="宋体" w:hAnsi="宋体" w:cs="宋体" w:eastAsia="宋体" w:hint="default"/>
                <w:sz w:val="24"/>
                <w:szCs w:val="24"/>
              </w:rPr>
            </w:pPr>
            <w:r>
              <w:rPr>
                <w:rFonts w:ascii="宋体" w:hAnsi="宋体" w:cs="宋体" w:eastAsia="宋体" w:hint="default"/>
                <w:sz w:val="24"/>
                <w:szCs w:val="24"/>
              </w:rPr>
              <w:t>变动时间</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宋体" w:hAnsi="宋体" w:cs="宋体" w:eastAsia="宋体" w:hint="default"/>
                <w:sz w:val="24"/>
                <w:szCs w:val="24"/>
              </w:rPr>
            </w:pPr>
            <w:r>
              <w:rPr>
                <w:rFonts w:ascii="宋体" w:hAnsi="宋体" w:cs="宋体" w:eastAsia="宋体" w:hint="default"/>
                <w:sz w:val="24"/>
                <w:szCs w:val="24"/>
              </w:rPr>
              <w:t>变动前持股比例</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宋体" w:hAnsi="宋体" w:cs="宋体" w:eastAsia="宋体" w:hint="default"/>
                <w:sz w:val="24"/>
                <w:szCs w:val="24"/>
              </w:rPr>
            </w:pPr>
            <w:r>
              <w:rPr>
                <w:rFonts w:ascii="宋体" w:hAnsi="宋体" w:cs="宋体" w:eastAsia="宋体" w:hint="default"/>
                <w:sz w:val="24"/>
                <w:szCs w:val="24"/>
              </w:rPr>
              <w:t>变动后持股比例</w:t>
            </w:r>
          </w:p>
        </w:tc>
      </w:tr>
      <w:tr>
        <w:trPr>
          <w:trHeight w:val="634"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9"/>
                <w:sz w:val="24"/>
                <w:szCs w:val="24"/>
              </w:rPr>
              <w:t>杭州新湖明珠置业有</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宋体" w:hAnsi="宋体" w:cs="宋体" w:eastAsia="宋体" w:hint="default"/>
                <w:sz w:val="24"/>
                <w:szCs w:val="24"/>
              </w:rPr>
            </w:pPr>
            <w:r>
              <w:rPr>
                <w:rFonts w:ascii="宋体"/>
                <w:sz w:val="24"/>
              </w:rPr>
              <w:t>2017-12-21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70%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100%</w:t>
            </w:r>
          </w:p>
        </w:tc>
      </w:tr>
    </w:tbl>
    <w:p>
      <w:pPr>
        <w:spacing w:line="240" w:lineRule="auto" w:before="2"/>
        <w:rPr>
          <w:rFonts w:ascii="宋体" w:hAnsi="宋体" w:cs="宋体" w:eastAsia="宋体" w:hint="default"/>
          <w:sz w:val="23"/>
          <w:szCs w:val="23"/>
        </w:rPr>
      </w:pPr>
    </w:p>
    <w:p>
      <w:pPr>
        <w:pStyle w:val="Heading2"/>
        <w:tabs>
          <w:tab w:pos="1657" w:val="left" w:leader="none"/>
        </w:tabs>
        <w:spacing w:line="240" w:lineRule="auto"/>
        <w:ind w:left="818" w:right="0"/>
        <w:jc w:val="left"/>
        <w:rPr>
          <w:rFonts w:ascii="宋体" w:hAnsi="宋体" w:cs="宋体" w:eastAsia="宋体" w:hint="default"/>
          <w:b w:val="0"/>
          <w:bCs w:val="0"/>
        </w:rPr>
      </w:pPr>
      <w:r>
        <w:rPr>
          <w:rFonts w:ascii="宋体" w:hAnsi="宋体" w:cs="宋体" w:eastAsia="宋体" w:hint="default"/>
        </w:rPr>
        <w:t>(2).</w:t>
        <w:tab/>
      </w:r>
      <w:r>
        <w:rPr/>
        <w:t>交易对于少数股东权益及归属于母公司所有者权益的影响</w:t>
      </w:r>
      <w:r>
        <w:rPr>
          <w:rFonts w:ascii="宋体" w:hAnsi="宋体" w:cs="宋体" w:eastAsia="宋体" w:hint="default"/>
          <w:b w:val="0"/>
          <w:bCs w:val="0"/>
        </w:rPr>
        <w:t>：</w:t>
      </w:r>
    </w:p>
    <w:p>
      <w:pPr>
        <w:pStyle w:val="BodyText"/>
        <w:tabs>
          <w:tab w:pos="1777" w:val="left" w:leader="none"/>
        </w:tabs>
        <w:spacing w:line="240" w:lineRule="auto" w:before="58"/>
        <w:ind w:left="818" w:right="0"/>
        <w:jc w:val="left"/>
      </w:pPr>
      <w:r>
        <w:rPr>
          <w:spacing w:val="-1"/>
        </w:rPr>
        <w:t>√适用</w:t>
        <w:tab/>
      </w:r>
      <w:r>
        <w:rPr/>
        <w:t>□不适用</w:t>
      </w:r>
    </w:p>
    <w:p>
      <w:pPr>
        <w:pStyle w:val="BodyText"/>
        <w:tabs>
          <w:tab w:pos="1080" w:val="left" w:leader="none"/>
        </w:tabs>
        <w:spacing w:line="312" w:lineRule="exact"/>
        <w:ind w:left="0" w:right="812"/>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5922"/>
        <w:gridCol w:w="3128"/>
      </w:tblGrid>
      <w:tr>
        <w:trPr>
          <w:trHeight w:val="319" w:hRule="exact"/>
        </w:trPr>
        <w:tc>
          <w:tcPr>
            <w:tcW w:w="5922"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4"/>
              <w:jc w:val="right"/>
              <w:rPr>
                <w:rFonts w:ascii="宋体" w:hAnsi="宋体" w:cs="宋体" w:eastAsia="宋体" w:hint="default"/>
                <w:sz w:val="24"/>
                <w:szCs w:val="24"/>
              </w:rPr>
            </w:pPr>
            <w:r>
              <w:rPr>
                <w:rFonts w:ascii="宋体" w:hAnsi="宋体" w:cs="宋体" w:eastAsia="宋体" w:hint="default"/>
                <w:sz w:val="24"/>
                <w:szCs w:val="24"/>
              </w:rPr>
              <w:t>杭州新湖明珠置业有限公司</w:t>
            </w:r>
          </w:p>
        </w:tc>
      </w:tr>
      <w:tr>
        <w:trPr>
          <w:trHeight w:val="322"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购买成本</w:t>
            </w:r>
            <w:r>
              <w:rPr>
                <w:rFonts w:ascii="宋体" w:hAnsi="宋体" w:cs="宋体" w:eastAsia="宋体" w:hint="default"/>
                <w:sz w:val="24"/>
                <w:szCs w:val="24"/>
              </w:rPr>
              <w:t>/</w:t>
            </w:r>
            <w:r>
              <w:rPr>
                <w:rFonts w:ascii="宋体" w:hAnsi="宋体" w:cs="宋体" w:eastAsia="宋体" w:hint="default"/>
                <w:sz w:val="24"/>
                <w:szCs w:val="24"/>
              </w:rPr>
              <w:t>处置对价</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101,883,234.66</w:t>
            </w:r>
          </w:p>
        </w:tc>
      </w:tr>
      <w:tr>
        <w:trPr>
          <w:trHeight w:val="322"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现金</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101,883,234.66</w:t>
            </w:r>
          </w:p>
        </w:tc>
      </w:tr>
      <w:tr>
        <w:trPr>
          <w:trHeight w:val="322"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非现金资产的公允价值</w:t>
            </w: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购买成本</w:t>
            </w:r>
            <w:r>
              <w:rPr>
                <w:rFonts w:ascii="宋体" w:hAnsi="宋体" w:cs="宋体" w:eastAsia="宋体" w:hint="default"/>
                <w:sz w:val="24"/>
                <w:szCs w:val="24"/>
              </w:rPr>
              <w:t>/</w:t>
            </w:r>
            <w:r>
              <w:rPr>
                <w:rFonts w:ascii="宋体" w:hAnsi="宋体" w:cs="宋体" w:eastAsia="宋体" w:hint="default"/>
                <w:sz w:val="24"/>
                <w:szCs w:val="24"/>
              </w:rPr>
              <w:t>处置对价合计</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101,883,234.66</w:t>
            </w:r>
          </w:p>
        </w:tc>
      </w:tr>
      <w:tr>
        <w:trPr>
          <w:trHeight w:val="322"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减：按取得</w:t>
            </w:r>
            <w:r>
              <w:rPr>
                <w:rFonts w:ascii="宋体" w:hAnsi="宋体" w:cs="宋体" w:eastAsia="宋体" w:hint="default"/>
                <w:sz w:val="24"/>
                <w:szCs w:val="24"/>
              </w:rPr>
              <w:t>/</w:t>
            </w:r>
            <w:r>
              <w:rPr>
                <w:rFonts w:ascii="宋体" w:hAnsi="宋体" w:cs="宋体" w:eastAsia="宋体" w:hint="default"/>
                <w:sz w:val="24"/>
                <w:szCs w:val="24"/>
              </w:rPr>
              <w:t>处置的股权比例计算的子公司净资产份额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38,726,789.40</w:t>
            </w:r>
          </w:p>
        </w:tc>
      </w:tr>
      <w:tr>
        <w:trPr>
          <w:trHeight w:val="319"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差额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63,156,445.26</w:t>
            </w:r>
          </w:p>
        </w:tc>
      </w:tr>
      <w:tr>
        <w:trPr>
          <w:trHeight w:val="322"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其中：调整资本公积</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63,156,445.26</w:t>
            </w:r>
          </w:p>
        </w:tc>
      </w:tr>
      <w:tr>
        <w:trPr>
          <w:trHeight w:val="322"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3" w:right="0"/>
              <w:jc w:val="left"/>
              <w:rPr>
                <w:rFonts w:ascii="宋体" w:hAnsi="宋体" w:cs="宋体" w:eastAsia="宋体" w:hint="default"/>
                <w:sz w:val="24"/>
                <w:szCs w:val="24"/>
              </w:rPr>
            </w:pPr>
            <w:r>
              <w:rPr>
                <w:rFonts w:ascii="宋体" w:hAnsi="宋体" w:cs="宋体" w:eastAsia="宋体" w:hint="default"/>
                <w:sz w:val="24"/>
                <w:szCs w:val="24"/>
              </w:rPr>
              <w:t>调整盈余公积</w:t>
            </w: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调整未分配利润</w:t>
            </w:r>
          </w:p>
        </w:tc>
        <w:tc>
          <w:tcPr>
            <w:tcW w:w="31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8"/>
          <w:szCs w:val="18"/>
        </w:rPr>
      </w:pPr>
    </w:p>
    <w:p>
      <w:pPr>
        <w:pStyle w:val="BodyText"/>
        <w:spacing w:line="313" w:lineRule="exact" w:before="26"/>
        <w:ind w:left="818" w:right="0"/>
        <w:jc w:val="left"/>
      </w:pPr>
      <w:r>
        <w:rPr/>
        <w:t>其他说明</w:t>
      </w:r>
    </w:p>
    <w:p>
      <w:pPr>
        <w:pStyle w:val="BodyText"/>
        <w:spacing w:line="313" w:lineRule="exact"/>
        <w:ind w:left="818" w:right="0"/>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99"/>
          <w:pgSz w:w="11910" w:h="16840"/>
          <w:pgMar w:footer="1195" w:header="0" w:top="1120" w:bottom="1380" w:left="980" w:right="460"/>
          <w:pgNumType w:start="17"/>
        </w:sectPr>
      </w:pPr>
    </w:p>
    <w:p>
      <w:pPr>
        <w:pStyle w:val="Heading2"/>
        <w:spacing w:line="240" w:lineRule="auto"/>
        <w:ind w:left="818" w:right="-17"/>
        <w:jc w:val="left"/>
        <w:rPr>
          <w:b w:val="0"/>
          <w:bCs w:val="0"/>
        </w:rPr>
      </w:pPr>
      <w:r>
        <w:rPr>
          <w:rFonts w:ascii="宋体" w:hAnsi="宋体" w:cs="宋体" w:eastAsia="宋体" w:hint="default"/>
        </w:rPr>
        <w:t>3</w:t>
      </w:r>
      <w:r>
        <w:rPr/>
        <w:t>、</w:t>
      </w:r>
      <w:r>
        <w:rPr>
          <w:spacing w:val="-66"/>
        </w:rPr>
        <w:t> </w:t>
      </w:r>
      <w:r>
        <w:rPr/>
        <w:t>在合营企业或联营企业中的权益</w:t>
      </w:r>
      <w:r>
        <w:rPr>
          <w:b w:val="0"/>
          <w:bCs w:val="0"/>
        </w:rPr>
      </w:r>
    </w:p>
    <w:p>
      <w:pPr>
        <w:pStyle w:val="BodyText"/>
        <w:spacing w:line="240" w:lineRule="auto" w:before="58"/>
        <w:ind w:left="818" w:right="-17"/>
        <w:jc w:val="left"/>
      </w:pPr>
      <w:r>
        <w:rPr/>
        <w:t>√适用</w:t>
      </w:r>
      <w:r>
        <w:rPr>
          <w:spacing w:val="-1"/>
        </w:rPr>
        <w:t> </w:t>
      </w:r>
      <w:r>
        <w:rPr/>
        <w:t>□不适用</w:t>
      </w:r>
    </w:p>
    <w:p>
      <w:pPr>
        <w:pStyle w:val="Heading2"/>
        <w:spacing w:line="240" w:lineRule="auto" w:before="55"/>
        <w:ind w:left="818" w:right="-17"/>
        <w:jc w:val="left"/>
        <w:rPr>
          <w:b w:val="0"/>
          <w:bCs w:val="0"/>
        </w:rPr>
      </w:pPr>
      <w:r>
        <w:rPr>
          <w:rFonts w:ascii="宋体" w:hAnsi="宋体" w:cs="宋体" w:eastAsia="宋体" w:hint="default"/>
        </w:rPr>
        <w:t>(1).</w:t>
      </w:r>
      <w:r>
        <w:rPr>
          <w:rFonts w:ascii="宋体" w:hAnsi="宋体" w:cs="宋体" w:eastAsia="宋体" w:hint="default"/>
          <w:spacing w:val="23"/>
        </w:rPr>
        <w:t> </w:t>
      </w:r>
      <w:r>
        <w:rPr/>
        <w:t>重要的合营企业或联营企业</w:t>
      </w:r>
      <w:r>
        <w:rPr>
          <w:b w:val="0"/>
          <w:bCs w:val="0"/>
        </w:rPr>
      </w:r>
    </w:p>
    <w:p>
      <w:pPr>
        <w:pStyle w:val="BodyText"/>
        <w:tabs>
          <w:tab w:pos="1777" w:val="left" w:leader="none"/>
        </w:tabs>
        <w:spacing w:line="240" w:lineRule="auto" w:before="58"/>
        <w:ind w:left="818" w:right="-17"/>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898" w:val="left" w:leader="none"/>
        </w:tabs>
        <w:spacing w:line="240" w:lineRule="auto" w:before="195"/>
        <w:ind w:left="8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00" w:bottom="280" w:left="980" w:right="460"/>
          <w:cols w:num="2" w:equalWidth="0">
            <w:col w:w="4611" w:space="1821"/>
            <w:col w:w="4038"/>
          </w:cols>
        </w:sectPr>
      </w:pPr>
    </w:p>
    <w:p>
      <w:pPr>
        <w:spacing w:line="240" w:lineRule="auto" w:before="10"/>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087"/>
        <w:gridCol w:w="754"/>
        <w:gridCol w:w="710"/>
        <w:gridCol w:w="2412"/>
        <w:gridCol w:w="1700"/>
        <w:gridCol w:w="1558"/>
      </w:tblGrid>
      <w:tr>
        <w:trPr>
          <w:trHeight w:val="46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82" w:right="0"/>
              <w:jc w:val="left"/>
              <w:rPr>
                <w:rFonts w:ascii="宋体" w:hAnsi="宋体" w:cs="宋体" w:eastAsia="宋体" w:hint="default"/>
                <w:sz w:val="21"/>
                <w:szCs w:val="21"/>
              </w:rPr>
            </w:pPr>
            <w:r>
              <w:rPr>
                <w:rFonts w:ascii="宋体" w:hAnsi="宋体" w:cs="宋体" w:eastAsia="宋体" w:hint="default"/>
                <w:sz w:val="21"/>
                <w:szCs w:val="21"/>
              </w:rPr>
              <w:t>合营企业或联营企业名称</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60" w:right="0"/>
              <w:jc w:val="left"/>
              <w:rPr>
                <w:rFonts w:ascii="宋体" w:hAnsi="宋体" w:cs="宋体" w:eastAsia="宋体" w:hint="default"/>
                <w:sz w:val="21"/>
                <w:szCs w:val="21"/>
              </w:rPr>
            </w:pPr>
            <w:r>
              <w:rPr>
                <w:rFonts w:ascii="宋体" w:hAnsi="宋体" w:cs="宋体" w:eastAsia="宋体" w:hint="default"/>
                <w:sz w:val="21"/>
                <w:szCs w:val="21"/>
              </w:rPr>
              <w:t>主要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39" w:right="0"/>
              <w:jc w:val="left"/>
              <w:rPr>
                <w:rFonts w:ascii="宋体" w:hAnsi="宋体" w:cs="宋体" w:eastAsia="宋体" w:hint="default"/>
                <w:sz w:val="21"/>
                <w:szCs w:val="21"/>
              </w:rPr>
            </w:pPr>
            <w:r>
              <w:rPr>
                <w:rFonts w:ascii="宋体" w:hAnsi="宋体" w:cs="宋体" w:eastAsia="宋体" w:hint="default"/>
                <w:sz w:val="21"/>
                <w:szCs w:val="21"/>
              </w:rPr>
              <w:t>注册</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78"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64"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44" w:right="0"/>
              <w:jc w:val="left"/>
              <w:rPr>
                <w:rFonts w:ascii="宋体" w:hAnsi="宋体" w:cs="宋体" w:eastAsia="宋体" w:hint="default"/>
                <w:sz w:val="21"/>
                <w:szCs w:val="21"/>
              </w:rPr>
            </w:pPr>
            <w:r>
              <w:rPr>
                <w:rFonts w:ascii="宋体" w:hAnsi="宋体" w:cs="宋体" w:eastAsia="宋体" w:hint="default"/>
                <w:sz w:val="21"/>
                <w:szCs w:val="21"/>
              </w:rPr>
              <w:t>对合营企业或</w:t>
            </w:r>
          </w:p>
        </w:tc>
      </w:tr>
    </w:tbl>
    <w:p>
      <w:pPr>
        <w:spacing w:after="0" w:line="240" w:lineRule="auto"/>
        <w:jc w:val="left"/>
        <w:rPr>
          <w:rFonts w:ascii="宋体" w:hAnsi="宋体" w:cs="宋体" w:eastAsia="宋体" w:hint="default"/>
          <w:sz w:val="21"/>
          <w:szCs w:val="21"/>
        </w:rPr>
        <w:sectPr>
          <w:type w:val="continuous"/>
          <w:pgSz w:w="11910" w:h="16840"/>
          <w:pgMar w:top="1000" w:bottom="280" w:left="980" w:right="4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3087"/>
        <w:gridCol w:w="754"/>
        <w:gridCol w:w="710"/>
        <w:gridCol w:w="2412"/>
        <w:gridCol w:w="845"/>
        <w:gridCol w:w="854"/>
        <w:gridCol w:w="1558"/>
      </w:tblGrid>
      <w:tr>
        <w:trPr>
          <w:trHeight w:val="828" w:hRule="exact"/>
        </w:trPr>
        <w:tc>
          <w:tcPr>
            <w:tcW w:w="3087"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经营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45"/>
              <w:jc w:val="right"/>
              <w:rPr>
                <w:rFonts w:ascii="宋体" w:hAnsi="宋体" w:cs="宋体" w:eastAsia="宋体" w:hint="default"/>
                <w:sz w:val="21"/>
                <w:szCs w:val="21"/>
              </w:rPr>
            </w:pPr>
            <w:r>
              <w:rPr>
                <w:rFonts w:ascii="宋体" w:hAnsi="宋体" w:cs="宋体" w:eastAsia="宋体" w:hint="default"/>
                <w:w w:val="100"/>
                <w:sz w:val="21"/>
                <w:szCs w:val="21"/>
              </w:rPr>
              <w:t>地</w:t>
            </w:r>
          </w:p>
        </w:tc>
        <w:tc>
          <w:tcPr>
            <w:tcW w:w="241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4" w:right="0"/>
              <w:jc w:val="left"/>
              <w:rPr>
                <w:rFonts w:ascii="宋体" w:hAnsi="宋体" w:cs="宋体" w:eastAsia="宋体" w:hint="default"/>
                <w:sz w:val="21"/>
                <w:szCs w:val="21"/>
              </w:rPr>
            </w:pPr>
            <w:r>
              <w:rPr>
                <w:rFonts w:ascii="宋体" w:hAnsi="宋体" w:cs="宋体" w:eastAsia="宋体" w:hint="default"/>
                <w:sz w:val="21"/>
                <w:szCs w:val="21"/>
              </w:rPr>
              <w:t>联营企业投资</w:t>
            </w:r>
          </w:p>
          <w:p>
            <w:pPr>
              <w:pStyle w:val="TableParagraph"/>
              <w:spacing w:line="240" w:lineRule="auto"/>
              <w:ind w:left="667" w:right="139" w:hanging="524"/>
              <w:jc w:val="left"/>
              <w:rPr>
                <w:rFonts w:ascii="宋体" w:hAnsi="宋体" w:cs="宋体" w:eastAsia="宋体" w:hint="default"/>
                <w:sz w:val="21"/>
                <w:szCs w:val="21"/>
              </w:rPr>
            </w:pPr>
            <w:r>
              <w:rPr>
                <w:rFonts w:ascii="宋体" w:hAnsi="宋体" w:cs="宋体" w:eastAsia="宋体" w:hint="default"/>
                <w:sz w:val="21"/>
                <w:szCs w:val="21"/>
              </w:rPr>
              <w:t>的会计处理方</w:t>
            </w:r>
            <w:r>
              <w:rPr>
                <w:rFonts w:ascii="宋体" w:hAnsi="宋体" w:cs="宋体" w:eastAsia="宋体" w:hint="default"/>
                <w:w w:val="100"/>
                <w:sz w:val="21"/>
                <w:szCs w:val="21"/>
              </w:rPr>
              <w:t> </w:t>
            </w:r>
            <w:r>
              <w:rPr>
                <w:rFonts w:ascii="宋体" w:hAnsi="宋体" w:cs="宋体" w:eastAsia="宋体" w:hint="default"/>
                <w:sz w:val="21"/>
                <w:szCs w:val="21"/>
              </w:rPr>
              <w:t>法</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海宁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3"/>
              <w:jc w:val="right"/>
              <w:rPr>
                <w:rFonts w:ascii="宋体" w:hAnsi="宋体" w:cs="宋体" w:eastAsia="宋体" w:hint="default"/>
                <w:sz w:val="21"/>
                <w:szCs w:val="21"/>
              </w:rPr>
            </w:pPr>
            <w:r>
              <w:rPr>
                <w:rFonts w:ascii="宋体" w:hAnsi="宋体" w:cs="宋体" w:eastAsia="宋体" w:hint="default"/>
                <w:sz w:val="21"/>
                <w:szCs w:val="21"/>
              </w:rPr>
              <w:t>海宁</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房地产开发、销售</w:t>
            </w:r>
          </w:p>
        </w:tc>
        <w:tc>
          <w:tcPr>
            <w:tcW w:w="84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杭州湖新投资有限公司</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杭州</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投资、策划、咨询</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w:t>
            </w:r>
          </w:p>
        </w:tc>
        <w:tc>
          <w:tcPr>
            <w:tcW w:w="85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杭州新想投资管理有限公司</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3"/>
              <w:jc w:val="right"/>
              <w:rPr>
                <w:rFonts w:ascii="宋体" w:hAnsi="宋体" w:cs="宋体" w:eastAsia="宋体" w:hint="default"/>
                <w:sz w:val="21"/>
                <w:szCs w:val="21"/>
              </w:rPr>
            </w:pPr>
            <w:r>
              <w:rPr>
                <w:rFonts w:ascii="宋体" w:hAnsi="宋体" w:cs="宋体" w:eastAsia="宋体" w:hint="default"/>
                <w:sz w:val="21"/>
                <w:szCs w:val="21"/>
              </w:rPr>
              <w:t>杭州</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投资管理、投资咨询、</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84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杭州</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48.00</w:t>
            </w:r>
          </w:p>
        </w:tc>
        <w:tc>
          <w:tcPr>
            <w:tcW w:w="85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沈阳</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金融服务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5.18</w:t>
            </w:r>
          </w:p>
        </w:tc>
        <w:tc>
          <w:tcPr>
            <w:tcW w:w="85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中信银行股份有限公司</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北京</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金融服务</w:t>
            </w:r>
          </w:p>
        </w:tc>
        <w:tc>
          <w:tcPr>
            <w:tcW w:w="84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温州银行股份有限公司</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温州</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金融服务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18.15</w:t>
            </w:r>
          </w:p>
        </w:tc>
        <w:tc>
          <w:tcPr>
            <w:tcW w:w="85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江苏新湖宝华置业有限公司</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句容</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73"/>
              <w:jc w:val="right"/>
              <w:rPr>
                <w:rFonts w:ascii="宋体" w:hAnsi="宋体" w:cs="宋体" w:eastAsia="宋体" w:hint="default"/>
                <w:sz w:val="21"/>
                <w:szCs w:val="21"/>
              </w:rPr>
            </w:pPr>
            <w:r>
              <w:rPr>
                <w:rFonts w:ascii="宋体" w:hAnsi="宋体" w:cs="宋体" w:eastAsia="宋体" w:hint="default"/>
                <w:sz w:val="21"/>
                <w:szCs w:val="21"/>
              </w:rPr>
              <w:t>句容</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35.00</w:t>
            </w:r>
          </w:p>
        </w:tc>
        <w:tc>
          <w:tcPr>
            <w:tcW w:w="85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内蒙古合和置业有限公司</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呼和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浩特</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呼和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浩特</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房地产开发、销售</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20.00</w:t>
            </w:r>
          </w:p>
        </w:tc>
        <w:tc>
          <w:tcPr>
            <w:tcW w:w="85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甘肃西北矿业集团有限公司</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兰州</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兰州</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有色金属产业投资</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34.40</w:t>
            </w:r>
          </w:p>
        </w:tc>
        <w:tc>
          <w:tcPr>
            <w:tcW w:w="85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新湖期货有限公司</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上海</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商品、金融期货经纪</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15.67</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恩施裕丰房地产开发有限公司</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恩施</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恩施</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84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通卡联城网络科技有限公司</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杭州</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计算机信息服务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34.00</w:t>
            </w:r>
          </w:p>
        </w:tc>
        <w:tc>
          <w:tcPr>
            <w:tcW w:w="85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bl>
    <w:p>
      <w:pPr>
        <w:spacing w:line="240" w:lineRule="auto" w:before="10"/>
        <w:rPr>
          <w:rFonts w:ascii="宋体" w:hAnsi="宋体" w:cs="宋体" w:eastAsia="宋体" w:hint="default"/>
          <w:sz w:val="18"/>
          <w:szCs w:val="18"/>
        </w:rPr>
      </w:pPr>
    </w:p>
    <w:p>
      <w:pPr>
        <w:pStyle w:val="BodyText"/>
        <w:spacing w:line="310" w:lineRule="exact" w:before="58"/>
        <w:ind w:left="818" w:right="885"/>
        <w:jc w:val="both"/>
      </w:pPr>
      <w:r>
        <w:rPr/>
        <w:t>持有</w:t>
      </w:r>
      <w:r>
        <w:rPr>
          <w:spacing w:val="-61"/>
        </w:rPr>
        <w:t> </w:t>
      </w:r>
      <w:r>
        <w:rPr>
          <w:rFonts w:ascii="宋体" w:hAnsi="宋体" w:cs="宋体" w:eastAsia="宋体" w:hint="default"/>
        </w:rPr>
        <w:t>20%</w:t>
      </w:r>
      <w:r>
        <w:rPr/>
        <w:t>以下表决权但具有重大影响，或者持有</w:t>
      </w:r>
      <w:r>
        <w:rPr>
          <w:spacing w:val="-59"/>
        </w:rPr>
        <w:t> </w:t>
      </w:r>
      <w:r>
        <w:rPr>
          <w:rFonts w:ascii="宋体" w:hAnsi="宋体" w:cs="宋体" w:eastAsia="宋体" w:hint="default"/>
        </w:rPr>
        <w:t>20%</w:t>
      </w:r>
      <w:r>
        <w:rPr/>
        <w:t>或以上表决权但不具有重大影响 的依据：</w:t>
      </w:r>
    </w:p>
    <w:p>
      <w:pPr>
        <w:pStyle w:val="BodyText"/>
        <w:spacing w:line="240" w:lineRule="auto" w:before="82"/>
        <w:ind w:left="1238" w:right="0"/>
        <w:jc w:val="left"/>
      </w:pPr>
      <w:r>
        <w:rPr/>
        <w:t>公司持有盛京银行股份有限公司（以下简称盛京银行）、温州银行股份有限公司</w:t>
      </w:r>
    </w:p>
    <w:p>
      <w:pPr>
        <w:pStyle w:val="BodyText"/>
        <w:spacing w:line="336" w:lineRule="auto" w:before="125"/>
        <w:ind w:left="818" w:right="812"/>
        <w:jc w:val="both"/>
      </w:pPr>
      <w:r>
        <w:rPr>
          <w:spacing w:val="-2"/>
        </w:rPr>
        <w:t>（以下简称温州银行）、中信银行的股权比例分别为</w:t>
      </w:r>
      <w:r>
        <w:rPr>
          <w:rFonts w:ascii="宋体" w:hAnsi="宋体" w:cs="宋体" w:eastAsia="宋体" w:hint="default"/>
          <w:spacing w:val="-2"/>
        </w:rPr>
        <w:t>5.18%</w:t>
      </w:r>
      <w:r>
        <w:rPr>
          <w:spacing w:val="-2"/>
        </w:rPr>
        <w:t>、</w:t>
      </w:r>
      <w:r>
        <w:rPr>
          <w:rFonts w:ascii="宋体" w:hAnsi="宋体" w:cs="宋体" w:eastAsia="宋体" w:hint="default"/>
          <w:spacing w:val="-2"/>
        </w:rPr>
        <w:t>18.15%</w:t>
      </w:r>
      <w:r>
        <w:rPr>
          <w:spacing w:val="-2"/>
        </w:rPr>
        <w:t>和</w:t>
      </w:r>
      <w:r>
        <w:rPr>
          <w:rFonts w:ascii="宋体" w:hAnsi="宋体" w:cs="宋体" w:eastAsia="宋体" w:hint="default"/>
          <w:spacing w:val="-2"/>
        </w:rPr>
        <w:t>4.99%</w:t>
      </w:r>
      <w:r>
        <w:rPr>
          <w:spacing w:val="-2"/>
        </w:rPr>
        <w:t>，分别为</w:t>
      </w:r>
      <w:r>
        <w:rPr>
          <w:spacing w:val="-78"/>
        </w:rPr>
        <w:t> </w:t>
      </w:r>
      <w:r>
        <w:rPr>
          <w:spacing w:val="-78"/>
        </w:rPr>
      </w:r>
      <w:r>
        <w:rPr>
          <w:spacing w:val="-2"/>
        </w:rPr>
        <w:t>该三家公司的第四大股东、单一第一大股东、第二大股东，且公司在该三家公司董事</w:t>
      </w:r>
      <w:r>
        <w:rPr>
          <w:spacing w:val="-94"/>
        </w:rPr>
        <w:t> </w:t>
      </w:r>
      <w:r>
        <w:rPr>
          <w:spacing w:val="-94"/>
        </w:rPr>
      </w:r>
      <w:r>
        <w:rPr/>
        <w:t>会派有董事，对该三家公司具有重大影响。</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980" w:right="460"/>
        </w:sectPr>
      </w:pPr>
    </w:p>
    <w:p>
      <w:pPr>
        <w:pStyle w:val="Heading2"/>
        <w:spacing w:line="240" w:lineRule="auto"/>
        <w:ind w:left="818" w:right="-18"/>
        <w:jc w:val="left"/>
        <w:rPr>
          <w:b w:val="0"/>
          <w:bCs w:val="0"/>
        </w:rPr>
      </w:pPr>
      <w:r>
        <w:rPr>
          <w:rFonts w:ascii="宋体" w:hAnsi="宋体" w:cs="宋体" w:eastAsia="宋体" w:hint="default"/>
        </w:rPr>
        <w:t>(2).</w:t>
      </w:r>
      <w:r>
        <w:rPr>
          <w:rFonts w:ascii="宋体" w:hAnsi="宋体" w:cs="宋体" w:eastAsia="宋体" w:hint="default"/>
          <w:spacing w:val="23"/>
        </w:rPr>
        <w:t> </w:t>
      </w:r>
      <w:r>
        <w:rPr/>
        <w:t>重要合营企业的主要财务信息</w:t>
      </w:r>
      <w:r>
        <w:rPr>
          <w:b w:val="0"/>
          <w:bCs w:val="0"/>
        </w:rPr>
      </w:r>
    </w:p>
    <w:p>
      <w:pPr>
        <w:pStyle w:val="BodyText"/>
        <w:tabs>
          <w:tab w:pos="1777" w:val="left" w:leader="none"/>
        </w:tabs>
        <w:spacing w:line="240" w:lineRule="auto" w:before="58"/>
        <w:ind w:left="818" w:right="-18"/>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2138" w:val="left" w:leader="none"/>
        </w:tabs>
        <w:spacing w:line="240" w:lineRule="auto"/>
        <w:ind w:left="818"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1910" w:h="16840"/>
          <w:pgMar w:top="1000" w:bottom="280" w:left="980" w:right="460"/>
          <w:cols w:num="2" w:equalWidth="0">
            <w:col w:w="4581" w:space="1612"/>
            <w:col w:w="4277"/>
          </w:cols>
        </w:sectPr>
      </w:pPr>
    </w:p>
    <w:p>
      <w:pPr>
        <w:spacing w:line="240" w:lineRule="auto" w:before="12"/>
        <w:rPr>
          <w:rFonts w:ascii="宋体" w:hAnsi="宋体" w:cs="宋体" w:eastAsia="宋体" w:hint="default"/>
          <w:sz w:val="2"/>
          <w:szCs w:val="2"/>
        </w:rPr>
      </w:pPr>
    </w:p>
    <w:tbl>
      <w:tblPr>
        <w:tblW w:w="0" w:type="auto"/>
        <w:jc w:val="left"/>
        <w:tblInd w:w="359" w:type="dxa"/>
        <w:tblLayout w:type="fixed"/>
        <w:tblCellMar>
          <w:top w:w="0" w:type="dxa"/>
          <w:left w:w="0" w:type="dxa"/>
          <w:bottom w:w="0" w:type="dxa"/>
          <w:right w:w="0" w:type="dxa"/>
        </w:tblCellMar>
        <w:tblLook w:val="01E0"/>
      </w:tblPr>
      <w:tblGrid>
        <w:gridCol w:w="5106"/>
        <w:gridCol w:w="2350"/>
        <w:gridCol w:w="2285"/>
      </w:tblGrid>
      <w:tr>
        <w:trPr>
          <w:trHeight w:val="637" w:hRule="exact"/>
        </w:trPr>
        <w:tc>
          <w:tcPr>
            <w:tcW w:w="5106" w:type="dxa"/>
            <w:vMerge w:val="restart"/>
            <w:tcBorders>
              <w:top w:val="single" w:sz="4" w:space="0" w:color="000000"/>
              <w:left w:val="single" w:sz="4" w:space="0" w:color="000000"/>
              <w:right w:val="single" w:sz="6" w:space="0" w:color="000000"/>
            </w:tcBorders>
          </w:tcPr>
          <w:p>
            <w:pPr/>
          </w:p>
        </w:tc>
        <w:tc>
          <w:tcPr>
            <w:tcW w:w="2350" w:type="dxa"/>
            <w:tcBorders>
              <w:top w:val="single" w:sz="4"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r>
              <w:rPr>
                <w:rFonts w:ascii="宋体" w:hAnsi="宋体" w:cs="宋体" w:eastAsia="宋体" w:hint="default"/>
                <w:sz w:val="24"/>
                <w:szCs w:val="24"/>
              </w:rPr>
              <w:t>本期发</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生额</w:t>
            </w:r>
          </w:p>
        </w:tc>
        <w:tc>
          <w:tcPr>
            <w:tcW w:w="2285" w:type="dxa"/>
            <w:tcBorders>
              <w:top w:val="single" w:sz="4"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r>
              <w:rPr>
                <w:rFonts w:ascii="宋体" w:hAnsi="宋体" w:cs="宋体" w:eastAsia="宋体" w:hint="default"/>
                <w:sz w:val="24"/>
                <w:szCs w:val="24"/>
              </w:rPr>
              <w:t>上期发</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生额</w:t>
            </w:r>
          </w:p>
        </w:tc>
      </w:tr>
      <w:tr>
        <w:trPr>
          <w:trHeight w:val="636" w:hRule="exact"/>
        </w:trPr>
        <w:tc>
          <w:tcPr>
            <w:tcW w:w="5106" w:type="dxa"/>
            <w:vMerge/>
            <w:tcBorders>
              <w:left w:val="single" w:sz="4" w:space="0" w:color="000000"/>
              <w:bottom w:val="single" w:sz="6" w:space="0" w:color="000000"/>
              <w:right w:val="single" w:sz="6" w:space="0" w:color="000000"/>
            </w:tcBorders>
          </w:tcPr>
          <w:p>
            <w:pP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海宁绿城新湖房地</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产开发有限公司</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海宁绿城新湖房地</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产开发有限公司</w:t>
            </w:r>
          </w:p>
        </w:tc>
      </w:tr>
      <w:tr>
        <w:trPr>
          <w:trHeight w:val="326" w:hRule="exact"/>
        </w:trPr>
        <w:tc>
          <w:tcPr>
            <w:tcW w:w="5106"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56,551.89</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75,681.81</w:t>
            </w:r>
          </w:p>
        </w:tc>
      </w:tr>
      <w:tr>
        <w:trPr>
          <w:trHeight w:val="326" w:hRule="exact"/>
        </w:trPr>
        <w:tc>
          <w:tcPr>
            <w:tcW w:w="510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其中：现金和现金等价物</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3,929.36</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14,029.16</w:t>
            </w:r>
          </w:p>
        </w:tc>
      </w:tr>
      <w:tr>
        <w:trPr>
          <w:trHeight w:val="326" w:hRule="exact"/>
        </w:trPr>
        <w:tc>
          <w:tcPr>
            <w:tcW w:w="510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101.62</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632.32</w:t>
            </w:r>
          </w:p>
        </w:tc>
      </w:tr>
      <w:tr>
        <w:trPr>
          <w:trHeight w:val="326" w:hRule="exact"/>
        </w:trPr>
        <w:tc>
          <w:tcPr>
            <w:tcW w:w="510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资产合计</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56,653.51</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76,314.13</w:t>
            </w:r>
          </w:p>
        </w:tc>
      </w:tr>
      <w:tr>
        <w:trPr>
          <w:trHeight w:val="326" w:hRule="exact"/>
        </w:trPr>
        <w:tc>
          <w:tcPr>
            <w:tcW w:w="510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41,255.62</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56,670.08</w:t>
            </w:r>
          </w:p>
        </w:tc>
      </w:tr>
      <w:tr>
        <w:trPr>
          <w:trHeight w:val="326" w:hRule="exact"/>
        </w:trPr>
        <w:tc>
          <w:tcPr>
            <w:tcW w:w="510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2350" w:type="dxa"/>
            <w:tcBorders>
              <w:top w:val="single" w:sz="6" w:space="0" w:color="000000"/>
              <w:left w:val="single" w:sz="6" w:space="0" w:color="000000"/>
              <w:bottom w:val="single" w:sz="6" w:space="0" w:color="000000"/>
              <w:right w:val="single" w:sz="6" w:space="0" w:color="000000"/>
            </w:tcBorders>
          </w:tcPr>
          <w:p>
            <w:pPr/>
          </w:p>
        </w:tc>
        <w:tc>
          <w:tcPr>
            <w:tcW w:w="228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10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负债合计</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41,255.62</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56,670.08</w:t>
            </w:r>
          </w:p>
        </w:tc>
      </w:tr>
      <w:tr>
        <w:trPr>
          <w:trHeight w:val="327" w:hRule="exact"/>
        </w:trPr>
        <w:tc>
          <w:tcPr>
            <w:tcW w:w="510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少数股东权益</w:t>
            </w:r>
          </w:p>
        </w:tc>
        <w:tc>
          <w:tcPr>
            <w:tcW w:w="2350" w:type="dxa"/>
            <w:tcBorders>
              <w:top w:val="single" w:sz="6" w:space="0" w:color="000000"/>
              <w:left w:val="single" w:sz="6" w:space="0" w:color="000000"/>
              <w:bottom w:val="single" w:sz="6" w:space="0" w:color="000000"/>
              <w:right w:val="single" w:sz="6" w:space="0" w:color="000000"/>
            </w:tcBorders>
          </w:tcPr>
          <w:p>
            <w:pPr/>
          </w:p>
        </w:tc>
        <w:tc>
          <w:tcPr>
            <w:tcW w:w="228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10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归属于母公司股东权益</w:t>
            </w:r>
          </w:p>
        </w:tc>
        <w:tc>
          <w:tcPr>
            <w:tcW w:w="2350"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15,397.89</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19,644.04</w:t>
            </w:r>
          </w:p>
        </w:tc>
      </w:tr>
    </w:tbl>
    <w:p>
      <w:pPr>
        <w:spacing w:after="0" w:line="274" w:lineRule="exact"/>
        <w:jc w:val="right"/>
        <w:rPr>
          <w:rFonts w:ascii="宋体" w:hAnsi="宋体" w:cs="宋体" w:eastAsia="宋体" w:hint="default"/>
          <w:sz w:val="24"/>
          <w:szCs w:val="24"/>
        </w:rPr>
        <w:sectPr>
          <w:type w:val="continuous"/>
          <w:pgSz w:w="11910" w:h="16840"/>
          <w:pgMar w:top="1000" w:bottom="280" w:left="980" w:right="4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5106"/>
        <w:gridCol w:w="2350"/>
        <w:gridCol w:w="2285"/>
      </w:tblGrid>
      <w:tr>
        <w:trPr>
          <w:trHeight w:val="327" w:hRule="exact"/>
        </w:trPr>
        <w:tc>
          <w:tcPr>
            <w:tcW w:w="5106" w:type="dxa"/>
            <w:tcBorders>
              <w:top w:val="single" w:sz="6" w:space="0" w:color="000000"/>
              <w:left w:val="single" w:sz="4" w:space="0" w:color="000000"/>
              <w:bottom w:val="single" w:sz="6" w:space="0" w:color="000000"/>
              <w:right w:val="single" w:sz="6"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按持股比例计算的净资产份额</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7,698.94</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9,822.02</w:t>
            </w:r>
          </w:p>
        </w:tc>
      </w:tr>
      <w:tr>
        <w:trPr>
          <w:trHeight w:val="326" w:hRule="exact"/>
        </w:trPr>
        <w:tc>
          <w:tcPr>
            <w:tcW w:w="5106"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调整事项</w:t>
            </w:r>
          </w:p>
        </w:tc>
        <w:tc>
          <w:tcPr>
            <w:tcW w:w="2350" w:type="dxa"/>
            <w:tcBorders>
              <w:top w:val="single" w:sz="6" w:space="0" w:color="000000"/>
              <w:left w:val="single" w:sz="6" w:space="0" w:color="000000"/>
              <w:bottom w:val="single" w:sz="6" w:space="0" w:color="000000"/>
              <w:right w:val="single" w:sz="6" w:space="0" w:color="000000"/>
            </w:tcBorders>
          </w:tcPr>
          <w:p>
            <w:pPr/>
          </w:p>
        </w:tc>
        <w:tc>
          <w:tcPr>
            <w:tcW w:w="228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106"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商誉</w:t>
            </w:r>
          </w:p>
        </w:tc>
        <w:tc>
          <w:tcPr>
            <w:tcW w:w="2350" w:type="dxa"/>
            <w:tcBorders>
              <w:top w:val="single" w:sz="6" w:space="0" w:color="000000"/>
              <w:left w:val="single" w:sz="6" w:space="0" w:color="000000"/>
              <w:bottom w:val="single" w:sz="6" w:space="0" w:color="000000"/>
              <w:right w:val="single" w:sz="6" w:space="0" w:color="000000"/>
            </w:tcBorders>
          </w:tcPr>
          <w:p>
            <w:pPr/>
          </w:p>
        </w:tc>
        <w:tc>
          <w:tcPr>
            <w:tcW w:w="228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10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内部交易未实现利润</w:t>
            </w:r>
          </w:p>
        </w:tc>
        <w:tc>
          <w:tcPr>
            <w:tcW w:w="2350" w:type="dxa"/>
            <w:tcBorders>
              <w:top w:val="single" w:sz="6" w:space="0" w:color="000000"/>
              <w:left w:val="single" w:sz="6" w:space="0" w:color="000000"/>
              <w:bottom w:val="single" w:sz="6" w:space="0" w:color="000000"/>
              <w:right w:val="single" w:sz="6" w:space="0" w:color="000000"/>
            </w:tcBorders>
          </w:tcPr>
          <w:p>
            <w:pPr/>
          </w:p>
        </w:tc>
        <w:tc>
          <w:tcPr>
            <w:tcW w:w="228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10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其他</w:t>
            </w:r>
          </w:p>
        </w:tc>
        <w:tc>
          <w:tcPr>
            <w:tcW w:w="2350" w:type="dxa"/>
            <w:tcBorders>
              <w:top w:val="single" w:sz="6" w:space="0" w:color="000000"/>
              <w:left w:val="single" w:sz="6" w:space="0" w:color="000000"/>
              <w:bottom w:val="single" w:sz="6" w:space="0" w:color="000000"/>
              <w:right w:val="single" w:sz="6" w:space="0" w:color="000000"/>
            </w:tcBorders>
          </w:tcPr>
          <w:p>
            <w:pPr/>
          </w:p>
        </w:tc>
        <w:tc>
          <w:tcPr>
            <w:tcW w:w="228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10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对合营企业权益投资的账面价值</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7,698.94</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9,822.02</w:t>
            </w:r>
          </w:p>
        </w:tc>
      </w:tr>
      <w:tr>
        <w:trPr>
          <w:trHeight w:val="326" w:hRule="exact"/>
        </w:trPr>
        <w:tc>
          <w:tcPr>
            <w:tcW w:w="510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存在公开报价的合营企业权益投资的公允价值</w:t>
            </w:r>
          </w:p>
        </w:tc>
        <w:tc>
          <w:tcPr>
            <w:tcW w:w="2350" w:type="dxa"/>
            <w:tcBorders>
              <w:top w:val="single" w:sz="6" w:space="0" w:color="000000"/>
              <w:left w:val="single" w:sz="6" w:space="0" w:color="000000"/>
              <w:bottom w:val="single" w:sz="6" w:space="0" w:color="000000"/>
              <w:right w:val="single" w:sz="6" w:space="0" w:color="000000"/>
            </w:tcBorders>
          </w:tcPr>
          <w:p>
            <w:pPr/>
          </w:p>
        </w:tc>
        <w:tc>
          <w:tcPr>
            <w:tcW w:w="228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10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2,155.34</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21,355.99</w:t>
            </w:r>
          </w:p>
        </w:tc>
      </w:tr>
      <w:tr>
        <w:trPr>
          <w:trHeight w:val="326" w:hRule="exact"/>
        </w:trPr>
        <w:tc>
          <w:tcPr>
            <w:tcW w:w="510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-795.78</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-769.26</w:t>
            </w:r>
          </w:p>
        </w:tc>
      </w:tr>
      <w:tr>
        <w:trPr>
          <w:trHeight w:val="326" w:hRule="exact"/>
        </w:trPr>
        <w:tc>
          <w:tcPr>
            <w:tcW w:w="510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-518.78</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-1,985.80</w:t>
            </w:r>
          </w:p>
        </w:tc>
      </w:tr>
      <w:tr>
        <w:trPr>
          <w:trHeight w:val="327" w:hRule="exact"/>
        </w:trPr>
        <w:tc>
          <w:tcPr>
            <w:tcW w:w="510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-4,246.16</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-926.48</w:t>
            </w:r>
          </w:p>
        </w:tc>
      </w:tr>
      <w:tr>
        <w:trPr>
          <w:trHeight w:val="326" w:hRule="exact"/>
        </w:trPr>
        <w:tc>
          <w:tcPr>
            <w:tcW w:w="510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终止经营的净利润</w:t>
            </w:r>
          </w:p>
        </w:tc>
        <w:tc>
          <w:tcPr>
            <w:tcW w:w="2350" w:type="dxa"/>
            <w:tcBorders>
              <w:top w:val="single" w:sz="6" w:space="0" w:color="000000"/>
              <w:left w:val="single" w:sz="6" w:space="0" w:color="000000"/>
              <w:bottom w:val="single" w:sz="6" w:space="0" w:color="000000"/>
              <w:right w:val="single" w:sz="6" w:space="0" w:color="000000"/>
            </w:tcBorders>
          </w:tcPr>
          <w:p>
            <w:pPr/>
          </w:p>
        </w:tc>
        <w:tc>
          <w:tcPr>
            <w:tcW w:w="228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10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2350" w:type="dxa"/>
            <w:tcBorders>
              <w:top w:val="single" w:sz="6" w:space="0" w:color="000000"/>
              <w:left w:val="single" w:sz="6" w:space="0" w:color="000000"/>
              <w:bottom w:val="single" w:sz="6" w:space="0" w:color="000000"/>
              <w:right w:val="single" w:sz="6" w:space="0" w:color="000000"/>
            </w:tcBorders>
          </w:tcPr>
          <w:p>
            <w:pPr/>
          </w:p>
        </w:tc>
        <w:tc>
          <w:tcPr>
            <w:tcW w:w="228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10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综合收益总额</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-4,246.16</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-926.48</w:t>
            </w:r>
          </w:p>
        </w:tc>
      </w:tr>
      <w:tr>
        <w:trPr>
          <w:trHeight w:val="324" w:hRule="exact"/>
        </w:trPr>
        <w:tc>
          <w:tcPr>
            <w:tcW w:w="5106" w:type="dxa"/>
            <w:tcBorders>
              <w:top w:val="single" w:sz="6" w:space="0" w:color="000000"/>
              <w:left w:val="single" w:sz="4" w:space="0" w:color="000000"/>
              <w:bottom w:val="single" w:sz="4"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本年度收到的来自合营企业的股利</w:t>
            </w:r>
          </w:p>
        </w:tc>
        <w:tc>
          <w:tcPr>
            <w:tcW w:w="2350" w:type="dxa"/>
            <w:tcBorders>
              <w:top w:val="single" w:sz="6" w:space="0" w:color="000000"/>
              <w:left w:val="single" w:sz="6" w:space="0" w:color="000000"/>
              <w:bottom w:val="single" w:sz="4" w:space="0" w:color="000000"/>
              <w:right w:val="single" w:sz="6" w:space="0" w:color="000000"/>
            </w:tcBorders>
          </w:tcPr>
          <w:p>
            <w:pPr/>
          </w:p>
        </w:tc>
        <w:tc>
          <w:tcPr>
            <w:tcW w:w="2285"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100"/>
          <w:pgSz w:w="11910" w:h="16840"/>
          <w:pgMar w:footer="1195" w:header="0" w:top="1120" w:bottom="1380" w:left="1220" w:right="700"/>
          <w:pgNumType w:start="181"/>
        </w:sectPr>
      </w:pPr>
    </w:p>
    <w:p>
      <w:pPr>
        <w:pStyle w:val="Heading2"/>
        <w:spacing w:line="240" w:lineRule="auto"/>
        <w:ind w:left="578" w:right="-18"/>
        <w:jc w:val="left"/>
        <w:rPr>
          <w:b w:val="0"/>
          <w:bCs w:val="0"/>
        </w:rPr>
      </w:pPr>
      <w:r>
        <w:rPr>
          <w:rFonts w:ascii="宋体" w:hAnsi="宋体" w:cs="宋体" w:eastAsia="宋体" w:hint="default"/>
        </w:rPr>
        <w:t>(3).</w:t>
      </w:r>
      <w:r>
        <w:rPr>
          <w:rFonts w:ascii="宋体" w:hAnsi="宋体" w:cs="宋体" w:eastAsia="宋体" w:hint="default"/>
          <w:spacing w:val="23"/>
        </w:rPr>
        <w:t> </w:t>
      </w:r>
      <w:r>
        <w:rPr/>
        <w:t>重要联营企业的主要财务信息</w:t>
      </w:r>
      <w:r>
        <w:rPr>
          <w:b w:val="0"/>
          <w:bCs w:val="0"/>
        </w:rPr>
      </w:r>
    </w:p>
    <w:p>
      <w:pPr>
        <w:pStyle w:val="BodyText"/>
        <w:tabs>
          <w:tab w:pos="1537" w:val="left" w:leader="none"/>
        </w:tabs>
        <w:spacing w:line="240" w:lineRule="auto" w:before="58"/>
        <w:ind w:left="578" w:right="-18"/>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2018" w:val="left" w:leader="none"/>
        </w:tabs>
        <w:spacing w:line="240" w:lineRule="auto"/>
        <w:ind w:left="578" w:right="0"/>
        <w:jc w:val="left"/>
      </w:pPr>
      <w:r>
        <w:rPr/>
        <w:t>单位：万元</w:t>
        <w:tab/>
        <w:t>币种：人民币</w:t>
      </w:r>
    </w:p>
    <w:p>
      <w:pPr>
        <w:spacing w:after="0" w:line="240" w:lineRule="auto"/>
        <w:jc w:val="left"/>
        <w:sectPr>
          <w:type w:val="continuous"/>
          <w:pgSz w:w="11910" w:h="16840"/>
          <w:pgMar w:top="1000" w:bottom="280" w:left="1220" w:right="700"/>
          <w:cols w:num="2" w:equalWidth="0">
            <w:col w:w="4341" w:space="1612"/>
            <w:col w:w="4037"/>
          </w:cols>
        </w:sectPr>
      </w:pPr>
    </w:p>
    <w:p>
      <w:pPr>
        <w:spacing w:line="240" w:lineRule="auto" w:before="10"/>
        <w:rPr>
          <w:rFonts w:ascii="宋体" w:hAnsi="宋体" w:cs="宋体" w:eastAsia="宋体" w:hint="default"/>
          <w:sz w:val="2"/>
          <w:szCs w:val="2"/>
        </w:rPr>
      </w:pPr>
    </w:p>
    <w:tbl>
      <w:tblPr>
        <w:tblW w:w="0" w:type="auto"/>
        <w:jc w:val="left"/>
        <w:tblInd w:w="162" w:type="dxa"/>
        <w:tblLayout w:type="fixed"/>
        <w:tblCellMar>
          <w:top w:w="0" w:type="dxa"/>
          <w:left w:w="0" w:type="dxa"/>
          <w:bottom w:w="0" w:type="dxa"/>
          <w:right w:w="0" w:type="dxa"/>
        </w:tblCellMar>
        <w:tblLook w:val="01E0"/>
      </w:tblPr>
      <w:tblGrid>
        <w:gridCol w:w="2669"/>
        <w:gridCol w:w="1656"/>
        <w:gridCol w:w="1896"/>
        <w:gridCol w:w="1657"/>
        <w:gridCol w:w="1776"/>
      </w:tblGrid>
      <w:tr>
        <w:trPr>
          <w:trHeight w:val="324" w:hRule="exact"/>
        </w:trPr>
        <w:tc>
          <w:tcPr>
            <w:tcW w:w="2669" w:type="dxa"/>
            <w:vMerge w:val="restart"/>
            <w:tcBorders>
              <w:top w:val="single" w:sz="4" w:space="0" w:color="000000"/>
              <w:left w:val="single" w:sz="4" w:space="0" w:color="000000"/>
              <w:right w:val="single" w:sz="6" w:space="0" w:color="000000"/>
            </w:tcBorders>
          </w:tcPr>
          <w:p>
            <w:pPr/>
          </w:p>
        </w:tc>
        <w:tc>
          <w:tcPr>
            <w:tcW w:w="3552" w:type="dxa"/>
            <w:gridSpan w:val="2"/>
            <w:tcBorders>
              <w:top w:val="single" w:sz="4" w:space="0" w:color="000000"/>
              <w:left w:val="single" w:sz="6" w:space="0" w:color="000000"/>
              <w:bottom w:val="single" w:sz="6" w:space="0" w:color="000000"/>
              <w:right w:val="single" w:sz="6" w:space="0" w:color="000000"/>
            </w:tcBorders>
          </w:tcPr>
          <w:p>
            <w:pPr>
              <w:pStyle w:val="TableParagraph"/>
              <w:spacing w:line="276" w:lineRule="exact"/>
              <w:ind w:left="568"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r>
              <w:rPr>
                <w:rFonts w:ascii="宋体" w:hAnsi="宋体" w:cs="宋体" w:eastAsia="宋体" w:hint="default"/>
                <w:sz w:val="24"/>
                <w:szCs w:val="24"/>
              </w:rPr>
              <w:t>本期发生额</w:t>
            </w:r>
          </w:p>
        </w:tc>
        <w:tc>
          <w:tcPr>
            <w:tcW w:w="3433" w:type="dxa"/>
            <w:gridSpan w:val="2"/>
            <w:tcBorders>
              <w:top w:val="single" w:sz="4" w:space="0" w:color="000000"/>
              <w:left w:val="single" w:sz="6" w:space="0" w:color="000000"/>
              <w:bottom w:val="single" w:sz="6" w:space="0" w:color="000000"/>
              <w:right w:val="single" w:sz="6" w:space="0" w:color="000000"/>
            </w:tcBorders>
          </w:tcPr>
          <w:p>
            <w:pPr>
              <w:pStyle w:val="TableParagraph"/>
              <w:spacing w:line="276" w:lineRule="exact"/>
              <w:ind w:left="508"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r>
              <w:rPr>
                <w:rFonts w:ascii="宋体" w:hAnsi="宋体" w:cs="宋体" w:eastAsia="宋体" w:hint="default"/>
                <w:sz w:val="24"/>
                <w:szCs w:val="24"/>
              </w:rPr>
              <w:t>上期发生额</w:t>
            </w:r>
          </w:p>
        </w:tc>
      </w:tr>
      <w:tr>
        <w:trPr>
          <w:trHeight w:val="639" w:hRule="exact"/>
        </w:trPr>
        <w:tc>
          <w:tcPr>
            <w:tcW w:w="2669" w:type="dxa"/>
            <w:vMerge/>
            <w:tcBorders>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新湖控股</w:t>
            </w:r>
          </w:p>
          <w:p>
            <w:pPr>
              <w:pStyle w:val="TableParagraph"/>
              <w:spacing w:line="312" w:lineRule="exact"/>
              <w:ind w:left="34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盛京银行股份</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有限公司</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新湖控股</w:t>
            </w:r>
          </w:p>
          <w:p>
            <w:pPr>
              <w:pStyle w:val="TableParagraph"/>
              <w:spacing w:line="312" w:lineRule="exact"/>
              <w:ind w:left="34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盛京银行股份</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有限公司</w:t>
            </w:r>
          </w:p>
        </w:tc>
      </w:tr>
      <w:tr>
        <w:trPr>
          <w:trHeight w:val="326" w:hRule="exact"/>
        </w:trPr>
        <w:tc>
          <w:tcPr>
            <w:tcW w:w="2669"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2,680,280.60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1]</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2,606,924.05</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1]</w:t>
            </w:r>
          </w:p>
        </w:tc>
      </w:tr>
      <w:tr>
        <w:trPr>
          <w:trHeight w:val="326" w:hRule="exact"/>
        </w:trPr>
        <w:tc>
          <w:tcPr>
            <w:tcW w:w="2669"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375,428.28</w:t>
            </w:r>
          </w:p>
        </w:tc>
        <w:tc>
          <w:tcPr>
            <w:tcW w:w="189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415,365.33</w:t>
            </w:r>
          </w:p>
        </w:tc>
        <w:tc>
          <w:tcPr>
            <w:tcW w:w="177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669"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资产合计</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3,055,708.88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103,061,743.10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3,022,289.38</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90,548,264.70</w:t>
            </w:r>
          </w:p>
        </w:tc>
      </w:tr>
      <w:tr>
        <w:trPr>
          <w:trHeight w:val="326" w:hRule="exact"/>
        </w:trPr>
        <w:tc>
          <w:tcPr>
            <w:tcW w:w="2669"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1,750,945.23</w:t>
            </w:r>
          </w:p>
        </w:tc>
        <w:tc>
          <w:tcPr>
            <w:tcW w:w="189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1,736,874.50</w:t>
            </w:r>
          </w:p>
        </w:tc>
        <w:tc>
          <w:tcPr>
            <w:tcW w:w="177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669"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573,596.81</w:t>
            </w:r>
          </w:p>
        </w:tc>
        <w:tc>
          <w:tcPr>
            <w:tcW w:w="189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591,539.02</w:t>
            </w:r>
          </w:p>
        </w:tc>
        <w:tc>
          <w:tcPr>
            <w:tcW w:w="177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669"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负债合计</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2,324,542.04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97,836,177.50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2,328,413.52</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85,910,802.10</w:t>
            </w:r>
          </w:p>
        </w:tc>
      </w:tr>
      <w:tr>
        <w:trPr>
          <w:trHeight w:val="324" w:hRule="exact"/>
        </w:trPr>
        <w:tc>
          <w:tcPr>
            <w:tcW w:w="2669"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少数股东权益</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209,891.95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57,428.10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171,283.88</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58,019.70</w:t>
            </w:r>
          </w:p>
        </w:tc>
      </w:tr>
      <w:tr>
        <w:trPr>
          <w:trHeight w:val="326" w:hRule="exact"/>
        </w:trPr>
        <w:tc>
          <w:tcPr>
            <w:tcW w:w="2669"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归属于母公司股东权益</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521,274.89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5,168,137.50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522,591.98</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4,579,442.90</w:t>
            </w:r>
          </w:p>
        </w:tc>
      </w:tr>
      <w:tr>
        <w:trPr>
          <w:trHeight w:val="639" w:hRule="exact"/>
        </w:trPr>
        <w:tc>
          <w:tcPr>
            <w:tcW w:w="2669" w:type="dxa"/>
            <w:tcBorders>
              <w:top w:val="single" w:sz="6" w:space="0" w:color="000000"/>
              <w:left w:val="single" w:sz="4" w:space="0" w:color="000000"/>
              <w:bottom w:val="single" w:sz="6" w:space="0" w:color="000000"/>
              <w:right w:val="single" w:sz="6"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按持股比例计算的净资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产份额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宋体" w:hAnsi="宋体" w:cs="宋体" w:eastAsia="宋体" w:hint="default"/>
                <w:sz w:val="24"/>
                <w:szCs w:val="24"/>
              </w:rPr>
            </w:pPr>
            <w:r>
              <w:rPr>
                <w:rFonts w:ascii="宋体"/>
                <w:sz w:val="24"/>
              </w:rPr>
              <w:t>250,211.95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9"/>
              <w:jc w:val="right"/>
              <w:rPr>
                <w:rFonts w:ascii="宋体" w:hAnsi="宋体" w:cs="宋体" w:eastAsia="宋体" w:hint="default"/>
                <w:sz w:val="24"/>
                <w:szCs w:val="24"/>
              </w:rPr>
            </w:pPr>
            <w:r>
              <w:rPr>
                <w:rFonts w:ascii="宋体"/>
                <w:sz w:val="24"/>
              </w:rPr>
              <w:t>267,470.55</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9"/>
              <w:jc w:val="right"/>
              <w:rPr>
                <w:rFonts w:ascii="宋体" w:hAnsi="宋体" w:cs="宋体" w:eastAsia="宋体" w:hint="default"/>
                <w:sz w:val="24"/>
                <w:szCs w:val="24"/>
              </w:rPr>
            </w:pPr>
            <w:r>
              <w:rPr>
                <w:rFonts w:ascii="宋体"/>
                <w:sz w:val="24"/>
              </w:rPr>
              <w:t>250,844.15</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宋体" w:hAnsi="宋体" w:cs="宋体" w:eastAsia="宋体" w:hint="default"/>
                <w:sz w:val="24"/>
                <w:szCs w:val="24"/>
              </w:rPr>
            </w:pPr>
            <w:r>
              <w:rPr>
                <w:rFonts w:ascii="宋体"/>
                <w:sz w:val="24"/>
              </w:rPr>
              <w:t>237,003.39</w:t>
            </w:r>
          </w:p>
        </w:tc>
      </w:tr>
      <w:tr>
        <w:trPr>
          <w:trHeight w:val="326" w:hRule="exact"/>
        </w:trPr>
        <w:tc>
          <w:tcPr>
            <w:tcW w:w="2669"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调整事项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21,491.64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4,944.47</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21,491.64</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4,944.47</w:t>
            </w:r>
          </w:p>
        </w:tc>
      </w:tr>
      <w:tr>
        <w:trPr>
          <w:trHeight w:val="326" w:hRule="exact"/>
        </w:trPr>
        <w:tc>
          <w:tcPr>
            <w:tcW w:w="2669"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商誉</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25,811.64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4,944.47</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25,811.64</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4,944.47</w:t>
            </w:r>
          </w:p>
        </w:tc>
      </w:tr>
      <w:tr>
        <w:trPr>
          <w:trHeight w:val="326" w:hRule="exact"/>
        </w:trPr>
        <w:tc>
          <w:tcPr>
            <w:tcW w:w="2669"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内部交易未实现利润</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-4,320.00</w:t>
            </w:r>
          </w:p>
        </w:tc>
        <w:tc>
          <w:tcPr>
            <w:tcW w:w="189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-4,320.00</w:t>
            </w:r>
          </w:p>
        </w:tc>
        <w:tc>
          <w:tcPr>
            <w:tcW w:w="177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669"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其他</w:t>
            </w:r>
          </w:p>
        </w:tc>
        <w:tc>
          <w:tcPr>
            <w:tcW w:w="165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r>
      <w:tr>
        <w:trPr>
          <w:trHeight w:val="636" w:hRule="exact"/>
        </w:trPr>
        <w:tc>
          <w:tcPr>
            <w:tcW w:w="2669"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对联营企业权益投资的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账面价值</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sz w:val="24"/>
              </w:rPr>
              <w:t>271,703.59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9"/>
              <w:jc w:val="right"/>
              <w:rPr>
                <w:rFonts w:ascii="宋体" w:hAnsi="宋体" w:cs="宋体" w:eastAsia="宋体" w:hint="default"/>
                <w:sz w:val="24"/>
                <w:szCs w:val="24"/>
              </w:rPr>
            </w:pPr>
            <w:r>
              <w:rPr>
                <w:rFonts w:ascii="宋体"/>
                <w:sz w:val="24"/>
              </w:rPr>
              <w:t>272,415.02</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9"/>
              <w:jc w:val="right"/>
              <w:rPr>
                <w:rFonts w:ascii="宋体" w:hAnsi="宋体" w:cs="宋体" w:eastAsia="宋体" w:hint="default"/>
                <w:sz w:val="24"/>
                <w:szCs w:val="24"/>
              </w:rPr>
            </w:pPr>
            <w:r>
              <w:rPr>
                <w:rFonts w:ascii="宋体"/>
                <w:sz w:val="24"/>
              </w:rPr>
              <w:t>272,335.79</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sz w:val="24"/>
              </w:rPr>
              <w:t>241,947.86</w:t>
            </w:r>
          </w:p>
        </w:tc>
      </w:tr>
      <w:tr>
        <w:trPr>
          <w:trHeight w:val="638" w:hRule="exact"/>
        </w:trPr>
        <w:tc>
          <w:tcPr>
            <w:tcW w:w="2669"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存在公开报价的联营企</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业权益投资的公允价值</w:t>
            </w:r>
          </w:p>
        </w:tc>
        <w:tc>
          <w:tcPr>
            <w:tcW w:w="165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9"/>
              <w:jc w:val="right"/>
              <w:rPr>
                <w:rFonts w:ascii="宋体" w:hAnsi="宋体" w:cs="宋体" w:eastAsia="宋体" w:hint="default"/>
                <w:sz w:val="24"/>
                <w:szCs w:val="24"/>
              </w:rPr>
            </w:pPr>
            <w:r>
              <w:rPr>
                <w:rFonts w:ascii="宋体"/>
                <w:sz w:val="24"/>
              </w:rPr>
              <w:t>155,228.49</w:t>
            </w:r>
          </w:p>
        </w:tc>
        <w:tc>
          <w:tcPr>
            <w:tcW w:w="1657"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sz w:val="24"/>
              </w:rPr>
              <w:t>211,998.87</w:t>
            </w:r>
          </w:p>
        </w:tc>
      </w:tr>
      <w:tr>
        <w:trPr>
          <w:trHeight w:val="327" w:hRule="exact"/>
        </w:trPr>
        <w:tc>
          <w:tcPr>
            <w:tcW w:w="2669"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338,565.11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1,324,968.30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312,673.93</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1,611,387.60</w:t>
            </w:r>
          </w:p>
        </w:tc>
      </w:tr>
      <w:tr>
        <w:trPr>
          <w:trHeight w:val="326" w:hRule="exact"/>
        </w:trPr>
        <w:tc>
          <w:tcPr>
            <w:tcW w:w="2669"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1656"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-5,699.47</w:t>
            </w:r>
          </w:p>
        </w:tc>
        <w:tc>
          <w:tcPr>
            <w:tcW w:w="1896"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758,005.50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604.91</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686,452.00</w:t>
            </w:r>
          </w:p>
        </w:tc>
      </w:tr>
    </w:tbl>
    <w:p>
      <w:pPr>
        <w:spacing w:after="0" w:line="274" w:lineRule="exact"/>
        <w:jc w:val="right"/>
        <w:rPr>
          <w:rFonts w:ascii="宋体" w:hAnsi="宋体" w:cs="宋体" w:eastAsia="宋体" w:hint="default"/>
          <w:sz w:val="24"/>
          <w:szCs w:val="24"/>
        </w:rPr>
        <w:sectPr>
          <w:type w:val="continuous"/>
          <w:pgSz w:w="11910" w:h="16840"/>
          <w:pgMar w:top="1000" w:bottom="280" w:left="1220" w:right="7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362" w:type="dxa"/>
        <w:tblLayout w:type="fixed"/>
        <w:tblCellMar>
          <w:top w:w="0" w:type="dxa"/>
          <w:left w:w="0" w:type="dxa"/>
          <w:bottom w:w="0" w:type="dxa"/>
          <w:right w:w="0" w:type="dxa"/>
        </w:tblCellMar>
        <w:tblLook w:val="01E0"/>
      </w:tblPr>
      <w:tblGrid>
        <w:gridCol w:w="2669"/>
        <w:gridCol w:w="1656"/>
        <w:gridCol w:w="1896"/>
        <w:gridCol w:w="1657"/>
        <w:gridCol w:w="1776"/>
      </w:tblGrid>
      <w:tr>
        <w:trPr>
          <w:trHeight w:val="327" w:hRule="exact"/>
        </w:trPr>
        <w:tc>
          <w:tcPr>
            <w:tcW w:w="2669" w:type="dxa"/>
            <w:tcBorders>
              <w:top w:val="single" w:sz="6" w:space="0" w:color="000000"/>
              <w:left w:val="single" w:sz="4" w:space="0" w:color="000000"/>
              <w:bottom w:val="single" w:sz="6" w:space="0" w:color="000000"/>
              <w:right w:val="single" w:sz="6"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终止经营的净利润</w:t>
            </w:r>
          </w:p>
        </w:tc>
        <w:tc>
          <w:tcPr>
            <w:tcW w:w="1656" w:type="dxa"/>
            <w:tcBorders>
              <w:top w:val="single" w:sz="4" w:space="0" w:color="000000"/>
              <w:left w:val="single" w:sz="6" w:space="0" w:color="000000"/>
              <w:bottom w:val="single" w:sz="6" w:space="0" w:color="000000"/>
              <w:right w:val="single" w:sz="6" w:space="0" w:color="000000"/>
            </w:tcBorders>
          </w:tcPr>
          <w:p>
            <w:pPr/>
          </w:p>
        </w:tc>
        <w:tc>
          <w:tcPr>
            <w:tcW w:w="1896" w:type="dxa"/>
            <w:tcBorders>
              <w:top w:val="single" w:sz="4"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669"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14,575.61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-24,393.90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-15,831.53</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-71,554.90</w:t>
            </w:r>
          </w:p>
        </w:tc>
      </w:tr>
      <w:tr>
        <w:trPr>
          <w:trHeight w:val="326" w:hRule="exact"/>
        </w:trPr>
        <w:tc>
          <w:tcPr>
            <w:tcW w:w="2669"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综合收益总额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8,876.14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733,611.60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-15,226.61</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614,897.10</w:t>
            </w:r>
          </w:p>
        </w:tc>
      </w:tr>
      <w:tr>
        <w:trPr>
          <w:trHeight w:val="636" w:hRule="exact"/>
        </w:trPr>
        <w:tc>
          <w:tcPr>
            <w:tcW w:w="2669" w:type="dxa"/>
            <w:tcBorders>
              <w:top w:val="single" w:sz="6" w:space="0" w:color="000000"/>
              <w:left w:val="single" w:sz="4" w:space="0" w:color="000000"/>
              <w:bottom w:val="single" w:sz="4"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本年度收到的来自联营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企业的股利</w:t>
            </w:r>
          </w:p>
        </w:tc>
        <w:tc>
          <w:tcPr>
            <w:tcW w:w="1656" w:type="dxa"/>
            <w:tcBorders>
              <w:top w:val="single" w:sz="6" w:space="0" w:color="000000"/>
              <w:left w:val="single" w:sz="6" w:space="0" w:color="000000"/>
              <w:bottom w:val="single" w:sz="4" w:space="0" w:color="000000"/>
              <w:right w:val="single" w:sz="6" w:space="0" w:color="000000"/>
            </w:tcBorders>
          </w:tcPr>
          <w:p>
            <w:pPr/>
          </w:p>
        </w:tc>
        <w:tc>
          <w:tcPr>
            <w:tcW w:w="189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sz w:val="24"/>
              </w:rPr>
              <w:t>7,500.00</w:t>
            </w:r>
          </w:p>
        </w:tc>
        <w:tc>
          <w:tcPr>
            <w:tcW w:w="1657" w:type="dxa"/>
            <w:tcBorders>
              <w:top w:val="single" w:sz="6" w:space="0" w:color="000000"/>
              <w:left w:val="single" w:sz="6" w:space="0" w:color="000000"/>
              <w:bottom w:val="single" w:sz="4" w:space="0" w:color="000000"/>
              <w:right w:val="single" w:sz="6" w:space="0" w:color="000000"/>
            </w:tcBorders>
          </w:tcPr>
          <w:p>
            <w:pPr/>
          </w:p>
        </w:tc>
        <w:tc>
          <w:tcPr>
            <w:tcW w:w="177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sz w:val="24"/>
              </w:rPr>
              <w:t>8,400.00</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tbl>
      <w:tblPr>
        <w:tblW w:w="0" w:type="auto"/>
        <w:jc w:val="left"/>
        <w:tblInd w:w="425" w:type="dxa"/>
        <w:tblLayout w:type="fixed"/>
        <w:tblCellMar>
          <w:top w:w="0" w:type="dxa"/>
          <w:left w:w="0" w:type="dxa"/>
          <w:bottom w:w="0" w:type="dxa"/>
          <w:right w:w="0" w:type="dxa"/>
        </w:tblCellMar>
        <w:tblLook w:val="01E0"/>
      </w:tblPr>
      <w:tblGrid>
        <w:gridCol w:w="3145"/>
        <w:gridCol w:w="1416"/>
        <w:gridCol w:w="1776"/>
        <w:gridCol w:w="1417"/>
        <w:gridCol w:w="1776"/>
      </w:tblGrid>
      <w:tr>
        <w:trPr>
          <w:trHeight w:val="324" w:hRule="exact"/>
        </w:trPr>
        <w:tc>
          <w:tcPr>
            <w:tcW w:w="3145" w:type="dxa"/>
            <w:vMerge w:val="restart"/>
            <w:tcBorders>
              <w:top w:val="single" w:sz="4" w:space="0" w:color="000000"/>
              <w:left w:val="single" w:sz="4" w:space="0" w:color="000000"/>
              <w:right w:val="single" w:sz="6" w:space="0" w:color="000000"/>
            </w:tcBorders>
          </w:tcPr>
          <w:p>
            <w:pPr/>
          </w:p>
        </w:tc>
        <w:tc>
          <w:tcPr>
            <w:tcW w:w="3192" w:type="dxa"/>
            <w:gridSpan w:val="2"/>
            <w:tcBorders>
              <w:top w:val="single" w:sz="4" w:space="0" w:color="000000"/>
              <w:left w:val="single" w:sz="6" w:space="0" w:color="000000"/>
              <w:bottom w:val="single" w:sz="6" w:space="0" w:color="000000"/>
              <w:right w:val="single" w:sz="6" w:space="0" w:color="000000"/>
            </w:tcBorders>
          </w:tcPr>
          <w:p>
            <w:pPr>
              <w:pStyle w:val="TableParagraph"/>
              <w:spacing w:line="276" w:lineRule="exact"/>
              <w:ind w:left="388"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r>
              <w:rPr>
                <w:rFonts w:ascii="宋体" w:hAnsi="宋体" w:cs="宋体" w:eastAsia="宋体" w:hint="default"/>
                <w:sz w:val="24"/>
                <w:szCs w:val="24"/>
              </w:rPr>
              <w:t>本期发生额</w:t>
            </w:r>
          </w:p>
        </w:tc>
        <w:tc>
          <w:tcPr>
            <w:tcW w:w="3193" w:type="dxa"/>
            <w:gridSpan w:val="2"/>
            <w:tcBorders>
              <w:top w:val="single" w:sz="4" w:space="0" w:color="000000"/>
              <w:left w:val="single" w:sz="6" w:space="0" w:color="000000"/>
              <w:bottom w:val="single" w:sz="6" w:space="0" w:color="000000"/>
              <w:right w:val="single" w:sz="6" w:space="0" w:color="000000"/>
            </w:tcBorders>
          </w:tcPr>
          <w:p>
            <w:pPr>
              <w:pStyle w:val="TableParagraph"/>
              <w:spacing w:line="276" w:lineRule="exact"/>
              <w:ind w:left="388"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r>
              <w:rPr>
                <w:rFonts w:ascii="宋体" w:hAnsi="宋体" w:cs="宋体" w:eastAsia="宋体" w:hint="default"/>
                <w:sz w:val="24"/>
                <w:szCs w:val="24"/>
              </w:rPr>
              <w:t>上期发生额</w:t>
            </w:r>
          </w:p>
        </w:tc>
      </w:tr>
      <w:tr>
        <w:trPr>
          <w:trHeight w:val="951" w:hRule="exact"/>
        </w:trPr>
        <w:tc>
          <w:tcPr>
            <w:tcW w:w="3145" w:type="dxa"/>
            <w:vMerge/>
            <w:tcBorders>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甘肃西北矿</w:t>
            </w:r>
          </w:p>
          <w:p>
            <w:pPr>
              <w:pStyle w:val="TableParagraph"/>
              <w:spacing w:line="312" w:lineRule="exact" w:before="28"/>
              <w:ind w:left="460" w:right="98" w:hanging="360"/>
              <w:jc w:val="left"/>
              <w:rPr>
                <w:rFonts w:ascii="宋体" w:hAnsi="宋体" w:cs="宋体" w:eastAsia="宋体" w:hint="default"/>
                <w:sz w:val="24"/>
                <w:szCs w:val="24"/>
              </w:rPr>
            </w:pPr>
            <w:r>
              <w:rPr>
                <w:rFonts w:ascii="宋体" w:hAnsi="宋体" w:cs="宋体" w:eastAsia="宋体" w:hint="default"/>
                <w:sz w:val="24"/>
                <w:szCs w:val="24"/>
              </w:rPr>
              <w:t>业集团有限 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温州银行股份</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甘肃西北矿</w:t>
            </w:r>
          </w:p>
          <w:p>
            <w:pPr>
              <w:pStyle w:val="TableParagraph"/>
              <w:spacing w:line="312" w:lineRule="exact" w:before="28"/>
              <w:ind w:left="460" w:right="99" w:hanging="360"/>
              <w:jc w:val="left"/>
              <w:rPr>
                <w:rFonts w:ascii="宋体" w:hAnsi="宋体" w:cs="宋体" w:eastAsia="宋体" w:hint="default"/>
                <w:sz w:val="24"/>
                <w:szCs w:val="24"/>
              </w:rPr>
            </w:pPr>
            <w:r>
              <w:rPr>
                <w:rFonts w:ascii="宋体" w:hAnsi="宋体" w:cs="宋体" w:eastAsia="宋体" w:hint="default"/>
                <w:sz w:val="24"/>
                <w:szCs w:val="24"/>
              </w:rPr>
              <w:t>业集团有限 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温州银行股份</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有限公司</w:t>
            </w:r>
          </w:p>
        </w:tc>
      </w:tr>
      <w:tr>
        <w:trPr>
          <w:trHeight w:val="326" w:hRule="exact"/>
        </w:trPr>
        <w:tc>
          <w:tcPr>
            <w:tcW w:w="3145"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19,204.06</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16,797.82</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1]</w:t>
            </w:r>
          </w:p>
        </w:tc>
      </w:tr>
      <w:tr>
        <w:trPr>
          <w:trHeight w:val="324" w:hRule="exact"/>
        </w:trPr>
        <w:tc>
          <w:tcPr>
            <w:tcW w:w="3145"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210,856.12</w:t>
            </w:r>
          </w:p>
        </w:tc>
        <w:tc>
          <w:tcPr>
            <w:tcW w:w="17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225,655.32</w:t>
            </w:r>
          </w:p>
        </w:tc>
        <w:tc>
          <w:tcPr>
            <w:tcW w:w="177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45"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资产合计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230,060.18</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22,411,193.13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242,453.14</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20,134,596.66</w:t>
            </w:r>
          </w:p>
        </w:tc>
      </w:tr>
      <w:tr>
        <w:trPr>
          <w:trHeight w:val="326" w:hRule="exact"/>
        </w:trPr>
        <w:tc>
          <w:tcPr>
            <w:tcW w:w="3145"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26,661.95</w:t>
            </w:r>
          </w:p>
        </w:tc>
        <w:tc>
          <w:tcPr>
            <w:tcW w:w="17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35,390.97</w:t>
            </w:r>
          </w:p>
        </w:tc>
        <w:tc>
          <w:tcPr>
            <w:tcW w:w="177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45"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45"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负债合计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26,661.95</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21,099,159.19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35,390.97</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19,065,998.66</w:t>
            </w:r>
          </w:p>
        </w:tc>
      </w:tr>
      <w:tr>
        <w:trPr>
          <w:trHeight w:val="326" w:hRule="exact"/>
        </w:trPr>
        <w:tc>
          <w:tcPr>
            <w:tcW w:w="3145"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少数股东权益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-938.34</w:t>
            </w:r>
          </w:p>
        </w:tc>
        <w:tc>
          <w:tcPr>
            <w:tcW w:w="17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-910.32</w:t>
            </w:r>
          </w:p>
        </w:tc>
        <w:tc>
          <w:tcPr>
            <w:tcW w:w="177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45"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归属于母公司股东权益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204,336.57</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1,312,033.94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207,972.49</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1,068,598.00</w:t>
            </w:r>
          </w:p>
        </w:tc>
      </w:tr>
      <w:tr>
        <w:trPr>
          <w:trHeight w:val="639" w:hRule="exact"/>
        </w:trPr>
        <w:tc>
          <w:tcPr>
            <w:tcW w:w="3145"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按持股比例计算的净资产份</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额</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sz w:val="24"/>
              </w:rPr>
              <w:t>70,291.64</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sz w:val="24"/>
              </w:rPr>
              <w:t>238,151.70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9"/>
              <w:jc w:val="right"/>
              <w:rPr>
                <w:rFonts w:ascii="宋体" w:hAnsi="宋体" w:cs="宋体" w:eastAsia="宋体" w:hint="default"/>
                <w:sz w:val="24"/>
                <w:szCs w:val="24"/>
              </w:rPr>
            </w:pPr>
            <w:r>
              <w:rPr>
                <w:rFonts w:ascii="宋体"/>
                <w:sz w:val="24"/>
              </w:rPr>
              <w:t>71,542.40</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sz w:val="24"/>
              </w:rPr>
              <w:t>149,144.08</w:t>
            </w:r>
          </w:p>
        </w:tc>
      </w:tr>
      <w:tr>
        <w:trPr>
          <w:trHeight w:val="326" w:hRule="exact"/>
        </w:trPr>
        <w:tc>
          <w:tcPr>
            <w:tcW w:w="3145"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调整事项</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206.01</w:t>
            </w:r>
          </w:p>
        </w:tc>
        <w:tc>
          <w:tcPr>
            <w:tcW w:w="1417"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5,899.67</w:t>
            </w:r>
          </w:p>
        </w:tc>
      </w:tr>
      <w:tr>
        <w:trPr>
          <w:trHeight w:val="326" w:hRule="exact"/>
        </w:trPr>
        <w:tc>
          <w:tcPr>
            <w:tcW w:w="3145"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商誉</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206.01</w:t>
            </w:r>
          </w:p>
        </w:tc>
        <w:tc>
          <w:tcPr>
            <w:tcW w:w="1417"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5,899.67</w:t>
            </w:r>
          </w:p>
        </w:tc>
      </w:tr>
      <w:tr>
        <w:trPr>
          <w:trHeight w:val="326" w:hRule="exact"/>
        </w:trPr>
        <w:tc>
          <w:tcPr>
            <w:tcW w:w="3145"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内部交易未实现利润</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3145"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其他</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145"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对联营企业权益投资的账面</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价值</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8"/>
              <w:jc w:val="right"/>
              <w:rPr>
                <w:rFonts w:ascii="宋体" w:hAnsi="宋体" w:cs="宋体" w:eastAsia="宋体" w:hint="default"/>
                <w:sz w:val="24"/>
                <w:szCs w:val="24"/>
              </w:rPr>
            </w:pPr>
            <w:r>
              <w:rPr>
                <w:rFonts w:ascii="宋体"/>
                <w:sz w:val="24"/>
              </w:rPr>
              <w:t>70,291.64</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8"/>
              <w:jc w:val="right"/>
              <w:rPr>
                <w:rFonts w:ascii="宋体" w:hAnsi="宋体" w:cs="宋体" w:eastAsia="宋体" w:hint="default"/>
                <w:sz w:val="24"/>
                <w:szCs w:val="24"/>
              </w:rPr>
            </w:pPr>
            <w:r>
              <w:rPr>
                <w:rFonts w:ascii="宋体"/>
                <w:sz w:val="24"/>
              </w:rPr>
              <w:t>238,357.71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9"/>
              <w:jc w:val="right"/>
              <w:rPr>
                <w:rFonts w:ascii="宋体" w:hAnsi="宋体" w:cs="宋体" w:eastAsia="宋体" w:hint="default"/>
                <w:sz w:val="24"/>
                <w:szCs w:val="24"/>
              </w:rPr>
            </w:pPr>
            <w:r>
              <w:rPr>
                <w:rFonts w:ascii="宋体"/>
                <w:sz w:val="24"/>
              </w:rPr>
              <w:t>71,542.40</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8"/>
              <w:jc w:val="right"/>
              <w:rPr>
                <w:rFonts w:ascii="宋体" w:hAnsi="宋体" w:cs="宋体" w:eastAsia="宋体" w:hint="default"/>
                <w:sz w:val="24"/>
                <w:szCs w:val="24"/>
              </w:rPr>
            </w:pPr>
            <w:r>
              <w:rPr>
                <w:rFonts w:ascii="宋体"/>
                <w:sz w:val="24"/>
              </w:rPr>
              <w:t>155,043.75</w:t>
            </w:r>
          </w:p>
        </w:tc>
      </w:tr>
      <w:tr>
        <w:trPr>
          <w:trHeight w:val="638" w:hRule="exact"/>
        </w:trPr>
        <w:tc>
          <w:tcPr>
            <w:tcW w:w="3145"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存在公开报价的联营企业权</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益投资的公允价值</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45"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391.66</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397,072.43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904.33</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459,563.82</w:t>
            </w:r>
          </w:p>
        </w:tc>
      </w:tr>
      <w:tr>
        <w:trPr>
          <w:trHeight w:val="327" w:hRule="exact"/>
        </w:trPr>
        <w:tc>
          <w:tcPr>
            <w:tcW w:w="3145"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-1,635.92</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90,224.00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1,529.40</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102,855.19</w:t>
            </w:r>
          </w:p>
        </w:tc>
      </w:tr>
      <w:tr>
        <w:trPr>
          <w:trHeight w:val="326" w:hRule="exact"/>
        </w:trPr>
        <w:tc>
          <w:tcPr>
            <w:tcW w:w="3145"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终止经营的净利润</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3145"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-1,780.93</w:t>
            </w:r>
          </w:p>
        </w:tc>
        <w:tc>
          <w:tcPr>
            <w:tcW w:w="1417"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-2,528.64</w:t>
            </w:r>
          </w:p>
        </w:tc>
      </w:tr>
      <w:tr>
        <w:trPr>
          <w:trHeight w:val="326" w:hRule="exact"/>
        </w:trPr>
        <w:tc>
          <w:tcPr>
            <w:tcW w:w="3145"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综合收益总额</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-1,635.92</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88,443.07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1,529.40</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100,326.55</w:t>
            </w:r>
          </w:p>
        </w:tc>
      </w:tr>
      <w:tr>
        <w:trPr>
          <w:trHeight w:val="636" w:hRule="exact"/>
        </w:trPr>
        <w:tc>
          <w:tcPr>
            <w:tcW w:w="3145" w:type="dxa"/>
            <w:tcBorders>
              <w:top w:val="single" w:sz="6" w:space="0" w:color="000000"/>
              <w:left w:val="single" w:sz="4" w:space="0" w:color="000000"/>
              <w:bottom w:val="single" w:sz="4"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本年度收到的来自联营企业</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的股利</w:t>
            </w:r>
          </w:p>
        </w:tc>
        <w:tc>
          <w:tcPr>
            <w:tcW w:w="1416" w:type="dxa"/>
            <w:tcBorders>
              <w:top w:val="single" w:sz="6" w:space="0" w:color="000000"/>
              <w:left w:val="single" w:sz="6" w:space="0" w:color="000000"/>
              <w:bottom w:val="single" w:sz="4" w:space="0" w:color="000000"/>
              <w:right w:val="single" w:sz="6" w:space="0" w:color="000000"/>
            </w:tcBorders>
          </w:tcPr>
          <w:p>
            <w:pPr/>
          </w:p>
        </w:tc>
        <w:tc>
          <w:tcPr>
            <w:tcW w:w="177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sz w:val="24"/>
              </w:rPr>
              <w:t>6,650.00</w:t>
            </w:r>
          </w:p>
        </w:tc>
        <w:tc>
          <w:tcPr>
            <w:tcW w:w="1417" w:type="dxa"/>
            <w:tcBorders>
              <w:top w:val="single" w:sz="6" w:space="0" w:color="000000"/>
              <w:left w:val="single" w:sz="6" w:space="0" w:color="000000"/>
              <w:bottom w:val="single" w:sz="4" w:space="0" w:color="000000"/>
              <w:right w:val="single" w:sz="6" w:space="0" w:color="000000"/>
            </w:tcBorders>
          </w:tcPr>
          <w:p>
            <w:pPr/>
          </w:p>
        </w:tc>
        <w:tc>
          <w:tcPr>
            <w:tcW w:w="1776"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2036"/>
        <w:gridCol w:w="1688"/>
        <w:gridCol w:w="1265"/>
        <w:gridCol w:w="1277"/>
        <w:gridCol w:w="1688"/>
        <w:gridCol w:w="1438"/>
        <w:gridCol w:w="761"/>
      </w:tblGrid>
      <w:tr>
        <w:trPr>
          <w:trHeight w:val="245" w:hRule="exact"/>
        </w:trPr>
        <w:tc>
          <w:tcPr>
            <w:tcW w:w="2036" w:type="dxa"/>
            <w:vMerge w:val="restart"/>
            <w:tcBorders>
              <w:top w:val="single" w:sz="4" w:space="0" w:color="000000"/>
              <w:left w:val="single" w:sz="4" w:space="0" w:color="000000"/>
              <w:right w:val="single" w:sz="6" w:space="0" w:color="000000"/>
            </w:tcBorders>
          </w:tcPr>
          <w:p>
            <w:pPr/>
          </w:p>
        </w:tc>
        <w:tc>
          <w:tcPr>
            <w:tcW w:w="4230" w:type="dxa"/>
            <w:gridSpan w:val="3"/>
            <w:tcBorders>
              <w:top w:val="single" w:sz="4" w:space="0" w:color="000000"/>
              <w:left w:val="single" w:sz="6" w:space="0" w:color="000000"/>
              <w:bottom w:val="single" w:sz="6" w:space="0" w:color="000000"/>
              <w:right w:val="single" w:sz="6" w:space="0" w:color="000000"/>
            </w:tcBorders>
          </w:tcPr>
          <w:p>
            <w:pPr>
              <w:pStyle w:val="TableParagraph"/>
              <w:spacing w:line="205" w:lineRule="exact"/>
              <w:ind w:left="120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本期发生额</w:t>
            </w:r>
          </w:p>
        </w:tc>
        <w:tc>
          <w:tcPr>
            <w:tcW w:w="3886" w:type="dxa"/>
            <w:gridSpan w:val="3"/>
            <w:tcBorders>
              <w:top w:val="single" w:sz="4" w:space="0" w:color="000000"/>
              <w:left w:val="single" w:sz="6" w:space="0" w:color="000000"/>
              <w:bottom w:val="single" w:sz="6" w:space="0" w:color="000000"/>
              <w:right w:val="single" w:sz="6" w:space="0" w:color="000000"/>
            </w:tcBorders>
          </w:tcPr>
          <w:p>
            <w:pPr>
              <w:pStyle w:val="TableParagraph"/>
              <w:spacing w:line="205" w:lineRule="exact"/>
              <w:ind w:left="103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上期发生额</w:t>
            </w:r>
          </w:p>
        </w:tc>
      </w:tr>
      <w:tr>
        <w:trPr>
          <w:trHeight w:val="716" w:hRule="exact"/>
        </w:trPr>
        <w:tc>
          <w:tcPr>
            <w:tcW w:w="2036" w:type="dxa"/>
            <w:vMerge/>
            <w:tcBorders>
              <w:left w:val="single" w:sz="4"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747" w:right="24" w:hanging="721"/>
              <w:jc w:val="left"/>
              <w:rPr>
                <w:rFonts w:ascii="宋体" w:hAnsi="宋体" w:cs="宋体" w:eastAsia="宋体" w:hint="default"/>
                <w:sz w:val="18"/>
                <w:szCs w:val="18"/>
              </w:rPr>
            </w:pPr>
            <w:r>
              <w:rPr>
                <w:rFonts w:ascii="宋体" w:hAnsi="宋体" w:cs="宋体" w:eastAsia="宋体" w:hint="default"/>
                <w:sz w:val="18"/>
                <w:szCs w:val="18"/>
              </w:rPr>
              <w:t>中信银行股份有限公 司</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hAnsi="宋体" w:cs="宋体" w:eastAsia="宋体" w:hint="default"/>
                <w:sz w:val="18"/>
                <w:szCs w:val="18"/>
              </w:rPr>
              <w:t>江苏新湖宝</w:t>
            </w:r>
          </w:p>
          <w:p>
            <w:pPr>
              <w:pStyle w:val="TableParagraph"/>
              <w:spacing w:line="240" w:lineRule="auto"/>
              <w:ind w:left="441" w:right="175" w:hanging="269"/>
              <w:jc w:val="left"/>
              <w:rPr>
                <w:rFonts w:ascii="宋体" w:hAnsi="宋体" w:cs="宋体" w:eastAsia="宋体" w:hint="default"/>
                <w:sz w:val="18"/>
                <w:szCs w:val="18"/>
              </w:rPr>
            </w:pPr>
            <w:r>
              <w:rPr>
                <w:rFonts w:ascii="宋体" w:hAnsi="宋体" w:cs="宋体" w:eastAsia="宋体" w:hint="default"/>
                <w:sz w:val="18"/>
                <w:szCs w:val="18"/>
              </w:rPr>
              <w:t>华置业有限 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360" w:right="180" w:hanging="181"/>
              <w:jc w:val="left"/>
              <w:rPr>
                <w:rFonts w:ascii="宋体" w:hAnsi="宋体" w:cs="宋体" w:eastAsia="宋体" w:hint="default"/>
                <w:sz w:val="18"/>
                <w:szCs w:val="18"/>
              </w:rPr>
            </w:pPr>
            <w:r>
              <w:rPr>
                <w:rFonts w:ascii="宋体" w:hAnsi="宋体" w:cs="宋体" w:eastAsia="宋体" w:hint="default"/>
                <w:sz w:val="18"/>
                <w:szCs w:val="18"/>
              </w:rPr>
              <w:t>新湖期货有 限公司</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746" w:right="26" w:hanging="720"/>
              <w:jc w:val="left"/>
              <w:rPr>
                <w:rFonts w:ascii="宋体" w:hAnsi="宋体" w:cs="宋体" w:eastAsia="宋体" w:hint="default"/>
                <w:sz w:val="18"/>
                <w:szCs w:val="18"/>
              </w:rPr>
            </w:pPr>
            <w:r>
              <w:rPr>
                <w:rFonts w:ascii="宋体" w:hAnsi="宋体" w:cs="宋体" w:eastAsia="宋体" w:hint="default"/>
                <w:sz w:val="18"/>
                <w:szCs w:val="18"/>
              </w:rPr>
              <w:t>中信银行股份有限公 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72" w:right="168"/>
              <w:jc w:val="left"/>
              <w:rPr>
                <w:rFonts w:ascii="宋体" w:hAnsi="宋体" w:cs="宋体" w:eastAsia="宋体" w:hint="default"/>
                <w:sz w:val="18"/>
                <w:szCs w:val="18"/>
              </w:rPr>
            </w:pPr>
            <w:r>
              <w:rPr>
                <w:rFonts w:ascii="宋体" w:hAnsi="宋体" w:cs="宋体" w:eastAsia="宋体" w:hint="default"/>
                <w:sz w:val="18"/>
                <w:szCs w:val="18"/>
              </w:rPr>
              <w:t>江苏新湖宝华 置业有限公司</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新湖期</w:t>
            </w:r>
          </w:p>
          <w:p>
            <w:pPr>
              <w:pStyle w:val="TableParagraph"/>
              <w:spacing w:line="240" w:lineRule="auto"/>
              <w:ind w:left="192" w:right="103" w:hanging="92"/>
              <w:jc w:val="left"/>
              <w:rPr>
                <w:rFonts w:ascii="宋体" w:hAnsi="宋体" w:cs="宋体" w:eastAsia="宋体" w:hint="default"/>
                <w:sz w:val="18"/>
                <w:szCs w:val="18"/>
              </w:rPr>
            </w:pPr>
            <w:r>
              <w:rPr>
                <w:rFonts w:ascii="宋体" w:hAnsi="宋体" w:cs="宋体" w:eastAsia="宋体" w:hint="default"/>
                <w:sz w:val="18"/>
                <w:szCs w:val="18"/>
              </w:rPr>
              <w:t>货有限 公司</w:t>
            </w:r>
          </w:p>
        </w:tc>
      </w:tr>
      <w:tr>
        <w:trPr>
          <w:trHeight w:val="250" w:hRule="exact"/>
        </w:trPr>
        <w:tc>
          <w:tcPr>
            <w:tcW w:w="2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7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182,724.04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6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7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165,211.88</w:t>
            </w: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88" w:type="dxa"/>
            <w:tcBorders>
              <w:top w:val="single" w:sz="6" w:space="0" w:color="000000"/>
              <w:left w:val="single" w:sz="6" w:space="0" w:color="000000"/>
              <w:bottom w:val="single" w:sz="4" w:space="0" w:color="000000"/>
              <w:right w:val="single" w:sz="6" w:space="0" w:color="000000"/>
            </w:tcBorders>
          </w:tcPr>
          <w:p>
            <w:pPr/>
          </w:p>
        </w:tc>
        <w:tc>
          <w:tcPr>
            <w:tcW w:w="1265"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4,966.30</w:t>
            </w:r>
          </w:p>
        </w:tc>
        <w:tc>
          <w:tcPr>
            <w:tcW w:w="1277" w:type="dxa"/>
            <w:tcBorders>
              <w:top w:val="single" w:sz="6" w:space="0" w:color="000000"/>
              <w:left w:val="single" w:sz="6" w:space="0" w:color="000000"/>
              <w:bottom w:val="single" w:sz="4"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3,240.24</w:t>
            </w:r>
          </w:p>
        </w:tc>
        <w:tc>
          <w:tcPr>
            <w:tcW w:w="76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1195" w:top="1120" w:bottom="1380" w:left="1020" w:right="5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2036"/>
        <w:gridCol w:w="1688"/>
        <w:gridCol w:w="1265"/>
        <w:gridCol w:w="1277"/>
        <w:gridCol w:w="1688"/>
        <w:gridCol w:w="1438"/>
        <w:gridCol w:w="761"/>
      </w:tblGrid>
      <w:tr>
        <w:trPr>
          <w:trHeight w:val="250" w:hRule="exact"/>
        </w:trPr>
        <w:tc>
          <w:tcPr>
            <w:tcW w:w="2036"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688" w:type="dxa"/>
            <w:tcBorders>
              <w:top w:val="single" w:sz="4" w:space="0" w:color="000000"/>
              <w:left w:val="single" w:sz="6" w:space="0" w:color="000000"/>
              <w:bottom w:val="single" w:sz="6" w:space="0" w:color="000000"/>
              <w:right w:val="single" w:sz="6" w:space="0" w:color="000000"/>
            </w:tcBorders>
          </w:tcPr>
          <w:p>
            <w:pPr>
              <w:pStyle w:val="TableParagraph"/>
              <w:spacing w:line="211" w:lineRule="exact"/>
              <w:ind w:right="99"/>
              <w:jc w:val="right"/>
              <w:rPr>
                <w:rFonts w:ascii="宋体" w:hAnsi="宋体" w:cs="宋体" w:eastAsia="宋体" w:hint="default"/>
                <w:sz w:val="18"/>
                <w:szCs w:val="18"/>
              </w:rPr>
            </w:pPr>
            <w:r>
              <w:rPr>
                <w:rFonts w:ascii="宋体"/>
                <w:spacing w:val="-1"/>
                <w:sz w:val="18"/>
              </w:rPr>
              <w:t>567,769,100.00</w:t>
            </w:r>
          </w:p>
        </w:tc>
        <w:tc>
          <w:tcPr>
            <w:tcW w:w="1265" w:type="dxa"/>
            <w:tcBorders>
              <w:top w:val="single" w:sz="4" w:space="0" w:color="000000"/>
              <w:left w:val="single" w:sz="6" w:space="0" w:color="000000"/>
              <w:bottom w:val="single" w:sz="6" w:space="0" w:color="000000"/>
              <w:right w:val="single" w:sz="6" w:space="0" w:color="000000"/>
            </w:tcBorders>
          </w:tcPr>
          <w:p>
            <w:pPr>
              <w:pStyle w:val="TableParagraph"/>
              <w:spacing w:line="211" w:lineRule="exact"/>
              <w:ind w:right="100"/>
              <w:jc w:val="right"/>
              <w:rPr>
                <w:rFonts w:ascii="宋体" w:hAnsi="宋体" w:cs="宋体" w:eastAsia="宋体" w:hint="default"/>
                <w:sz w:val="18"/>
                <w:szCs w:val="18"/>
              </w:rPr>
            </w:pPr>
            <w:r>
              <w:rPr>
                <w:rFonts w:ascii="宋体"/>
                <w:spacing w:val="-1"/>
                <w:sz w:val="18"/>
              </w:rPr>
              <w:t>187,690.34</w:t>
            </w:r>
          </w:p>
        </w:tc>
        <w:tc>
          <w:tcPr>
            <w:tcW w:w="1277" w:type="dxa"/>
            <w:tcBorders>
              <w:top w:val="single" w:sz="4" w:space="0" w:color="000000"/>
              <w:left w:val="single" w:sz="6" w:space="0" w:color="000000"/>
              <w:bottom w:val="single" w:sz="6" w:space="0" w:color="000000"/>
              <w:right w:val="single" w:sz="6" w:space="0" w:color="000000"/>
            </w:tcBorders>
          </w:tcPr>
          <w:p>
            <w:pPr>
              <w:pStyle w:val="TableParagraph"/>
              <w:spacing w:line="211" w:lineRule="exact"/>
              <w:ind w:right="98"/>
              <w:jc w:val="right"/>
              <w:rPr>
                <w:rFonts w:ascii="宋体" w:hAnsi="宋体" w:cs="宋体" w:eastAsia="宋体" w:hint="default"/>
                <w:sz w:val="18"/>
                <w:szCs w:val="18"/>
              </w:rPr>
            </w:pPr>
            <w:r>
              <w:rPr>
                <w:rFonts w:ascii="宋体"/>
                <w:spacing w:val="-1"/>
                <w:sz w:val="18"/>
              </w:rPr>
              <w:t>537,993.32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593,105,000.00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168,452.12</w:t>
            </w: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88"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87,219.52</w:t>
            </w:r>
          </w:p>
        </w:tc>
        <w:tc>
          <w:tcPr>
            <w:tcW w:w="1277"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52,979.98</w:t>
            </w: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36"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88"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526,525,800.00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87,219.52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464,684.75</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554,655,400.00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52,979.98</w:t>
            </w: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36"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1,279,500.00</w:t>
            </w:r>
          </w:p>
        </w:tc>
        <w:tc>
          <w:tcPr>
            <w:tcW w:w="12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527,200.00</w:t>
            </w:r>
          </w:p>
        </w:tc>
        <w:tc>
          <w:tcPr>
            <w:tcW w:w="1438"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39,963,800.00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100,470.83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73,308.57</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37,922,400.00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115,472.14</w:t>
            </w: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036"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按持股比例计算的净资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产份额</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9"/>
              <w:jc w:val="right"/>
              <w:rPr>
                <w:rFonts w:ascii="宋体" w:hAnsi="宋体" w:cs="宋体" w:eastAsia="宋体" w:hint="default"/>
                <w:sz w:val="18"/>
                <w:szCs w:val="18"/>
              </w:rPr>
            </w:pPr>
            <w:r>
              <w:rPr>
                <w:rFonts w:ascii="宋体"/>
                <w:spacing w:val="-1"/>
                <w:sz w:val="18"/>
              </w:rPr>
              <w:t>1,997,793.91</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35,164.79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27,615.34</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9"/>
              <w:jc w:val="right"/>
              <w:rPr>
                <w:rFonts w:ascii="宋体" w:hAnsi="宋体" w:cs="宋体" w:eastAsia="宋体" w:hint="default"/>
                <w:sz w:val="18"/>
                <w:szCs w:val="18"/>
              </w:rPr>
            </w:pPr>
            <w:r>
              <w:rPr>
                <w:rFonts w:ascii="宋体"/>
                <w:spacing w:val="-1"/>
                <w:sz w:val="18"/>
              </w:rPr>
              <w:t>1,798,031.68</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宋体" w:hAnsi="宋体" w:cs="宋体" w:eastAsia="宋体" w:hint="default"/>
                <w:sz w:val="18"/>
                <w:szCs w:val="18"/>
              </w:rPr>
            </w:pPr>
            <w:r>
              <w:rPr>
                <w:rFonts w:ascii="宋体"/>
                <w:spacing w:val="-1"/>
                <w:sz w:val="18"/>
              </w:rPr>
              <w:t>40,415.25</w:t>
            </w: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36"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-176,322.54</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-131.12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17,884.24</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-178,336.20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5"/>
              <w:jc w:val="right"/>
              <w:rPr>
                <w:rFonts w:ascii="宋体" w:hAnsi="宋体" w:cs="宋体" w:eastAsia="宋体" w:hint="default"/>
                <w:sz w:val="18"/>
                <w:szCs w:val="18"/>
              </w:rPr>
            </w:pPr>
            <w:r>
              <w:rPr>
                <w:rFonts w:ascii="宋体"/>
                <w:spacing w:val="-1"/>
                <w:sz w:val="18"/>
              </w:rPr>
              <w:t>4,193.04</w:t>
            </w: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商誉</w:t>
            </w:r>
          </w:p>
        </w:tc>
        <w:tc>
          <w:tcPr>
            <w:tcW w:w="1688"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17,884.24</w:t>
            </w:r>
          </w:p>
        </w:tc>
        <w:tc>
          <w:tcPr>
            <w:tcW w:w="1688"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36"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内部交易未实现利润</w:t>
            </w:r>
          </w:p>
        </w:tc>
        <w:tc>
          <w:tcPr>
            <w:tcW w:w="1688"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-131.12</w:t>
            </w:r>
          </w:p>
        </w:tc>
        <w:tc>
          <w:tcPr>
            <w:tcW w:w="1277"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hAnsi="宋体" w:cs="宋体" w:eastAsia="宋体" w:hint="default"/>
                <w:sz w:val="18"/>
                <w:szCs w:val="18"/>
              </w:rPr>
              <w:t>-176,322.54[</w:t>
            </w:r>
            <w:r>
              <w:rPr>
                <w:rFonts w:ascii="宋体" w:hAnsi="宋体" w:cs="宋体" w:eastAsia="宋体" w:hint="default"/>
                <w:sz w:val="18"/>
                <w:szCs w:val="18"/>
              </w:rPr>
              <w:t>注</w:t>
            </w:r>
            <w:r>
              <w:rPr>
                <w:rFonts w:ascii="宋体" w:hAnsi="宋体" w:cs="宋体" w:eastAsia="宋体" w:hint="default"/>
                <w:spacing w:val="-62"/>
                <w:sz w:val="18"/>
                <w:szCs w:val="18"/>
              </w:rPr>
              <w:t> </w:t>
            </w:r>
            <w:r>
              <w:rPr>
                <w:rFonts w:ascii="宋体" w:hAnsi="宋体" w:cs="宋体" w:eastAsia="宋体" w:hint="default"/>
                <w:sz w:val="18"/>
                <w:szCs w:val="18"/>
              </w:rPr>
              <w:t>2]</w:t>
            </w:r>
          </w:p>
        </w:tc>
        <w:tc>
          <w:tcPr>
            <w:tcW w:w="12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sz w:val="18"/>
                <w:szCs w:val="18"/>
              </w:rPr>
              <w:t>-178,336.20[</w:t>
            </w:r>
            <w:r>
              <w:rPr>
                <w:rFonts w:ascii="宋体" w:hAnsi="宋体" w:cs="宋体" w:eastAsia="宋体" w:hint="default"/>
                <w:sz w:val="18"/>
                <w:szCs w:val="18"/>
              </w:rPr>
              <w:t>注</w:t>
            </w:r>
            <w:r>
              <w:rPr>
                <w:rFonts w:ascii="宋体" w:hAnsi="宋体" w:cs="宋体" w:eastAsia="宋体" w:hint="default"/>
                <w:spacing w:val="-62"/>
                <w:sz w:val="18"/>
                <w:szCs w:val="18"/>
              </w:rPr>
              <w:t> </w:t>
            </w:r>
            <w:r>
              <w:rPr>
                <w:rFonts w:ascii="宋体" w:hAnsi="宋体" w:cs="宋体" w:eastAsia="宋体" w:hint="default"/>
                <w:sz w:val="18"/>
                <w:szCs w:val="18"/>
              </w:rPr>
              <w:t>2]</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hAnsi="宋体" w:cs="宋体" w:eastAsia="宋体" w:hint="default"/>
                <w:sz w:val="18"/>
                <w:szCs w:val="18"/>
              </w:rPr>
              <w:t>4,193.04[</w:t>
            </w:r>
            <w:r>
              <w:rPr>
                <w:rFonts w:ascii="宋体" w:hAnsi="宋体" w:cs="宋体" w:eastAsia="宋体" w:hint="default"/>
                <w:sz w:val="18"/>
                <w:szCs w:val="18"/>
              </w:rPr>
              <w:t>注</w:t>
            </w:r>
            <w:r>
              <w:rPr>
                <w:rFonts w:ascii="宋体" w:hAnsi="宋体" w:cs="宋体" w:eastAsia="宋体" w:hint="default"/>
                <w:spacing w:val="-52"/>
                <w:sz w:val="18"/>
                <w:szCs w:val="18"/>
              </w:rPr>
              <w:t> </w:t>
            </w:r>
            <w:r>
              <w:rPr>
                <w:rFonts w:ascii="宋体" w:hAnsi="宋体" w:cs="宋体" w:eastAsia="宋体" w:hint="default"/>
                <w:sz w:val="18"/>
                <w:szCs w:val="18"/>
              </w:rPr>
              <w:t>3]</w:t>
            </w: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036"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对联营企业权益投资的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1,821,471.37</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35,033.67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45,499.58</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1,619,695.48</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44,608.29</w:t>
            </w: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存在公开报价的联营企</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业权益投资的公允价值</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1,001,980.11</w:t>
            </w:r>
          </w:p>
        </w:tc>
        <w:tc>
          <w:tcPr>
            <w:tcW w:w="12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1,023,182.81</w:t>
            </w:r>
          </w:p>
        </w:tc>
        <w:tc>
          <w:tcPr>
            <w:tcW w:w="1438"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15,670,800.00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910.62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192,873.27</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15,378,100.00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22,794.81</w:t>
            </w: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36"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4,256,600.00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-3,550.48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7,380.24</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4,162,900.00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5"/>
              <w:jc w:val="right"/>
              <w:rPr>
                <w:rFonts w:ascii="宋体" w:hAnsi="宋体" w:cs="宋体" w:eastAsia="宋体" w:hint="default"/>
                <w:sz w:val="18"/>
                <w:szCs w:val="18"/>
              </w:rPr>
            </w:pPr>
            <w:r>
              <w:rPr>
                <w:rFonts w:ascii="宋体"/>
                <w:sz w:val="18"/>
              </w:rPr>
              <w:t>-209.46</w:t>
            </w: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688"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36"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-1,064,200.00</w:t>
            </w:r>
          </w:p>
        </w:tc>
        <w:tc>
          <w:tcPr>
            <w:tcW w:w="12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7"/>
              <w:jc w:val="right"/>
              <w:rPr>
                <w:rFonts w:ascii="宋体" w:hAnsi="宋体" w:cs="宋体" w:eastAsia="宋体" w:hint="default"/>
                <w:sz w:val="18"/>
                <w:szCs w:val="18"/>
              </w:rPr>
            </w:pPr>
            <w:r>
              <w:rPr>
                <w:rFonts w:ascii="宋体"/>
                <w:spacing w:val="-1"/>
                <w:sz w:val="18"/>
              </w:rPr>
              <w:t>-45.72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-472,600.00</w:t>
            </w:r>
          </w:p>
        </w:tc>
        <w:tc>
          <w:tcPr>
            <w:tcW w:w="1438"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3,192,400.00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-3,550.48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7,334.52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3,690,300.00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-209.46</w:t>
            </w: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036" w:type="dxa"/>
            <w:tcBorders>
              <w:top w:val="single" w:sz="6" w:space="0" w:color="000000"/>
              <w:left w:val="single" w:sz="4" w:space="0" w:color="000000"/>
              <w:bottom w:val="single" w:sz="4"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本年度收到的来自联营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企业的股利</w:t>
            </w:r>
          </w:p>
        </w:tc>
        <w:tc>
          <w:tcPr>
            <w:tcW w:w="168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49,883.81</w:t>
            </w:r>
          </w:p>
        </w:tc>
        <w:tc>
          <w:tcPr>
            <w:tcW w:w="126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8,200.83</w:t>
            </w:r>
          </w:p>
        </w:tc>
        <w:tc>
          <w:tcPr>
            <w:tcW w:w="1277" w:type="dxa"/>
            <w:tcBorders>
              <w:top w:val="single" w:sz="6" w:space="0" w:color="000000"/>
              <w:left w:val="single" w:sz="6" w:space="0" w:color="000000"/>
              <w:bottom w:val="single" w:sz="4" w:space="0" w:color="000000"/>
              <w:right w:val="single" w:sz="6" w:space="0" w:color="000000"/>
            </w:tcBorders>
          </w:tcPr>
          <w:p>
            <w:pPr/>
          </w:p>
        </w:tc>
        <w:tc>
          <w:tcPr>
            <w:tcW w:w="1688" w:type="dxa"/>
            <w:tcBorders>
              <w:top w:val="single" w:sz="6" w:space="0" w:color="000000"/>
              <w:left w:val="single" w:sz="6" w:space="0" w:color="000000"/>
              <w:bottom w:val="single" w:sz="4" w:space="0" w:color="000000"/>
              <w:right w:val="single" w:sz="6" w:space="0" w:color="000000"/>
            </w:tcBorders>
          </w:tcPr>
          <w:p>
            <w:pPr/>
          </w:p>
        </w:tc>
        <w:tc>
          <w:tcPr>
            <w:tcW w:w="1438" w:type="dxa"/>
            <w:tcBorders>
              <w:top w:val="single" w:sz="6" w:space="0" w:color="000000"/>
              <w:left w:val="single" w:sz="6" w:space="0" w:color="000000"/>
              <w:bottom w:val="single" w:sz="4" w:space="0" w:color="000000"/>
              <w:right w:val="single" w:sz="6" w:space="0" w:color="000000"/>
            </w:tcBorders>
          </w:tcPr>
          <w:p>
            <w:pPr/>
          </w:p>
        </w:tc>
        <w:tc>
          <w:tcPr>
            <w:tcW w:w="761" w:type="dxa"/>
            <w:tcBorders>
              <w:top w:val="single" w:sz="6" w:space="0" w:color="000000"/>
              <w:left w:val="single" w:sz="6" w:space="0" w:color="000000"/>
              <w:bottom w:val="single" w:sz="4" w:space="0" w:color="000000"/>
              <w:right w:val="single" w:sz="6" w:space="0" w:color="000000"/>
            </w:tcBorders>
          </w:tcPr>
          <w:p>
            <w:pPr/>
          </w:p>
        </w:tc>
      </w:tr>
    </w:tbl>
    <w:p>
      <w:pPr>
        <w:spacing w:line="241" w:lineRule="exact" w:before="0"/>
        <w:ind w:left="1274"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：盛京银行、温州银行、中信银行、新湖期货属于金融业，其财务报表按行业编报规则</w:t>
      </w:r>
    </w:p>
    <w:p>
      <w:pPr>
        <w:spacing w:before="135"/>
        <w:ind w:left="778" w:right="0" w:firstLine="0"/>
        <w:jc w:val="left"/>
        <w:rPr>
          <w:rFonts w:ascii="宋体" w:hAnsi="宋体" w:cs="宋体" w:eastAsia="宋体" w:hint="default"/>
          <w:sz w:val="21"/>
          <w:szCs w:val="21"/>
        </w:rPr>
      </w:pPr>
      <w:r>
        <w:rPr>
          <w:rFonts w:ascii="宋体" w:hAnsi="宋体" w:cs="宋体" w:eastAsia="宋体" w:hint="default"/>
          <w:sz w:val="21"/>
          <w:szCs w:val="21"/>
        </w:rPr>
        <w:t>不按流动性区分资产和负债，故直接填列资产合计、负债合计。</w:t>
      </w:r>
    </w:p>
    <w:p>
      <w:pPr>
        <w:spacing w:line="355" w:lineRule="auto" w:before="133"/>
        <w:ind w:left="778" w:right="0" w:firstLine="496"/>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11"/>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：系不归属于公司的中信银行优先股权利及中信银行可辨认净资产公允价值与账面净资</w:t>
      </w:r>
      <w:r>
        <w:rPr>
          <w:rFonts w:ascii="宋体" w:hAnsi="宋体" w:cs="宋体" w:eastAsia="宋体" w:hint="default"/>
          <w:w w:val="100"/>
          <w:sz w:val="21"/>
          <w:szCs w:val="21"/>
        </w:rPr>
        <w:t> </w:t>
      </w:r>
      <w:r>
        <w:rPr>
          <w:rFonts w:ascii="宋体" w:hAnsi="宋体" w:cs="宋体" w:eastAsia="宋体" w:hint="default"/>
          <w:sz w:val="21"/>
          <w:szCs w:val="21"/>
        </w:rPr>
        <w:t>产的份额差异。</w:t>
      </w:r>
    </w:p>
    <w:p>
      <w:pPr>
        <w:spacing w:before="32"/>
        <w:ind w:left="1274"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1"/>
          <w:sz w:val="21"/>
          <w:szCs w:val="21"/>
        </w:rPr>
        <w:t> </w:t>
      </w:r>
      <w:r>
        <w:rPr>
          <w:rFonts w:ascii="宋体" w:hAnsi="宋体" w:cs="宋体" w:eastAsia="宋体" w:hint="default"/>
          <w:sz w:val="21"/>
          <w:szCs w:val="21"/>
        </w:rPr>
        <w:t>3</w:t>
      </w:r>
      <w:r>
        <w:rPr>
          <w:rFonts w:ascii="宋体" w:hAnsi="宋体" w:cs="宋体" w:eastAsia="宋体" w:hint="default"/>
          <w:sz w:val="21"/>
          <w:szCs w:val="21"/>
        </w:rPr>
        <w:t>：系《股权转让协议》中约定的转让基准日业已存在的归属于公司享有的未分配利润。</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020" w:right="500"/>
        </w:sectPr>
      </w:pPr>
    </w:p>
    <w:p>
      <w:pPr>
        <w:pStyle w:val="Heading2"/>
        <w:spacing w:line="240" w:lineRule="auto"/>
        <w:ind w:left="778" w:right="-17"/>
        <w:jc w:val="left"/>
        <w:rPr>
          <w:b w:val="0"/>
          <w:bCs w:val="0"/>
        </w:rPr>
      </w:pPr>
      <w:r>
        <w:rPr>
          <w:rFonts w:ascii="宋体" w:hAnsi="宋体" w:cs="宋体" w:eastAsia="宋体" w:hint="default"/>
        </w:rPr>
        <w:t>(4).</w:t>
      </w:r>
      <w:r>
        <w:rPr>
          <w:rFonts w:ascii="宋体" w:hAnsi="宋体" w:cs="宋体" w:eastAsia="宋体" w:hint="default"/>
          <w:spacing w:val="22"/>
        </w:rPr>
        <w:t> </w:t>
      </w:r>
      <w:r>
        <w:rPr/>
        <w:t>不重要的合营企业和联营企业的汇总财务信息</w:t>
      </w:r>
      <w:r>
        <w:rPr>
          <w:b w:val="0"/>
          <w:bCs w:val="0"/>
        </w:rPr>
      </w:r>
    </w:p>
    <w:p>
      <w:pPr>
        <w:pStyle w:val="BodyText"/>
        <w:tabs>
          <w:tab w:pos="1737" w:val="left" w:leader="none"/>
        </w:tabs>
        <w:spacing w:line="240" w:lineRule="auto" w:before="58"/>
        <w:ind w:left="778" w:right="-17"/>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905" w:val="left" w:leader="none"/>
        </w:tabs>
        <w:spacing w:line="240" w:lineRule="auto"/>
        <w:ind w:left="464" w:right="0"/>
        <w:jc w:val="left"/>
      </w:pPr>
      <w:r>
        <w:rPr/>
        <w:t>单位：万元</w:t>
        <w:tab/>
        <w:t>币种：人民币</w:t>
      </w:r>
    </w:p>
    <w:p>
      <w:pPr>
        <w:spacing w:after="0" w:line="240" w:lineRule="auto"/>
        <w:jc w:val="left"/>
        <w:sectPr>
          <w:type w:val="continuous"/>
          <w:pgSz w:w="11910" w:h="16840"/>
          <w:pgMar w:top="1000" w:bottom="280" w:left="1020" w:right="500"/>
          <w:cols w:num="2" w:equalWidth="0">
            <w:col w:w="6227" w:space="40"/>
            <w:col w:w="4123"/>
          </w:cols>
        </w:sectPr>
      </w:pPr>
    </w:p>
    <w:p>
      <w:pPr>
        <w:spacing w:line="240" w:lineRule="auto" w:before="10"/>
        <w:rPr>
          <w:rFonts w:ascii="宋体" w:hAnsi="宋体" w:cs="宋体" w:eastAsia="宋体" w:hint="default"/>
          <w:sz w:val="2"/>
          <w:szCs w:val="2"/>
        </w:rPr>
      </w:pPr>
    </w:p>
    <w:tbl>
      <w:tblPr>
        <w:tblW w:w="0" w:type="auto"/>
        <w:jc w:val="left"/>
        <w:tblInd w:w="665" w:type="dxa"/>
        <w:tblLayout w:type="fixed"/>
        <w:tblCellMar>
          <w:top w:w="0" w:type="dxa"/>
          <w:left w:w="0" w:type="dxa"/>
          <w:bottom w:w="0" w:type="dxa"/>
          <w:right w:w="0" w:type="dxa"/>
        </w:tblCellMar>
        <w:tblLook w:val="01E0"/>
      </w:tblPr>
      <w:tblGrid>
        <w:gridCol w:w="3937"/>
        <w:gridCol w:w="2552"/>
        <w:gridCol w:w="2561"/>
      </w:tblGrid>
      <w:tr>
        <w:trPr>
          <w:trHeight w:val="634" w:hRule="exact"/>
        </w:trPr>
        <w:tc>
          <w:tcPr>
            <w:tcW w:w="3937"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r>
              <w:rPr>
                <w:rFonts w:ascii="宋体" w:hAnsi="宋体" w:cs="宋体" w:eastAsia="宋体" w:hint="default"/>
                <w:sz w:val="24"/>
                <w:szCs w:val="24"/>
              </w:rPr>
              <w:t>本期发生</w:t>
            </w:r>
          </w:p>
          <w:p>
            <w:pPr>
              <w:pStyle w:val="TableParagraph"/>
              <w:spacing w:line="312" w:lineRule="exact"/>
              <w:ind w:right="1"/>
              <w:jc w:val="center"/>
              <w:rPr>
                <w:rFonts w:ascii="宋体" w:hAnsi="宋体" w:cs="宋体" w:eastAsia="宋体" w:hint="default"/>
                <w:sz w:val="24"/>
                <w:szCs w:val="24"/>
              </w:rPr>
            </w:pPr>
            <w:r>
              <w:rPr>
                <w:rFonts w:ascii="宋体" w:hAnsi="宋体" w:cs="宋体" w:eastAsia="宋体" w:hint="default"/>
                <w:sz w:val="24"/>
                <w:szCs w:val="24"/>
              </w:rPr>
              <w:t>额</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r>
              <w:rPr>
                <w:rFonts w:ascii="宋体" w:hAnsi="宋体" w:cs="宋体" w:eastAsia="宋体" w:hint="default"/>
                <w:sz w:val="24"/>
                <w:szCs w:val="24"/>
              </w:rPr>
              <w:t>上期发生</w:t>
            </w:r>
          </w:p>
          <w:p>
            <w:pPr>
              <w:pStyle w:val="TableParagraph"/>
              <w:spacing w:line="312" w:lineRule="exact"/>
              <w:ind w:right="1"/>
              <w:jc w:val="center"/>
              <w:rPr>
                <w:rFonts w:ascii="宋体" w:hAnsi="宋体" w:cs="宋体" w:eastAsia="宋体" w:hint="default"/>
                <w:sz w:val="24"/>
                <w:szCs w:val="24"/>
              </w:rPr>
            </w:pPr>
            <w:r>
              <w:rPr>
                <w:rFonts w:ascii="宋体" w:hAnsi="宋体" w:cs="宋体" w:eastAsia="宋体" w:hint="default"/>
                <w:sz w:val="24"/>
                <w:szCs w:val="24"/>
              </w:rPr>
              <w:t>额</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联营企业：</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投资账面价值合计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58" w:right="0"/>
              <w:jc w:val="left"/>
              <w:rPr>
                <w:rFonts w:ascii="宋体" w:hAnsi="宋体" w:cs="宋体" w:eastAsia="宋体" w:hint="default"/>
                <w:sz w:val="24"/>
                <w:szCs w:val="24"/>
              </w:rPr>
            </w:pPr>
            <w:r>
              <w:rPr>
                <w:rFonts w:ascii="宋体"/>
                <w:sz w:val="24"/>
              </w:rPr>
              <w:t>7,041.31</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10,790.87</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下列各项按持股比例计算的合计数</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净利润</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3,417.61</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-49.02</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其他综合收益</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综合收益总额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3,417.61</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-49.02</w:t>
            </w:r>
          </w:p>
        </w:tc>
      </w:tr>
    </w:tbl>
    <w:p>
      <w:pPr>
        <w:spacing w:line="240" w:lineRule="auto" w:before="5"/>
        <w:rPr>
          <w:rFonts w:ascii="宋体" w:hAnsi="宋体" w:cs="宋体" w:eastAsia="宋体" w:hint="default"/>
          <w:sz w:val="23"/>
          <w:szCs w:val="23"/>
        </w:rPr>
      </w:pPr>
    </w:p>
    <w:p>
      <w:pPr>
        <w:pStyle w:val="Heading2"/>
        <w:spacing w:line="240" w:lineRule="auto"/>
        <w:ind w:left="778" w:right="0"/>
        <w:jc w:val="left"/>
        <w:rPr>
          <w:b w:val="0"/>
          <w:bCs w:val="0"/>
        </w:rPr>
      </w:pPr>
      <w:r>
        <w:rPr>
          <w:rFonts w:ascii="宋体" w:hAnsi="宋体" w:cs="宋体" w:eastAsia="宋体" w:hint="default"/>
        </w:rPr>
        <w:t>(5).</w:t>
      </w:r>
      <w:r>
        <w:rPr>
          <w:rFonts w:ascii="宋体" w:hAnsi="宋体" w:cs="宋体" w:eastAsia="宋体" w:hint="default"/>
          <w:spacing w:val="20"/>
        </w:rPr>
        <w:t> </w:t>
      </w:r>
      <w:r>
        <w:rPr/>
        <w:t>合营企业或联营企业向本公司转移资金的能力存在重大限制的说明：</w:t>
      </w:r>
      <w:r>
        <w:rPr>
          <w:b w:val="0"/>
          <w:bCs w:val="0"/>
        </w:rPr>
      </w:r>
    </w:p>
    <w:p>
      <w:pPr>
        <w:pStyle w:val="BodyText"/>
        <w:tabs>
          <w:tab w:pos="1737" w:val="left" w:leader="none"/>
        </w:tabs>
        <w:spacing w:line="240" w:lineRule="auto" w:before="58"/>
        <w:ind w:left="778" w:right="0"/>
        <w:jc w:val="left"/>
      </w:pPr>
      <w:r>
        <w:rPr>
          <w:spacing w:val="-1"/>
        </w:rPr>
        <w:t>□适用</w:t>
        <w:tab/>
      </w:r>
      <w:r>
        <w:rPr/>
        <w:t>√不适用</w:t>
      </w:r>
    </w:p>
    <w:p>
      <w:pPr>
        <w:spacing w:line="240" w:lineRule="auto" w:before="2"/>
        <w:rPr>
          <w:rFonts w:ascii="宋体" w:hAnsi="宋体" w:cs="宋体" w:eastAsia="宋体" w:hint="default"/>
          <w:sz w:val="28"/>
          <w:szCs w:val="28"/>
        </w:rPr>
      </w:pPr>
    </w:p>
    <w:p>
      <w:pPr>
        <w:pStyle w:val="Heading2"/>
        <w:spacing w:line="240" w:lineRule="auto" w:before="0"/>
        <w:ind w:left="778" w:right="0"/>
        <w:jc w:val="left"/>
        <w:rPr>
          <w:b w:val="0"/>
          <w:bCs w:val="0"/>
        </w:rPr>
      </w:pPr>
      <w:r>
        <w:rPr>
          <w:rFonts w:ascii="宋体" w:hAnsi="宋体" w:cs="宋体" w:eastAsia="宋体" w:hint="default"/>
        </w:rPr>
        <w:t>(6).</w:t>
      </w:r>
      <w:r>
        <w:rPr>
          <w:rFonts w:ascii="宋体" w:hAnsi="宋体" w:cs="宋体" w:eastAsia="宋体" w:hint="default"/>
          <w:spacing w:val="22"/>
        </w:rPr>
        <w:t> </w:t>
      </w:r>
      <w:r>
        <w:rPr/>
        <w:t>合营企业或联营企业发生的超额亏损</w:t>
      </w:r>
      <w:r>
        <w:rPr>
          <w:b w:val="0"/>
          <w:bCs w:val="0"/>
        </w:rPr>
      </w:r>
    </w:p>
    <w:p>
      <w:pPr>
        <w:pStyle w:val="BodyText"/>
        <w:tabs>
          <w:tab w:pos="1737" w:val="left" w:leader="none"/>
        </w:tabs>
        <w:spacing w:line="240" w:lineRule="auto" w:before="58"/>
        <w:ind w:left="778" w:right="0"/>
        <w:jc w:val="left"/>
      </w:pPr>
      <w:r>
        <w:rPr>
          <w:spacing w:val="-1"/>
        </w:rPr>
        <w:t>√适用</w:t>
        <w:tab/>
      </w:r>
      <w:r>
        <w:rPr/>
        <w:t>□不适用</w:t>
      </w:r>
    </w:p>
    <w:p>
      <w:pPr>
        <w:spacing w:after="0" w:line="240" w:lineRule="auto"/>
        <w:jc w:val="left"/>
        <w:sectPr>
          <w:type w:val="continuous"/>
          <w:pgSz w:w="11910" w:h="16840"/>
          <w:pgMar w:top="1000" w:bottom="280" w:left="1020" w:right="500"/>
        </w:sectPr>
      </w:pPr>
    </w:p>
    <w:p>
      <w:pPr>
        <w:spacing w:line="240" w:lineRule="auto" w:before="5"/>
        <w:rPr>
          <w:rFonts w:ascii="宋体" w:hAnsi="宋体" w:cs="宋体" w:eastAsia="宋体" w:hint="default"/>
          <w:sz w:val="25"/>
          <w:szCs w:val="25"/>
        </w:rPr>
      </w:pPr>
    </w:p>
    <w:p>
      <w:pPr>
        <w:pStyle w:val="BodyText"/>
        <w:tabs>
          <w:tab w:pos="1320" w:val="left" w:leader="none"/>
        </w:tabs>
        <w:spacing w:line="240" w:lineRule="auto" w:before="26"/>
        <w:ind w:left="0" w:right="232"/>
        <w:jc w:val="righ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85"/>
        <w:gridCol w:w="2266"/>
        <w:gridCol w:w="2549"/>
        <w:gridCol w:w="2249"/>
      </w:tblGrid>
      <w:tr>
        <w:trPr>
          <w:trHeight w:val="946" w:hRule="exact"/>
        </w:trPr>
        <w:tc>
          <w:tcPr>
            <w:tcW w:w="1985" w:type="dxa"/>
            <w:tcBorders>
              <w:top w:val="single" w:sz="4" w:space="0" w:color="000000"/>
              <w:left w:val="single" w:sz="4" w:space="0" w:color="000000"/>
              <w:bottom w:val="single" w:sz="6" w:space="0" w:color="000000"/>
              <w:right w:val="single" w:sz="6" w:space="0" w:color="000000"/>
            </w:tcBorders>
          </w:tcPr>
          <w:p>
            <w:pPr>
              <w:pStyle w:val="TableParagraph"/>
              <w:spacing w:line="312" w:lineRule="exact" w:before="146"/>
              <w:ind w:left="506" w:right="144" w:hanging="360"/>
              <w:jc w:val="left"/>
              <w:rPr>
                <w:rFonts w:ascii="宋体" w:hAnsi="宋体" w:cs="宋体" w:eastAsia="宋体" w:hint="default"/>
                <w:sz w:val="24"/>
                <w:szCs w:val="24"/>
              </w:rPr>
            </w:pPr>
            <w:r>
              <w:rPr>
                <w:rFonts w:ascii="宋体" w:hAnsi="宋体" w:cs="宋体" w:eastAsia="宋体" w:hint="default"/>
                <w:sz w:val="24"/>
                <w:szCs w:val="24"/>
              </w:rPr>
              <w:t>合营企业或联营 企业名称</w:t>
            </w:r>
          </w:p>
        </w:tc>
        <w:tc>
          <w:tcPr>
            <w:tcW w:w="2266" w:type="dxa"/>
            <w:tcBorders>
              <w:top w:val="single" w:sz="4" w:space="0" w:color="000000"/>
              <w:left w:val="single" w:sz="6" w:space="0" w:color="000000"/>
              <w:bottom w:val="single" w:sz="6" w:space="0" w:color="000000"/>
              <w:right w:val="single" w:sz="6" w:space="0" w:color="000000"/>
            </w:tcBorders>
          </w:tcPr>
          <w:p>
            <w:pPr>
              <w:pStyle w:val="TableParagraph"/>
              <w:spacing w:line="312" w:lineRule="exact" w:before="146"/>
              <w:ind w:left="643" w:right="167" w:hanging="480"/>
              <w:jc w:val="left"/>
              <w:rPr>
                <w:rFonts w:ascii="宋体" w:hAnsi="宋体" w:cs="宋体" w:eastAsia="宋体" w:hint="default"/>
                <w:sz w:val="24"/>
                <w:szCs w:val="24"/>
              </w:rPr>
            </w:pPr>
            <w:r>
              <w:rPr>
                <w:rFonts w:ascii="宋体" w:hAnsi="宋体" w:cs="宋体" w:eastAsia="宋体" w:hint="default"/>
                <w:sz w:val="24"/>
                <w:szCs w:val="24"/>
              </w:rPr>
              <w:t>累积未确认前期累 计的损失</w:t>
            </w:r>
          </w:p>
        </w:tc>
        <w:tc>
          <w:tcPr>
            <w:tcW w:w="2549" w:type="dxa"/>
            <w:tcBorders>
              <w:top w:val="single" w:sz="4"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本期未确认的损失</w:t>
            </w:r>
          </w:p>
          <w:p>
            <w:pPr>
              <w:pStyle w:val="TableParagraph"/>
              <w:spacing w:line="312" w:lineRule="exact" w:before="29"/>
              <w:ind w:left="187" w:right="185"/>
              <w:jc w:val="center"/>
              <w:rPr>
                <w:rFonts w:ascii="宋体" w:hAnsi="宋体" w:cs="宋体" w:eastAsia="宋体" w:hint="default"/>
                <w:sz w:val="24"/>
                <w:szCs w:val="24"/>
              </w:rPr>
            </w:pPr>
            <w:r>
              <w:rPr>
                <w:rFonts w:ascii="宋体" w:hAnsi="宋体" w:cs="宋体" w:eastAsia="宋体" w:hint="default"/>
                <w:sz w:val="24"/>
                <w:szCs w:val="24"/>
              </w:rPr>
              <w:t>（或本期分享的净利 润）</w:t>
            </w:r>
          </w:p>
        </w:tc>
        <w:tc>
          <w:tcPr>
            <w:tcW w:w="2249" w:type="dxa"/>
            <w:tcBorders>
              <w:top w:val="single" w:sz="4" w:space="0" w:color="000000"/>
              <w:left w:val="single" w:sz="6" w:space="0" w:color="000000"/>
              <w:bottom w:val="single" w:sz="6" w:space="0" w:color="000000"/>
              <w:right w:val="single" w:sz="4" w:space="0" w:color="000000"/>
            </w:tcBorders>
          </w:tcPr>
          <w:p>
            <w:pPr>
              <w:pStyle w:val="TableParagraph"/>
              <w:spacing w:line="312" w:lineRule="exact" w:before="146"/>
              <w:ind w:left="756" w:right="159" w:hanging="601"/>
              <w:jc w:val="left"/>
              <w:rPr>
                <w:rFonts w:ascii="宋体" w:hAnsi="宋体" w:cs="宋体" w:eastAsia="宋体" w:hint="default"/>
                <w:sz w:val="24"/>
                <w:szCs w:val="24"/>
              </w:rPr>
            </w:pPr>
            <w:r>
              <w:rPr>
                <w:rFonts w:ascii="宋体" w:hAnsi="宋体" w:cs="宋体" w:eastAsia="宋体" w:hint="default"/>
                <w:sz w:val="24"/>
                <w:szCs w:val="24"/>
              </w:rPr>
              <w:t>本期末累积未确认 的损失</w:t>
            </w:r>
          </w:p>
        </w:tc>
      </w:tr>
      <w:tr>
        <w:trPr>
          <w:trHeight w:val="636" w:hRule="exact"/>
        </w:trPr>
        <w:tc>
          <w:tcPr>
            <w:tcW w:w="1985" w:type="dxa"/>
            <w:tcBorders>
              <w:top w:val="single" w:sz="6" w:space="0" w:color="000000"/>
              <w:left w:val="single" w:sz="4" w:space="0" w:color="000000"/>
              <w:bottom w:val="single" w:sz="4"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内蒙古合和置业</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226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5"/>
              <w:ind w:left="1188" w:right="0"/>
              <w:jc w:val="left"/>
              <w:rPr>
                <w:rFonts w:ascii="宋体" w:hAnsi="宋体" w:cs="宋体" w:eastAsia="宋体" w:hint="default"/>
                <w:sz w:val="24"/>
                <w:szCs w:val="24"/>
              </w:rPr>
            </w:pPr>
            <w:r>
              <w:rPr>
                <w:rFonts w:ascii="宋体"/>
                <w:sz w:val="24"/>
              </w:rPr>
              <w:t>5,461.64</w:t>
            </w:r>
          </w:p>
        </w:tc>
        <w:tc>
          <w:tcPr>
            <w:tcW w:w="254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5"/>
              <w:ind w:left="1353" w:right="0"/>
              <w:jc w:val="left"/>
              <w:rPr>
                <w:rFonts w:ascii="宋体" w:hAnsi="宋体" w:cs="宋体" w:eastAsia="宋体" w:hint="default"/>
                <w:sz w:val="24"/>
                <w:szCs w:val="24"/>
              </w:rPr>
            </w:pPr>
            <w:r>
              <w:rPr>
                <w:rFonts w:ascii="宋体"/>
                <w:sz w:val="24"/>
              </w:rPr>
              <w:t>-4,385.06</w:t>
            </w:r>
          </w:p>
        </w:tc>
        <w:tc>
          <w:tcPr>
            <w:tcW w:w="2249"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15"/>
              <w:ind w:left="1174" w:right="0"/>
              <w:jc w:val="left"/>
              <w:rPr>
                <w:rFonts w:ascii="宋体" w:hAnsi="宋体" w:cs="宋体" w:eastAsia="宋体" w:hint="default"/>
                <w:sz w:val="24"/>
                <w:szCs w:val="24"/>
              </w:rPr>
            </w:pPr>
            <w:r>
              <w:rPr>
                <w:rFonts w:ascii="宋体"/>
                <w:sz w:val="24"/>
              </w:rPr>
              <w:t>1,076.58</w:t>
            </w:r>
          </w:p>
        </w:tc>
      </w:tr>
    </w:tbl>
    <w:p>
      <w:pPr>
        <w:spacing w:line="240" w:lineRule="auto" w:before="5"/>
        <w:rPr>
          <w:rFonts w:ascii="宋体" w:hAnsi="宋体" w:cs="宋体" w:eastAsia="宋体" w:hint="default"/>
          <w:sz w:val="23"/>
          <w:szCs w:val="23"/>
        </w:rPr>
      </w:pPr>
    </w:p>
    <w:p>
      <w:pPr>
        <w:pStyle w:val="Heading2"/>
        <w:spacing w:line="240" w:lineRule="auto"/>
        <w:ind w:right="0"/>
        <w:jc w:val="both"/>
        <w:rPr>
          <w:b w:val="0"/>
          <w:bCs w:val="0"/>
        </w:rPr>
      </w:pPr>
      <w:r>
        <w:rPr>
          <w:rFonts w:ascii="宋体" w:hAnsi="宋体" w:cs="宋体" w:eastAsia="宋体" w:hint="default"/>
        </w:rPr>
        <w:t>(7).</w:t>
      </w:r>
      <w:r>
        <w:rPr>
          <w:rFonts w:ascii="宋体" w:hAnsi="宋体" w:cs="宋体" w:eastAsia="宋体" w:hint="default"/>
          <w:spacing w:val="23"/>
        </w:rPr>
        <w:t> </w:t>
      </w:r>
      <w:r>
        <w:rPr/>
        <w:t>与合营企业投资相关的未确认承诺</w:t>
      </w:r>
      <w:r>
        <w:rPr>
          <w:b w:val="0"/>
          <w:bCs w:val="0"/>
        </w:rPr>
      </w:r>
    </w:p>
    <w:p>
      <w:pPr>
        <w:pStyle w:val="BodyText"/>
        <w:spacing w:line="240" w:lineRule="auto" w:before="58"/>
        <w:ind w:left="218" w:right="0"/>
        <w:jc w:val="both"/>
      </w:pPr>
      <w:r>
        <w:rPr/>
        <w:t>□适用</w:t>
      </w:r>
      <w:r>
        <w:rPr>
          <w:spacing w:val="119"/>
        </w:rPr>
        <w:t> </w:t>
      </w:r>
      <w:r>
        <w:rPr/>
        <w:t>√不适用</w:t>
      </w:r>
    </w:p>
    <w:p>
      <w:pPr>
        <w:spacing w:line="240" w:lineRule="auto" w:before="2"/>
        <w:rPr>
          <w:rFonts w:ascii="宋体" w:hAnsi="宋体" w:cs="宋体" w:eastAsia="宋体" w:hint="default"/>
          <w:sz w:val="28"/>
          <w:szCs w:val="28"/>
        </w:rPr>
      </w:pPr>
    </w:p>
    <w:p>
      <w:pPr>
        <w:pStyle w:val="Heading2"/>
        <w:spacing w:line="240" w:lineRule="auto" w:before="0"/>
        <w:ind w:right="0"/>
        <w:jc w:val="both"/>
        <w:rPr>
          <w:b w:val="0"/>
          <w:bCs w:val="0"/>
        </w:rPr>
      </w:pPr>
      <w:r>
        <w:rPr>
          <w:rFonts w:ascii="宋体" w:hAnsi="宋体" w:cs="宋体" w:eastAsia="宋体" w:hint="default"/>
        </w:rPr>
        <w:t>(8).</w:t>
      </w:r>
      <w:r>
        <w:rPr>
          <w:rFonts w:ascii="宋体" w:hAnsi="宋体" w:cs="宋体" w:eastAsia="宋体" w:hint="default"/>
          <w:spacing w:val="23"/>
        </w:rPr>
        <w:t> </w:t>
      </w:r>
      <w:r>
        <w:rPr/>
        <w:t>与合营企业或联营企业投资相关的或有负债</w:t>
      </w:r>
      <w:r>
        <w:rPr>
          <w:b w:val="0"/>
          <w:bCs w:val="0"/>
        </w:rPr>
      </w:r>
    </w:p>
    <w:p>
      <w:pPr>
        <w:pStyle w:val="BodyText"/>
        <w:spacing w:line="240" w:lineRule="auto" w:before="58"/>
        <w:ind w:left="218" w:right="0"/>
        <w:jc w:val="both"/>
      </w:pPr>
      <w:r>
        <w:rPr/>
        <w:t>□适用</w:t>
      </w:r>
      <w:r>
        <w:rPr>
          <w:spacing w:val="119"/>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right="0"/>
        <w:jc w:val="both"/>
        <w:rPr>
          <w:b w:val="0"/>
          <w:bCs w:val="0"/>
        </w:rPr>
      </w:pPr>
      <w:r>
        <w:rPr>
          <w:rFonts w:ascii="宋体" w:hAnsi="宋体" w:cs="宋体" w:eastAsia="宋体" w:hint="default"/>
        </w:rPr>
        <w:t>4</w:t>
      </w:r>
      <w:r>
        <w:rPr/>
        <w:t>、</w:t>
      </w:r>
      <w:r>
        <w:rPr>
          <w:spacing w:val="-65"/>
        </w:rPr>
        <w:t> </w:t>
      </w:r>
      <w:r>
        <w:rPr/>
        <w:t>重要的共同经营</w:t>
      </w:r>
      <w:r>
        <w:rPr>
          <w:b w:val="0"/>
          <w:bCs w:val="0"/>
        </w:rPr>
      </w:r>
    </w:p>
    <w:p>
      <w:pPr>
        <w:pStyle w:val="BodyText"/>
        <w:spacing w:line="240" w:lineRule="auto" w:before="58"/>
        <w:ind w:left="218" w:right="0"/>
        <w:jc w:val="both"/>
      </w:pPr>
      <w:r>
        <w:rPr/>
        <w:t>□适用</w:t>
      </w:r>
      <w:r>
        <w:rPr>
          <w:spacing w:val="-1"/>
        </w:rPr>
        <w:t> </w:t>
      </w:r>
      <w:r>
        <w:rPr/>
        <w:t>√不适用</w:t>
      </w:r>
    </w:p>
    <w:p>
      <w:pPr>
        <w:spacing w:line="240" w:lineRule="auto" w:before="1"/>
        <w:rPr>
          <w:rFonts w:ascii="宋体" w:hAnsi="宋体" w:cs="宋体" w:eastAsia="宋体" w:hint="default"/>
          <w:sz w:val="28"/>
          <w:szCs w:val="28"/>
        </w:rPr>
      </w:pPr>
    </w:p>
    <w:p>
      <w:pPr>
        <w:spacing w:line="283" w:lineRule="auto" w:before="0"/>
        <w:ind w:left="218" w:right="3331" w:firstLine="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w:t>
      </w:r>
      <w:r>
        <w:rPr>
          <w:rFonts w:ascii="宋体" w:hAnsi="宋体" w:cs="宋体" w:eastAsia="宋体" w:hint="default"/>
          <w:b/>
          <w:bCs/>
          <w:spacing w:val="-67"/>
          <w:sz w:val="24"/>
          <w:szCs w:val="24"/>
        </w:rPr>
        <w:t> </w:t>
      </w:r>
      <w:r>
        <w:rPr>
          <w:rFonts w:ascii="宋体" w:hAnsi="宋体" w:cs="宋体" w:eastAsia="宋体" w:hint="default"/>
          <w:b/>
          <w:bCs/>
          <w:sz w:val="24"/>
          <w:szCs w:val="24"/>
        </w:rPr>
        <w:t>在未纳入合并财务报表范围的结构化主体中的权益</w:t>
      </w:r>
      <w:r>
        <w:rPr>
          <w:rFonts w:ascii="宋体" w:hAnsi="宋体" w:cs="宋体" w:eastAsia="宋体" w:hint="default"/>
          <w:b/>
          <w:bCs/>
          <w:w w:val="99"/>
          <w:sz w:val="24"/>
          <w:szCs w:val="24"/>
        </w:rPr>
        <w:t> </w:t>
      </w:r>
      <w:r>
        <w:rPr>
          <w:rFonts w:ascii="宋体" w:hAnsi="宋体" w:cs="宋体" w:eastAsia="宋体" w:hint="default"/>
          <w:sz w:val="24"/>
          <w:szCs w:val="24"/>
        </w:rPr>
        <w:t>未纳入合并财务报表范围的结构化主体的相关说明：</w:t>
      </w:r>
    </w:p>
    <w:p>
      <w:pPr>
        <w:pStyle w:val="BodyText"/>
        <w:spacing w:line="266" w:lineRule="exact"/>
        <w:ind w:left="218" w:right="0"/>
        <w:jc w:val="both"/>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right="0"/>
        <w:jc w:val="both"/>
        <w:rPr>
          <w:b w:val="0"/>
          <w:bCs w:val="0"/>
        </w:rPr>
      </w:pPr>
      <w:r>
        <w:rPr/>
        <w:t>十、 </w:t>
      </w:r>
      <w:r>
        <w:rPr>
          <w:spacing w:val="113"/>
        </w:rPr>
        <w:t> </w:t>
      </w:r>
      <w:r>
        <w:rPr/>
        <w:t>与金融工具相关的风险</w:t>
      </w:r>
      <w:r>
        <w:rPr>
          <w:b w:val="0"/>
          <w:bCs w:val="0"/>
        </w:rPr>
      </w:r>
    </w:p>
    <w:p>
      <w:pPr>
        <w:pStyle w:val="BodyText"/>
        <w:spacing w:line="312" w:lineRule="exact" w:before="86"/>
        <w:ind w:left="638" w:right="228" w:hanging="420"/>
        <w:jc w:val="left"/>
      </w:pPr>
      <w:r>
        <w:rPr/>
        <w:t>√适用 □不适用 本公司从事风险管理的目标是在风险和收益之间取得平衡，将风险对本公司经营</w:t>
      </w:r>
    </w:p>
    <w:p>
      <w:pPr>
        <w:pStyle w:val="BodyText"/>
        <w:spacing w:line="357" w:lineRule="auto" w:before="125"/>
        <w:ind w:left="218" w:right="234"/>
        <w:jc w:val="both"/>
      </w:pPr>
      <w:r>
        <w:rPr>
          <w:spacing w:val="-2"/>
        </w:rPr>
        <w:t>业绩的负面影响降至最低水平，使股东和其他权益投资者的利益最大化。基于该风险</w:t>
      </w:r>
      <w:r>
        <w:rPr>
          <w:spacing w:val="-94"/>
        </w:rPr>
        <w:t> </w:t>
      </w:r>
      <w:r>
        <w:rPr>
          <w:spacing w:val="-94"/>
        </w:rPr>
      </w:r>
      <w:r>
        <w:rPr>
          <w:spacing w:val="-2"/>
        </w:rPr>
        <w:t>管理目标，本公司风险管理的基本策略是确认和分析本公司面临的各种风险，建立适</w:t>
      </w:r>
      <w:r>
        <w:rPr>
          <w:spacing w:val="-94"/>
        </w:rPr>
        <w:t> </w:t>
      </w:r>
      <w:r>
        <w:rPr>
          <w:spacing w:val="-94"/>
        </w:rPr>
      </w:r>
      <w:r>
        <w:rPr>
          <w:spacing w:val="-2"/>
        </w:rPr>
        <w:t>当的风险承受底线和进行风险管理，并及时可靠地对各种风险进行监督，将风险控制</w:t>
      </w:r>
      <w:r>
        <w:rPr>
          <w:spacing w:val="-94"/>
        </w:rPr>
        <w:t> </w:t>
      </w:r>
      <w:r>
        <w:rPr>
          <w:spacing w:val="-94"/>
        </w:rPr>
      </w:r>
      <w:r>
        <w:rPr/>
        <w:t>在限定的范围内。</w:t>
      </w:r>
    </w:p>
    <w:p>
      <w:pPr>
        <w:pStyle w:val="BodyText"/>
        <w:spacing w:line="355" w:lineRule="auto" w:before="37"/>
        <w:ind w:left="218" w:right="229" w:firstLine="419"/>
        <w:jc w:val="left"/>
      </w:pPr>
      <w:r>
        <w:rPr/>
        <w:t>本公司在日常活动中面临各种与金融工具相关的风险，主要包括信用风险、流动 风险及市场风险。管理层已审议并批准管理这些风险的政策，概括如下。</w:t>
      </w:r>
    </w:p>
    <w:p>
      <w:pPr>
        <w:pStyle w:val="BodyText"/>
        <w:spacing w:line="357" w:lineRule="auto" w:before="38"/>
        <w:ind w:left="638" w:right="228"/>
        <w:jc w:val="left"/>
      </w:pPr>
      <w:r>
        <w:rPr>
          <w:rFonts w:ascii="宋体" w:hAnsi="宋体" w:cs="宋体" w:eastAsia="宋体" w:hint="default"/>
        </w:rPr>
        <w:t>(</w:t>
      </w:r>
      <w:r>
        <w:rPr/>
        <w:t>一</w:t>
      </w:r>
      <w:r>
        <w:rPr>
          <w:rFonts w:ascii="宋体" w:hAnsi="宋体" w:cs="宋体" w:eastAsia="宋体" w:hint="default"/>
        </w:rPr>
        <w:t>) </w:t>
      </w:r>
      <w:r>
        <w:rPr/>
        <w:t>信用风险 </w:t>
      </w:r>
      <w:r>
        <w:rPr>
          <w:spacing w:val="-7"/>
        </w:rPr>
        <w:t>信用风险，是指金融工具的一方不能履行义务，造成另一方发生财务损失的风险。</w:t>
      </w:r>
      <w:r>
        <w:rPr>
          <w:spacing w:val="-94"/>
        </w:rPr>
        <w:t> </w:t>
      </w:r>
      <w:r>
        <w:rPr>
          <w:spacing w:val="-94"/>
        </w:rPr>
      </w:r>
      <w:r>
        <w:rPr/>
        <w:t>本公司的信用风险主要来自银行存款和应收款项。为控制上述相关风险，本公司</w:t>
      </w:r>
    </w:p>
    <w:p>
      <w:pPr>
        <w:pStyle w:val="BodyText"/>
        <w:spacing w:line="357" w:lineRule="auto" w:before="34"/>
        <w:ind w:left="698" w:right="6648" w:hanging="480"/>
        <w:jc w:val="left"/>
      </w:pPr>
      <w:r>
        <w:rPr/>
        <w:t>分别采取了以下措施。 </w:t>
      </w:r>
      <w:r>
        <w:rPr>
          <w:rFonts w:ascii="宋体" w:hAnsi="宋体" w:cs="宋体" w:eastAsia="宋体" w:hint="default"/>
        </w:rPr>
        <w:t>1. </w:t>
      </w:r>
      <w:r>
        <w:rPr/>
        <w:t>银行存款</w:t>
      </w:r>
    </w:p>
    <w:p>
      <w:pPr>
        <w:pStyle w:val="BodyText"/>
        <w:spacing w:line="240" w:lineRule="auto" w:before="36"/>
        <w:ind w:left="638" w:right="233"/>
        <w:jc w:val="left"/>
      </w:pPr>
      <w:r>
        <w:rPr/>
        <w:t>本公司将银行存款存放于信用评级较高的金融机构，故其信用风险较低。</w:t>
      </w:r>
    </w:p>
    <w:p>
      <w:pPr>
        <w:spacing w:after="0" w:line="240" w:lineRule="auto"/>
        <w:jc w:val="left"/>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38" w:lineRule="auto" w:before="26"/>
        <w:ind w:left="683" w:right="218" w:firstLine="14"/>
        <w:jc w:val="left"/>
      </w:pPr>
      <w:r>
        <w:rPr>
          <w:rFonts w:ascii="宋体" w:hAnsi="宋体" w:cs="宋体" w:eastAsia="宋体" w:hint="default"/>
        </w:rPr>
        <w:t>2. </w:t>
      </w:r>
      <w:r>
        <w:rPr/>
        <w:t>应收款项 </w:t>
      </w:r>
      <w:r>
        <w:rPr>
          <w:spacing w:val="-1"/>
        </w:rPr>
        <w:t>本公司持续对采用信用方式交易的客户进行信用评估。根据信用评估结果，本公</w:t>
      </w:r>
    </w:p>
    <w:p>
      <w:pPr>
        <w:pStyle w:val="BodyText"/>
        <w:spacing w:line="336" w:lineRule="auto" w:before="26"/>
        <w:ind w:left="218" w:right="233"/>
        <w:jc w:val="left"/>
      </w:pPr>
      <w:r>
        <w:rPr>
          <w:spacing w:val="-2"/>
        </w:rPr>
        <w:t>司选择与经认可的且信用良好的客户进行交易，并对其应收款项余额进行监控，以确</w:t>
      </w:r>
      <w:r>
        <w:rPr>
          <w:spacing w:val="-94"/>
        </w:rPr>
        <w:t> </w:t>
      </w:r>
      <w:r>
        <w:rPr>
          <w:spacing w:val="-94"/>
        </w:rPr>
      </w:r>
      <w:r>
        <w:rPr/>
        <w:t>保本公司不会面临重大坏账风险。</w:t>
      </w:r>
    </w:p>
    <w:p>
      <w:pPr>
        <w:pStyle w:val="BodyText"/>
        <w:spacing w:line="240" w:lineRule="auto" w:before="31"/>
        <w:ind w:left="683" w:right="0"/>
        <w:jc w:val="left"/>
      </w:pPr>
      <w:r>
        <w:rPr/>
        <w:t>由于本公司的应收账款风险点分布于多个合作方和多个客户，截至</w:t>
      </w:r>
      <w:r>
        <w:rPr>
          <w:spacing w:val="-68"/>
        </w:rPr>
        <w:t> </w:t>
      </w:r>
      <w:r>
        <w:rPr>
          <w:rFonts w:ascii="宋体" w:hAnsi="宋体" w:cs="宋体" w:eastAsia="宋体" w:hint="default"/>
        </w:rPr>
        <w:t>2017</w:t>
      </w:r>
      <w:r>
        <w:rPr>
          <w:rFonts w:ascii="宋体" w:hAnsi="宋体" w:cs="宋体" w:eastAsia="宋体" w:hint="default"/>
          <w:spacing w:val="-69"/>
        </w:rPr>
        <w:t> </w:t>
      </w:r>
      <w:r>
        <w:rPr/>
        <w:t>年</w:t>
      </w:r>
      <w:r>
        <w:rPr>
          <w:spacing w:val="-69"/>
        </w:rPr>
        <w:t> </w:t>
      </w:r>
      <w:r>
        <w:rPr>
          <w:rFonts w:ascii="宋体" w:hAnsi="宋体" w:cs="宋体" w:eastAsia="宋体" w:hint="default"/>
        </w:rPr>
        <w:t>12</w:t>
      </w:r>
      <w:r>
        <w:rPr>
          <w:rFonts w:ascii="宋体" w:hAnsi="宋体" w:cs="宋体" w:eastAsia="宋体" w:hint="default"/>
          <w:spacing w:val="-69"/>
        </w:rPr>
        <w:t> </w:t>
      </w:r>
      <w:r>
        <w:rPr/>
        <w:t>月</w:t>
      </w:r>
    </w:p>
    <w:p>
      <w:pPr>
        <w:pStyle w:val="BodyText"/>
        <w:spacing w:line="336" w:lineRule="auto" w:before="125"/>
        <w:ind w:left="218" w:right="216"/>
        <w:jc w:val="left"/>
      </w:pPr>
      <w:r>
        <w:rPr>
          <w:rFonts w:ascii="宋体" w:hAnsi="宋体" w:cs="宋体" w:eastAsia="宋体" w:hint="default"/>
        </w:rPr>
        <w:t>31</w:t>
      </w:r>
      <w:r>
        <w:rPr>
          <w:rFonts w:ascii="宋体" w:hAnsi="宋体" w:cs="宋体" w:eastAsia="宋体" w:hint="default"/>
          <w:spacing w:val="-60"/>
        </w:rPr>
        <w:t> </w:t>
      </w:r>
      <w:r>
        <w:rPr>
          <w:spacing w:val="-12"/>
        </w:rPr>
        <w:t>日，本公司应收账款的</w:t>
      </w:r>
      <w:r>
        <w:rPr>
          <w:spacing w:val="-59"/>
        </w:rPr>
        <w:t> </w:t>
      </w:r>
      <w:r>
        <w:rPr>
          <w:rFonts w:ascii="宋体" w:hAnsi="宋体" w:cs="宋体" w:eastAsia="宋体" w:hint="default"/>
        </w:rPr>
        <w:t>49.48%(2016</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6"/>
        </w:rPr>
        <w:t>日：</w:t>
      </w:r>
      <w:r>
        <w:rPr>
          <w:rFonts w:ascii="宋体" w:hAnsi="宋体" w:cs="宋体" w:eastAsia="宋体" w:hint="default"/>
          <w:spacing w:val="-6"/>
        </w:rPr>
        <w:t>59.82%)</w:t>
      </w:r>
      <w:r>
        <w:rPr>
          <w:spacing w:val="-6"/>
        </w:rPr>
        <w:t>源于余额前五名客户，</w:t>
      </w:r>
      <w:r>
        <w:rPr/>
        <w:t> 本公司不存在重大的信用集中风险。</w:t>
      </w:r>
    </w:p>
    <w:p>
      <w:pPr>
        <w:pStyle w:val="BodyText"/>
        <w:spacing w:line="336" w:lineRule="auto" w:before="32"/>
        <w:ind w:left="218" w:right="216" w:firstLine="465"/>
        <w:jc w:val="left"/>
      </w:pPr>
      <w:r>
        <w:rPr/>
        <w:pict>
          <v:shape style="position:absolute;margin-left:84.264pt;margin-top:41.895657pt;width:453.2pt;height:120.2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07"/>
                    <w:gridCol w:w="1769"/>
                    <w:gridCol w:w="1508"/>
                    <w:gridCol w:w="1354"/>
                    <w:gridCol w:w="1205"/>
                    <w:gridCol w:w="1706"/>
                  </w:tblGrid>
                  <w:tr>
                    <w:trPr>
                      <w:trHeight w:val="322" w:hRule="exact"/>
                    </w:trPr>
                    <w:tc>
                      <w:tcPr>
                        <w:tcW w:w="150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tabs>
                            <w:tab w:pos="703" w:val="left" w:leader="none"/>
                          </w:tabs>
                          <w:spacing w:line="240" w:lineRule="auto"/>
                          <w:ind w:left="223" w:right="0"/>
                          <w:jc w:val="left"/>
                          <w:rPr>
                            <w:rFonts w:ascii="宋体" w:hAnsi="宋体" w:cs="宋体" w:eastAsia="宋体" w:hint="default"/>
                            <w:sz w:val="24"/>
                            <w:szCs w:val="24"/>
                          </w:rPr>
                        </w:pPr>
                        <w:r>
                          <w:rPr>
                            <w:rFonts w:ascii="宋体" w:hAnsi="宋体" w:cs="宋体" w:eastAsia="宋体" w:hint="default"/>
                            <w:sz w:val="24"/>
                            <w:szCs w:val="24"/>
                          </w:rPr>
                          <w:t>项</w:t>
                          <w:tab/>
                          <w:t>目</w:t>
                        </w:r>
                      </w:p>
                    </w:tc>
                    <w:tc>
                      <w:tcPr>
                        <w:tcW w:w="75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期末数</w:t>
                        </w:r>
                      </w:p>
                    </w:tc>
                  </w:tr>
                  <w:tr>
                    <w:trPr>
                      <w:trHeight w:val="322" w:hRule="exact"/>
                    </w:trPr>
                    <w:tc>
                      <w:tcPr>
                        <w:tcW w:w="1507" w:type="dxa"/>
                        <w:vMerge/>
                        <w:tcBorders>
                          <w:left w:val="single" w:sz="4" w:space="0" w:color="000000"/>
                          <w:right w:val="single" w:sz="4" w:space="0" w:color="000000"/>
                        </w:tcBorders>
                      </w:tcPr>
                      <w:p>
                        <w:pPr/>
                      </w:p>
                    </w:tc>
                    <w:tc>
                      <w:tcPr>
                        <w:tcW w:w="1769" w:type="dxa"/>
                        <w:vMerge w:val="restart"/>
                        <w:tcBorders>
                          <w:top w:val="single" w:sz="4" w:space="0" w:color="000000"/>
                          <w:left w:val="single" w:sz="4" w:space="0" w:color="000000"/>
                          <w:right w:val="single" w:sz="4" w:space="0" w:color="000000"/>
                        </w:tcBorders>
                      </w:tcPr>
                      <w:p>
                        <w:pPr>
                          <w:pStyle w:val="TableParagraph"/>
                          <w:spacing w:line="240" w:lineRule="auto" w:before="120"/>
                          <w:ind w:left="158" w:right="0"/>
                          <w:jc w:val="left"/>
                          <w:rPr>
                            <w:rFonts w:ascii="宋体" w:hAnsi="宋体" w:cs="宋体" w:eastAsia="宋体" w:hint="default"/>
                            <w:sz w:val="24"/>
                            <w:szCs w:val="24"/>
                          </w:rPr>
                        </w:pPr>
                        <w:r>
                          <w:rPr>
                            <w:rFonts w:ascii="宋体" w:hAnsi="宋体" w:cs="宋体" w:eastAsia="宋体" w:hint="default"/>
                            <w:sz w:val="24"/>
                            <w:szCs w:val="24"/>
                          </w:rPr>
                          <w:t>未逾期未减值</w:t>
                        </w:r>
                      </w:p>
                    </w:tc>
                    <w:tc>
                      <w:tcPr>
                        <w:tcW w:w="4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07" w:right="0"/>
                          <w:jc w:val="left"/>
                          <w:rPr>
                            <w:rFonts w:ascii="宋体" w:hAnsi="宋体" w:cs="宋体" w:eastAsia="宋体" w:hint="default"/>
                            <w:sz w:val="24"/>
                            <w:szCs w:val="24"/>
                          </w:rPr>
                        </w:pPr>
                        <w:r>
                          <w:rPr>
                            <w:rFonts w:ascii="宋体" w:hAnsi="宋体" w:cs="宋体" w:eastAsia="宋体" w:hint="default"/>
                            <w:sz w:val="24"/>
                            <w:szCs w:val="24"/>
                          </w:rPr>
                          <w:t>已逾期未减值</w:t>
                        </w:r>
                      </w:p>
                    </w:tc>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120"/>
                          <w:ind w:left="547" w:right="0"/>
                          <w:jc w:val="left"/>
                          <w:rPr>
                            <w:rFonts w:ascii="宋体" w:hAnsi="宋体" w:cs="宋体" w:eastAsia="宋体" w:hint="default"/>
                            <w:sz w:val="24"/>
                            <w:szCs w:val="24"/>
                          </w:rPr>
                        </w:pPr>
                        <w:r>
                          <w:rPr>
                            <w:rFonts w:ascii="宋体" w:hAnsi="宋体" w:cs="宋体" w:eastAsia="宋体" w:hint="default"/>
                            <w:sz w:val="24"/>
                            <w:szCs w:val="24"/>
                          </w:rPr>
                          <w:t>合 计</w:t>
                        </w:r>
                      </w:p>
                    </w:tc>
                  </w:tr>
                  <w:tr>
                    <w:trPr>
                      <w:trHeight w:val="322" w:hRule="exact"/>
                    </w:trPr>
                    <w:tc>
                      <w:tcPr>
                        <w:tcW w:w="1507" w:type="dxa"/>
                        <w:vMerge/>
                        <w:tcBorders>
                          <w:left w:val="single" w:sz="4" w:space="0" w:color="000000"/>
                          <w:bottom w:val="single" w:sz="4" w:space="0" w:color="000000"/>
                          <w:right w:val="single" w:sz="4" w:space="0" w:color="000000"/>
                        </w:tcBorders>
                      </w:tcPr>
                      <w:p>
                        <w:pPr/>
                      </w:p>
                    </w:tc>
                    <w:tc>
                      <w:tcPr>
                        <w:tcW w:w="1769" w:type="dxa"/>
                        <w:vMerge/>
                        <w:tcBorders>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7"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8" w:right="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4"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1706" w:type="dxa"/>
                        <w:vMerge/>
                        <w:tcBorders>
                          <w:left w:val="single" w:sz="4" w:space="0" w:color="000000"/>
                          <w:bottom w:val="single" w:sz="4" w:space="0" w:color="000000"/>
                          <w:right w:val="single" w:sz="4" w:space="0" w:color="000000"/>
                        </w:tcBorders>
                      </w:tcPr>
                      <w:p>
                        <w:pPr/>
                      </w:p>
                    </w:tc>
                  </w:tr>
                  <w:tr>
                    <w:trPr>
                      <w:trHeight w:val="478"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29"/>
                          <w:jc w:val="center"/>
                          <w:rPr>
                            <w:rFonts w:ascii="宋体" w:hAnsi="宋体" w:cs="宋体" w:eastAsia="宋体" w:hint="default"/>
                            <w:sz w:val="24"/>
                            <w:szCs w:val="24"/>
                          </w:rPr>
                        </w:pPr>
                        <w:r>
                          <w:rPr>
                            <w:rFonts w:ascii="宋体" w:hAnsi="宋体" w:cs="宋体" w:eastAsia="宋体" w:hint="default"/>
                            <w:sz w:val="24"/>
                            <w:szCs w:val="24"/>
                          </w:rPr>
                          <w:t>应收利息</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9,759,388.89</w:t>
                        </w:r>
                      </w:p>
                    </w:tc>
                    <w:tc>
                      <w:tcPr>
                        <w:tcW w:w="150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9,759,388.89</w:t>
                        </w:r>
                      </w:p>
                    </w:tc>
                  </w:tr>
                  <w:tr>
                    <w:trPr>
                      <w:trHeight w:val="475"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29"/>
                          <w:jc w:val="center"/>
                          <w:rPr>
                            <w:rFonts w:ascii="宋体" w:hAnsi="宋体" w:cs="宋体" w:eastAsia="宋体" w:hint="default"/>
                            <w:sz w:val="24"/>
                            <w:szCs w:val="24"/>
                          </w:rPr>
                        </w:pPr>
                        <w:r>
                          <w:rPr>
                            <w:rFonts w:ascii="宋体" w:hAnsi="宋体" w:cs="宋体" w:eastAsia="宋体" w:hint="default"/>
                            <w:sz w:val="24"/>
                            <w:szCs w:val="24"/>
                          </w:rPr>
                          <w:t>应收股利</w:t>
                        </w:r>
                      </w:p>
                    </w:tc>
                    <w:tc>
                      <w:tcPr>
                        <w:tcW w:w="1769"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76" w:lineRule="exact"/>
                          <w:ind w:right="329"/>
                          <w:jc w:val="center"/>
                          <w:rPr>
                            <w:rFonts w:ascii="宋体" w:hAnsi="宋体" w:cs="宋体" w:eastAsia="宋体" w:hint="default"/>
                            <w:sz w:val="24"/>
                            <w:szCs w:val="24"/>
                          </w:rPr>
                        </w:pPr>
                        <w:r>
                          <w:rPr>
                            <w:rFonts w:ascii="宋体" w:hAnsi="宋体" w:cs="宋体" w:eastAsia="宋体" w:hint="default"/>
                            <w:sz w:val="24"/>
                            <w:szCs w:val="24"/>
                          </w:rPr>
                          <w:t>小</w:t>
                          <w:tab/>
                          <w:t>计</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9,759,388.89</w:t>
                        </w:r>
                      </w:p>
                    </w:tc>
                    <w:tc>
                      <w:tcPr>
                        <w:tcW w:w="150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9,759,388.89</w:t>
                        </w:r>
                      </w:p>
                    </w:tc>
                  </w:tr>
                </w:tbl>
                <w:p>
                  <w:pPr/>
                </w:p>
              </w:txbxContent>
            </v:textbox>
            <w10:wrap type="none"/>
          </v:shape>
        </w:pict>
      </w:r>
      <w:r>
        <w:rPr>
          <w:rFonts w:ascii="宋体" w:hAnsi="宋体" w:cs="宋体" w:eastAsia="宋体" w:hint="default"/>
        </w:rPr>
        <w:t>(1)</w:t>
      </w:r>
      <w:r>
        <w:rPr>
          <w:rFonts w:ascii="宋体" w:hAnsi="宋体" w:cs="宋体" w:eastAsia="宋体" w:hint="default"/>
          <w:spacing w:val="-33"/>
        </w:rPr>
        <w:t> </w:t>
      </w:r>
      <w:r>
        <w:rPr/>
        <w:t>本公司的应收款项中未逾期且未减值的金额，以及虽已逾期但未减值的金额 和逾期账龄分析如下：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26"/>
        <w:ind w:left="638" w:right="233"/>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1"/>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423"/>
        <w:gridCol w:w="1885"/>
        <w:gridCol w:w="1421"/>
        <w:gridCol w:w="1289"/>
        <w:gridCol w:w="1147"/>
        <w:gridCol w:w="1885"/>
      </w:tblGrid>
      <w:tr>
        <w:trPr>
          <w:trHeight w:val="322" w:hRule="exact"/>
        </w:trPr>
        <w:tc>
          <w:tcPr>
            <w:tcW w:w="142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tabs>
                <w:tab w:pos="703" w:val="left" w:leader="none"/>
              </w:tabs>
              <w:spacing w:line="240" w:lineRule="auto"/>
              <w:ind w:left="223" w:right="0"/>
              <w:jc w:val="left"/>
              <w:rPr>
                <w:rFonts w:ascii="宋体" w:hAnsi="宋体" w:cs="宋体" w:eastAsia="宋体" w:hint="default"/>
                <w:sz w:val="24"/>
                <w:szCs w:val="24"/>
              </w:rPr>
            </w:pPr>
            <w:r>
              <w:rPr>
                <w:rFonts w:ascii="宋体" w:hAnsi="宋体" w:cs="宋体" w:eastAsia="宋体" w:hint="default"/>
                <w:sz w:val="24"/>
                <w:szCs w:val="24"/>
              </w:rPr>
              <w:t>项</w:t>
              <w:tab/>
              <w:t>目</w:t>
            </w:r>
          </w:p>
        </w:tc>
        <w:tc>
          <w:tcPr>
            <w:tcW w:w="7626"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期初数</w:t>
            </w:r>
          </w:p>
        </w:tc>
      </w:tr>
      <w:tr>
        <w:trPr>
          <w:trHeight w:val="319" w:hRule="exact"/>
        </w:trPr>
        <w:tc>
          <w:tcPr>
            <w:tcW w:w="1423" w:type="dxa"/>
            <w:vMerge/>
            <w:tcBorders>
              <w:left w:val="single" w:sz="4" w:space="0" w:color="000000"/>
              <w:right w:val="single" w:sz="4" w:space="0" w:color="000000"/>
            </w:tcBorders>
          </w:tcPr>
          <w:p>
            <w:pPr/>
          </w:p>
        </w:tc>
        <w:tc>
          <w:tcPr>
            <w:tcW w:w="1885" w:type="dxa"/>
            <w:vMerge w:val="restart"/>
            <w:tcBorders>
              <w:top w:val="single" w:sz="4" w:space="0" w:color="000000"/>
              <w:left w:val="single" w:sz="4" w:space="0" w:color="000000"/>
              <w:right w:val="single" w:sz="4" w:space="0" w:color="000000"/>
            </w:tcBorders>
          </w:tcPr>
          <w:p>
            <w:pPr>
              <w:pStyle w:val="TableParagraph"/>
              <w:spacing w:line="240" w:lineRule="auto" w:before="120"/>
              <w:ind w:left="215" w:right="0"/>
              <w:jc w:val="left"/>
              <w:rPr>
                <w:rFonts w:ascii="宋体" w:hAnsi="宋体" w:cs="宋体" w:eastAsia="宋体" w:hint="default"/>
                <w:sz w:val="24"/>
                <w:szCs w:val="24"/>
              </w:rPr>
            </w:pPr>
            <w:r>
              <w:rPr>
                <w:rFonts w:ascii="宋体" w:hAnsi="宋体" w:cs="宋体" w:eastAsia="宋体" w:hint="default"/>
                <w:sz w:val="24"/>
                <w:szCs w:val="24"/>
              </w:rPr>
              <w:t>未逾期未减值</w:t>
            </w:r>
          </w:p>
        </w:tc>
        <w:tc>
          <w:tcPr>
            <w:tcW w:w="38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2" w:right="0"/>
              <w:jc w:val="left"/>
              <w:rPr>
                <w:rFonts w:ascii="宋体" w:hAnsi="宋体" w:cs="宋体" w:eastAsia="宋体" w:hint="default"/>
                <w:sz w:val="24"/>
                <w:szCs w:val="24"/>
              </w:rPr>
            </w:pPr>
            <w:r>
              <w:rPr>
                <w:rFonts w:ascii="宋体" w:hAnsi="宋体" w:cs="宋体" w:eastAsia="宋体" w:hint="default"/>
                <w:sz w:val="24"/>
                <w:szCs w:val="24"/>
              </w:rPr>
              <w:t>已逾期未减值</w:t>
            </w:r>
          </w:p>
        </w:tc>
        <w:tc>
          <w:tcPr>
            <w:tcW w:w="1885" w:type="dxa"/>
            <w:vMerge w:val="restart"/>
            <w:tcBorders>
              <w:top w:val="single" w:sz="4" w:space="0" w:color="000000"/>
              <w:left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4"/>
                <w:szCs w:val="24"/>
              </w:rPr>
            </w:pPr>
            <w:r>
              <w:rPr>
                <w:rFonts w:ascii="宋体" w:hAnsi="宋体" w:cs="宋体" w:eastAsia="宋体" w:hint="default"/>
                <w:sz w:val="24"/>
                <w:szCs w:val="24"/>
              </w:rPr>
              <w:t>合 计</w:t>
            </w:r>
          </w:p>
        </w:tc>
      </w:tr>
      <w:tr>
        <w:trPr>
          <w:trHeight w:val="322" w:hRule="exact"/>
        </w:trPr>
        <w:tc>
          <w:tcPr>
            <w:tcW w:w="1423" w:type="dxa"/>
            <w:vMerge/>
            <w:tcBorders>
              <w:left w:val="single" w:sz="4" w:space="0" w:color="000000"/>
              <w:bottom w:val="single" w:sz="4" w:space="0" w:color="000000"/>
              <w:right w:val="single" w:sz="4" w:space="0" w:color="000000"/>
            </w:tcBorders>
          </w:tcPr>
          <w:p>
            <w:pPr/>
          </w:p>
        </w:tc>
        <w:tc>
          <w:tcPr>
            <w:tcW w:w="1885"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4"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07" w:right="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7"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1885" w:type="dxa"/>
            <w:vMerge/>
            <w:tcBorders>
              <w:left w:val="single" w:sz="4" w:space="0" w:color="000000"/>
              <w:bottom w:val="single" w:sz="4" w:space="0" w:color="000000"/>
              <w:right w:val="single" w:sz="4" w:space="0" w:color="000000"/>
            </w:tcBorders>
          </w:tcPr>
          <w:p>
            <w:pPr/>
          </w:p>
        </w:tc>
      </w:tr>
      <w:tr>
        <w:trPr>
          <w:trHeight w:val="478" w:hRule="exact"/>
        </w:trPr>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5"/>
              <w:jc w:val="center"/>
              <w:rPr>
                <w:rFonts w:ascii="宋体" w:hAnsi="宋体" w:cs="宋体" w:eastAsia="宋体" w:hint="default"/>
                <w:sz w:val="24"/>
                <w:szCs w:val="24"/>
              </w:rPr>
            </w:pPr>
            <w:r>
              <w:rPr>
                <w:rFonts w:ascii="宋体" w:hAnsi="宋体" w:cs="宋体" w:eastAsia="宋体" w:hint="default"/>
                <w:sz w:val="24"/>
                <w:szCs w:val="24"/>
              </w:rPr>
              <w:t>应收利息</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28,718,103.94</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28,718,103.94</w:t>
            </w:r>
          </w:p>
        </w:tc>
      </w:tr>
      <w:tr>
        <w:trPr>
          <w:trHeight w:val="478" w:hRule="exact"/>
        </w:trPr>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5"/>
              <w:jc w:val="center"/>
              <w:rPr>
                <w:rFonts w:ascii="宋体" w:hAnsi="宋体" w:cs="宋体" w:eastAsia="宋体" w:hint="default"/>
                <w:sz w:val="24"/>
                <w:szCs w:val="24"/>
              </w:rPr>
            </w:pPr>
            <w:r>
              <w:rPr>
                <w:rFonts w:ascii="宋体" w:hAnsi="宋体" w:cs="宋体" w:eastAsia="宋体" w:hint="default"/>
                <w:sz w:val="24"/>
                <w:szCs w:val="24"/>
              </w:rPr>
              <w:t>应收股利</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31,500,000.00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31,500,000.00</w:t>
            </w:r>
          </w:p>
        </w:tc>
      </w:tr>
      <w:tr>
        <w:trPr>
          <w:trHeight w:val="478" w:hRule="exact"/>
        </w:trPr>
        <w:tc>
          <w:tcPr>
            <w:tcW w:w="1423"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74" w:lineRule="exact"/>
              <w:ind w:right="245"/>
              <w:jc w:val="center"/>
              <w:rPr>
                <w:rFonts w:ascii="宋体" w:hAnsi="宋体" w:cs="宋体" w:eastAsia="宋体" w:hint="default"/>
                <w:sz w:val="24"/>
                <w:szCs w:val="24"/>
              </w:rPr>
            </w:pPr>
            <w:r>
              <w:rPr>
                <w:rFonts w:ascii="宋体" w:hAnsi="宋体" w:cs="宋体" w:eastAsia="宋体" w:hint="default"/>
                <w:sz w:val="24"/>
                <w:szCs w:val="24"/>
              </w:rPr>
              <w:t>小</w:t>
              <w:tab/>
              <w:t>计</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60,218,103.94</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60,218,103.94</w:t>
            </w:r>
          </w:p>
        </w:tc>
      </w:tr>
    </w:tbl>
    <w:p>
      <w:pPr>
        <w:pStyle w:val="BodyText"/>
        <w:spacing w:line="274" w:lineRule="exact"/>
        <w:ind w:left="638" w:right="233"/>
        <w:jc w:val="left"/>
      </w:pPr>
      <w:r>
        <w:rPr>
          <w:rFonts w:ascii="宋体" w:hAnsi="宋体" w:cs="宋体" w:eastAsia="宋体" w:hint="default"/>
        </w:rPr>
        <w:t>(2) </w:t>
      </w:r>
      <w:r>
        <w:rPr/>
        <w:t>本公司无单项计提减值的应收款项情况。</w:t>
      </w:r>
    </w:p>
    <w:p>
      <w:pPr>
        <w:spacing w:line="240" w:lineRule="auto" w:before="3"/>
        <w:rPr>
          <w:rFonts w:ascii="宋体" w:hAnsi="宋体" w:cs="宋体" w:eastAsia="宋体" w:hint="default"/>
          <w:sz w:val="20"/>
          <w:szCs w:val="20"/>
        </w:rPr>
      </w:pPr>
    </w:p>
    <w:p>
      <w:pPr>
        <w:pStyle w:val="BodyText"/>
        <w:spacing w:line="336" w:lineRule="auto"/>
        <w:ind w:left="638" w:right="228"/>
        <w:jc w:val="left"/>
      </w:pPr>
      <w:r>
        <w:rPr>
          <w:rFonts w:ascii="宋体" w:hAnsi="宋体" w:cs="宋体" w:eastAsia="宋体" w:hint="default"/>
        </w:rPr>
        <w:t>(</w:t>
      </w:r>
      <w:r>
        <w:rPr/>
        <w:t>二</w:t>
      </w:r>
      <w:r>
        <w:rPr>
          <w:rFonts w:ascii="宋体" w:hAnsi="宋体" w:cs="宋体" w:eastAsia="宋体" w:hint="default"/>
        </w:rPr>
        <w:t>) </w:t>
      </w:r>
      <w:r>
        <w:rPr/>
        <w:t>流动风险 流动风险，是指本公司在履行以交付现金或其他金融资产的方式结算的义务时发</w:t>
      </w:r>
    </w:p>
    <w:p>
      <w:pPr>
        <w:pStyle w:val="BodyText"/>
        <w:spacing w:line="336" w:lineRule="auto" w:before="31"/>
        <w:ind w:left="218" w:right="233"/>
        <w:jc w:val="both"/>
      </w:pPr>
      <w:r>
        <w:rPr>
          <w:spacing w:val="-2"/>
        </w:rPr>
        <w:t>生资金短缺的风险。流动风险可能源于无法尽快以公允价值售出金融资产；或者源于</w:t>
      </w:r>
      <w:r>
        <w:rPr>
          <w:spacing w:val="-95"/>
        </w:rPr>
        <w:t> </w:t>
      </w:r>
      <w:r>
        <w:rPr>
          <w:spacing w:val="-95"/>
        </w:rPr>
      </w:r>
      <w:r>
        <w:rPr>
          <w:spacing w:val="-2"/>
        </w:rPr>
        <w:t>对方无法偿还其合同债务；或者源于提前到期的债务；或者源于无法产生预期的现金</w:t>
      </w:r>
      <w:r>
        <w:rPr>
          <w:spacing w:val="-94"/>
        </w:rPr>
        <w:t> </w:t>
      </w:r>
      <w:r>
        <w:rPr>
          <w:spacing w:val="-94"/>
        </w:rPr>
      </w:r>
      <w:r>
        <w:rPr/>
        <w:t>流量。</w:t>
      </w:r>
    </w:p>
    <w:p>
      <w:pPr>
        <w:pStyle w:val="BodyText"/>
        <w:spacing w:line="336" w:lineRule="auto" w:before="31"/>
        <w:ind w:left="218" w:right="113" w:firstLine="419"/>
        <w:jc w:val="both"/>
      </w:pPr>
      <w:r>
        <w:rPr/>
        <w:t>为控制该项风险，本公司综合运用票据结算、金融机构借款等多种融资手段，并 采取长、短期融资方式适当结合，优化融资结构的方法，保持融资持续性与灵活性之 间的平衡。本公司已从多家金融机构取得授信额度以满足营运资金需求和资本开支。</w:t>
      </w:r>
    </w:p>
    <w:p>
      <w:pPr>
        <w:pStyle w:val="BodyText"/>
        <w:spacing w:line="240" w:lineRule="auto" w:before="31"/>
        <w:ind w:left="638" w:right="233"/>
        <w:jc w:val="left"/>
      </w:pPr>
      <w:r>
        <w:rPr/>
        <w:t>金融负债按剩余到期日分类</w:t>
      </w:r>
    </w:p>
    <w:p>
      <w:pPr>
        <w:spacing w:after="0" w:line="240" w:lineRule="auto"/>
        <w:jc w:val="left"/>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1745"/>
        <w:gridCol w:w="1616"/>
        <w:gridCol w:w="1577"/>
        <w:gridCol w:w="1575"/>
        <w:gridCol w:w="1577"/>
        <w:gridCol w:w="1579"/>
      </w:tblGrid>
      <w:tr>
        <w:trPr>
          <w:trHeight w:val="344" w:hRule="exact"/>
        </w:trPr>
        <w:tc>
          <w:tcPr>
            <w:tcW w:w="174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263" w:right="0"/>
              <w:jc w:val="left"/>
              <w:rPr>
                <w:rFonts w:ascii="宋体" w:hAnsi="宋体" w:cs="宋体" w:eastAsia="宋体" w:hint="default"/>
                <w:sz w:val="16"/>
                <w:szCs w:val="16"/>
              </w:rPr>
            </w:pPr>
            <w:r>
              <w:rPr>
                <w:rFonts w:ascii="宋体" w:hAnsi="宋体" w:cs="宋体" w:eastAsia="宋体" w:hint="default"/>
                <w:sz w:val="16"/>
                <w:szCs w:val="16"/>
              </w:rPr>
              <w:t>项 </w:t>
            </w:r>
            <w:r>
              <w:rPr>
                <w:rFonts w:ascii="宋体" w:hAnsi="宋体" w:cs="宋体" w:eastAsia="宋体" w:hint="default"/>
                <w:spacing w:val="1"/>
                <w:sz w:val="16"/>
                <w:szCs w:val="16"/>
              </w:rPr>
              <w:t> </w:t>
            </w:r>
            <w:r>
              <w:rPr>
                <w:rFonts w:ascii="宋体" w:hAnsi="宋体" w:cs="宋体" w:eastAsia="宋体" w:hint="default"/>
                <w:sz w:val="16"/>
                <w:szCs w:val="16"/>
              </w:rPr>
              <w:t>目</w:t>
            </w:r>
          </w:p>
        </w:tc>
        <w:tc>
          <w:tcPr>
            <w:tcW w:w="7924" w:type="dxa"/>
            <w:gridSpan w:val="5"/>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0"/>
              <w:jc w:val="center"/>
              <w:rPr>
                <w:rFonts w:ascii="宋体" w:hAnsi="宋体" w:cs="宋体" w:eastAsia="宋体" w:hint="default"/>
                <w:sz w:val="16"/>
                <w:szCs w:val="16"/>
              </w:rPr>
            </w:pPr>
            <w:r>
              <w:rPr>
                <w:rFonts w:ascii="宋体" w:hAnsi="宋体" w:cs="宋体" w:eastAsia="宋体" w:hint="default"/>
                <w:sz w:val="16"/>
                <w:szCs w:val="16"/>
              </w:rPr>
              <w:t>期末数</w:t>
            </w:r>
          </w:p>
        </w:tc>
      </w:tr>
      <w:tr>
        <w:trPr>
          <w:trHeight w:val="319" w:hRule="exact"/>
        </w:trPr>
        <w:tc>
          <w:tcPr>
            <w:tcW w:w="1745" w:type="dxa"/>
            <w:vMerge/>
            <w:tcBorders>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80"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23" w:right="0"/>
              <w:jc w:val="left"/>
              <w:rPr>
                <w:rFonts w:ascii="宋体" w:hAnsi="宋体" w:cs="宋体" w:eastAsia="宋体" w:hint="default"/>
                <w:sz w:val="16"/>
                <w:szCs w:val="16"/>
              </w:rPr>
            </w:pPr>
            <w:r>
              <w:rPr>
                <w:rFonts w:ascii="宋体" w:hAnsi="宋体" w:cs="宋体" w:eastAsia="宋体" w:hint="default"/>
                <w:sz w:val="16"/>
                <w:szCs w:val="16"/>
              </w:rPr>
              <w:t>未折现合同金额</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80"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39"/>
                <w:sz w:val="16"/>
                <w:szCs w:val="16"/>
              </w:rPr>
              <w:t> </w:t>
            </w:r>
            <w:r>
              <w:rPr>
                <w:rFonts w:ascii="宋体" w:hAnsi="宋体" w:cs="宋体" w:eastAsia="宋体" w:hint="default"/>
                <w:sz w:val="16"/>
                <w:szCs w:val="16"/>
              </w:rPr>
              <w:t>年以内</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 w:right="0"/>
              <w:jc w:val="center"/>
              <w:rPr>
                <w:rFonts w:ascii="宋体" w:hAnsi="宋体" w:cs="宋体" w:eastAsia="宋体" w:hint="default"/>
                <w:sz w:val="16"/>
                <w:szCs w:val="16"/>
              </w:rPr>
            </w:pPr>
            <w:r>
              <w:rPr>
                <w:rFonts w:ascii="宋体" w:hAnsi="宋体" w:cs="宋体" w:eastAsia="宋体" w:hint="default"/>
                <w:sz w:val="16"/>
                <w:szCs w:val="16"/>
              </w:rPr>
              <w:t>1-3</w:t>
            </w:r>
            <w:r>
              <w:rPr>
                <w:rFonts w:ascii="宋体" w:hAnsi="宋体" w:cs="宋体" w:eastAsia="宋体" w:hint="default"/>
                <w:spacing w:val="-40"/>
                <w:sz w:val="16"/>
                <w:szCs w:val="16"/>
              </w:rPr>
              <w:t> </w:t>
            </w:r>
            <w:r>
              <w:rPr>
                <w:rFonts w:ascii="宋体" w:hAnsi="宋体" w:cs="宋体" w:eastAsia="宋体" w:hint="default"/>
                <w:sz w:val="16"/>
                <w:szCs w:val="16"/>
              </w:rPr>
              <w:t>年</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8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39"/>
                <w:sz w:val="16"/>
                <w:szCs w:val="16"/>
              </w:rPr>
              <w:t> </w:t>
            </w:r>
            <w:r>
              <w:rPr>
                <w:rFonts w:ascii="宋体" w:hAnsi="宋体" w:cs="宋体" w:eastAsia="宋体" w:hint="default"/>
                <w:sz w:val="16"/>
                <w:szCs w:val="16"/>
              </w:rPr>
              <w:t>年以上</w:t>
            </w:r>
          </w:p>
        </w:tc>
      </w:tr>
      <w:tr>
        <w:trPr>
          <w:trHeight w:val="322"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263" w:right="0"/>
              <w:jc w:val="left"/>
              <w:rPr>
                <w:rFonts w:ascii="宋体" w:hAnsi="宋体" w:cs="宋体" w:eastAsia="宋体" w:hint="default"/>
                <w:sz w:val="16"/>
                <w:szCs w:val="16"/>
              </w:rPr>
            </w:pPr>
            <w:r>
              <w:rPr>
                <w:rFonts w:ascii="宋体" w:hAnsi="宋体" w:cs="宋体" w:eastAsia="宋体" w:hint="default"/>
                <w:sz w:val="16"/>
                <w:szCs w:val="16"/>
              </w:rPr>
              <w:t>金融机构借款</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39"/>
              <w:jc w:val="right"/>
              <w:rPr>
                <w:rFonts w:ascii="宋体" w:hAnsi="宋体" w:cs="宋体" w:eastAsia="宋体" w:hint="default"/>
                <w:sz w:val="16"/>
                <w:szCs w:val="16"/>
              </w:rPr>
            </w:pPr>
            <w:r>
              <w:rPr>
                <w:rFonts w:ascii="宋体"/>
                <w:spacing w:val="-2"/>
                <w:sz w:val="16"/>
              </w:rPr>
              <w:t>46,604,880,410.68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53,354,593,257.47</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16,120,200,313.45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0"/>
              <w:jc w:val="center"/>
              <w:rPr>
                <w:rFonts w:ascii="宋体" w:hAnsi="宋体" w:cs="宋体" w:eastAsia="宋体" w:hint="default"/>
                <w:sz w:val="16"/>
                <w:szCs w:val="16"/>
              </w:rPr>
            </w:pPr>
            <w:r>
              <w:rPr>
                <w:rFonts w:ascii="宋体"/>
                <w:sz w:val="16"/>
              </w:rPr>
              <w:t>23,668,466,093.36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13,565,926,850.66</w:t>
            </w:r>
          </w:p>
        </w:tc>
      </w:tr>
      <w:tr>
        <w:trPr>
          <w:trHeight w:val="322"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63" w:right="0"/>
              <w:jc w:val="left"/>
              <w:rPr>
                <w:rFonts w:ascii="宋体" w:hAnsi="宋体" w:cs="宋体" w:eastAsia="宋体" w:hint="default"/>
                <w:sz w:val="16"/>
                <w:szCs w:val="16"/>
              </w:rPr>
            </w:pPr>
            <w:r>
              <w:rPr>
                <w:rFonts w:ascii="宋体" w:hAnsi="宋体" w:cs="宋体" w:eastAsia="宋体" w:hint="default"/>
                <w:sz w:val="16"/>
                <w:szCs w:val="16"/>
              </w:rPr>
              <w:t>应付票据</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39"/>
              <w:jc w:val="right"/>
              <w:rPr>
                <w:rFonts w:ascii="宋体" w:hAnsi="宋体" w:cs="宋体" w:eastAsia="宋体" w:hint="default"/>
                <w:sz w:val="16"/>
                <w:szCs w:val="16"/>
              </w:rPr>
            </w:pPr>
            <w:r>
              <w:rPr>
                <w:rFonts w:ascii="宋体"/>
                <w:spacing w:val="-2"/>
                <w:sz w:val="16"/>
              </w:rPr>
              <w:t>7,280,000.00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7,280,000.00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7,280,000.00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63" w:right="0"/>
              <w:jc w:val="left"/>
              <w:rPr>
                <w:rFonts w:ascii="宋体" w:hAnsi="宋体" w:cs="宋体" w:eastAsia="宋体" w:hint="default"/>
                <w:sz w:val="16"/>
                <w:szCs w:val="16"/>
              </w:rPr>
            </w:pPr>
            <w:r>
              <w:rPr>
                <w:rFonts w:ascii="宋体" w:hAnsi="宋体" w:cs="宋体" w:eastAsia="宋体" w:hint="default"/>
                <w:sz w:val="16"/>
                <w:szCs w:val="16"/>
              </w:rPr>
              <w:t>应付账款</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39"/>
              <w:jc w:val="right"/>
              <w:rPr>
                <w:rFonts w:ascii="宋体" w:hAnsi="宋体" w:cs="宋体" w:eastAsia="宋体" w:hint="default"/>
                <w:sz w:val="16"/>
                <w:szCs w:val="16"/>
              </w:rPr>
            </w:pPr>
            <w:r>
              <w:rPr>
                <w:rFonts w:ascii="宋体"/>
                <w:spacing w:val="-2"/>
                <w:sz w:val="16"/>
              </w:rPr>
              <w:t>1,974,178,135.34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1,974,178,135.34</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1,974,178,135.34</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63" w:right="0"/>
              <w:jc w:val="left"/>
              <w:rPr>
                <w:rFonts w:ascii="宋体" w:hAnsi="宋体" w:cs="宋体" w:eastAsia="宋体" w:hint="default"/>
                <w:sz w:val="16"/>
                <w:szCs w:val="16"/>
              </w:rPr>
            </w:pPr>
            <w:r>
              <w:rPr>
                <w:rFonts w:ascii="宋体" w:hAnsi="宋体" w:cs="宋体" w:eastAsia="宋体" w:hint="default"/>
                <w:sz w:val="16"/>
                <w:szCs w:val="16"/>
              </w:rPr>
              <w:t>应付利息</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39"/>
              <w:jc w:val="right"/>
              <w:rPr>
                <w:rFonts w:ascii="宋体" w:hAnsi="宋体" w:cs="宋体" w:eastAsia="宋体" w:hint="default"/>
                <w:sz w:val="16"/>
                <w:szCs w:val="16"/>
              </w:rPr>
            </w:pPr>
            <w:r>
              <w:rPr>
                <w:rFonts w:ascii="宋体"/>
                <w:spacing w:val="-2"/>
                <w:sz w:val="16"/>
              </w:rPr>
              <w:t>555,789,985.80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555,789,985.80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555,789,985.80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63"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39"/>
              <w:jc w:val="right"/>
              <w:rPr>
                <w:rFonts w:ascii="宋体" w:hAnsi="宋体" w:cs="宋体" w:eastAsia="宋体" w:hint="default"/>
                <w:sz w:val="16"/>
                <w:szCs w:val="16"/>
              </w:rPr>
            </w:pPr>
            <w:r>
              <w:rPr>
                <w:rFonts w:ascii="宋体"/>
                <w:spacing w:val="-2"/>
                <w:sz w:val="16"/>
              </w:rPr>
              <w:t>2,037,340,398.61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2,037,340,398.61</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2,037,340,398.61</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63" w:right="0"/>
              <w:jc w:val="left"/>
              <w:rPr>
                <w:rFonts w:ascii="宋体" w:hAnsi="宋体" w:cs="宋体" w:eastAsia="宋体" w:hint="default"/>
                <w:sz w:val="16"/>
                <w:szCs w:val="16"/>
              </w:rPr>
            </w:pPr>
            <w:r>
              <w:rPr>
                <w:rFonts w:ascii="宋体" w:hAnsi="宋体" w:cs="宋体" w:eastAsia="宋体" w:hint="default"/>
                <w:sz w:val="16"/>
                <w:szCs w:val="16"/>
              </w:rPr>
              <w:t>应付债券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39"/>
              <w:jc w:val="right"/>
              <w:rPr>
                <w:rFonts w:ascii="宋体" w:hAnsi="宋体" w:cs="宋体" w:eastAsia="宋体" w:hint="default"/>
                <w:sz w:val="16"/>
                <w:szCs w:val="16"/>
              </w:rPr>
            </w:pPr>
            <w:r>
              <w:rPr>
                <w:rFonts w:ascii="宋体"/>
                <w:spacing w:val="-2"/>
                <w:sz w:val="16"/>
              </w:rPr>
              <w:t>21,818,418,777.63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25,071,706,002.80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2,177,755,512.30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sz w:val="16"/>
              </w:rPr>
              <w:t>19,212,364,006.50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3,681,586,484.00</w:t>
            </w:r>
          </w:p>
        </w:tc>
      </w:tr>
      <w:tr>
        <w:trPr>
          <w:trHeight w:val="63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firstLine="160"/>
              <w:jc w:val="left"/>
              <w:rPr>
                <w:rFonts w:ascii="宋体" w:hAnsi="宋体" w:cs="宋体" w:eastAsia="宋体" w:hint="default"/>
                <w:sz w:val="16"/>
                <w:szCs w:val="16"/>
              </w:rPr>
            </w:pPr>
            <w:r>
              <w:rPr>
                <w:rFonts w:ascii="宋体" w:hAnsi="宋体" w:cs="宋体" w:eastAsia="宋体" w:hint="default"/>
                <w:sz w:val="16"/>
                <w:szCs w:val="16"/>
              </w:rPr>
              <w:t>以公允价值计量且</w:t>
            </w:r>
          </w:p>
          <w:p>
            <w:pPr>
              <w:pStyle w:val="TableParagraph"/>
              <w:spacing w:line="240" w:lineRule="auto"/>
              <w:ind w:left="103" w:right="187"/>
              <w:jc w:val="left"/>
              <w:rPr>
                <w:rFonts w:ascii="宋体" w:hAnsi="宋体" w:cs="宋体" w:eastAsia="宋体" w:hint="default"/>
                <w:sz w:val="16"/>
                <w:szCs w:val="16"/>
              </w:rPr>
            </w:pPr>
            <w:r>
              <w:rPr>
                <w:rFonts w:ascii="宋体" w:hAnsi="宋体" w:cs="宋体" w:eastAsia="宋体" w:hint="default"/>
                <w:sz w:val="16"/>
                <w:szCs w:val="16"/>
              </w:rPr>
              <w:t>其变动计入当期损益</w:t>
            </w:r>
            <w:r>
              <w:rPr>
                <w:rFonts w:ascii="宋体" w:hAnsi="宋体" w:cs="宋体" w:eastAsia="宋体" w:hint="default"/>
                <w:w w:val="100"/>
                <w:sz w:val="16"/>
                <w:szCs w:val="16"/>
              </w:rPr>
              <w:t> </w:t>
            </w:r>
            <w:r>
              <w:rPr>
                <w:rFonts w:ascii="宋体" w:hAnsi="宋体" w:cs="宋体" w:eastAsia="宋体" w:hint="default"/>
                <w:sz w:val="16"/>
                <w:szCs w:val="16"/>
              </w:rPr>
              <w:t>的金融负债</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263" w:right="0"/>
              <w:jc w:val="left"/>
              <w:rPr>
                <w:rFonts w:ascii="宋体" w:hAnsi="宋体" w:cs="宋体" w:eastAsia="宋体" w:hint="default"/>
                <w:sz w:val="16"/>
                <w:szCs w:val="16"/>
              </w:rPr>
            </w:pPr>
            <w:r>
              <w:rPr>
                <w:rFonts w:ascii="宋体" w:hAnsi="宋体" w:cs="宋体" w:eastAsia="宋体" w:hint="default"/>
                <w:sz w:val="16"/>
                <w:szCs w:val="16"/>
              </w:rPr>
              <w:t>应付股利</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39"/>
              <w:jc w:val="right"/>
              <w:rPr>
                <w:rFonts w:ascii="宋体" w:hAnsi="宋体" w:cs="宋体" w:eastAsia="宋体" w:hint="default"/>
                <w:sz w:val="16"/>
                <w:szCs w:val="16"/>
              </w:rPr>
            </w:pPr>
            <w:r>
              <w:rPr>
                <w:rFonts w:ascii="宋体"/>
                <w:spacing w:val="-2"/>
                <w:sz w:val="16"/>
              </w:rPr>
              <w:t>65,487,227.10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00"/>
              <w:jc w:val="right"/>
              <w:rPr>
                <w:rFonts w:ascii="宋体" w:hAnsi="宋体" w:cs="宋体" w:eastAsia="宋体" w:hint="default"/>
                <w:sz w:val="16"/>
                <w:szCs w:val="16"/>
              </w:rPr>
            </w:pPr>
            <w:r>
              <w:rPr>
                <w:rFonts w:ascii="宋体"/>
                <w:spacing w:val="-2"/>
                <w:sz w:val="16"/>
              </w:rPr>
              <w:t>65,487,227.10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00"/>
              <w:jc w:val="right"/>
              <w:rPr>
                <w:rFonts w:ascii="宋体" w:hAnsi="宋体" w:cs="宋体" w:eastAsia="宋体" w:hint="default"/>
                <w:sz w:val="16"/>
                <w:szCs w:val="16"/>
              </w:rPr>
            </w:pPr>
            <w:r>
              <w:rPr>
                <w:rFonts w:ascii="宋体"/>
                <w:spacing w:val="-2"/>
                <w:sz w:val="16"/>
              </w:rPr>
              <w:t>65,487,227.10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63" w:right="0"/>
              <w:jc w:val="left"/>
              <w:rPr>
                <w:rFonts w:ascii="宋体" w:hAnsi="宋体" w:cs="宋体" w:eastAsia="宋体" w:hint="default"/>
                <w:sz w:val="16"/>
                <w:szCs w:val="16"/>
              </w:rPr>
            </w:pPr>
            <w:r>
              <w:rPr>
                <w:rFonts w:ascii="宋体" w:hAnsi="宋体" w:cs="宋体" w:eastAsia="宋体" w:hint="default"/>
                <w:sz w:val="16"/>
                <w:szCs w:val="16"/>
              </w:rPr>
              <w:t>小 </w:t>
            </w:r>
            <w:r>
              <w:rPr>
                <w:rFonts w:ascii="宋体" w:hAnsi="宋体" w:cs="宋体" w:eastAsia="宋体" w:hint="default"/>
                <w:spacing w:val="1"/>
                <w:sz w:val="16"/>
                <w:szCs w:val="16"/>
              </w:rPr>
              <w:t> </w:t>
            </w:r>
            <w:r>
              <w:rPr>
                <w:rFonts w:ascii="宋体" w:hAnsi="宋体" w:cs="宋体" w:eastAsia="宋体" w:hint="default"/>
                <w:sz w:val="16"/>
                <w:szCs w:val="16"/>
              </w:rPr>
              <w:t>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39"/>
              <w:jc w:val="right"/>
              <w:rPr>
                <w:rFonts w:ascii="宋体" w:hAnsi="宋体" w:cs="宋体" w:eastAsia="宋体" w:hint="default"/>
                <w:sz w:val="16"/>
                <w:szCs w:val="16"/>
              </w:rPr>
            </w:pPr>
            <w:r>
              <w:rPr>
                <w:rFonts w:ascii="宋体"/>
                <w:spacing w:val="-2"/>
                <w:sz w:val="16"/>
              </w:rPr>
              <w:t>73,063,374,935.16</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83,066,375,007.12</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22,938,031,572.60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sz w:val="16"/>
              </w:rPr>
              <w:t>42,880,830,099.86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17,247,513,334.66</w:t>
            </w:r>
          </w:p>
        </w:tc>
      </w:tr>
    </w:tbl>
    <w:p>
      <w:pPr>
        <w:spacing w:line="318" w:lineRule="exact" w:before="0"/>
        <w:ind w:left="1099" w:right="529" w:firstLine="0"/>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续上表</w:t>
      </w:r>
      <w:r>
        <w:rPr>
          <w:rFonts w:ascii="宋体" w:hAnsi="宋体" w:cs="宋体" w:eastAsia="宋体" w:hint="default"/>
          <w:sz w:val="28"/>
          <w:szCs w:val="28"/>
        </w:rPr>
        <w:t>)</w:t>
      </w:r>
    </w:p>
    <w:p>
      <w:pPr>
        <w:spacing w:line="240" w:lineRule="auto" w:before="5"/>
        <w:rPr>
          <w:rFonts w:ascii="宋体" w:hAnsi="宋体" w:cs="宋体" w:eastAsia="宋体" w:hint="default"/>
          <w:sz w:val="17"/>
          <w:szCs w:val="17"/>
        </w:rPr>
      </w:pPr>
    </w:p>
    <w:tbl>
      <w:tblPr>
        <w:tblW w:w="0" w:type="auto"/>
        <w:jc w:val="left"/>
        <w:tblInd w:w="115" w:type="dxa"/>
        <w:tblLayout w:type="fixed"/>
        <w:tblCellMar>
          <w:top w:w="0" w:type="dxa"/>
          <w:left w:w="0" w:type="dxa"/>
          <w:bottom w:w="0" w:type="dxa"/>
          <w:right w:w="0" w:type="dxa"/>
        </w:tblCellMar>
        <w:tblLook w:val="01E0"/>
      </w:tblPr>
      <w:tblGrid>
        <w:gridCol w:w="1745"/>
        <w:gridCol w:w="1616"/>
        <w:gridCol w:w="1577"/>
        <w:gridCol w:w="1575"/>
        <w:gridCol w:w="1577"/>
        <w:gridCol w:w="1579"/>
      </w:tblGrid>
      <w:tr>
        <w:trPr>
          <w:trHeight w:val="322" w:hRule="exact"/>
        </w:trPr>
        <w:tc>
          <w:tcPr>
            <w:tcW w:w="1745" w:type="dxa"/>
            <w:vMerge w:val="restart"/>
            <w:tcBorders>
              <w:top w:val="single" w:sz="4" w:space="0" w:color="000000"/>
              <w:left w:val="single" w:sz="4" w:space="0" w:color="000000"/>
              <w:right w:val="single" w:sz="4" w:space="0" w:color="000000"/>
            </w:tcBorders>
          </w:tcPr>
          <w:p>
            <w:pPr>
              <w:pStyle w:val="TableParagraph"/>
              <w:spacing w:line="240" w:lineRule="auto" w:before="134"/>
              <w:ind w:left="263" w:right="0"/>
              <w:jc w:val="left"/>
              <w:rPr>
                <w:rFonts w:ascii="宋体" w:hAnsi="宋体" w:cs="宋体" w:eastAsia="宋体" w:hint="default"/>
                <w:sz w:val="16"/>
                <w:szCs w:val="16"/>
              </w:rPr>
            </w:pPr>
            <w:r>
              <w:rPr>
                <w:rFonts w:ascii="宋体" w:hAnsi="宋体" w:cs="宋体" w:eastAsia="宋体" w:hint="default"/>
                <w:sz w:val="16"/>
                <w:szCs w:val="16"/>
              </w:rPr>
              <w:t>项 </w:t>
            </w:r>
            <w:r>
              <w:rPr>
                <w:rFonts w:ascii="宋体" w:hAnsi="宋体" w:cs="宋体" w:eastAsia="宋体" w:hint="default"/>
                <w:spacing w:val="1"/>
                <w:sz w:val="16"/>
                <w:szCs w:val="16"/>
              </w:rPr>
              <w:t> </w:t>
            </w:r>
            <w:r>
              <w:rPr>
                <w:rFonts w:ascii="宋体" w:hAnsi="宋体" w:cs="宋体" w:eastAsia="宋体" w:hint="default"/>
                <w:sz w:val="16"/>
                <w:szCs w:val="16"/>
              </w:rPr>
              <w:t>目</w:t>
            </w:r>
          </w:p>
        </w:tc>
        <w:tc>
          <w:tcPr>
            <w:tcW w:w="7924" w:type="dxa"/>
            <w:gridSpan w:val="5"/>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期初数</w:t>
            </w:r>
          </w:p>
        </w:tc>
      </w:tr>
      <w:tr>
        <w:trPr>
          <w:trHeight w:val="322" w:hRule="exact"/>
        </w:trPr>
        <w:tc>
          <w:tcPr>
            <w:tcW w:w="1745" w:type="dxa"/>
            <w:vMerge/>
            <w:tcBorders>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80"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23" w:right="0"/>
              <w:jc w:val="left"/>
              <w:rPr>
                <w:rFonts w:ascii="宋体" w:hAnsi="宋体" w:cs="宋体" w:eastAsia="宋体" w:hint="default"/>
                <w:sz w:val="16"/>
                <w:szCs w:val="16"/>
              </w:rPr>
            </w:pPr>
            <w:r>
              <w:rPr>
                <w:rFonts w:ascii="宋体" w:hAnsi="宋体" w:cs="宋体" w:eastAsia="宋体" w:hint="default"/>
                <w:sz w:val="16"/>
                <w:szCs w:val="16"/>
              </w:rPr>
              <w:t>未折现合同金额</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80"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39"/>
                <w:sz w:val="16"/>
                <w:szCs w:val="16"/>
              </w:rPr>
              <w:t> </w:t>
            </w:r>
            <w:r>
              <w:rPr>
                <w:rFonts w:ascii="宋体" w:hAnsi="宋体" w:cs="宋体" w:eastAsia="宋体" w:hint="default"/>
                <w:sz w:val="16"/>
                <w:szCs w:val="16"/>
              </w:rPr>
              <w:t>年以内</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 w:right="0"/>
              <w:jc w:val="center"/>
              <w:rPr>
                <w:rFonts w:ascii="宋体" w:hAnsi="宋体" w:cs="宋体" w:eastAsia="宋体" w:hint="default"/>
                <w:sz w:val="16"/>
                <w:szCs w:val="16"/>
              </w:rPr>
            </w:pPr>
            <w:r>
              <w:rPr>
                <w:rFonts w:ascii="宋体" w:hAnsi="宋体" w:cs="宋体" w:eastAsia="宋体" w:hint="default"/>
                <w:sz w:val="16"/>
                <w:szCs w:val="16"/>
              </w:rPr>
              <w:t>1-3</w:t>
            </w:r>
            <w:r>
              <w:rPr>
                <w:rFonts w:ascii="宋体" w:hAnsi="宋体" w:cs="宋体" w:eastAsia="宋体" w:hint="default"/>
                <w:spacing w:val="-40"/>
                <w:sz w:val="16"/>
                <w:szCs w:val="16"/>
              </w:rPr>
              <w:t> </w:t>
            </w:r>
            <w:r>
              <w:rPr>
                <w:rFonts w:ascii="宋体" w:hAnsi="宋体" w:cs="宋体" w:eastAsia="宋体" w:hint="default"/>
                <w:sz w:val="16"/>
                <w:szCs w:val="16"/>
              </w:rPr>
              <w:t>年</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8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39"/>
                <w:sz w:val="16"/>
                <w:szCs w:val="16"/>
              </w:rPr>
              <w:t> </w:t>
            </w:r>
            <w:r>
              <w:rPr>
                <w:rFonts w:ascii="宋体" w:hAnsi="宋体" w:cs="宋体" w:eastAsia="宋体" w:hint="default"/>
                <w:sz w:val="16"/>
                <w:szCs w:val="16"/>
              </w:rPr>
              <w:t>年以上</w:t>
            </w:r>
          </w:p>
        </w:tc>
      </w:tr>
      <w:tr>
        <w:trPr>
          <w:trHeight w:val="319"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金融机构借款</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39"/>
              <w:jc w:val="right"/>
              <w:rPr>
                <w:rFonts w:ascii="宋体" w:hAnsi="宋体" w:cs="宋体" w:eastAsia="宋体" w:hint="default"/>
                <w:sz w:val="16"/>
                <w:szCs w:val="16"/>
              </w:rPr>
            </w:pPr>
            <w:r>
              <w:rPr>
                <w:rFonts w:ascii="宋体"/>
                <w:spacing w:val="-2"/>
                <w:sz w:val="16"/>
              </w:rPr>
              <w:t>43,440,267,205.75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48,613,437,495.34</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13,506,730,528.05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sz w:val="16"/>
              </w:rPr>
              <w:t>30,841,739,986.94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2"/>
                <w:sz w:val="16"/>
              </w:rPr>
              <w:t>4,264,966,980.35</w:t>
            </w:r>
          </w:p>
        </w:tc>
      </w:tr>
      <w:tr>
        <w:trPr>
          <w:trHeight w:val="322"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应付票据</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39"/>
              <w:jc w:val="right"/>
              <w:rPr>
                <w:rFonts w:ascii="宋体" w:hAnsi="宋体" w:cs="宋体" w:eastAsia="宋体" w:hint="default"/>
                <w:sz w:val="16"/>
                <w:szCs w:val="16"/>
              </w:rPr>
            </w:pPr>
            <w:r>
              <w:rPr>
                <w:rFonts w:ascii="宋体"/>
                <w:spacing w:val="-2"/>
                <w:sz w:val="16"/>
              </w:rPr>
              <w:t>163,870,000.00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163,870,000.00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163,870,000.00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应付账款</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39"/>
              <w:jc w:val="right"/>
              <w:rPr>
                <w:rFonts w:ascii="宋体" w:hAnsi="宋体" w:cs="宋体" w:eastAsia="宋体" w:hint="default"/>
                <w:sz w:val="16"/>
                <w:szCs w:val="16"/>
              </w:rPr>
            </w:pPr>
            <w:r>
              <w:rPr>
                <w:rFonts w:ascii="宋体"/>
                <w:spacing w:val="-2"/>
                <w:sz w:val="16"/>
              </w:rPr>
              <w:t>1,577,815,566.41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1,577,815,566.41</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1,577,815,566.41</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应付利息</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39"/>
              <w:jc w:val="right"/>
              <w:rPr>
                <w:rFonts w:ascii="宋体" w:hAnsi="宋体" w:cs="宋体" w:eastAsia="宋体" w:hint="default"/>
                <w:sz w:val="16"/>
                <w:szCs w:val="16"/>
              </w:rPr>
            </w:pPr>
            <w:r>
              <w:rPr>
                <w:rFonts w:ascii="宋体"/>
                <w:spacing w:val="-2"/>
                <w:sz w:val="16"/>
              </w:rPr>
              <w:t>531,040,064.65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531,040,064.65</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531,040,064.65</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39"/>
              <w:jc w:val="right"/>
              <w:rPr>
                <w:rFonts w:ascii="宋体" w:hAnsi="宋体" w:cs="宋体" w:eastAsia="宋体" w:hint="default"/>
                <w:sz w:val="16"/>
                <w:szCs w:val="16"/>
              </w:rPr>
            </w:pPr>
            <w:r>
              <w:rPr>
                <w:rFonts w:ascii="宋体"/>
                <w:spacing w:val="-2"/>
                <w:sz w:val="16"/>
              </w:rPr>
              <w:t>1,551,138,792.17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2"/>
                <w:sz w:val="16"/>
              </w:rPr>
              <w:t>1,551,138,792.17</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2"/>
                <w:sz w:val="16"/>
              </w:rPr>
              <w:t>1,551,138,792.17</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应付债券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39"/>
              <w:jc w:val="right"/>
              <w:rPr>
                <w:rFonts w:ascii="宋体" w:hAnsi="宋体" w:cs="宋体" w:eastAsia="宋体" w:hint="default"/>
                <w:sz w:val="16"/>
                <w:szCs w:val="16"/>
              </w:rPr>
            </w:pPr>
            <w:r>
              <w:rPr>
                <w:rFonts w:ascii="宋体"/>
                <w:spacing w:val="-2"/>
                <w:sz w:val="16"/>
              </w:rPr>
              <w:t>15,125,314,339.93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18,242,399,133.14</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2"/>
                <w:sz w:val="16"/>
              </w:rPr>
              <w:t>1,188,027,681.06</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76" w:right="0"/>
              <w:jc w:val="center"/>
              <w:rPr>
                <w:rFonts w:ascii="宋体" w:hAnsi="宋体" w:cs="宋体" w:eastAsia="宋体" w:hint="default"/>
                <w:sz w:val="16"/>
                <w:szCs w:val="16"/>
              </w:rPr>
            </w:pPr>
            <w:r>
              <w:rPr>
                <w:rFonts w:ascii="宋体"/>
                <w:sz w:val="16"/>
              </w:rPr>
              <w:t>9,694,446,794.54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2"/>
                <w:sz w:val="16"/>
              </w:rPr>
              <w:t>7,359,924,657.54</w:t>
            </w:r>
          </w:p>
        </w:tc>
      </w:tr>
      <w:tr>
        <w:trPr>
          <w:trHeight w:val="631"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w:t>
            </w:r>
          </w:p>
          <w:p>
            <w:pPr>
              <w:pStyle w:val="TableParagraph"/>
              <w:spacing w:line="240" w:lineRule="auto"/>
              <w:ind w:left="103" w:right="187"/>
              <w:jc w:val="left"/>
              <w:rPr>
                <w:rFonts w:ascii="宋体" w:hAnsi="宋体" w:cs="宋体" w:eastAsia="宋体" w:hint="default"/>
                <w:sz w:val="16"/>
                <w:szCs w:val="16"/>
              </w:rPr>
            </w:pPr>
            <w:r>
              <w:rPr>
                <w:rFonts w:ascii="宋体" w:hAnsi="宋体" w:cs="宋体" w:eastAsia="宋体" w:hint="default"/>
                <w:sz w:val="16"/>
                <w:szCs w:val="16"/>
              </w:rPr>
              <w:t>变动计入当期损益的</w:t>
            </w:r>
            <w:r>
              <w:rPr>
                <w:rFonts w:ascii="宋体" w:hAnsi="宋体" w:cs="宋体" w:eastAsia="宋体" w:hint="default"/>
                <w:w w:val="100"/>
                <w:sz w:val="16"/>
                <w:szCs w:val="16"/>
              </w:rPr>
              <w:t> </w:t>
            </w:r>
            <w:r>
              <w:rPr>
                <w:rFonts w:ascii="宋体" w:hAnsi="宋体" w:cs="宋体" w:eastAsia="宋体" w:hint="default"/>
                <w:sz w:val="16"/>
                <w:szCs w:val="16"/>
              </w:rPr>
              <w:t>金融负债</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38"/>
              <w:jc w:val="right"/>
              <w:rPr>
                <w:rFonts w:ascii="宋体" w:hAnsi="宋体" w:cs="宋体" w:eastAsia="宋体" w:hint="default"/>
                <w:sz w:val="16"/>
                <w:szCs w:val="16"/>
              </w:rPr>
            </w:pPr>
            <w:r>
              <w:rPr>
                <w:rFonts w:ascii="宋体"/>
                <w:spacing w:val="-2"/>
                <w:sz w:val="16"/>
              </w:rPr>
              <w:t>39,726.59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6"/>
                <w:szCs w:val="16"/>
              </w:rPr>
            </w:pPr>
            <w:r>
              <w:rPr>
                <w:rFonts w:ascii="宋体"/>
                <w:spacing w:val="-2"/>
                <w:sz w:val="16"/>
              </w:rPr>
              <w:t>39,726.59</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6"/>
                <w:szCs w:val="16"/>
              </w:rPr>
            </w:pPr>
            <w:r>
              <w:rPr>
                <w:rFonts w:ascii="宋体"/>
                <w:spacing w:val="-2"/>
                <w:sz w:val="16"/>
              </w:rPr>
              <w:t>39,726.59</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63" w:right="0"/>
              <w:jc w:val="left"/>
              <w:rPr>
                <w:rFonts w:ascii="宋体" w:hAnsi="宋体" w:cs="宋体" w:eastAsia="宋体" w:hint="default"/>
                <w:sz w:val="16"/>
                <w:szCs w:val="16"/>
              </w:rPr>
            </w:pPr>
            <w:r>
              <w:rPr>
                <w:rFonts w:ascii="宋体" w:hAnsi="宋体" w:cs="宋体" w:eastAsia="宋体" w:hint="default"/>
                <w:sz w:val="16"/>
                <w:szCs w:val="16"/>
              </w:rPr>
              <w:t>应付股利</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39"/>
              <w:jc w:val="right"/>
              <w:rPr>
                <w:rFonts w:ascii="宋体" w:hAnsi="宋体" w:cs="宋体" w:eastAsia="宋体" w:hint="default"/>
                <w:sz w:val="16"/>
                <w:szCs w:val="16"/>
              </w:rPr>
            </w:pPr>
            <w:r>
              <w:rPr>
                <w:rFonts w:ascii="宋体"/>
                <w:spacing w:val="-2"/>
                <w:sz w:val="16"/>
              </w:rPr>
              <w:t>10,387,227.10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10,387,227.10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10,387,227.10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63" w:right="0"/>
              <w:jc w:val="left"/>
              <w:rPr>
                <w:rFonts w:ascii="宋体" w:hAnsi="宋体" w:cs="宋体" w:eastAsia="宋体" w:hint="default"/>
                <w:sz w:val="16"/>
                <w:szCs w:val="16"/>
              </w:rPr>
            </w:pPr>
            <w:r>
              <w:rPr>
                <w:rFonts w:ascii="宋体" w:hAnsi="宋体" w:cs="宋体" w:eastAsia="宋体" w:hint="default"/>
                <w:sz w:val="16"/>
                <w:szCs w:val="16"/>
              </w:rPr>
              <w:t>小 </w:t>
            </w:r>
            <w:r>
              <w:rPr>
                <w:rFonts w:ascii="宋体" w:hAnsi="宋体" w:cs="宋体" w:eastAsia="宋体" w:hint="default"/>
                <w:spacing w:val="1"/>
                <w:sz w:val="16"/>
                <w:szCs w:val="16"/>
              </w:rPr>
              <w:t> </w:t>
            </w:r>
            <w:r>
              <w:rPr>
                <w:rFonts w:ascii="宋体" w:hAnsi="宋体" w:cs="宋体" w:eastAsia="宋体" w:hint="default"/>
                <w:sz w:val="16"/>
                <w:szCs w:val="16"/>
              </w:rPr>
              <w:t>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38"/>
              <w:jc w:val="right"/>
              <w:rPr>
                <w:rFonts w:ascii="宋体" w:hAnsi="宋体" w:cs="宋体" w:eastAsia="宋体" w:hint="default"/>
                <w:sz w:val="16"/>
                <w:szCs w:val="16"/>
              </w:rPr>
            </w:pPr>
            <w:r>
              <w:rPr>
                <w:rFonts w:ascii="宋体"/>
                <w:spacing w:val="-2"/>
                <w:sz w:val="16"/>
              </w:rPr>
              <w:t>62,399,872,922.60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2"/>
                <w:sz w:val="16"/>
              </w:rPr>
              <w:t>70,690,128,005.40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18,529,049,586.03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sz w:val="16"/>
              </w:rPr>
              <w:t>40,536,186,781.48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11,624,891,637.89</w:t>
            </w:r>
          </w:p>
        </w:tc>
      </w:tr>
    </w:tbl>
    <w:p>
      <w:pPr>
        <w:pStyle w:val="BodyText"/>
        <w:spacing w:line="274" w:lineRule="exact"/>
        <w:ind w:left="958" w:right="529"/>
        <w:jc w:val="left"/>
      </w:pPr>
      <w:r>
        <w:rPr>
          <w:rFonts w:ascii="宋体" w:hAnsi="宋体" w:cs="宋体" w:eastAsia="宋体" w:hint="default"/>
        </w:rPr>
        <w:t>(</w:t>
      </w:r>
      <w:r>
        <w:rPr/>
        <w:t>三</w:t>
      </w:r>
      <w:r>
        <w:rPr>
          <w:rFonts w:ascii="宋体" w:hAnsi="宋体" w:cs="宋体" w:eastAsia="宋体" w:hint="default"/>
        </w:rPr>
        <w:t>) </w:t>
      </w:r>
      <w:r>
        <w:rPr/>
        <w:t>市场风险</w:t>
      </w:r>
    </w:p>
    <w:p>
      <w:pPr>
        <w:pStyle w:val="BodyText"/>
        <w:spacing w:line="355" w:lineRule="auto" w:before="154"/>
        <w:ind w:left="538" w:right="529" w:firstLine="419"/>
        <w:jc w:val="left"/>
      </w:pPr>
      <w:r>
        <w:rPr/>
        <w:t>市场风险，是指金融工具的公允价值或未来现金流量因市场价格变动而发生波动 的风险。市场风险主要包括利率风险和外汇风险。</w:t>
      </w:r>
    </w:p>
    <w:p>
      <w:pPr>
        <w:pStyle w:val="BodyText"/>
        <w:spacing w:line="355" w:lineRule="auto" w:before="39"/>
        <w:ind w:left="958" w:right="528"/>
        <w:jc w:val="left"/>
      </w:pPr>
      <w:r>
        <w:rPr>
          <w:rFonts w:ascii="宋体" w:hAnsi="宋体" w:cs="宋体" w:eastAsia="宋体" w:hint="default"/>
        </w:rPr>
        <w:t>1. </w:t>
      </w:r>
      <w:r>
        <w:rPr/>
        <w:t>利率风险 利率风险，是指金融工具的公允价值或未来现金流量因市场利率变动而发生波动</w:t>
      </w:r>
    </w:p>
    <w:p>
      <w:pPr>
        <w:pStyle w:val="BodyText"/>
        <w:spacing w:line="355" w:lineRule="auto" w:before="38"/>
        <w:ind w:left="1018" w:right="0" w:hanging="480"/>
        <w:jc w:val="left"/>
      </w:pPr>
      <w:r>
        <w:rPr>
          <w:spacing w:val="-2"/>
        </w:rPr>
        <w:t>的风险。本公司面临的市场利率变动的风险主要与本公司以浮动利率计息的借款有关。</w:t>
      </w:r>
      <w:r>
        <w:rPr>
          <w:spacing w:val="-92"/>
        </w:rPr>
        <w:t> </w:t>
      </w:r>
      <w:r>
        <w:rPr>
          <w:spacing w:val="-92"/>
        </w:rPr>
      </w: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日，本公司以浮动利率计息的银行借款人民币</w:t>
      </w:r>
    </w:p>
    <w:p>
      <w:pPr>
        <w:pStyle w:val="BodyText"/>
        <w:spacing w:line="240" w:lineRule="auto" w:before="38"/>
        <w:ind w:left="538" w:right="0"/>
        <w:jc w:val="left"/>
      </w:pPr>
      <w:r>
        <w:rPr>
          <w:rFonts w:ascii="宋体" w:hAnsi="宋体" w:cs="宋体" w:eastAsia="宋体" w:hint="default"/>
        </w:rPr>
        <w:t>19,219,478,455.12</w:t>
      </w:r>
      <w:r>
        <w:rPr/>
        <w:t>元</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日：人民币</w:t>
      </w:r>
      <w:r>
        <w:rPr>
          <w:rFonts w:ascii="宋体" w:hAnsi="宋体" w:cs="宋体" w:eastAsia="宋体" w:hint="default"/>
        </w:rPr>
        <w:t>15,697,050,434.82</w:t>
      </w:r>
      <w:r>
        <w:rPr/>
        <w:t>元</w:t>
      </w:r>
      <w:r>
        <w:rPr>
          <w:rFonts w:ascii="宋体" w:hAnsi="宋体" w:cs="宋体" w:eastAsia="宋体" w:hint="default"/>
        </w:rPr>
        <w:t>)</w:t>
      </w:r>
      <w:r>
        <w:rPr/>
        <w:t>，在其他变量</w:t>
      </w:r>
    </w:p>
    <w:p>
      <w:pPr>
        <w:pStyle w:val="BodyText"/>
        <w:spacing w:line="357" w:lineRule="auto" w:before="151"/>
        <w:ind w:left="538" w:right="529"/>
        <w:jc w:val="left"/>
      </w:pPr>
      <w:r>
        <w:rPr>
          <w:spacing w:val="-2"/>
        </w:rPr>
        <w:t>不变的假设下，假定利率变动</w:t>
      </w:r>
      <w:r>
        <w:rPr>
          <w:rFonts w:ascii="宋体" w:hAnsi="宋体" w:cs="宋体" w:eastAsia="宋体" w:hint="default"/>
          <w:spacing w:val="-2"/>
        </w:rPr>
        <w:t>50</w:t>
      </w:r>
      <w:r>
        <w:rPr>
          <w:spacing w:val="-2"/>
        </w:rPr>
        <w:t>个基准点，将会对本公司的利润总额和股东权益产生</w:t>
      </w:r>
      <w:r>
        <w:rPr>
          <w:spacing w:val="-92"/>
        </w:rPr>
        <w:t> </w:t>
      </w:r>
      <w:r>
        <w:rPr>
          <w:spacing w:val="-92"/>
        </w:rPr>
      </w:r>
      <w:r>
        <w:rPr/>
        <w:t>一定的影响。</w:t>
      </w:r>
    </w:p>
    <w:p>
      <w:pPr>
        <w:pStyle w:val="BodyText"/>
        <w:spacing w:line="240" w:lineRule="auto" w:before="34"/>
        <w:ind w:left="1018" w:right="529"/>
        <w:jc w:val="left"/>
      </w:pPr>
      <w:r>
        <w:rPr>
          <w:rFonts w:ascii="宋体" w:hAnsi="宋体" w:cs="宋体" w:eastAsia="宋体" w:hint="default"/>
        </w:rPr>
        <w:t>2. </w:t>
      </w:r>
      <w:r>
        <w:rPr/>
        <w:t>外汇风险</w:t>
      </w:r>
    </w:p>
    <w:p>
      <w:pPr>
        <w:spacing w:after="0" w:line="240" w:lineRule="auto"/>
        <w:jc w:val="left"/>
        <w:sectPr>
          <w:pgSz w:w="11910" w:h="16840"/>
          <w:pgMar w:header="0" w:footer="1195" w:top="1120" w:bottom="1380" w:left="1260" w:right="740"/>
        </w:sectPr>
      </w:pPr>
    </w:p>
    <w:p>
      <w:pPr>
        <w:spacing w:line="240" w:lineRule="auto" w:before="5"/>
        <w:rPr>
          <w:rFonts w:ascii="宋体" w:hAnsi="宋体" w:cs="宋体" w:eastAsia="宋体" w:hint="default"/>
          <w:sz w:val="25"/>
          <w:szCs w:val="25"/>
        </w:rPr>
      </w:pPr>
    </w:p>
    <w:p>
      <w:pPr>
        <w:pStyle w:val="BodyText"/>
        <w:spacing w:line="357" w:lineRule="auto" w:before="26"/>
        <w:ind w:left="998" w:right="1012" w:firstLine="479"/>
        <w:jc w:val="both"/>
      </w:pPr>
      <w:r>
        <w:rPr>
          <w:spacing w:val="-2"/>
        </w:rPr>
        <w:t>外汇风险，是指金融工具的公允价值或未来现金流量因外汇汇率变动而发生波动</w:t>
      </w:r>
      <w:r>
        <w:rPr/>
        <w:t> </w:t>
      </w:r>
      <w:r>
        <w:rPr>
          <w:spacing w:val="-2"/>
        </w:rPr>
        <w:t>的风险。本公司面临的汇率变动的风险主要与本公司外币货币性资产和负债以及外币</w:t>
      </w:r>
      <w:r>
        <w:rPr>
          <w:spacing w:val="-94"/>
        </w:rPr>
        <w:t> </w:t>
      </w:r>
      <w:r>
        <w:rPr>
          <w:spacing w:val="-94"/>
        </w:rPr>
      </w:r>
      <w:r>
        <w:rPr/>
        <w:t>计价的可供出售金融资产有关。截至</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日，以外币计价的可供出售金</w:t>
      </w:r>
    </w:p>
    <w:p>
      <w:pPr>
        <w:pStyle w:val="BodyText"/>
        <w:spacing w:line="357" w:lineRule="auto" w:before="36"/>
        <w:ind w:left="1478" w:right="999" w:hanging="480"/>
        <w:jc w:val="left"/>
      </w:pPr>
      <w:r>
        <w:rPr/>
        <w:t>融资产余额为</w:t>
      </w:r>
      <w:r>
        <w:rPr>
          <w:spacing w:val="-54"/>
        </w:rPr>
        <w:t> </w:t>
      </w:r>
      <w:r>
        <w:rPr>
          <w:rFonts w:ascii="宋体" w:hAnsi="宋体" w:cs="宋体" w:eastAsia="宋体" w:hint="default"/>
        </w:rPr>
        <w:t>4,365,711,323.63</w:t>
      </w:r>
      <w:r>
        <w:rPr>
          <w:rFonts w:ascii="宋体" w:hAnsi="宋体" w:cs="宋体" w:eastAsia="宋体" w:hint="default"/>
          <w:spacing w:val="-53"/>
        </w:rPr>
        <w:t> </w:t>
      </w:r>
      <w:r>
        <w:rPr>
          <w:spacing w:val="-8"/>
        </w:rPr>
        <w:t>元。因此，本公司所承担的外汇变动市场风险较大。</w:t>
      </w:r>
      <w:r>
        <w:rPr/>
        <w:t> 本公司期末外币货币性资产和负债情况见本财务报表附注合并财务报表项目注</w:t>
      </w:r>
    </w:p>
    <w:p>
      <w:pPr>
        <w:pStyle w:val="BodyText"/>
        <w:spacing w:line="357" w:lineRule="auto" w:before="34"/>
        <w:ind w:left="998" w:right="1009"/>
        <w:jc w:val="left"/>
      </w:pPr>
      <w:r>
        <w:rPr>
          <w:spacing w:val="-2"/>
        </w:rPr>
        <w:t>释其他之外币货币性项目说明，以外币计价的可供出售金融资产情况见本财务报表附</w:t>
      </w:r>
      <w:r>
        <w:rPr>
          <w:spacing w:val="-93"/>
        </w:rPr>
        <w:t> </w:t>
      </w:r>
      <w:r>
        <w:rPr>
          <w:spacing w:val="-93"/>
        </w:rPr>
      </w:r>
      <w:r>
        <w:rPr/>
        <w:t>注合并财务报表项目注释可供出售金融资产之说明。</w:t>
      </w: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0" w:footer="1195" w:top="1120" w:bottom="1380" w:left="800" w:right="260"/>
        </w:sectPr>
      </w:pPr>
    </w:p>
    <w:p>
      <w:pPr>
        <w:pStyle w:val="Heading2"/>
        <w:spacing w:line="240" w:lineRule="auto"/>
        <w:ind w:left="998" w:right="-18"/>
        <w:jc w:val="left"/>
        <w:rPr>
          <w:b w:val="0"/>
          <w:bCs w:val="0"/>
        </w:rPr>
      </w:pPr>
      <w:r>
        <w:rPr/>
        <w:t>十一、</w:t>
      </w:r>
      <w:r>
        <w:rPr>
          <w:spacing w:val="-6"/>
        </w:rPr>
        <w:t> </w:t>
      </w:r>
      <w:r>
        <w:rPr/>
        <w:t>公允价值的披露</w:t>
      </w:r>
      <w:r>
        <w:rPr>
          <w:b w:val="0"/>
          <w:bCs w:val="0"/>
        </w:rPr>
      </w:r>
    </w:p>
    <w:p>
      <w:pPr>
        <w:pStyle w:val="Heading2"/>
        <w:spacing w:line="240" w:lineRule="auto" w:before="58"/>
        <w:ind w:left="998" w:right="-18"/>
        <w:jc w:val="left"/>
        <w:rPr>
          <w:b w:val="0"/>
          <w:bCs w:val="0"/>
        </w:rPr>
      </w:pPr>
      <w:r>
        <w:rPr>
          <w:rFonts w:ascii="宋体" w:hAnsi="宋体" w:cs="宋体" w:eastAsia="宋体" w:hint="default"/>
        </w:rPr>
        <w:t>1</w:t>
      </w:r>
      <w:r>
        <w:rPr/>
        <w:t>、</w:t>
      </w:r>
      <w:r>
        <w:rPr>
          <w:spacing w:val="-62"/>
        </w:rPr>
        <w:t> </w:t>
      </w:r>
      <w:r>
        <w:rPr/>
        <w:t>以公允价值计量的资产和负债的期末公允价值</w:t>
      </w:r>
      <w:r>
        <w:rPr>
          <w:b w:val="0"/>
          <w:bCs w:val="0"/>
        </w:rPr>
      </w:r>
    </w:p>
    <w:p>
      <w:pPr>
        <w:pStyle w:val="BodyText"/>
        <w:tabs>
          <w:tab w:pos="1957" w:val="left" w:leader="none"/>
        </w:tabs>
        <w:spacing w:line="240" w:lineRule="auto" w:before="55"/>
        <w:ind w:left="998" w:right="-18"/>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tabs>
          <w:tab w:pos="2078" w:val="left" w:leader="none"/>
        </w:tabs>
        <w:spacing w:line="240" w:lineRule="auto"/>
        <w:ind w:left="99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00" w:bottom="280" w:left="800" w:right="260"/>
          <w:cols w:num="2" w:equalWidth="0">
            <w:col w:w="6241" w:space="192"/>
            <w:col w:w="4417"/>
          </w:cols>
        </w:sectPr>
      </w:pPr>
    </w:p>
    <w:p>
      <w:pPr>
        <w:spacing w:line="240" w:lineRule="auto" w:before="12"/>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733"/>
        <w:gridCol w:w="1978"/>
        <w:gridCol w:w="1738"/>
        <w:gridCol w:w="1186"/>
        <w:gridCol w:w="1976"/>
      </w:tblGrid>
      <w:tr>
        <w:trPr>
          <w:trHeight w:val="319" w:hRule="exact"/>
        </w:trPr>
        <w:tc>
          <w:tcPr>
            <w:tcW w:w="373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68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期末公允价值</w:t>
            </w:r>
          </w:p>
        </w:tc>
      </w:tr>
      <w:tr>
        <w:trPr>
          <w:trHeight w:val="946" w:hRule="exact"/>
        </w:trPr>
        <w:tc>
          <w:tcPr>
            <w:tcW w:w="3733" w:type="dxa"/>
            <w:vMerge/>
            <w:tcBorders>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743" w:right="22" w:hanging="720"/>
              <w:jc w:val="left"/>
              <w:rPr>
                <w:rFonts w:ascii="宋体" w:hAnsi="宋体" w:cs="宋体" w:eastAsia="宋体" w:hint="default"/>
                <w:sz w:val="24"/>
                <w:szCs w:val="24"/>
              </w:rPr>
            </w:pPr>
            <w:r>
              <w:rPr>
                <w:rFonts w:ascii="宋体" w:hAnsi="宋体" w:cs="宋体" w:eastAsia="宋体" w:hint="default"/>
                <w:sz w:val="24"/>
                <w:szCs w:val="24"/>
              </w:rPr>
              <w:t>第一层次公允价值 计量</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501" w:right="24" w:hanging="480"/>
              <w:jc w:val="left"/>
              <w:rPr>
                <w:rFonts w:ascii="宋体" w:hAnsi="宋体" w:cs="宋体" w:eastAsia="宋体" w:hint="default"/>
                <w:sz w:val="24"/>
                <w:szCs w:val="24"/>
              </w:rPr>
            </w:pPr>
            <w:r>
              <w:rPr>
                <w:rFonts w:ascii="宋体" w:hAnsi="宋体" w:cs="宋体" w:eastAsia="宋体" w:hint="default"/>
                <w:sz w:val="24"/>
                <w:szCs w:val="24"/>
              </w:rPr>
              <w:t>第二层次公允价 值计量</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第三层次</w:t>
            </w:r>
          </w:p>
          <w:p>
            <w:pPr>
              <w:pStyle w:val="TableParagraph"/>
              <w:spacing w:line="312" w:lineRule="exact" w:before="28"/>
              <w:ind w:left="345" w:right="110" w:hanging="240"/>
              <w:jc w:val="left"/>
              <w:rPr>
                <w:rFonts w:ascii="宋体" w:hAnsi="宋体" w:cs="宋体" w:eastAsia="宋体" w:hint="default"/>
                <w:sz w:val="24"/>
                <w:szCs w:val="24"/>
              </w:rPr>
            </w:pPr>
            <w:r>
              <w:rPr>
                <w:rFonts w:ascii="宋体" w:hAnsi="宋体" w:cs="宋体" w:eastAsia="宋体" w:hint="default"/>
                <w:sz w:val="24"/>
                <w:szCs w:val="24"/>
              </w:rPr>
              <w:t>公允价值 计量</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合计</w:t>
            </w:r>
          </w:p>
        </w:tc>
      </w:tr>
      <w:tr>
        <w:trPr>
          <w:trHeight w:val="322"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b/>
                <w:bCs/>
                <w:sz w:val="24"/>
                <w:szCs w:val="24"/>
              </w:rPr>
              <w:t>一、持续的公允价值计量</w:t>
            </w:r>
            <w:r>
              <w:rPr>
                <w:rFonts w:ascii="宋体" w:hAnsi="宋体" w:cs="宋体" w:eastAsia="宋体" w:hint="default"/>
                <w:sz w:val="24"/>
                <w:szCs w:val="24"/>
              </w:rPr>
            </w:r>
          </w:p>
        </w:tc>
        <w:tc>
          <w:tcPr>
            <w:tcW w:w="197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 w:right="0"/>
              <w:jc w:val="left"/>
              <w:rPr>
                <w:rFonts w:ascii="宋体" w:hAnsi="宋体" w:cs="宋体" w:eastAsia="宋体" w:hint="default"/>
                <w:sz w:val="24"/>
                <w:szCs w:val="24"/>
              </w:rPr>
            </w:pPr>
            <w:r>
              <w:rPr>
                <w:rFonts w:ascii="宋体" w:hAnsi="宋体" w:cs="宋体" w:eastAsia="宋体" w:hint="default"/>
                <w:sz w:val="24"/>
                <w:szCs w:val="24"/>
              </w:rPr>
              <w:t>（一）以公允价值计量且变动计入</w:t>
            </w:r>
          </w:p>
          <w:p>
            <w:pPr>
              <w:pStyle w:val="TableParagraph"/>
              <w:spacing w:line="312" w:lineRule="exact"/>
              <w:ind w:left="21" w:right="0"/>
              <w:jc w:val="left"/>
              <w:rPr>
                <w:rFonts w:ascii="宋体" w:hAnsi="宋体" w:cs="宋体" w:eastAsia="宋体" w:hint="default"/>
                <w:sz w:val="24"/>
                <w:szCs w:val="24"/>
              </w:rPr>
            </w:pPr>
            <w:r>
              <w:rPr>
                <w:rFonts w:ascii="宋体" w:hAnsi="宋体" w:cs="宋体" w:eastAsia="宋体" w:hint="default"/>
                <w:sz w:val="24"/>
                <w:szCs w:val="24"/>
              </w:rPr>
              <w:t>当期损益的金融资产</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2"/>
              <w:jc w:val="right"/>
              <w:rPr>
                <w:rFonts w:ascii="宋体" w:hAnsi="宋体" w:cs="宋体" w:eastAsia="宋体" w:hint="default"/>
                <w:sz w:val="24"/>
                <w:szCs w:val="24"/>
              </w:rPr>
            </w:pPr>
            <w:r>
              <w:rPr>
                <w:rFonts w:ascii="宋体"/>
                <w:sz w:val="24"/>
              </w:rPr>
              <w:t>600,235,715.17</w:t>
            </w:r>
          </w:p>
        </w:tc>
        <w:tc>
          <w:tcPr>
            <w:tcW w:w="173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2"/>
              <w:jc w:val="right"/>
              <w:rPr>
                <w:rFonts w:ascii="宋体" w:hAnsi="宋体" w:cs="宋体" w:eastAsia="宋体" w:hint="default"/>
                <w:sz w:val="24"/>
                <w:szCs w:val="24"/>
              </w:rPr>
            </w:pPr>
            <w:r>
              <w:rPr>
                <w:rFonts w:ascii="宋体"/>
                <w:sz w:val="24"/>
              </w:rPr>
              <w:t>600,235,715.17</w:t>
            </w:r>
          </w:p>
        </w:tc>
      </w:tr>
      <w:tr>
        <w:trPr>
          <w:trHeight w:val="322"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1. </w:t>
            </w:r>
            <w:r>
              <w:rPr>
                <w:rFonts w:ascii="宋体" w:hAnsi="宋体" w:cs="宋体" w:eastAsia="宋体" w:hint="default"/>
                <w:sz w:val="24"/>
                <w:szCs w:val="24"/>
              </w:rPr>
              <w:t>交易性金融资产</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600,235,715.17</w:t>
            </w:r>
          </w:p>
        </w:tc>
        <w:tc>
          <w:tcPr>
            <w:tcW w:w="173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600,235,715.17</w:t>
            </w:r>
          </w:p>
        </w:tc>
      </w:tr>
      <w:tr>
        <w:trPr>
          <w:trHeight w:val="322"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）债务工具投资</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344,092,551.84</w:t>
            </w:r>
          </w:p>
        </w:tc>
        <w:tc>
          <w:tcPr>
            <w:tcW w:w="173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344,092,551.84</w:t>
            </w:r>
          </w:p>
        </w:tc>
      </w:tr>
      <w:tr>
        <w:trPr>
          <w:trHeight w:val="322"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）权益工具投资</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251,846,298.41</w:t>
            </w:r>
          </w:p>
        </w:tc>
        <w:tc>
          <w:tcPr>
            <w:tcW w:w="173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251,846,298.41</w:t>
            </w:r>
          </w:p>
        </w:tc>
      </w:tr>
      <w:tr>
        <w:trPr>
          <w:trHeight w:val="319"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）衍生金融资产</w:t>
            </w:r>
          </w:p>
        </w:tc>
        <w:tc>
          <w:tcPr>
            <w:tcW w:w="197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）基金及资产管理</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4,296,864.92</w:t>
            </w:r>
          </w:p>
        </w:tc>
        <w:tc>
          <w:tcPr>
            <w:tcW w:w="173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4,296,864.92</w:t>
            </w:r>
          </w:p>
        </w:tc>
      </w:tr>
      <w:tr>
        <w:trPr>
          <w:trHeight w:val="809"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 w:right="0"/>
              <w:jc w:val="left"/>
              <w:rPr>
                <w:rFonts w:ascii="宋体" w:hAnsi="宋体" w:cs="宋体" w:eastAsia="宋体" w:hint="default"/>
                <w:sz w:val="24"/>
                <w:szCs w:val="24"/>
              </w:rPr>
            </w:pPr>
            <w:r>
              <w:rPr>
                <w:rFonts w:ascii="宋体" w:hAnsi="宋体" w:cs="宋体" w:eastAsia="宋体" w:hint="default"/>
                <w:sz w:val="24"/>
                <w:szCs w:val="24"/>
              </w:rPr>
              <w:t>2. </w:t>
            </w:r>
            <w:r>
              <w:rPr>
                <w:rFonts w:ascii="宋体" w:hAnsi="宋体" w:cs="宋体" w:eastAsia="宋体" w:hint="default"/>
                <w:sz w:val="24"/>
                <w:szCs w:val="24"/>
              </w:rPr>
              <w:t>指定以公允价值计量且其变动</w:t>
            </w:r>
          </w:p>
          <w:p>
            <w:pPr>
              <w:pStyle w:val="TableParagraph"/>
              <w:spacing w:line="313" w:lineRule="exact"/>
              <w:ind w:left="21" w:right="0"/>
              <w:jc w:val="left"/>
              <w:rPr>
                <w:rFonts w:ascii="宋体" w:hAnsi="宋体" w:cs="宋体" w:eastAsia="宋体" w:hint="default"/>
                <w:sz w:val="24"/>
                <w:szCs w:val="24"/>
              </w:rPr>
            </w:pPr>
            <w:r>
              <w:rPr>
                <w:rFonts w:ascii="宋体" w:hAnsi="宋体" w:cs="宋体" w:eastAsia="宋体" w:hint="default"/>
                <w:sz w:val="24"/>
                <w:szCs w:val="24"/>
              </w:rPr>
              <w:t>计入当期损益的金融资产</w:t>
            </w:r>
          </w:p>
        </w:tc>
        <w:tc>
          <w:tcPr>
            <w:tcW w:w="197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1"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）债务工具投资</w:t>
            </w:r>
          </w:p>
        </w:tc>
        <w:tc>
          <w:tcPr>
            <w:tcW w:w="197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）权益工具投资</w:t>
            </w:r>
          </w:p>
        </w:tc>
        <w:tc>
          <w:tcPr>
            <w:tcW w:w="197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（二）可供出售金融资产</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1,076,065,300.89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849,692,493.10</w:t>
            </w:r>
          </w:p>
        </w:tc>
        <w:tc>
          <w:tcPr>
            <w:tcW w:w="118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1,925,757,793.99</w:t>
            </w:r>
          </w:p>
        </w:tc>
      </w:tr>
      <w:tr>
        <w:trPr>
          <w:trHeight w:val="322"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）债务工具投资</w:t>
            </w:r>
          </w:p>
        </w:tc>
        <w:tc>
          <w:tcPr>
            <w:tcW w:w="197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）权益工具投资</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1,076,065,300.89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849,692,493.10</w:t>
            </w:r>
          </w:p>
        </w:tc>
        <w:tc>
          <w:tcPr>
            <w:tcW w:w="118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1,925,757,793.99</w:t>
            </w:r>
          </w:p>
        </w:tc>
      </w:tr>
      <w:tr>
        <w:trPr>
          <w:trHeight w:val="322"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（三）投资性房地产</w:t>
            </w:r>
          </w:p>
        </w:tc>
        <w:tc>
          <w:tcPr>
            <w:tcW w:w="197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（四）生物资产</w:t>
            </w:r>
          </w:p>
        </w:tc>
        <w:tc>
          <w:tcPr>
            <w:tcW w:w="197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b/>
                <w:bCs/>
                <w:sz w:val="24"/>
                <w:szCs w:val="24"/>
              </w:rPr>
              <w:t>持续以公允价值计量的资产总额</w:t>
            </w:r>
            <w:r>
              <w:rPr>
                <w:rFonts w:ascii="宋体" w:hAnsi="宋体" w:cs="宋体" w:eastAsia="宋体" w:hint="default"/>
                <w:sz w:val="24"/>
                <w:szCs w:val="24"/>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宋体" w:hAnsi="宋体" w:cs="宋体" w:eastAsia="宋体" w:hint="default"/>
                <w:sz w:val="24"/>
                <w:szCs w:val="24"/>
              </w:rPr>
            </w:pPr>
            <w:r>
              <w:rPr>
                <w:rFonts w:ascii="宋体"/>
                <w:sz w:val="24"/>
              </w:rPr>
              <w:t>1,676,301,016.06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宋体" w:hAnsi="宋体" w:cs="宋体" w:eastAsia="宋体" w:hint="default"/>
                <w:sz w:val="24"/>
                <w:szCs w:val="24"/>
              </w:rPr>
            </w:pPr>
            <w:r>
              <w:rPr>
                <w:rFonts w:ascii="宋体"/>
                <w:sz w:val="24"/>
              </w:rPr>
              <w:t>849,692,493.10</w:t>
            </w:r>
          </w:p>
        </w:tc>
        <w:tc>
          <w:tcPr>
            <w:tcW w:w="118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宋体" w:hAnsi="宋体" w:cs="宋体" w:eastAsia="宋体" w:hint="default"/>
                <w:sz w:val="24"/>
                <w:szCs w:val="24"/>
              </w:rPr>
            </w:pPr>
            <w:r>
              <w:rPr>
                <w:rFonts w:ascii="宋体"/>
                <w:sz w:val="24"/>
              </w:rPr>
              <w:t>2,525,993,509.16</w:t>
            </w:r>
          </w:p>
        </w:tc>
      </w:tr>
      <w:tr>
        <w:trPr>
          <w:trHeight w:val="319"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（五）交易性金融负债</w:t>
            </w:r>
          </w:p>
        </w:tc>
        <w:tc>
          <w:tcPr>
            <w:tcW w:w="197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（六）指定为以公允价值计量且变</w:t>
            </w:r>
          </w:p>
          <w:p>
            <w:pPr>
              <w:pStyle w:val="TableParagraph"/>
              <w:spacing w:line="312" w:lineRule="exact"/>
              <w:ind w:left="21" w:right="0"/>
              <w:jc w:val="left"/>
              <w:rPr>
                <w:rFonts w:ascii="宋体" w:hAnsi="宋体" w:cs="宋体" w:eastAsia="宋体" w:hint="default"/>
                <w:sz w:val="24"/>
                <w:szCs w:val="24"/>
              </w:rPr>
            </w:pPr>
            <w:r>
              <w:rPr>
                <w:rFonts w:ascii="宋体" w:hAnsi="宋体" w:cs="宋体" w:eastAsia="宋体" w:hint="default"/>
                <w:sz w:val="24"/>
                <w:szCs w:val="24"/>
              </w:rPr>
              <w:t>动计入当期损益的金融负债</w:t>
            </w:r>
          </w:p>
        </w:tc>
        <w:tc>
          <w:tcPr>
            <w:tcW w:w="197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1" w:right="0"/>
              <w:jc w:val="left"/>
              <w:rPr>
                <w:rFonts w:ascii="宋体" w:hAnsi="宋体" w:cs="宋体" w:eastAsia="宋体" w:hint="default"/>
                <w:sz w:val="24"/>
                <w:szCs w:val="24"/>
              </w:rPr>
            </w:pPr>
            <w:r>
              <w:rPr>
                <w:rFonts w:ascii="宋体" w:hAnsi="宋体" w:cs="宋体" w:eastAsia="宋体" w:hint="default"/>
                <w:b/>
                <w:bCs/>
                <w:sz w:val="24"/>
                <w:szCs w:val="24"/>
              </w:rPr>
              <w:t>持续以公允价值计量的负债总额</w:t>
            </w:r>
            <w:r>
              <w:rPr>
                <w:rFonts w:ascii="宋体" w:hAnsi="宋体" w:cs="宋体" w:eastAsia="宋体" w:hint="default"/>
                <w:sz w:val="24"/>
                <w:szCs w:val="24"/>
              </w:rPr>
            </w:r>
          </w:p>
        </w:tc>
        <w:tc>
          <w:tcPr>
            <w:tcW w:w="197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00" w:bottom="280" w:left="800" w:right="2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733"/>
        <w:gridCol w:w="1978"/>
        <w:gridCol w:w="1738"/>
        <w:gridCol w:w="1186"/>
        <w:gridCol w:w="1976"/>
      </w:tblGrid>
      <w:tr>
        <w:trPr>
          <w:trHeight w:val="322"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1" w:right="0"/>
              <w:jc w:val="left"/>
              <w:rPr>
                <w:rFonts w:ascii="宋体" w:hAnsi="宋体" w:cs="宋体" w:eastAsia="宋体" w:hint="default"/>
                <w:sz w:val="24"/>
                <w:szCs w:val="24"/>
              </w:rPr>
            </w:pPr>
            <w:r>
              <w:rPr>
                <w:rFonts w:ascii="宋体" w:hAnsi="宋体" w:cs="宋体" w:eastAsia="宋体" w:hint="default"/>
                <w:b/>
                <w:bCs/>
                <w:sz w:val="24"/>
                <w:szCs w:val="24"/>
              </w:rPr>
              <w:t>二、非持续的公允价值计量</w:t>
            </w:r>
            <w:r>
              <w:rPr>
                <w:rFonts w:ascii="宋体" w:hAnsi="宋体" w:cs="宋体" w:eastAsia="宋体" w:hint="default"/>
                <w:sz w:val="24"/>
                <w:szCs w:val="24"/>
              </w:rPr>
            </w:r>
          </w:p>
        </w:tc>
        <w:tc>
          <w:tcPr>
            <w:tcW w:w="197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（一）持有待售资产</w:t>
            </w:r>
          </w:p>
        </w:tc>
        <w:tc>
          <w:tcPr>
            <w:tcW w:w="197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1" w:right="0"/>
              <w:jc w:val="left"/>
              <w:rPr>
                <w:rFonts w:ascii="宋体" w:hAnsi="宋体" w:cs="宋体" w:eastAsia="宋体" w:hint="default"/>
                <w:sz w:val="24"/>
                <w:szCs w:val="24"/>
              </w:rPr>
            </w:pPr>
            <w:r>
              <w:rPr>
                <w:rFonts w:ascii="宋体" w:hAnsi="宋体" w:cs="宋体" w:eastAsia="宋体" w:hint="default"/>
                <w:b/>
                <w:bCs/>
                <w:sz w:val="24"/>
                <w:szCs w:val="24"/>
              </w:rPr>
              <w:t>非持续以公允价值计量的资产总额</w:t>
            </w:r>
            <w:r>
              <w:rPr>
                <w:rFonts w:ascii="宋体" w:hAnsi="宋体" w:cs="宋体" w:eastAsia="宋体" w:hint="default"/>
                <w:sz w:val="24"/>
                <w:szCs w:val="24"/>
              </w:rPr>
            </w:r>
          </w:p>
        </w:tc>
        <w:tc>
          <w:tcPr>
            <w:tcW w:w="197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4"/>
                <w:szCs w:val="24"/>
              </w:rPr>
            </w:pPr>
            <w:r>
              <w:rPr>
                <w:rFonts w:ascii="宋体" w:hAnsi="宋体" w:cs="宋体" w:eastAsia="宋体" w:hint="default"/>
                <w:b/>
                <w:bCs/>
                <w:sz w:val="24"/>
                <w:szCs w:val="24"/>
              </w:rPr>
              <w:t>非持续以公允价值计量的负债总额</w:t>
            </w:r>
            <w:r>
              <w:rPr>
                <w:rFonts w:ascii="宋体" w:hAnsi="宋体" w:cs="宋体" w:eastAsia="宋体" w:hint="default"/>
                <w:sz w:val="24"/>
                <w:szCs w:val="24"/>
              </w:rPr>
            </w:r>
          </w:p>
        </w:tc>
        <w:tc>
          <w:tcPr>
            <w:tcW w:w="197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2"/>
        <w:spacing w:line="240" w:lineRule="auto"/>
        <w:ind w:left="998" w:right="1009"/>
        <w:jc w:val="left"/>
        <w:rPr>
          <w:b w:val="0"/>
          <w:bCs w:val="0"/>
        </w:rPr>
      </w:pPr>
      <w:r>
        <w:rPr>
          <w:rFonts w:ascii="宋体" w:hAnsi="宋体" w:cs="宋体" w:eastAsia="宋体" w:hint="default"/>
        </w:rPr>
        <w:t>2</w:t>
      </w:r>
      <w:r>
        <w:rPr/>
        <w:t>、</w:t>
      </w:r>
      <w:r>
        <w:rPr>
          <w:spacing w:val="-63"/>
        </w:rPr>
        <w:t> </w:t>
      </w:r>
      <w:r>
        <w:rPr/>
        <w:t>持续和非持续第一层次公允价值计量项目市价的确定依据</w:t>
      </w:r>
      <w:r>
        <w:rPr>
          <w:b w:val="0"/>
          <w:bCs w:val="0"/>
        </w:rPr>
      </w:r>
    </w:p>
    <w:p>
      <w:pPr>
        <w:pStyle w:val="BodyText"/>
        <w:tabs>
          <w:tab w:pos="1957" w:val="left" w:leader="none"/>
        </w:tabs>
        <w:spacing w:line="312" w:lineRule="exact" w:before="88"/>
        <w:ind w:left="1478" w:right="2166" w:hanging="480"/>
        <w:jc w:val="left"/>
      </w:pPr>
      <w:r>
        <w:rPr>
          <w:spacing w:val="-1"/>
        </w:rPr>
        <w:t>√适用</w:t>
        <w:tab/>
      </w:r>
      <w:r>
        <w:rPr/>
        <w:t>□不适用</w:t>
      </w:r>
      <w:r>
        <w:rPr/>
        <w:t> 本公司持有的以公允价值计量的资产和负债在活跃市场中均有报价。</w:t>
      </w:r>
    </w:p>
    <w:p>
      <w:pPr>
        <w:spacing w:line="240" w:lineRule="auto" w:before="0"/>
        <w:rPr>
          <w:rFonts w:ascii="宋体" w:hAnsi="宋体" w:cs="宋体" w:eastAsia="宋体" w:hint="default"/>
          <w:sz w:val="24"/>
          <w:szCs w:val="24"/>
        </w:rPr>
      </w:pPr>
    </w:p>
    <w:p>
      <w:pPr>
        <w:pStyle w:val="Heading2"/>
        <w:spacing w:line="312" w:lineRule="exact" w:before="212"/>
        <w:ind w:left="1422" w:right="997" w:hanging="425"/>
        <w:jc w:val="left"/>
        <w:rPr>
          <w:b w:val="0"/>
          <w:bCs w:val="0"/>
        </w:rPr>
      </w:pPr>
      <w:r>
        <w:rPr>
          <w:rFonts w:ascii="宋体" w:hAnsi="宋体" w:cs="宋体" w:eastAsia="宋体" w:hint="default"/>
        </w:rPr>
        <w:t>3</w:t>
      </w:r>
      <w:r>
        <w:rPr/>
        <w:t>、</w:t>
      </w:r>
      <w:r>
        <w:rPr>
          <w:spacing w:val="-84"/>
        </w:rPr>
        <w:t> </w:t>
      </w:r>
      <w:r>
        <w:rPr/>
        <w:t>持续和非持续第二层次公允价值计量项目，采用的估值技术和重要参数的定性及</w:t>
      </w:r>
      <w:r>
        <w:rPr>
          <w:w w:val="99"/>
        </w:rPr>
        <w:t> </w:t>
      </w:r>
      <w:r>
        <w:rPr/>
        <w:t>定量信息</w:t>
      </w:r>
      <w:r>
        <w:rPr>
          <w:b w:val="0"/>
          <w:bCs w:val="0"/>
        </w:rPr>
      </w:r>
    </w:p>
    <w:p>
      <w:pPr>
        <w:pStyle w:val="BodyText"/>
        <w:tabs>
          <w:tab w:pos="1957" w:val="left" w:leader="none"/>
        </w:tabs>
        <w:spacing w:line="312" w:lineRule="exact" w:before="57"/>
        <w:ind w:left="1478" w:right="892" w:hanging="480"/>
        <w:jc w:val="left"/>
      </w:pPr>
      <w:r>
        <w:rPr>
          <w:spacing w:val="-1"/>
        </w:rPr>
        <w:t>√适用</w:t>
        <w:tab/>
      </w:r>
      <w:r>
        <w:rPr/>
        <w:t>□不适用</w:t>
      </w:r>
      <w:r>
        <w:rPr/>
        <w:t> 根据基金管理公司提供的资产管理计划资产结构估值表中列示的单位净值确定。</w:t>
      </w:r>
    </w:p>
    <w:p>
      <w:pPr>
        <w:spacing w:line="240" w:lineRule="auto" w:before="3"/>
        <w:rPr>
          <w:rFonts w:ascii="宋体" w:hAnsi="宋体" w:cs="宋体" w:eastAsia="宋体" w:hint="default"/>
          <w:sz w:val="28"/>
          <w:szCs w:val="28"/>
        </w:rPr>
      </w:pPr>
    </w:p>
    <w:p>
      <w:pPr>
        <w:pStyle w:val="Heading2"/>
        <w:spacing w:line="312" w:lineRule="exact" w:before="0"/>
        <w:ind w:left="1422" w:right="997" w:hanging="425"/>
        <w:jc w:val="left"/>
        <w:rPr>
          <w:b w:val="0"/>
          <w:bCs w:val="0"/>
        </w:rPr>
      </w:pPr>
      <w:r>
        <w:rPr>
          <w:rFonts w:ascii="宋体" w:hAnsi="宋体" w:cs="宋体" w:eastAsia="宋体" w:hint="default"/>
        </w:rPr>
        <w:t>4</w:t>
      </w:r>
      <w:r>
        <w:rPr/>
        <w:t>、</w:t>
      </w:r>
      <w:r>
        <w:rPr>
          <w:spacing w:val="-84"/>
        </w:rPr>
        <w:t> </w:t>
      </w:r>
      <w:r>
        <w:rPr/>
        <w:t>持续和非持续第三层次公允价值计量项目，采用的估值技术和重要参数的定性及</w:t>
      </w:r>
      <w:r>
        <w:rPr>
          <w:w w:val="99"/>
        </w:rPr>
        <w:t> </w:t>
      </w:r>
      <w:r>
        <w:rPr/>
        <w:t>定量信息</w:t>
      </w:r>
      <w:r>
        <w:rPr>
          <w:b w:val="0"/>
          <w:bCs w:val="0"/>
        </w:rPr>
      </w:r>
    </w:p>
    <w:p>
      <w:pPr>
        <w:pStyle w:val="BodyText"/>
        <w:tabs>
          <w:tab w:pos="1957" w:val="left" w:leader="none"/>
        </w:tabs>
        <w:spacing w:line="240" w:lineRule="auto" w:before="29"/>
        <w:ind w:left="998" w:right="1009"/>
        <w:jc w:val="left"/>
      </w:pPr>
      <w:r>
        <w:rPr>
          <w:spacing w:val="-1"/>
        </w:rPr>
        <w:t>□适用</w:t>
        <w:tab/>
      </w:r>
      <w:r>
        <w:rPr/>
        <w:t>√不适用</w:t>
      </w:r>
    </w:p>
    <w:p>
      <w:pPr>
        <w:spacing w:line="240" w:lineRule="auto" w:before="6"/>
        <w:rPr>
          <w:rFonts w:ascii="宋体" w:hAnsi="宋体" w:cs="宋体" w:eastAsia="宋体" w:hint="default"/>
          <w:sz w:val="30"/>
          <w:szCs w:val="30"/>
        </w:rPr>
      </w:pPr>
    </w:p>
    <w:p>
      <w:pPr>
        <w:pStyle w:val="Heading2"/>
        <w:spacing w:line="312" w:lineRule="exact" w:before="0"/>
        <w:ind w:left="1422" w:right="997" w:hanging="425"/>
        <w:jc w:val="left"/>
        <w:rPr>
          <w:b w:val="0"/>
          <w:bCs w:val="0"/>
        </w:rPr>
      </w:pPr>
      <w:r>
        <w:rPr>
          <w:rFonts w:ascii="宋体" w:hAnsi="宋体" w:cs="宋体" w:eastAsia="宋体" w:hint="default"/>
        </w:rPr>
        <w:t>5</w:t>
      </w:r>
      <w:r>
        <w:rPr/>
        <w:t>、</w:t>
      </w:r>
      <w:r>
        <w:rPr>
          <w:spacing w:val="-84"/>
        </w:rPr>
        <w:t> </w:t>
      </w:r>
      <w:r>
        <w:rPr/>
        <w:t>持续的第三层次公允价值计量项目，期初与期末账面价值间的调节信息及不可观</w:t>
      </w:r>
      <w:r>
        <w:rPr>
          <w:w w:val="99"/>
        </w:rPr>
        <w:t> </w:t>
      </w:r>
      <w:r>
        <w:rPr/>
        <w:t>察参数敏感性分析</w:t>
      </w:r>
      <w:r>
        <w:rPr>
          <w:b w:val="0"/>
          <w:bCs w:val="0"/>
        </w:rPr>
      </w:r>
    </w:p>
    <w:p>
      <w:pPr>
        <w:pStyle w:val="BodyText"/>
        <w:tabs>
          <w:tab w:pos="1957" w:val="left" w:leader="none"/>
        </w:tabs>
        <w:spacing w:line="240" w:lineRule="auto" w:before="29"/>
        <w:ind w:left="998" w:right="1009"/>
        <w:jc w:val="left"/>
      </w:pPr>
      <w:r>
        <w:rPr>
          <w:spacing w:val="-1"/>
        </w:rPr>
        <w:t>□适用</w:t>
        <w:tab/>
      </w:r>
      <w:r>
        <w:rPr/>
        <w:t>√不适用</w:t>
      </w:r>
    </w:p>
    <w:p>
      <w:pPr>
        <w:spacing w:line="240" w:lineRule="auto" w:before="6"/>
        <w:rPr>
          <w:rFonts w:ascii="宋体" w:hAnsi="宋体" w:cs="宋体" w:eastAsia="宋体" w:hint="default"/>
          <w:sz w:val="30"/>
          <w:szCs w:val="30"/>
        </w:rPr>
      </w:pPr>
    </w:p>
    <w:p>
      <w:pPr>
        <w:pStyle w:val="Heading2"/>
        <w:spacing w:line="312" w:lineRule="exact" w:before="0"/>
        <w:ind w:left="1422" w:right="997" w:hanging="425"/>
        <w:jc w:val="left"/>
        <w:rPr>
          <w:b w:val="0"/>
          <w:bCs w:val="0"/>
        </w:rPr>
      </w:pPr>
      <w:r>
        <w:rPr>
          <w:rFonts w:ascii="宋体" w:hAnsi="宋体" w:cs="宋体" w:eastAsia="宋体" w:hint="default"/>
        </w:rPr>
        <w:t>6</w:t>
      </w:r>
      <w:r>
        <w:rPr/>
        <w:t>、</w:t>
      </w:r>
      <w:r>
        <w:rPr>
          <w:spacing w:val="-84"/>
        </w:rPr>
        <w:t> </w:t>
      </w:r>
      <w:r>
        <w:rPr/>
        <w:t>持续的公允价值计量项目，本期内发生各层级之间转换的，转换的原因及确定转</w:t>
      </w:r>
      <w:r>
        <w:rPr>
          <w:w w:val="99"/>
        </w:rPr>
        <w:t> </w:t>
      </w:r>
      <w:r>
        <w:rPr/>
        <w:t>换时点的政策</w:t>
      </w:r>
      <w:r>
        <w:rPr>
          <w:b w:val="0"/>
          <w:bCs w:val="0"/>
        </w:rPr>
      </w:r>
    </w:p>
    <w:p>
      <w:pPr>
        <w:pStyle w:val="BodyText"/>
        <w:tabs>
          <w:tab w:pos="1957" w:val="left" w:leader="none"/>
        </w:tabs>
        <w:spacing w:line="240" w:lineRule="auto" w:before="27"/>
        <w:ind w:left="998" w:right="1009"/>
        <w:jc w:val="left"/>
      </w:pPr>
      <w:r>
        <w:rPr>
          <w:spacing w:val="-1"/>
        </w:rPr>
        <w:t>□适用</w:t>
        <w:tab/>
      </w:r>
      <w:r>
        <w:rPr/>
        <w:t>√不适用</w:t>
      </w:r>
    </w:p>
    <w:p>
      <w:pPr>
        <w:spacing w:line="240" w:lineRule="auto" w:before="4"/>
        <w:rPr>
          <w:rFonts w:ascii="宋体" w:hAnsi="宋体" w:cs="宋体" w:eastAsia="宋体" w:hint="default"/>
          <w:sz w:val="28"/>
          <w:szCs w:val="28"/>
        </w:rPr>
      </w:pPr>
    </w:p>
    <w:p>
      <w:pPr>
        <w:pStyle w:val="Heading2"/>
        <w:spacing w:line="240" w:lineRule="auto" w:before="0"/>
        <w:ind w:left="998" w:right="1009"/>
        <w:jc w:val="left"/>
        <w:rPr>
          <w:b w:val="0"/>
          <w:bCs w:val="0"/>
        </w:rPr>
      </w:pPr>
      <w:r>
        <w:rPr>
          <w:rFonts w:ascii="宋体" w:hAnsi="宋体" w:cs="宋体" w:eastAsia="宋体" w:hint="default"/>
        </w:rPr>
        <w:t>7</w:t>
      </w:r>
      <w:r>
        <w:rPr/>
        <w:t>、</w:t>
      </w:r>
      <w:r>
        <w:rPr>
          <w:spacing w:val="-61"/>
        </w:rPr>
        <w:t> </w:t>
      </w:r>
      <w:r>
        <w:rPr/>
        <w:t>本期内发生的估值技术变更及变更原因</w:t>
      </w:r>
      <w:r>
        <w:rPr>
          <w:b w:val="0"/>
          <w:bCs w:val="0"/>
        </w:rPr>
      </w:r>
    </w:p>
    <w:p>
      <w:pPr>
        <w:pStyle w:val="BodyText"/>
        <w:tabs>
          <w:tab w:pos="1957" w:val="left" w:leader="none"/>
        </w:tabs>
        <w:spacing w:line="240" w:lineRule="auto" w:before="56"/>
        <w:ind w:left="998" w:right="1009"/>
        <w:jc w:val="left"/>
      </w:pPr>
      <w:r>
        <w:rPr>
          <w:spacing w:val="-1"/>
        </w:rPr>
        <w:t>□适用</w:t>
        <w:tab/>
      </w:r>
      <w:r>
        <w:rPr/>
        <w:t>√不适用</w:t>
      </w:r>
    </w:p>
    <w:p>
      <w:pPr>
        <w:spacing w:line="240" w:lineRule="auto" w:before="4"/>
        <w:rPr>
          <w:rFonts w:ascii="宋体" w:hAnsi="宋体" w:cs="宋体" w:eastAsia="宋体" w:hint="default"/>
          <w:sz w:val="28"/>
          <w:szCs w:val="28"/>
        </w:rPr>
      </w:pPr>
    </w:p>
    <w:p>
      <w:pPr>
        <w:pStyle w:val="Heading2"/>
        <w:spacing w:line="240" w:lineRule="auto" w:before="0"/>
        <w:ind w:left="998" w:right="1009"/>
        <w:jc w:val="left"/>
        <w:rPr>
          <w:b w:val="0"/>
          <w:bCs w:val="0"/>
        </w:rPr>
      </w:pPr>
      <w:r>
        <w:rPr>
          <w:rFonts w:ascii="宋体" w:hAnsi="宋体" w:cs="宋体" w:eastAsia="宋体" w:hint="default"/>
        </w:rPr>
        <w:t>8</w:t>
      </w:r>
      <w:r>
        <w:rPr/>
        <w:t>、</w:t>
      </w:r>
      <w:r>
        <w:rPr>
          <w:spacing w:val="-62"/>
        </w:rPr>
        <w:t> </w:t>
      </w:r>
      <w:r>
        <w:rPr/>
        <w:t>不以公允价值计量的金融资产和金融负债的公允价值情况</w:t>
      </w:r>
      <w:r>
        <w:rPr>
          <w:b w:val="0"/>
          <w:bCs w:val="0"/>
        </w:rPr>
      </w:r>
    </w:p>
    <w:p>
      <w:pPr>
        <w:pStyle w:val="BodyText"/>
        <w:tabs>
          <w:tab w:pos="1957" w:val="left" w:leader="none"/>
        </w:tabs>
        <w:spacing w:line="240" w:lineRule="auto" w:before="55"/>
        <w:ind w:left="998" w:right="1009"/>
        <w:jc w:val="left"/>
      </w:pPr>
      <w:r>
        <w:rPr>
          <w:spacing w:val="-1"/>
        </w:rPr>
        <w:t>□适用</w:t>
        <w:tab/>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5" w:top="1120" w:bottom="1380" w:left="800" w:right="260"/>
        </w:sectPr>
      </w:pPr>
    </w:p>
    <w:p>
      <w:pPr>
        <w:pStyle w:val="Heading2"/>
        <w:spacing w:line="283" w:lineRule="auto"/>
        <w:ind w:left="998" w:right="-18"/>
        <w:jc w:val="left"/>
        <w:rPr>
          <w:b w:val="0"/>
          <w:bCs w:val="0"/>
        </w:rPr>
      </w:pPr>
      <w:r>
        <w:rPr/>
        <w:t>十二、</w:t>
      </w:r>
      <w:r>
        <w:rPr>
          <w:spacing w:val="-7"/>
        </w:rPr>
        <w:t> </w:t>
      </w:r>
      <w:r>
        <w:rPr/>
        <w:t>关联方及关联交易</w:t>
      </w:r>
      <w:r>
        <w:rPr>
          <w:w w:val="99"/>
        </w:rPr>
        <w:t> </w:t>
      </w:r>
      <w:r>
        <w:rPr>
          <w:rFonts w:ascii="宋体" w:hAnsi="宋体" w:cs="宋体" w:eastAsia="宋体" w:hint="default"/>
        </w:rPr>
        <w:t>1</w:t>
      </w:r>
      <w:r>
        <w:rPr/>
        <w:t>、</w:t>
      </w:r>
      <w:r>
        <w:rPr>
          <w:spacing w:val="-60"/>
        </w:rPr>
        <w:t> </w:t>
      </w:r>
      <w:r>
        <w:rPr/>
        <w:t>本企业的母公司情况</w:t>
      </w:r>
      <w:r>
        <w:rPr>
          <w:b w:val="0"/>
          <w:bCs w:val="0"/>
        </w:rPr>
      </w:r>
    </w:p>
    <w:p>
      <w:pPr>
        <w:pStyle w:val="BodyText"/>
        <w:tabs>
          <w:tab w:pos="1957" w:val="left" w:leader="none"/>
        </w:tabs>
        <w:spacing w:line="240" w:lineRule="auto" w:before="12"/>
        <w:ind w:left="998" w:right="-18"/>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tabs>
          <w:tab w:pos="2438" w:val="left" w:leader="none"/>
        </w:tabs>
        <w:spacing w:line="240" w:lineRule="auto"/>
        <w:ind w:left="998" w:right="0"/>
        <w:jc w:val="left"/>
      </w:pPr>
      <w:r>
        <w:rPr/>
        <w:t>单位：万元</w:t>
        <w:tab/>
        <w:t>币种：人民币</w:t>
      </w:r>
    </w:p>
    <w:p>
      <w:pPr>
        <w:spacing w:after="0" w:line="240" w:lineRule="auto"/>
        <w:jc w:val="left"/>
        <w:sectPr>
          <w:type w:val="continuous"/>
          <w:pgSz w:w="11910" w:h="16840"/>
          <w:pgMar w:top="1000" w:bottom="280" w:left="800" w:right="260"/>
          <w:cols w:num="2" w:equalWidth="0">
            <w:col w:w="3765" w:space="2188"/>
            <w:col w:w="489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850"/>
        <w:gridCol w:w="987"/>
        <w:gridCol w:w="1711"/>
        <w:gridCol w:w="1464"/>
        <w:gridCol w:w="1683"/>
        <w:gridCol w:w="1814"/>
      </w:tblGrid>
      <w:tr>
        <w:trPr>
          <w:trHeight w:val="946"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19" w:right="0"/>
              <w:jc w:val="left"/>
              <w:rPr>
                <w:rFonts w:ascii="宋体" w:hAnsi="宋体" w:cs="宋体" w:eastAsia="宋体" w:hint="default"/>
                <w:sz w:val="24"/>
                <w:szCs w:val="24"/>
              </w:rPr>
            </w:pPr>
            <w:r>
              <w:rPr>
                <w:rFonts w:ascii="宋体" w:hAnsi="宋体" w:cs="宋体" w:eastAsia="宋体" w:hint="default"/>
                <w:sz w:val="24"/>
                <w:szCs w:val="24"/>
              </w:rPr>
              <w:t>母公司名称</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24"/>
                <w:szCs w:val="24"/>
              </w:rPr>
            </w:pPr>
            <w:r>
              <w:rPr>
                <w:rFonts w:ascii="宋体" w:hAnsi="宋体" w:cs="宋体" w:eastAsia="宋体" w:hint="default"/>
                <w:sz w:val="24"/>
                <w:szCs w:val="24"/>
              </w:rPr>
              <w:t>注册地</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69" w:right="0"/>
              <w:jc w:val="left"/>
              <w:rPr>
                <w:rFonts w:ascii="宋体" w:hAnsi="宋体" w:cs="宋体" w:eastAsia="宋体" w:hint="default"/>
                <w:sz w:val="24"/>
                <w:szCs w:val="24"/>
              </w:rPr>
            </w:pPr>
            <w:r>
              <w:rPr>
                <w:rFonts w:ascii="宋体" w:hAnsi="宋体" w:cs="宋体" w:eastAsia="宋体" w:hint="default"/>
                <w:sz w:val="24"/>
                <w:szCs w:val="24"/>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47" w:right="0"/>
              <w:jc w:val="left"/>
              <w:rPr>
                <w:rFonts w:ascii="宋体" w:hAnsi="宋体" w:cs="宋体" w:eastAsia="宋体" w:hint="default"/>
                <w:sz w:val="24"/>
                <w:szCs w:val="24"/>
              </w:rPr>
            </w:pPr>
            <w:r>
              <w:rPr>
                <w:rFonts w:ascii="宋体" w:hAnsi="宋体" w:cs="宋体" w:eastAsia="宋体" w:hint="default"/>
                <w:sz w:val="24"/>
                <w:szCs w:val="24"/>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left"/>
              <w:rPr>
                <w:rFonts w:ascii="宋体" w:hAnsi="宋体" w:cs="宋体" w:eastAsia="宋体" w:hint="default"/>
                <w:sz w:val="24"/>
                <w:szCs w:val="24"/>
              </w:rPr>
            </w:pPr>
            <w:r>
              <w:rPr>
                <w:rFonts w:ascii="宋体" w:hAnsi="宋体" w:cs="宋体" w:eastAsia="宋体" w:hint="default"/>
                <w:sz w:val="24"/>
                <w:szCs w:val="24"/>
              </w:rPr>
              <w:t>母公司对本企</w:t>
            </w:r>
          </w:p>
          <w:p>
            <w:pPr>
              <w:pStyle w:val="TableParagraph"/>
              <w:spacing w:line="312" w:lineRule="exact" w:before="28"/>
              <w:ind w:left="655" w:right="116" w:hanging="540"/>
              <w:jc w:val="left"/>
              <w:rPr>
                <w:rFonts w:ascii="宋体" w:hAnsi="宋体" w:cs="宋体" w:eastAsia="宋体" w:hint="default"/>
                <w:sz w:val="24"/>
                <w:szCs w:val="24"/>
              </w:rPr>
            </w:pPr>
            <w:r>
              <w:rPr>
                <w:rFonts w:ascii="宋体" w:hAnsi="宋体" w:cs="宋体" w:eastAsia="宋体" w:hint="default"/>
                <w:sz w:val="24"/>
                <w:szCs w:val="24"/>
              </w:rPr>
              <w:t>业的持股比例 </w:t>
            </w:r>
            <w:r>
              <w:rPr>
                <w:rFonts w:ascii="宋体" w:hAnsi="宋体" w:cs="宋体" w:eastAsia="宋体" w:hint="default"/>
                <w:sz w:val="24"/>
                <w:szCs w:val="24"/>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2" w:right="0"/>
              <w:jc w:val="left"/>
              <w:rPr>
                <w:rFonts w:ascii="宋体" w:hAnsi="宋体" w:cs="宋体" w:eastAsia="宋体" w:hint="default"/>
                <w:sz w:val="24"/>
                <w:szCs w:val="24"/>
              </w:rPr>
            </w:pPr>
            <w:r>
              <w:rPr>
                <w:rFonts w:ascii="宋体" w:hAnsi="宋体" w:cs="宋体" w:eastAsia="宋体" w:hint="default"/>
                <w:sz w:val="24"/>
                <w:szCs w:val="24"/>
              </w:rPr>
              <w:t>母公司对本企</w:t>
            </w:r>
          </w:p>
          <w:p>
            <w:pPr>
              <w:pStyle w:val="TableParagraph"/>
              <w:spacing w:line="312" w:lineRule="exact" w:before="28"/>
              <w:ind w:left="602" w:right="180" w:hanging="420"/>
              <w:jc w:val="left"/>
              <w:rPr>
                <w:rFonts w:ascii="宋体" w:hAnsi="宋体" w:cs="宋体" w:eastAsia="宋体" w:hint="default"/>
                <w:sz w:val="24"/>
                <w:szCs w:val="24"/>
              </w:rPr>
            </w:pPr>
            <w:r>
              <w:rPr>
                <w:rFonts w:ascii="宋体" w:hAnsi="宋体" w:cs="宋体" w:eastAsia="宋体" w:hint="default"/>
                <w:sz w:val="24"/>
                <w:szCs w:val="24"/>
              </w:rPr>
              <w:t>业的表决权比 例</w:t>
            </w:r>
            <w:r>
              <w:rPr>
                <w:rFonts w:ascii="宋体" w:hAnsi="宋体" w:cs="宋体" w:eastAsia="宋体" w:hint="default"/>
                <w:sz w:val="24"/>
                <w:szCs w:val="24"/>
              </w:rPr>
              <w:t>(%)</w:t>
            </w:r>
          </w:p>
        </w:tc>
      </w:tr>
      <w:tr>
        <w:trPr>
          <w:trHeight w:val="631"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浙江新湖集团</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股份有限公司</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杭州</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能源、农业等</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投资开发</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31" w:right="0"/>
              <w:jc w:val="left"/>
              <w:rPr>
                <w:rFonts w:ascii="宋体" w:hAnsi="宋体" w:cs="宋体" w:eastAsia="宋体" w:hint="default"/>
                <w:sz w:val="24"/>
                <w:szCs w:val="24"/>
              </w:rPr>
            </w:pPr>
            <w:r>
              <w:rPr>
                <w:rFonts w:ascii="宋体"/>
                <w:sz w:val="24"/>
              </w:rPr>
              <w:t>29,790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69" w:right="0"/>
              <w:jc w:val="left"/>
              <w:rPr>
                <w:rFonts w:ascii="宋体" w:hAnsi="宋体" w:cs="宋体" w:eastAsia="宋体" w:hint="default"/>
                <w:sz w:val="24"/>
                <w:szCs w:val="24"/>
              </w:rPr>
            </w:pPr>
            <w:r>
              <w:rPr>
                <w:rFonts w:ascii="宋体"/>
                <w:sz w:val="24"/>
              </w:rPr>
              <w:t>40.18</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01" w:right="0"/>
              <w:jc w:val="left"/>
              <w:rPr>
                <w:rFonts w:ascii="宋体" w:hAnsi="宋体" w:cs="宋体" w:eastAsia="宋体" w:hint="default"/>
                <w:sz w:val="24"/>
                <w:szCs w:val="24"/>
              </w:rPr>
            </w:pPr>
            <w:r>
              <w:rPr>
                <w:rFonts w:ascii="宋体"/>
                <w:sz w:val="24"/>
              </w:rPr>
              <w:t>40.23</w:t>
            </w:r>
          </w:p>
        </w:tc>
      </w:tr>
    </w:tbl>
    <w:p>
      <w:pPr>
        <w:spacing w:line="240" w:lineRule="auto" w:before="10"/>
        <w:rPr>
          <w:rFonts w:ascii="宋体" w:hAnsi="宋体" w:cs="宋体" w:eastAsia="宋体" w:hint="default"/>
          <w:sz w:val="18"/>
          <w:szCs w:val="18"/>
        </w:rPr>
      </w:pPr>
    </w:p>
    <w:p>
      <w:pPr>
        <w:pStyle w:val="BodyText"/>
        <w:spacing w:line="312" w:lineRule="exact" w:before="56"/>
        <w:ind w:left="878" w:right="315" w:hanging="420"/>
        <w:jc w:val="left"/>
      </w:pPr>
      <w:r>
        <w:rPr/>
        <w:t>本企业的母公司情况的说明 </w:t>
      </w:r>
      <w:r>
        <w:rPr>
          <w:spacing w:val="-6"/>
        </w:rPr>
        <w:t>浙江新湖集团股份有限公司（以下简称新湖集团）直接持有本公司</w:t>
      </w:r>
      <w:r>
        <w:rPr>
          <w:spacing w:val="-53"/>
        </w:rPr>
        <w:t> </w:t>
      </w:r>
      <w:r>
        <w:rPr>
          <w:rFonts w:ascii="宋体" w:hAnsi="宋体" w:cs="宋体" w:eastAsia="宋体" w:hint="default"/>
        </w:rPr>
        <w:t>32.41%</w:t>
      </w:r>
      <w:r>
        <w:rPr/>
        <w:t>的股份，</w:t>
      </w:r>
    </w:p>
    <w:p>
      <w:pPr>
        <w:pStyle w:val="BodyText"/>
        <w:spacing w:line="357" w:lineRule="auto" w:before="123"/>
        <w:ind w:left="458" w:right="464"/>
        <w:jc w:val="both"/>
      </w:pPr>
      <w:r>
        <w:rPr/>
        <w:t>并通过其全资子公司浙江恒兴力控股集团有限公司间接持有本公司</w:t>
      </w:r>
      <w:r>
        <w:rPr>
          <w:spacing w:val="-60"/>
        </w:rPr>
        <w:t> </w:t>
      </w:r>
      <w:r>
        <w:rPr>
          <w:rFonts w:ascii="宋体" w:hAnsi="宋体" w:cs="宋体" w:eastAsia="宋体" w:hint="default"/>
        </w:rPr>
        <w:t>2.44%</w:t>
      </w:r>
      <w:r>
        <w:rPr/>
        <w:t>的股份，通 过其持股</w:t>
      </w:r>
      <w:r>
        <w:rPr>
          <w:spacing w:val="-61"/>
        </w:rPr>
        <w:t> </w:t>
      </w:r>
      <w:r>
        <w:rPr>
          <w:rFonts w:ascii="宋体" w:hAnsi="宋体" w:cs="宋体" w:eastAsia="宋体" w:hint="default"/>
        </w:rPr>
        <w:t>99%</w:t>
      </w:r>
      <w:r>
        <w:rPr/>
        <w:t>的子公司宁波嘉源实业发展有限公司间接持有本公司</w:t>
      </w:r>
      <w:r>
        <w:rPr>
          <w:spacing w:val="-59"/>
        </w:rPr>
        <w:t> </w:t>
      </w:r>
      <w:r>
        <w:rPr>
          <w:rFonts w:ascii="宋体" w:hAnsi="宋体" w:cs="宋体" w:eastAsia="宋体" w:hint="default"/>
        </w:rPr>
        <w:t>5.38%</w:t>
      </w:r>
      <w:r>
        <w:rPr/>
        <w:t>的股份。黄 伟直接持有本公司</w:t>
      </w:r>
      <w:r>
        <w:rPr>
          <w:spacing w:val="-61"/>
        </w:rPr>
        <w:t> </w:t>
      </w:r>
      <w:r>
        <w:rPr>
          <w:rFonts w:ascii="宋体" w:hAnsi="宋体" w:cs="宋体" w:eastAsia="宋体" w:hint="default"/>
        </w:rPr>
        <w:t>16.86%</w:t>
      </w:r>
      <w:r>
        <w:rPr/>
        <w:t>的股份，并持有新湖集团</w:t>
      </w:r>
      <w:r>
        <w:rPr>
          <w:spacing w:val="-60"/>
        </w:rPr>
        <w:t> </w:t>
      </w:r>
      <w:r>
        <w:rPr>
          <w:rFonts w:ascii="宋体" w:hAnsi="宋体" w:cs="宋体" w:eastAsia="宋体" w:hint="default"/>
        </w:rPr>
        <w:t>67.22%</w:t>
      </w:r>
      <w:r>
        <w:rPr/>
        <w:t>的股份，黄伟直接和间接 持有本公司的股权比例为</w:t>
      </w:r>
      <w:r>
        <w:rPr>
          <w:spacing w:val="-60"/>
        </w:rPr>
        <w:t> </w:t>
      </w:r>
      <w:r>
        <w:rPr>
          <w:rFonts w:ascii="宋体" w:hAnsi="宋体" w:cs="宋体" w:eastAsia="宋体" w:hint="default"/>
        </w:rPr>
        <w:t>43.87%</w:t>
      </w:r>
      <w:r>
        <w:rPr/>
        <w:t>。</w:t>
      </w:r>
    </w:p>
    <w:p>
      <w:pPr>
        <w:pStyle w:val="BodyText"/>
        <w:spacing w:line="240" w:lineRule="auto" w:before="34"/>
        <w:ind w:left="458" w:right="3028"/>
        <w:jc w:val="left"/>
      </w:pPr>
      <w:r>
        <w:rPr/>
        <w:t>本企业最终控制方是黄伟</w:t>
      </w:r>
    </w:p>
    <w:p>
      <w:pPr>
        <w:spacing w:line="240" w:lineRule="auto" w:before="4"/>
        <w:rPr>
          <w:rFonts w:ascii="宋体" w:hAnsi="宋体" w:cs="宋体" w:eastAsia="宋体" w:hint="default"/>
          <w:sz w:val="28"/>
          <w:szCs w:val="28"/>
        </w:rPr>
      </w:pPr>
    </w:p>
    <w:p>
      <w:pPr>
        <w:pStyle w:val="Heading2"/>
        <w:spacing w:line="240" w:lineRule="auto" w:before="0"/>
        <w:ind w:left="458" w:right="3028"/>
        <w:jc w:val="left"/>
        <w:rPr>
          <w:b w:val="0"/>
          <w:bCs w:val="0"/>
        </w:rPr>
      </w:pPr>
      <w:r>
        <w:rPr>
          <w:rFonts w:ascii="宋体" w:hAnsi="宋体" w:cs="宋体" w:eastAsia="宋体" w:hint="default"/>
        </w:rPr>
        <w:t>2</w:t>
      </w:r>
      <w:r>
        <w:rPr/>
        <w:t>、</w:t>
      </w:r>
      <w:r>
        <w:rPr>
          <w:spacing w:val="-60"/>
        </w:rPr>
        <w:t> </w:t>
      </w:r>
      <w:r>
        <w:rPr/>
        <w:t>本企业的子公司情况</w:t>
      </w:r>
      <w:r>
        <w:rPr>
          <w:b w:val="0"/>
          <w:bCs w:val="0"/>
        </w:rPr>
      </w:r>
    </w:p>
    <w:p>
      <w:pPr>
        <w:tabs>
          <w:tab w:pos="1537" w:val="left" w:leader="none"/>
        </w:tabs>
        <w:spacing w:line="261" w:lineRule="auto" w:before="55"/>
        <w:ind w:left="458" w:right="2085" w:firstLine="0"/>
        <w:jc w:val="left"/>
        <w:rPr>
          <w:rFonts w:ascii="宋体" w:hAnsi="宋体" w:cs="宋体" w:eastAsia="宋体" w:hint="default"/>
          <w:sz w:val="24"/>
          <w:szCs w:val="24"/>
        </w:rPr>
      </w:pPr>
      <w:r>
        <w:rPr>
          <w:rFonts w:ascii="宋体" w:hAnsi="宋体" w:cs="宋体" w:eastAsia="宋体" w:hint="default"/>
          <w:sz w:val="24"/>
          <w:szCs w:val="24"/>
        </w:rPr>
        <w:t>√适用</w:t>
        <w:tab/>
        <w:t>□不适用 本企业子公司的情况详见第十一节财务报告九在其他主体中的权益。 </w:t>
      </w:r>
      <w:r>
        <w:rPr>
          <w:rFonts w:ascii="宋体" w:hAnsi="宋体" w:cs="宋体" w:eastAsia="宋体" w:hint="default"/>
          <w:b/>
          <w:bCs/>
          <w:sz w:val="24"/>
          <w:szCs w:val="24"/>
        </w:rPr>
        <w:t>3</w:t>
      </w:r>
      <w:r>
        <w:rPr>
          <w:rFonts w:ascii="宋体" w:hAnsi="宋体" w:cs="宋体" w:eastAsia="宋体" w:hint="default"/>
          <w:b/>
          <w:bCs/>
          <w:sz w:val="24"/>
          <w:szCs w:val="24"/>
        </w:rPr>
        <w:t>、</w:t>
      </w:r>
      <w:r>
        <w:rPr>
          <w:rFonts w:ascii="宋体" w:hAnsi="宋体" w:cs="宋体" w:eastAsia="宋体" w:hint="default"/>
          <w:b/>
          <w:bCs/>
          <w:spacing w:val="-61"/>
          <w:sz w:val="24"/>
          <w:szCs w:val="24"/>
        </w:rPr>
        <w:t> </w:t>
      </w:r>
      <w:r>
        <w:rPr>
          <w:rFonts w:ascii="宋体" w:hAnsi="宋体" w:cs="宋体" w:eastAsia="宋体" w:hint="default"/>
          <w:b/>
          <w:bCs/>
          <w:sz w:val="24"/>
          <w:szCs w:val="24"/>
        </w:rPr>
        <w:t>本企业合营和联营企业情况</w:t>
      </w:r>
      <w:r>
        <w:rPr>
          <w:rFonts w:ascii="宋体" w:hAnsi="宋体" w:cs="宋体" w:eastAsia="宋体" w:hint="default"/>
          <w:sz w:val="24"/>
          <w:szCs w:val="24"/>
        </w:rPr>
      </w:r>
    </w:p>
    <w:p>
      <w:pPr>
        <w:pStyle w:val="BodyText"/>
        <w:spacing w:line="312" w:lineRule="exact" w:before="36"/>
        <w:ind w:left="458" w:right="315"/>
        <w:jc w:val="left"/>
      </w:pPr>
      <w:r>
        <w:rPr/>
        <w:t>本企业重要的合营或联营企业详见第十一节财务报告九在其他主体中的权益。</w:t>
      </w:r>
    </w:p>
    <w:p>
      <w:pPr>
        <w:pStyle w:val="BodyText"/>
        <w:spacing w:line="312" w:lineRule="exact"/>
        <w:ind w:left="458" w:right="3028"/>
        <w:jc w:val="left"/>
      </w:pPr>
      <w:r>
        <w:rPr/>
        <w:t>√适用</w:t>
      </w:r>
      <w:r>
        <w:rPr>
          <w:spacing w:val="-1"/>
        </w:rPr>
        <w:t> </w:t>
      </w:r>
      <w:r>
        <w:rPr/>
        <w:t>□不适用</w:t>
      </w:r>
    </w:p>
    <w:p>
      <w:pPr>
        <w:spacing w:line="240" w:lineRule="auto" w:before="2"/>
        <w:rPr>
          <w:rFonts w:ascii="宋体" w:hAnsi="宋体" w:cs="宋体" w:eastAsia="宋体" w:hint="default"/>
          <w:sz w:val="26"/>
          <w:szCs w:val="26"/>
        </w:rPr>
      </w:pPr>
    </w:p>
    <w:p>
      <w:pPr>
        <w:pStyle w:val="BodyText"/>
        <w:spacing w:line="310" w:lineRule="exact"/>
        <w:ind w:left="458" w:right="315"/>
        <w:jc w:val="left"/>
      </w:pPr>
      <w:r>
        <w:rPr>
          <w:spacing w:val="-2"/>
        </w:rPr>
        <w:t>期与本公司发生关联方交易，或前期与本公司发生关联方交易形成余额的其他合营或</w:t>
      </w:r>
      <w:r>
        <w:rPr>
          <w:spacing w:val="-94"/>
        </w:rPr>
        <w:t> </w:t>
      </w:r>
      <w:r>
        <w:rPr>
          <w:spacing w:val="-94"/>
        </w:rPr>
      </w:r>
      <w:r>
        <w:rPr/>
        <w:t>联营企业情况如下</w:t>
      </w:r>
    </w:p>
    <w:p>
      <w:pPr>
        <w:pStyle w:val="BodyText"/>
        <w:spacing w:line="284" w:lineRule="exact"/>
        <w:ind w:left="458" w:right="3028"/>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345" w:type="dxa"/>
        <w:tblLayout w:type="fixed"/>
        <w:tblCellMar>
          <w:top w:w="0" w:type="dxa"/>
          <w:left w:w="0" w:type="dxa"/>
          <w:bottom w:w="0" w:type="dxa"/>
          <w:right w:w="0" w:type="dxa"/>
        </w:tblCellMar>
        <w:tblLook w:val="01E0"/>
      </w:tblPr>
      <w:tblGrid>
        <w:gridCol w:w="3985"/>
        <w:gridCol w:w="5065"/>
      </w:tblGrid>
      <w:tr>
        <w:trPr>
          <w:trHeight w:val="319"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07" w:right="0"/>
              <w:jc w:val="left"/>
              <w:rPr>
                <w:rFonts w:ascii="宋体" w:hAnsi="宋体" w:cs="宋体" w:eastAsia="宋体" w:hint="default"/>
                <w:sz w:val="24"/>
                <w:szCs w:val="24"/>
              </w:rPr>
            </w:pPr>
            <w:r>
              <w:rPr>
                <w:rFonts w:ascii="宋体" w:hAnsi="宋体" w:cs="宋体" w:eastAsia="宋体" w:hint="default"/>
                <w:sz w:val="24"/>
                <w:szCs w:val="24"/>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与本企业关系</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海宁绿城新湖房地产开发有限公司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合营企业</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新湖控股有限公司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联营企业</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盛京银行股份有限公司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联营企业</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内蒙古合和置业有限公司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联营企业</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甘肃西北矿业集团有限公司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联营企业</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温州银行股份有限公司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联营企业</w:t>
            </w:r>
          </w:p>
        </w:tc>
      </w:tr>
      <w:tr>
        <w:trPr>
          <w:trHeight w:val="319"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江苏新湖宝华置业有限公司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联营企业</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中信银行股份有限公司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联营企业</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新湖期货有限公司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联营企业</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恩施裕丰房地产开发有限公司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联营企业</w:t>
            </w:r>
          </w:p>
        </w:tc>
      </w:tr>
    </w:tbl>
    <w:p>
      <w:pPr>
        <w:spacing w:line="240" w:lineRule="auto" w:before="10"/>
        <w:rPr>
          <w:rFonts w:ascii="宋体" w:hAnsi="宋体" w:cs="宋体" w:eastAsia="宋体" w:hint="default"/>
          <w:sz w:val="18"/>
          <w:szCs w:val="18"/>
        </w:rPr>
      </w:pPr>
    </w:p>
    <w:p>
      <w:pPr>
        <w:pStyle w:val="BodyText"/>
        <w:spacing w:line="313" w:lineRule="exact" w:before="26"/>
        <w:ind w:left="458" w:right="3028"/>
        <w:jc w:val="left"/>
      </w:pPr>
      <w:r>
        <w:rPr/>
        <w:t>其他说明</w:t>
      </w:r>
    </w:p>
    <w:p>
      <w:pPr>
        <w:pStyle w:val="BodyText"/>
        <w:spacing w:line="313" w:lineRule="exact"/>
        <w:ind w:left="458" w:right="3028"/>
        <w:jc w:val="left"/>
      </w:pPr>
      <w:r>
        <w:rPr/>
        <w:t>□适用</w:t>
      </w:r>
      <w:r>
        <w:rPr>
          <w:spacing w:val="-1"/>
        </w:rPr>
        <w:t> </w:t>
      </w:r>
      <w:r>
        <w:rPr/>
        <w:t>√不适用</w:t>
      </w:r>
    </w:p>
    <w:p>
      <w:pPr>
        <w:spacing w:after="0" w:line="313" w:lineRule="exact"/>
        <w:jc w:val="left"/>
        <w:sectPr>
          <w:pgSz w:w="11910" w:h="16840"/>
          <w:pgMar w:header="0" w:footer="1195" w:top="1120" w:bottom="1380" w:left="1340" w:right="820"/>
        </w:sectPr>
      </w:pPr>
    </w:p>
    <w:p>
      <w:pPr>
        <w:spacing w:line="240" w:lineRule="auto" w:before="5"/>
        <w:rPr>
          <w:rFonts w:ascii="宋体" w:hAnsi="宋体" w:cs="宋体" w:eastAsia="宋体" w:hint="default"/>
          <w:sz w:val="25"/>
          <w:szCs w:val="25"/>
        </w:rPr>
      </w:pPr>
    </w:p>
    <w:p>
      <w:pPr>
        <w:pStyle w:val="Heading2"/>
        <w:spacing w:line="240" w:lineRule="auto"/>
        <w:ind w:right="233"/>
        <w:jc w:val="left"/>
        <w:rPr>
          <w:b w:val="0"/>
          <w:bCs w:val="0"/>
        </w:rPr>
      </w:pPr>
      <w:r>
        <w:rPr>
          <w:rFonts w:ascii="宋体" w:hAnsi="宋体" w:cs="宋体" w:eastAsia="宋体" w:hint="default"/>
        </w:rPr>
        <w:t>4</w:t>
      </w:r>
      <w:r>
        <w:rPr/>
        <w:t>、</w:t>
      </w:r>
      <w:r>
        <w:rPr>
          <w:spacing w:val="-60"/>
        </w:rPr>
        <w:t> </w:t>
      </w:r>
      <w:r>
        <w:rPr/>
        <w:t>其他关联方情况</w:t>
      </w:r>
      <w:r>
        <w:rPr>
          <w:b w:val="0"/>
          <w:bCs w:val="0"/>
        </w:rPr>
      </w:r>
    </w:p>
    <w:p>
      <w:pPr>
        <w:spacing w:line="240" w:lineRule="auto" w:before="7"/>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56"/>
        <w:gridCol w:w="5094"/>
      </w:tblGrid>
      <w:tr>
        <w:trPr>
          <w:trHeight w:val="430"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其他关联方名称</w:t>
            </w:r>
          </w:p>
        </w:tc>
        <w:tc>
          <w:tcPr>
            <w:tcW w:w="5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32" w:right="0"/>
              <w:jc w:val="left"/>
              <w:rPr>
                <w:rFonts w:ascii="宋体" w:hAnsi="宋体" w:cs="宋体" w:eastAsia="宋体" w:hint="default"/>
                <w:sz w:val="22"/>
                <w:szCs w:val="22"/>
              </w:rPr>
            </w:pPr>
            <w:r>
              <w:rPr>
                <w:rFonts w:ascii="宋体" w:hAnsi="宋体" w:cs="宋体" w:eastAsia="宋体" w:hint="default"/>
                <w:sz w:val="22"/>
                <w:szCs w:val="22"/>
              </w:rPr>
              <w:t>其他关联方与本公司关系</w:t>
            </w:r>
          </w:p>
        </w:tc>
      </w:tr>
      <w:tr>
        <w:trPr>
          <w:trHeight w:val="730"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left="103" w:right="0"/>
              <w:jc w:val="left"/>
              <w:rPr>
                <w:rFonts w:ascii="宋体" w:hAnsi="宋体" w:cs="宋体" w:eastAsia="宋体" w:hint="default"/>
                <w:sz w:val="22"/>
                <w:szCs w:val="22"/>
              </w:rPr>
            </w:pPr>
            <w:r>
              <w:rPr>
                <w:rFonts w:ascii="宋体" w:hAnsi="宋体" w:cs="宋体" w:eastAsia="宋体" w:hint="default"/>
                <w:sz w:val="22"/>
                <w:szCs w:val="22"/>
              </w:rPr>
              <w:t>嘉兴南湖国际实验学校</w:t>
            </w:r>
          </w:p>
        </w:tc>
        <w:tc>
          <w:tcPr>
            <w:tcW w:w="5094"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before="68"/>
              <w:ind w:left="103" w:right="101"/>
              <w:jc w:val="left"/>
              <w:rPr>
                <w:rFonts w:ascii="宋体" w:hAnsi="宋体" w:cs="宋体" w:eastAsia="宋体" w:hint="default"/>
                <w:sz w:val="22"/>
                <w:szCs w:val="22"/>
              </w:rPr>
            </w:pPr>
            <w:r>
              <w:rPr>
                <w:rFonts w:ascii="宋体" w:hAnsi="宋体" w:cs="宋体" w:eastAsia="宋体" w:hint="default"/>
                <w:sz w:val="22"/>
                <w:szCs w:val="22"/>
              </w:rPr>
              <w:t>由本公司二级子公司嘉兴市南湖国际教育投资有限</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公司</w:t>
            </w:r>
            <w:r>
              <w:rPr>
                <w:rFonts w:ascii="宋体" w:hAnsi="宋体" w:cs="宋体" w:eastAsia="宋体" w:hint="default"/>
                <w:spacing w:val="-54"/>
                <w:sz w:val="22"/>
                <w:szCs w:val="22"/>
              </w:rPr>
              <w:t> </w:t>
            </w:r>
            <w:r>
              <w:rPr>
                <w:rFonts w:ascii="宋体" w:hAnsi="宋体" w:cs="宋体" w:eastAsia="宋体" w:hint="default"/>
                <w:sz w:val="22"/>
                <w:szCs w:val="22"/>
              </w:rPr>
              <w:t>BOT</w:t>
            </w:r>
            <w:r>
              <w:rPr>
                <w:rFonts w:ascii="宋体" w:hAnsi="宋体" w:cs="宋体" w:eastAsia="宋体" w:hint="default"/>
                <w:spacing w:val="-56"/>
                <w:sz w:val="22"/>
                <w:szCs w:val="22"/>
              </w:rPr>
              <w:t> </w:t>
            </w:r>
            <w:r>
              <w:rPr>
                <w:rFonts w:ascii="宋体" w:hAnsi="宋体" w:cs="宋体" w:eastAsia="宋体" w:hint="default"/>
                <w:sz w:val="22"/>
                <w:szCs w:val="22"/>
              </w:rPr>
              <w:t>特许经营的学校</w:t>
            </w:r>
          </w:p>
        </w:tc>
      </w:tr>
      <w:tr>
        <w:trPr>
          <w:trHeight w:val="732"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left="103" w:right="0"/>
              <w:jc w:val="left"/>
              <w:rPr>
                <w:rFonts w:ascii="宋体" w:hAnsi="宋体" w:cs="宋体" w:eastAsia="宋体" w:hint="default"/>
                <w:sz w:val="22"/>
                <w:szCs w:val="22"/>
              </w:rPr>
            </w:pPr>
            <w:r>
              <w:rPr>
                <w:rFonts w:ascii="宋体" w:hAnsi="宋体" w:cs="宋体" w:eastAsia="宋体" w:hint="default"/>
                <w:sz w:val="22"/>
                <w:szCs w:val="22"/>
              </w:rPr>
              <w:t>嘉兴高级中学</w:t>
            </w:r>
          </w:p>
        </w:tc>
        <w:tc>
          <w:tcPr>
            <w:tcW w:w="509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66"/>
              <w:ind w:left="103" w:right="101"/>
              <w:jc w:val="left"/>
              <w:rPr>
                <w:rFonts w:ascii="宋体" w:hAnsi="宋体" w:cs="宋体" w:eastAsia="宋体" w:hint="default"/>
                <w:sz w:val="22"/>
                <w:szCs w:val="22"/>
              </w:rPr>
            </w:pPr>
            <w:r>
              <w:rPr>
                <w:rFonts w:ascii="宋体" w:hAnsi="宋体" w:cs="宋体" w:eastAsia="宋体" w:hint="default"/>
                <w:sz w:val="22"/>
                <w:szCs w:val="22"/>
              </w:rPr>
              <w:t>由本公司二级子公司嘉兴市南湖国际教育投资有限</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公司</w:t>
            </w:r>
            <w:r>
              <w:rPr>
                <w:rFonts w:ascii="宋体" w:hAnsi="宋体" w:cs="宋体" w:eastAsia="宋体" w:hint="default"/>
                <w:spacing w:val="-54"/>
                <w:sz w:val="22"/>
                <w:szCs w:val="22"/>
              </w:rPr>
              <w:t> </w:t>
            </w:r>
            <w:r>
              <w:rPr>
                <w:rFonts w:ascii="宋体" w:hAnsi="宋体" w:cs="宋体" w:eastAsia="宋体" w:hint="default"/>
                <w:sz w:val="22"/>
                <w:szCs w:val="22"/>
              </w:rPr>
              <w:t>BOT</w:t>
            </w:r>
            <w:r>
              <w:rPr>
                <w:rFonts w:ascii="宋体" w:hAnsi="宋体" w:cs="宋体" w:eastAsia="宋体" w:hint="default"/>
                <w:spacing w:val="-56"/>
                <w:sz w:val="22"/>
                <w:szCs w:val="22"/>
              </w:rPr>
              <w:t> </w:t>
            </w:r>
            <w:r>
              <w:rPr>
                <w:rFonts w:ascii="宋体" w:hAnsi="宋体" w:cs="宋体" w:eastAsia="宋体" w:hint="default"/>
                <w:sz w:val="22"/>
                <w:szCs w:val="22"/>
              </w:rPr>
              <w:t>特许经营的学校</w:t>
            </w:r>
          </w:p>
        </w:tc>
      </w:tr>
      <w:tr>
        <w:trPr>
          <w:trHeight w:val="730"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103" w:right="0"/>
              <w:jc w:val="left"/>
              <w:rPr>
                <w:rFonts w:ascii="宋体" w:hAnsi="宋体" w:cs="宋体" w:eastAsia="宋体" w:hint="default"/>
                <w:sz w:val="22"/>
                <w:szCs w:val="22"/>
              </w:rPr>
            </w:pPr>
            <w:r>
              <w:rPr>
                <w:rFonts w:ascii="宋体" w:hAnsi="宋体" w:cs="宋体" w:eastAsia="宋体" w:hint="default"/>
                <w:sz w:val="22"/>
                <w:szCs w:val="22"/>
              </w:rPr>
              <w:t>嘉兴市秀洲现代实验学校</w:t>
            </w:r>
          </w:p>
        </w:tc>
        <w:tc>
          <w:tcPr>
            <w:tcW w:w="509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64"/>
              <w:ind w:left="103" w:right="101"/>
              <w:jc w:val="left"/>
              <w:rPr>
                <w:rFonts w:ascii="宋体" w:hAnsi="宋体" w:cs="宋体" w:eastAsia="宋体" w:hint="default"/>
                <w:sz w:val="22"/>
                <w:szCs w:val="22"/>
              </w:rPr>
            </w:pPr>
            <w:r>
              <w:rPr>
                <w:rFonts w:ascii="宋体" w:hAnsi="宋体" w:cs="宋体" w:eastAsia="宋体" w:hint="default"/>
                <w:sz w:val="22"/>
                <w:szCs w:val="22"/>
              </w:rPr>
              <w:t>由本公司二级子公司嘉兴市南湖国际教育投资有限</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公司</w:t>
            </w:r>
            <w:r>
              <w:rPr>
                <w:rFonts w:ascii="宋体" w:hAnsi="宋体" w:cs="宋体" w:eastAsia="宋体" w:hint="default"/>
                <w:spacing w:val="-54"/>
                <w:sz w:val="22"/>
                <w:szCs w:val="22"/>
              </w:rPr>
              <w:t> </w:t>
            </w:r>
            <w:r>
              <w:rPr>
                <w:rFonts w:ascii="宋体" w:hAnsi="宋体" w:cs="宋体" w:eastAsia="宋体" w:hint="default"/>
                <w:sz w:val="22"/>
                <w:szCs w:val="22"/>
              </w:rPr>
              <w:t>BOT</w:t>
            </w:r>
            <w:r>
              <w:rPr>
                <w:rFonts w:ascii="宋体" w:hAnsi="宋体" w:cs="宋体" w:eastAsia="宋体" w:hint="default"/>
                <w:spacing w:val="-56"/>
                <w:sz w:val="22"/>
                <w:szCs w:val="22"/>
              </w:rPr>
              <w:t> </w:t>
            </w:r>
            <w:r>
              <w:rPr>
                <w:rFonts w:ascii="宋体" w:hAnsi="宋体" w:cs="宋体" w:eastAsia="宋体" w:hint="default"/>
                <w:sz w:val="22"/>
                <w:szCs w:val="22"/>
              </w:rPr>
              <w:t>特许经营的学校</w:t>
            </w:r>
          </w:p>
        </w:tc>
      </w:tr>
      <w:tr>
        <w:trPr>
          <w:trHeight w:val="430"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湘财证券股份有限公司</w:t>
            </w:r>
          </w:p>
        </w:tc>
        <w:tc>
          <w:tcPr>
            <w:tcW w:w="5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430"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上海新湖绿城物业服务有限公司</w:t>
            </w:r>
          </w:p>
        </w:tc>
        <w:tc>
          <w:tcPr>
            <w:tcW w:w="5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430"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浙江新湖绿城物业服务有限公司</w:t>
            </w:r>
          </w:p>
        </w:tc>
        <w:tc>
          <w:tcPr>
            <w:tcW w:w="5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430"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衢州新湖绿城物业服务有限公司</w:t>
            </w:r>
          </w:p>
        </w:tc>
        <w:tc>
          <w:tcPr>
            <w:tcW w:w="5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432"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宋体" w:hAnsi="宋体" w:cs="宋体" w:eastAsia="宋体" w:hint="default"/>
                <w:sz w:val="22"/>
                <w:szCs w:val="22"/>
              </w:rPr>
              <w:t>沈阳新湖绿城物业服务有限公司</w:t>
            </w:r>
          </w:p>
        </w:tc>
        <w:tc>
          <w:tcPr>
            <w:tcW w:w="5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430"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嘉兴新湖绿城物业服务有限公司</w:t>
            </w:r>
          </w:p>
        </w:tc>
        <w:tc>
          <w:tcPr>
            <w:tcW w:w="5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430"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句容新湖宝华会议中心有限公司</w:t>
            </w:r>
          </w:p>
        </w:tc>
        <w:tc>
          <w:tcPr>
            <w:tcW w:w="5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430"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宁波嘉源实业发展有限公司</w:t>
            </w:r>
          </w:p>
        </w:tc>
        <w:tc>
          <w:tcPr>
            <w:tcW w:w="5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股东、同一母公司</w:t>
            </w:r>
          </w:p>
        </w:tc>
      </w:tr>
      <w:tr>
        <w:trPr>
          <w:trHeight w:val="430"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2"/>
                <w:szCs w:val="22"/>
              </w:rPr>
            </w:pPr>
            <w:r>
              <w:rPr>
                <w:rFonts w:ascii="宋体" w:hAnsi="宋体" w:cs="宋体" w:eastAsia="宋体" w:hint="default"/>
                <w:sz w:val="22"/>
                <w:szCs w:val="22"/>
              </w:rPr>
              <w:t>浙江恒兴力控股集团有限公司</w:t>
            </w:r>
          </w:p>
        </w:tc>
        <w:tc>
          <w:tcPr>
            <w:tcW w:w="5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2"/>
                <w:szCs w:val="22"/>
              </w:rPr>
            </w:pPr>
            <w:r>
              <w:rPr>
                <w:rFonts w:ascii="宋体" w:hAnsi="宋体" w:cs="宋体" w:eastAsia="宋体" w:hint="default"/>
                <w:sz w:val="22"/>
                <w:szCs w:val="22"/>
              </w:rPr>
              <w:t>股东、同一母公司</w:t>
            </w:r>
          </w:p>
        </w:tc>
      </w:tr>
      <w:tr>
        <w:trPr>
          <w:trHeight w:val="430"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哈高科绥棱二塑防水工程有限公司</w:t>
            </w:r>
          </w:p>
        </w:tc>
        <w:tc>
          <w:tcPr>
            <w:tcW w:w="5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432"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宋体" w:hAnsi="宋体" w:cs="宋体" w:eastAsia="宋体" w:hint="default"/>
                <w:sz w:val="22"/>
                <w:szCs w:val="22"/>
              </w:rPr>
              <w:t>黑龙江省哈高科营养食品有限公司</w:t>
            </w:r>
          </w:p>
        </w:tc>
        <w:tc>
          <w:tcPr>
            <w:tcW w:w="5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430"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哈尔滨高科技（集团）股份有限公司</w:t>
            </w:r>
          </w:p>
        </w:tc>
        <w:tc>
          <w:tcPr>
            <w:tcW w:w="5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430"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中信银行（国际）有限公司</w:t>
            </w:r>
          </w:p>
        </w:tc>
        <w:tc>
          <w:tcPr>
            <w:tcW w:w="5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本公司联营企业控股子公司</w:t>
            </w:r>
          </w:p>
        </w:tc>
      </w:tr>
      <w:tr>
        <w:trPr>
          <w:trHeight w:val="430"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浩韵控股集团有限公司</w:t>
            </w:r>
          </w:p>
        </w:tc>
        <w:tc>
          <w:tcPr>
            <w:tcW w:w="5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原联营企业</w:t>
            </w:r>
          </w:p>
        </w:tc>
      </w:tr>
      <w:tr>
        <w:trPr>
          <w:trHeight w:val="430"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林俊波</w:t>
            </w:r>
          </w:p>
        </w:tc>
        <w:tc>
          <w:tcPr>
            <w:tcW w:w="5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本公司董事长</w:t>
            </w:r>
          </w:p>
        </w:tc>
      </w:tr>
      <w:tr>
        <w:trPr>
          <w:trHeight w:val="430"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李萍</w:t>
            </w:r>
          </w:p>
        </w:tc>
        <w:tc>
          <w:tcPr>
            <w:tcW w:w="5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本公司最终控制方黄伟之配偶</w:t>
            </w:r>
          </w:p>
        </w:tc>
      </w:tr>
      <w:tr>
        <w:trPr>
          <w:trHeight w:val="432"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宋体" w:hAnsi="宋体" w:cs="宋体" w:eastAsia="宋体" w:hint="default"/>
                <w:sz w:val="22"/>
                <w:szCs w:val="22"/>
              </w:rPr>
              <w:t>邹丽华、嵇作法</w:t>
            </w:r>
          </w:p>
        </w:tc>
        <w:tc>
          <w:tcPr>
            <w:tcW w:w="5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宋体" w:hAnsi="宋体" w:cs="宋体" w:eastAsia="宋体" w:hint="default"/>
                <w:sz w:val="22"/>
                <w:szCs w:val="22"/>
              </w:rPr>
              <w:t>母公司的监事会主席及其配偶</w:t>
            </w:r>
          </w:p>
        </w:tc>
      </w:tr>
      <w:tr>
        <w:trPr>
          <w:trHeight w:val="430"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潘孝娜</w:t>
            </w:r>
          </w:p>
        </w:tc>
        <w:tc>
          <w:tcPr>
            <w:tcW w:w="5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本公司副总裁兼财务总监</w:t>
            </w:r>
          </w:p>
        </w:tc>
      </w:tr>
      <w:tr>
        <w:trPr>
          <w:trHeight w:val="430"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黄立程</w:t>
            </w:r>
          </w:p>
        </w:tc>
        <w:tc>
          <w:tcPr>
            <w:tcW w:w="5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本公司最终控制方黄伟之子、本公司之监事</w:t>
            </w:r>
          </w:p>
        </w:tc>
      </w:tr>
      <w:tr>
        <w:trPr>
          <w:trHeight w:val="430"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林琳</w:t>
            </w:r>
          </w:p>
        </w:tc>
        <w:tc>
          <w:tcPr>
            <w:tcW w:w="5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2"/>
                <w:szCs w:val="22"/>
              </w:rPr>
            </w:pPr>
            <w:r>
              <w:rPr>
                <w:rFonts w:ascii="宋体" w:hAnsi="宋体" w:cs="宋体" w:eastAsia="宋体" w:hint="default"/>
                <w:sz w:val="22"/>
                <w:szCs w:val="22"/>
              </w:rPr>
              <w:t>本公司董事长之胞妹</w:t>
            </w:r>
          </w:p>
        </w:tc>
      </w:tr>
    </w:tbl>
    <w:p>
      <w:pPr>
        <w:spacing w:line="240" w:lineRule="auto" w:before="5"/>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101"/>
          <w:pgSz w:w="11910" w:h="16840"/>
          <w:pgMar w:footer="1195" w:header="0" w:top="1120" w:bottom="1380" w:left="1580" w:right="1040"/>
        </w:sectPr>
      </w:pPr>
    </w:p>
    <w:p>
      <w:pPr>
        <w:pStyle w:val="Heading2"/>
        <w:spacing w:line="240" w:lineRule="auto"/>
        <w:ind w:right="-18"/>
        <w:jc w:val="left"/>
        <w:rPr>
          <w:b w:val="0"/>
          <w:bCs w:val="0"/>
        </w:rPr>
      </w:pPr>
      <w:r>
        <w:rPr>
          <w:rFonts w:ascii="宋体" w:hAnsi="宋体" w:cs="宋体" w:eastAsia="宋体" w:hint="default"/>
        </w:rPr>
        <w:t>5</w:t>
      </w:r>
      <w:r>
        <w:rPr/>
        <w:t>、</w:t>
      </w:r>
      <w:r>
        <w:rPr>
          <w:spacing w:val="-61"/>
        </w:rPr>
        <w:t> </w:t>
      </w:r>
      <w:r>
        <w:rPr/>
        <w:t>关联交易情况</w:t>
      </w:r>
      <w:r>
        <w:rPr>
          <w:b w:val="0"/>
          <w:bCs w:val="0"/>
        </w:rPr>
      </w:r>
    </w:p>
    <w:p>
      <w:pPr>
        <w:spacing w:line="283" w:lineRule="auto" w:before="58"/>
        <w:ind w:left="218" w:right="-18" w:firstLine="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pacing w:val="9"/>
          <w:sz w:val="24"/>
          <w:szCs w:val="24"/>
        </w:rPr>
        <w:t> </w:t>
      </w:r>
      <w:r>
        <w:rPr>
          <w:rFonts w:ascii="宋体" w:hAnsi="宋体" w:cs="宋体" w:eastAsia="宋体" w:hint="default"/>
          <w:b/>
          <w:bCs/>
          <w:sz w:val="24"/>
          <w:szCs w:val="24"/>
        </w:rPr>
        <w:t>购销商品、提供和接受劳务的关联交易</w:t>
      </w:r>
      <w:r>
        <w:rPr>
          <w:rFonts w:ascii="宋体" w:hAnsi="宋体" w:cs="宋体" w:eastAsia="宋体" w:hint="default"/>
          <w:b/>
          <w:bCs/>
          <w:w w:val="99"/>
          <w:sz w:val="24"/>
          <w:szCs w:val="24"/>
        </w:rPr>
        <w:t> </w:t>
      </w:r>
      <w:r>
        <w:rPr>
          <w:rFonts w:ascii="宋体" w:hAnsi="宋体" w:cs="宋体" w:eastAsia="宋体" w:hint="default"/>
          <w:sz w:val="24"/>
          <w:szCs w:val="24"/>
        </w:rPr>
        <w:t>采购商品</w:t>
      </w:r>
      <w:r>
        <w:rPr>
          <w:rFonts w:ascii="宋体" w:hAnsi="宋体" w:cs="宋体" w:eastAsia="宋体" w:hint="default"/>
          <w:sz w:val="24"/>
          <w:szCs w:val="24"/>
        </w:rPr>
        <w:t>/</w:t>
      </w:r>
      <w:r>
        <w:rPr>
          <w:rFonts w:ascii="宋体" w:hAnsi="宋体" w:cs="宋体" w:eastAsia="宋体" w:hint="default"/>
          <w:sz w:val="24"/>
          <w:szCs w:val="24"/>
        </w:rPr>
        <w:t>接受劳务情况表</w:t>
      </w:r>
    </w:p>
    <w:p>
      <w:pPr>
        <w:pStyle w:val="BodyText"/>
        <w:spacing w:line="269" w:lineRule="exact"/>
        <w:ind w:left="21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4"/>
          <w:szCs w:val="34"/>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000" w:bottom="280" w:left="1580" w:right="1040"/>
          <w:cols w:num="2" w:equalWidth="0">
            <w:col w:w="4930" w:space="1262"/>
            <w:col w:w="309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877"/>
        <w:gridCol w:w="1589"/>
        <w:gridCol w:w="1714"/>
        <w:gridCol w:w="1716"/>
      </w:tblGrid>
      <w:tr>
        <w:trPr>
          <w:trHeight w:val="322"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 w:right="0"/>
              <w:jc w:val="center"/>
              <w:rPr>
                <w:rFonts w:ascii="宋体" w:hAnsi="宋体" w:cs="宋体" w:eastAsia="宋体" w:hint="default"/>
                <w:sz w:val="24"/>
                <w:szCs w:val="24"/>
              </w:rPr>
            </w:pPr>
            <w:r>
              <w:rPr>
                <w:rFonts w:ascii="宋体" w:hAnsi="宋体" w:cs="宋体" w:eastAsia="宋体" w:hint="default"/>
                <w:sz w:val="24"/>
                <w:szCs w:val="24"/>
              </w:rPr>
              <w:t>关联方</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67" w:right="0"/>
              <w:jc w:val="left"/>
              <w:rPr>
                <w:rFonts w:ascii="宋体" w:hAnsi="宋体" w:cs="宋体" w:eastAsia="宋体" w:hint="default"/>
                <w:sz w:val="24"/>
                <w:szCs w:val="24"/>
              </w:rPr>
            </w:pPr>
            <w:r>
              <w:rPr>
                <w:rFonts w:ascii="宋体" w:hAnsi="宋体" w:cs="宋体" w:eastAsia="宋体" w:hint="default"/>
                <w:sz w:val="24"/>
                <w:szCs w:val="24"/>
              </w:rPr>
              <w:t>关联交易内容</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51"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54"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浙江新湖绿城物业服务有限公司</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物业服务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13,861,308.21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17,751,715.90</w:t>
            </w:r>
          </w:p>
        </w:tc>
      </w:tr>
      <w:tr>
        <w:trPr>
          <w:trHeight w:val="322"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浙江新湖绿城物业服务有限公司</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咨询服务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943,396.22</w:t>
            </w: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上海新湖绿城物业服务有限公司</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物业服务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48,888,722.98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67,473,165.07</w:t>
            </w:r>
          </w:p>
        </w:tc>
      </w:tr>
      <w:tr>
        <w:trPr>
          <w:trHeight w:val="322"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衢州新湖绿城物业服务有限公司</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物业服务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1,827,618.96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3,812,462.69</w:t>
            </w:r>
          </w:p>
        </w:tc>
      </w:tr>
      <w:tr>
        <w:trPr>
          <w:trHeight w:val="322"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沈阳新湖绿城物业服务有限公司</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物业服务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6,914,042.45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6,149,708.16</w:t>
            </w:r>
          </w:p>
        </w:tc>
      </w:tr>
      <w:tr>
        <w:trPr>
          <w:trHeight w:val="319"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嘉兴新湖绿城物业服务有限公司</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物业服务</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264,566.00</w:t>
            </w:r>
          </w:p>
        </w:tc>
      </w:tr>
      <w:tr>
        <w:trPr>
          <w:trHeight w:val="322"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湘财证券股份有限公司</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佣金支出</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1,267,798.61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1,671,936.00</w:t>
            </w:r>
          </w:p>
        </w:tc>
      </w:tr>
      <w:tr>
        <w:trPr>
          <w:trHeight w:val="322"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哈高科绥棱二塑防水工程有限公司</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防水工程</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8,923,228.71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9,884,232.06</w:t>
            </w:r>
          </w:p>
        </w:tc>
      </w:tr>
      <w:tr>
        <w:trPr>
          <w:trHeight w:val="322"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黑龙江省哈高科营养食品有限公司</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粮油货款</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894,498.19</w:t>
            </w:r>
          </w:p>
        </w:tc>
        <w:tc>
          <w:tcPr>
            <w:tcW w:w="17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102"/>
          <w:pgSz w:w="11910" w:h="16840"/>
          <w:pgMar w:footer="1195" w:header="0" w:top="1120" w:bottom="1380" w:left="1660" w:right="1120"/>
          <w:pgNumType w:start="191"/>
        </w:sectPr>
      </w:pPr>
    </w:p>
    <w:p>
      <w:pPr>
        <w:pStyle w:val="BodyText"/>
        <w:spacing w:line="313" w:lineRule="exact" w:before="26"/>
        <w:ind w:right="-20"/>
        <w:jc w:val="left"/>
      </w:pPr>
      <w:r>
        <w:rPr/>
        <w:t>出售商品</w:t>
      </w:r>
      <w:r>
        <w:rPr>
          <w:rFonts w:ascii="宋体" w:hAnsi="宋体" w:cs="宋体" w:eastAsia="宋体" w:hint="default"/>
        </w:rPr>
        <w:t>/</w:t>
      </w:r>
      <w:r>
        <w:rPr/>
        <w:t>提供劳务情况表</w:t>
      </w:r>
    </w:p>
    <w:p>
      <w:pPr>
        <w:pStyle w:val="BodyText"/>
        <w:spacing w:line="313" w:lineRule="exact"/>
        <w:ind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BodyText"/>
        <w:tabs>
          <w:tab w:pos="1338" w:val="left" w:leader="none"/>
        </w:tabs>
        <w:spacing w:line="240" w:lineRule="auto"/>
        <w:ind w:right="0"/>
        <w:jc w:val="left"/>
      </w:pPr>
      <w:r>
        <w:rPr/>
        <w:t>单位：元</w:t>
        <w:tab/>
        <w:t>币种：人民币</w:t>
      </w:r>
    </w:p>
    <w:p>
      <w:pPr>
        <w:spacing w:after="0" w:line="240" w:lineRule="auto"/>
        <w:jc w:val="left"/>
        <w:sectPr>
          <w:type w:val="continuous"/>
          <w:pgSz w:w="11910" w:h="16840"/>
          <w:pgMar w:top="1000" w:bottom="280" w:left="1660" w:right="1120"/>
          <w:cols w:num="2" w:equalWidth="0">
            <w:col w:w="2899" w:space="3294"/>
            <w:col w:w="293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521"/>
        <w:gridCol w:w="2038"/>
        <w:gridCol w:w="1669"/>
        <w:gridCol w:w="1668"/>
      </w:tblGrid>
      <w:tr>
        <w:trPr>
          <w:trHeight w:val="322"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关联方</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2" w:right="0"/>
              <w:jc w:val="left"/>
              <w:rPr>
                <w:rFonts w:ascii="宋体" w:hAnsi="宋体" w:cs="宋体" w:eastAsia="宋体" w:hint="default"/>
                <w:sz w:val="24"/>
                <w:szCs w:val="24"/>
              </w:rPr>
            </w:pPr>
            <w:r>
              <w:rPr>
                <w:rFonts w:ascii="宋体" w:hAnsi="宋体" w:cs="宋体" w:eastAsia="宋体" w:hint="default"/>
                <w:sz w:val="24"/>
                <w:szCs w:val="24"/>
              </w:rPr>
              <w:t>关联交易内容</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0"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0"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内蒙古合和置业有限公司</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工程、营销服务费</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1,415,094.34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1,415,094.34</w:t>
            </w:r>
          </w:p>
        </w:tc>
      </w:tr>
      <w:tr>
        <w:trPr>
          <w:trHeight w:val="319"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江苏新湖宝华置业有限公司</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工程、营销服务费</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10,225,121.69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2,150,628.74</w:t>
            </w:r>
          </w:p>
        </w:tc>
      </w:tr>
      <w:tr>
        <w:trPr>
          <w:trHeight w:val="322"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江苏新湖宝华置业有限公司</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电梯</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6,446,189.77</w:t>
            </w: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上海新湖绿城物业服务有限公司</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商品销售</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9,478.83</w:t>
            </w: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邹丽华、嵇作法</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商品房买卖</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20,414,361.90</w:t>
            </w:r>
          </w:p>
        </w:tc>
      </w:tr>
      <w:tr>
        <w:trPr>
          <w:trHeight w:val="322"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潘孝娜</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商品房买卖</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6,519,354.29</w:t>
            </w:r>
          </w:p>
        </w:tc>
      </w:tr>
      <w:tr>
        <w:trPr>
          <w:trHeight w:val="322"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黄立程</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商品房买卖</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24,935,069.52</w:t>
            </w:r>
          </w:p>
        </w:tc>
      </w:tr>
      <w:tr>
        <w:trPr>
          <w:trHeight w:val="322"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林琳</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商品房买卖</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9,342,857.14</w:t>
            </w:r>
          </w:p>
        </w:tc>
      </w:tr>
    </w:tbl>
    <w:p>
      <w:pPr>
        <w:spacing w:line="240" w:lineRule="auto" w:before="8"/>
        <w:rPr>
          <w:rFonts w:ascii="宋体" w:hAnsi="宋体" w:cs="宋体" w:eastAsia="宋体" w:hint="default"/>
          <w:sz w:val="18"/>
          <w:szCs w:val="18"/>
        </w:rPr>
      </w:pPr>
    </w:p>
    <w:p>
      <w:pPr>
        <w:pStyle w:val="BodyText"/>
        <w:spacing w:line="313" w:lineRule="exact" w:before="26"/>
        <w:ind w:right="140"/>
        <w:jc w:val="left"/>
      </w:pPr>
      <w:r>
        <w:rPr/>
        <w:t>购销商品、提供和接受劳务的关联交易说明</w:t>
      </w:r>
    </w:p>
    <w:p>
      <w:pPr>
        <w:pStyle w:val="BodyText"/>
        <w:spacing w:line="313" w:lineRule="exact"/>
        <w:ind w:right="14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spacing w:line="266" w:lineRule="auto" w:before="0"/>
        <w:ind w:left="138" w:right="4016" w:firstLine="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pacing w:val="9"/>
          <w:sz w:val="24"/>
          <w:szCs w:val="24"/>
        </w:rPr>
        <w:t> </w:t>
      </w:r>
      <w:r>
        <w:rPr>
          <w:rFonts w:ascii="宋体" w:hAnsi="宋体" w:cs="宋体" w:eastAsia="宋体" w:hint="default"/>
          <w:b/>
          <w:bCs/>
          <w:sz w:val="24"/>
          <w:szCs w:val="24"/>
        </w:rPr>
        <w:t>关联受托管理</w:t>
      </w:r>
      <w:r>
        <w:rPr>
          <w:rFonts w:ascii="Cambria" w:hAnsi="Cambria" w:cs="Cambria" w:eastAsia="Cambria" w:hint="default"/>
          <w:b/>
          <w:bCs/>
          <w:sz w:val="24"/>
          <w:szCs w:val="24"/>
        </w:rPr>
        <w:t>/</w:t>
      </w:r>
      <w:r>
        <w:rPr>
          <w:rFonts w:ascii="宋体" w:hAnsi="宋体" w:cs="宋体" w:eastAsia="宋体" w:hint="default"/>
          <w:b/>
          <w:bCs/>
          <w:sz w:val="24"/>
          <w:szCs w:val="24"/>
        </w:rPr>
        <w:t>承包及委托管理</w:t>
      </w:r>
      <w:r>
        <w:rPr>
          <w:rFonts w:ascii="Cambria" w:hAnsi="Cambria" w:cs="Cambria" w:eastAsia="Cambria" w:hint="default"/>
          <w:b/>
          <w:bCs/>
          <w:sz w:val="24"/>
          <w:szCs w:val="24"/>
        </w:rPr>
        <w:t>/</w:t>
      </w:r>
      <w:r>
        <w:rPr>
          <w:rFonts w:ascii="宋体" w:hAnsi="宋体" w:cs="宋体" w:eastAsia="宋体" w:hint="default"/>
          <w:b/>
          <w:bCs/>
          <w:sz w:val="24"/>
          <w:szCs w:val="24"/>
        </w:rPr>
        <w:t>出包情况</w:t>
      </w:r>
      <w:r>
        <w:rPr>
          <w:rFonts w:ascii="宋体" w:hAnsi="宋体" w:cs="宋体" w:eastAsia="宋体" w:hint="default"/>
          <w:b/>
          <w:bCs/>
          <w:w w:val="99"/>
          <w:sz w:val="24"/>
          <w:szCs w:val="24"/>
        </w:rPr>
        <w:t> </w:t>
      </w:r>
      <w:r>
        <w:rPr>
          <w:rFonts w:ascii="宋体" w:hAnsi="宋体" w:cs="宋体" w:eastAsia="宋体" w:hint="default"/>
          <w:sz w:val="24"/>
          <w:szCs w:val="24"/>
        </w:rPr>
        <w:t>本公司受托管理</w:t>
      </w:r>
      <w:r>
        <w:rPr>
          <w:rFonts w:ascii="宋体" w:hAnsi="宋体" w:cs="宋体" w:eastAsia="宋体" w:hint="default"/>
          <w:sz w:val="24"/>
          <w:szCs w:val="24"/>
        </w:rPr>
        <w:t>/</w:t>
      </w:r>
      <w:r>
        <w:rPr>
          <w:rFonts w:ascii="宋体" w:hAnsi="宋体" w:cs="宋体" w:eastAsia="宋体" w:hint="default"/>
          <w:sz w:val="24"/>
          <w:szCs w:val="24"/>
        </w:rPr>
        <w:t>承包情况表：</w:t>
      </w:r>
    </w:p>
    <w:p>
      <w:pPr>
        <w:pStyle w:val="BodyText"/>
        <w:spacing w:line="286" w:lineRule="exact"/>
        <w:ind w:right="140"/>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313" w:lineRule="exact"/>
        <w:ind w:right="140"/>
        <w:jc w:val="left"/>
      </w:pPr>
      <w:r>
        <w:rPr/>
        <w:t>关联托管</w:t>
      </w:r>
      <w:r>
        <w:rPr>
          <w:rFonts w:ascii="宋体" w:hAnsi="宋体" w:cs="宋体" w:eastAsia="宋体" w:hint="default"/>
        </w:rPr>
        <w:t>/</w:t>
      </w:r>
      <w:r>
        <w:rPr/>
        <w:t>承包情况说明</w:t>
      </w:r>
    </w:p>
    <w:p>
      <w:pPr>
        <w:pStyle w:val="BodyText"/>
        <w:spacing w:line="313" w:lineRule="exact"/>
        <w:ind w:right="140"/>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313" w:lineRule="exact"/>
        <w:ind w:right="140"/>
        <w:jc w:val="left"/>
      </w:pPr>
      <w:r>
        <w:rPr/>
        <w:t>本公司委托管理</w:t>
      </w:r>
      <w:r>
        <w:rPr>
          <w:rFonts w:ascii="宋体" w:hAnsi="宋体" w:cs="宋体" w:eastAsia="宋体" w:hint="default"/>
        </w:rPr>
        <w:t>/</w:t>
      </w:r>
      <w:r>
        <w:rPr/>
        <w:t>出包情况表：</w:t>
      </w:r>
    </w:p>
    <w:p>
      <w:pPr>
        <w:pStyle w:val="BodyText"/>
        <w:spacing w:line="313" w:lineRule="exact"/>
        <w:ind w:right="140"/>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313" w:lineRule="exact"/>
        <w:ind w:right="140"/>
        <w:jc w:val="left"/>
      </w:pPr>
      <w:r>
        <w:rPr/>
        <w:t>关联管理</w:t>
      </w:r>
      <w:r>
        <w:rPr>
          <w:rFonts w:ascii="宋体" w:hAnsi="宋体" w:cs="宋体" w:eastAsia="宋体" w:hint="default"/>
        </w:rPr>
        <w:t>/</w:t>
      </w:r>
      <w:r>
        <w:rPr/>
        <w:t>出包情况说明</w:t>
      </w:r>
    </w:p>
    <w:p>
      <w:pPr>
        <w:pStyle w:val="BodyText"/>
        <w:spacing w:line="313" w:lineRule="exact"/>
        <w:ind w:right="14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spacing w:line="285" w:lineRule="auto" w:before="0"/>
        <w:ind w:left="138" w:right="6808" w:firstLine="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pacing w:val="10"/>
          <w:sz w:val="24"/>
          <w:szCs w:val="24"/>
        </w:rPr>
        <w:t> </w:t>
      </w:r>
      <w:r>
        <w:rPr>
          <w:rFonts w:ascii="宋体" w:hAnsi="宋体" w:cs="宋体" w:eastAsia="宋体" w:hint="default"/>
          <w:b/>
          <w:bCs/>
          <w:sz w:val="24"/>
          <w:szCs w:val="24"/>
        </w:rPr>
        <w:t>关联租赁情况</w:t>
      </w:r>
      <w:r>
        <w:rPr>
          <w:rFonts w:ascii="宋体" w:hAnsi="宋体" w:cs="宋体" w:eastAsia="宋体" w:hint="default"/>
          <w:b/>
          <w:bCs/>
          <w:w w:val="99"/>
          <w:sz w:val="24"/>
          <w:szCs w:val="24"/>
        </w:rPr>
        <w:t> </w:t>
      </w:r>
      <w:r>
        <w:rPr>
          <w:rFonts w:ascii="宋体" w:hAnsi="宋体" w:cs="宋体" w:eastAsia="宋体" w:hint="default"/>
          <w:sz w:val="24"/>
          <w:szCs w:val="24"/>
        </w:rPr>
        <w:t>本公司作为出租方：</w:t>
      </w:r>
    </w:p>
    <w:p>
      <w:pPr>
        <w:pStyle w:val="BodyText"/>
        <w:spacing w:line="266" w:lineRule="exact"/>
        <w:ind w:right="140"/>
        <w:jc w:val="left"/>
      </w:pPr>
      <w:r>
        <w:rPr/>
        <w:t>√适用</w:t>
      </w:r>
      <w:r>
        <w:rPr>
          <w:spacing w:val="-1"/>
        </w:rPr>
        <w:t> </w:t>
      </w:r>
      <w:r>
        <w:rPr/>
        <w:t>□不适用</w:t>
      </w:r>
    </w:p>
    <w:p>
      <w:pPr>
        <w:spacing w:after="0" w:line="266" w:lineRule="exact"/>
        <w:jc w:val="left"/>
        <w:sectPr>
          <w:type w:val="continuous"/>
          <w:pgSz w:w="11910" w:h="16840"/>
          <w:pgMar w:top="1000" w:bottom="280" w:left="1660" w:right="1120"/>
        </w:sectPr>
      </w:pPr>
    </w:p>
    <w:p>
      <w:pPr>
        <w:spacing w:line="240" w:lineRule="auto" w:before="5"/>
        <w:rPr>
          <w:rFonts w:ascii="宋体" w:hAnsi="宋体" w:cs="宋体" w:eastAsia="宋体" w:hint="default"/>
          <w:sz w:val="25"/>
          <w:szCs w:val="25"/>
        </w:rPr>
      </w:pPr>
    </w:p>
    <w:p>
      <w:pPr>
        <w:pStyle w:val="BodyText"/>
        <w:tabs>
          <w:tab w:pos="1200" w:val="left" w:leader="none"/>
        </w:tabs>
        <w:spacing w:line="240" w:lineRule="auto" w:before="26"/>
        <w:ind w:left="0" w:right="27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449"/>
        <w:gridCol w:w="1412"/>
        <w:gridCol w:w="2148"/>
        <w:gridCol w:w="2139"/>
      </w:tblGrid>
      <w:tr>
        <w:trPr>
          <w:trHeight w:val="634"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18" w:right="0"/>
              <w:jc w:val="left"/>
              <w:rPr>
                <w:rFonts w:ascii="宋体" w:hAnsi="宋体" w:cs="宋体" w:eastAsia="宋体" w:hint="default"/>
                <w:sz w:val="24"/>
                <w:szCs w:val="24"/>
              </w:rPr>
            </w:pPr>
            <w:r>
              <w:rPr>
                <w:rFonts w:ascii="宋体" w:hAnsi="宋体" w:cs="宋体" w:eastAsia="宋体" w:hint="default"/>
                <w:sz w:val="24"/>
                <w:szCs w:val="24"/>
              </w:rPr>
              <w:t>承租方名称</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
              <w:jc w:val="center"/>
              <w:rPr>
                <w:rFonts w:ascii="宋体" w:hAnsi="宋体" w:cs="宋体" w:eastAsia="宋体" w:hint="default"/>
                <w:sz w:val="24"/>
                <w:szCs w:val="24"/>
              </w:rPr>
            </w:pPr>
            <w:r>
              <w:rPr>
                <w:rFonts w:ascii="宋体" w:hAnsi="宋体" w:cs="宋体" w:eastAsia="宋体" w:hint="default"/>
                <w:sz w:val="24"/>
                <w:szCs w:val="24"/>
              </w:rPr>
              <w:t>租赁资产种</w:t>
            </w:r>
          </w:p>
          <w:p>
            <w:pPr>
              <w:pStyle w:val="TableParagraph"/>
              <w:spacing w:line="313" w:lineRule="exact"/>
              <w:ind w:right="3"/>
              <w:jc w:val="center"/>
              <w:rPr>
                <w:rFonts w:ascii="宋体" w:hAnsi="宋体" w:cs="宋体" w:eastAsia="宋体" w:hint="default"/>
                <w:sz w:val="24"/>
                <w:szCs w:val="24"/>
              </w:rPr>
            </w:pPr>
            <w:r>
              <w:rPr>
                <w:rFonts w:ascii="宋体" w:hAnsi="宋体" w:cs="宋体" w:eastAsia="宋体" w:hint="default"/>
                <w:sz w:val="24"/>
                <w:szCs w:val="24"/>
              </w:rPr>
              <w:t>类</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 w:right="0"/>
              <w:jc w:val="center"/>
              <w:rPr>
                <w:rFonts w:ascii="宋体" w:hAnsi="宋体" w:cs="宋体" w:eastAsia="宋体" w:hint="default"/>
                <w:sz w:val="24"/>
                <w:szCs w:val="24"/>
              </w:rPr>
            </w:pPr>
            <w:r>
              <w:rPr>
                <w:rFonts w:ascii="宋体" w:hAnsi="宋体" w:cs="宋体" w:eastAsia="宋体" w:hint="default"/>
                <w:sz w:val="24"/>
                <w:szCs w:val="24"/>
              </w:rPr>
              <w:t>本期确认的租赁收</w:t>
            </w:r>
          </w:p>
          <w:p>
            <w:pPr>
              <w:pStyle w:val="TableParagraph"/>
              <w:spacing w:line="313" w:lineRule="exact"/>
              <w:ind w:left="2" w:right="0"/>
              <w:jc w:val="center"/>
              <w:rPr>
                <w:rFonts w:ascii="宋体" w:hAnsi="宋体" w:cs="宋体" w:eastAsia="宋体" w:hint="default"/>
                <w:sz w:val="24"/>
                <w:szCs w:val="24"/>
              </w:rPr>
            </w:pPr>
            <w:r>
              <w:rPr>
                <w:rFonts w:ascii="宋体" w:hAnsi="宋体" w:cs="宋体" w:eastAsia="宋体" w:hint="default"/>
                <w:sz w:val="24"/>
                <w:szCs w:val="24"/>
              </w:rPr>
              <w:t>入</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上期确认的租赁收</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入</w:t>
            </w:r>
          </w:p>
        </w:tc>
      </w:tr>
      <w:tr>
        <w:trPr>
          <w:trHeight w:val="322"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沈阳新湖绿城物业服务有限公司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房产</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27,619.05</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3" w:right="0"/>
              <w:jc w:val="left"/>
              <w:rPr>
                <w:rFonts w:ascii="宋体" w:hAnsi="宋体" w:cs="宋体" w:eastAsia="宋体" w:hint="default"/>
                <w:sz w:val="24"/>
                <w:szCs w:val="24"/>
              </w:rPr>
            </w:pPr>
            <w:r>
              <w:rPr>
                <w:rFonts w:ascii="宋体"/>
                <w:sz w:val="24"/>
              </w:rPr>
              <w:t>27,619.05</w:t>
            </w:r>
          </w:p>
        </w:tc>
      </w:tr>
      <w:tr>
        <w:trPr>
          <w:trHeight w:val="322"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江苏新湖宝华置业有限公司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车辆</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533,333.35</w:t>
            </w:r>
          </w:p>
        </w:tc>
        <w:tc>
          <w:tcPr>
            <w:tcW w:w="21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520" w:right="1000"/>
        </w:sectPr>
      </w:pPr>
    </w:p>
    <w:p>
      <w:pPr>
        <w:pStyle w:val="BodyText"/>
        <w:spacing w:line="313" w:lineRule="exact" w:before="26"/>
        <w:ind w:left="278" w:right="-20"/>
        <w:jc w:val="left"/>
      </w:pPr>
      <w:r>
        <w:rPr/>
        <w:t>本公司作为承租方：</w:t>
      </w:r>
    </w:p>
    <w:p>
      <w:pPr>
        <w:pStyle w:val="BodyText"/>
        <w:spacing w:line="313" w:lineRule="exact"/>
        <w:ind w:left="27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tabs>
          <w:tab w:pos="1478" w:val="left" w:leader="none"/>
        </w:tabs>
        <w:spacing w:line="240" w:lineRule="auto"/>
        <w:ind w:left="278" w:right="0"/>
        <w:jc w:val="left"/>
      </w:pPr>
      <w:r>
        <w:rPr/>
        <w:t>单位：元</w:t>
        <w:tab/>
        <w:t>币种：人民币</w:t>
      </w:r>
    </w:p>
    <w:p>
      <w:pPr>
        <w:spacing w:after="0" w:line="240" w:lineRule="auto"/>
        <w:jc w:val="left"/>
        <w:sectPr>
          <w:type w:val="continuous"/>
          <w:pgSz w:w="11910" w:h="16840"/>
          <w:pgMar w:top="1000" w:bottom="280" w:left="1520" w:right="1000"/>
          <w:cols w:num="2" w:equalWidth="0">
            <w:col w:w="2439" w:space="3754"/>
            <w:col w:w="3197"/>
          </w:cols>
        </w:sectPr>
      </w:pPr>
    </w:p>
    <w:p>
      <w:pPr>
        <w:spacing w:line="240" w:lineRule="auto" w:before="10"/>
        <w:rPr>
          <w:rFonts w:ascii="宋体" w:hAnsi="宋体" w:cs="宋体" w:eastAsia="宋体" w:hint="default"/>
          <w:sz w:val="2"/>
          <w:szCs w:val="2"/>
        </w:rPr>
      </w:pPr>
    </w:p>
    <w:tbl>
      <w:tblPr>
        <w:tblW w:w="0" w:type="auto"/>
        <w:jc w:val="left"/>
        <w:tblInd w:w="242" w:type="dxa"/>
        <w:tblLayout w:type="fixed"/>
        <w:tblCellMar>
          <w:top w:w="0" w:type="dxa"/>
          <w:left w:w="0" w:type="dxa"/>
          <w:bottom w:w="0" w:type="dxa"/>
          <w:right w:w="0" w:type="dxa"/>
        </w:tblCellMar>
        <w:tblLook w:val="01E0"/>
      </w:tblPr>
      <w:tblGrid>
        <w:gridCol w:w="3428"/>
        <w:gridCol w:w="1503"/>
        <w:gridCol w:w="1985"/>
        <w:gridCol w:w="1981"/>
      </w:tblGrid>
      <w:tr>
        <w:trPr>
          <w:trHeight w:val="322"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出租方名称</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租赁资产种类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hAnsi="宋体" w:cs="宋体" w:eastAsia="宋体" w:hint="default"/>
                <w:sz w:val="24"/>
                <w:szCs w:val="24"/>
              </w:rPr>
              <w:t>本期确认的租赁费</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hAnsi="宋体" w:cs="宋体" w:eastAsia="宋体" w:hint="default"/>
                <w:sz w:val="24"/>
                <w:szCs w:val="24"/>
              </w:rPr>
              <w:t>上期确认的租赁费</w:t>
            </w:r>
          </w:p>
        </w:tc>
      </w:tr>
      <w:tr>
        <w:trPr>
          <w:trHeight w:val="322"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浙江新湖绿城物业服务有限公司</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房产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130,401.94</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58,994.29</w:t>
            </w:r>
          </w:p>
        </w:tc>
      </w:tr>
    </w:tbl>
    <w:p>
      <w:pPr>
        <w:spacing w:line="240" w:lineRule="auto" w:before="10"/>
        <w:rPr>
          <w:rFonts w:ascii="宋体" w:hAnsi="宋体" w:cs="宋体" w:eastAsia="宋体" w:hint="default"/>
          <w:sz w:val="18"/>
          <w:szCs w:val="18"/>
        </w:rPr>
      </w:pPr>
    </w:p>
    <w:p>
      <w:pPr>
        <w:pStyle w:val="BodyText"/>
        <w:spacing w:line="313" w:lineRule="exact" w:before="26"/>
        <w:ind w:left="278" w:right="388"/>
        <w:jc w:val="left"/>
      </w:pPr>
      <w:r>
        <w:rPr/>
        <w:t>关联租赁情况说明</w:t>
      </w:r>
    </w:p>
    <w:p>
      <w:pPr>
        <w:pStyle w:val="BodyText"/>
        <w:spacing w:line="313" w:lineRule="exact"/>
        <w:ind w:left="278" w:right="388"/>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000" w:bottom="280" w:left="1520" w:right="1000"/>
        </w:sectPr>
      </w:pPr>
    </w:p>
    <w:p>
      <w:pPr>
        <w:spacing w:line="283" w:lineRule="auto" w:before="26"/>
        <w:ind w:left="278" w:right="-18" w:firstLine="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pacing w:val="9"/>
          <w:sz w:val="24"/>
          <w:szCs w:val="24"/>
        </w:rPr>
        <w:t> </w:t>
      </w:r>
      <w:r>
        <w:rPr>
          <w:rFonts w:ascii="宋体" w:hAnsi="宋体" w:cs="宋体" w:eastAsia="宋体" w:hint="default"/>
          <w:b/>
          <w:bCs/>
          <w:sz w:val="24"/>
          <w:szCs w:val="24"/>
        </w:rPr>
        <w:t>关联担保情况</w:t>
      </w:r>
      <w:r>
        <w:rPr>
          <w:rFonts w:ascii="宋体" w:hAnsi="宋体" w:cs="宋体" w:eastAsia="宋体" w:hint="default"/>
          <w:b/>
          <w:bCs/>
          <w:w w:val="99"/>
          <w:sz w:val="24"/>
          <w:szCs w:val="24"/>
        </w:rPr>
        <w:t> </w:t>
      </w:r>
      <w:r>
        <w:rPr>
          <w:rFonts w:ascii="宋体" w:hAnsi="宋体" w:cs="宋体" w:eastAsia="宋体" w:hint="default"/>
          <w:sz w:val="24"/>
          <w:szCs w:val="24"/>
        </w:rPr>
        <w:t>本公司作为担保方</w:t>
      </w:r>
    </w:p>
    <w:p>
      <w:pPr>
        <w:pStyle w:val="BodyText"/>
        <w:spacing w:line="266" w:lineRule="exact"/>
        <w:ind w:left="27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9"/>
          <w:szCs w:val="29"/>
        </w:rPr>
      </w:pPr>
    </w:p>
    <w:p>
      <w:pPr>
        <w:pStyle w:val="BodyText"/>
        <w:tabs>
          <w:tab w:pos="1478" w:val="left" w:leader="none"/>
        </w:tabs>
        <w:spacing w:line="240" w:lineRule="auto"/>
        <w:ind w:left="278" w:right="0"/>
        <w:jc w:val="left"/>
      </w:pPr>
      <w:r>
        <w:rPr/>
        <w:t>单位：元</w:t>
        <w:tab/>
        <w:t>币种：人民币</w:t>
      </w:r>
    </w:p>
    <w:p>
      <w:pPr>
        <w:spacing w:after="0" w:line="240" w:lineRule="auto"/>
        <w:jc w:val="left"/>
        <w:sectPr>
          <w:type w:val="continuous"/>
          <w:pgSz w:w="11910" w:h="16840"/>
          <w:pgMar w:top="1000" w:bottom="280" w:left="1520" w:right="1000"/>
          <w:cols w:num="2" w:equalWidth="0">
            <w:col w:w="2340" w:space="3853"/>
            <w:col w:w="3197"/>
          </w:cols>
        </w:sectPr>
      </w:pPr>
    </w:p>
    <w:p>
      <w:pPr>
        <w:spacing w:line="240" w:lineRule="auto" w:before="12"/>
        <w:rPr>
          <w:rFonts w:ascii="宋体" w:hAnsi="宋体" w:cs="宋体" w:eastAsia="宋体" w:hint="default"/>
          <w:sz w:val="2"/>
          <w:szCs w:val="2"/>
        </w:rPr>
      </w:pPr>
    </w:p>
    <w:tbl>
      <w:tblPr>
        <w:tblW w:w="0" w:type="auto"/>
        <w:jc w:val="left"/>
        <w:tblInd w:w="242" w:type="dxa"/>
        <w:tblLayout w:type="fixed"/>
        <w:tblCellMar>
          <w:top w:w="0" w:type="dxa"/>
          <w:left w:w="0" w:type="dxa"/>
          <w:bottom w:w="0" w:type="dxa"/>
          <w:right w:w="0" w:type="dxa"/>
        </w:tblCellMar>
        <w:tblLook w:val="01E0"/>
      </w:tblPr>
      <w:tblGrid>
        <w:gridCol w:w="1555"/>
        <w:gridCol w:w="1741"/>
        <w:gridCol w:w="1779"/>
        <w:gridCol w:w="1769"/>
        <w:gridCol w:w="2053"/>
      </w:tblGrid>
      <w:tr>
        <w:trPr>
          <w:trHeight w:val="63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92" w:right="0"/>
              <w:jc w:val="left"/>
              <w:rPr>
                <w:rFonts w:ascii="宋体" w:hAnsi="宋体" w:cs="宋体" w:eastAsia="宋体" w:hint="default"/>
                <w:sz w:val="24"/>
                <w:szCs w:val="24"/>
              </w:rPr>
            </w:pPr>
            <w:r>
              <w:rPr>
                <w:rFonts w:ascii="宋体" w:hAnsi="宋体" w:cs="宋体" w:eastAsia="宋体" w:hint="default"/>
                <w:sz w:val="24"/>
                <w:szCs w:val="24"/>
              </w:rPr>
              <w:t>被担保方</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83" w:right="0"/>
              <w:jc w:val="left"/>
              <w:rPr>
                <w:rFonts w:ascii="宋体" w:hAnsi="宋体" w:cs="宋体" w:eastAsia="宋体" w:hint="default"/>
                <w:sz w:val="24"/>
                <w:szCs w:val="24"/>
              </w:rPr>
            </w:pPr>
            <w:r>
              <w:rPr>
                <w:rFonts w:ascii="宋体" w:hAnsi="宋体" w:cs="宋体" w:eastAsia="宋体" w:hint="default"/>
                <w:sz w:val="24"/>
                <w:szCs w:val="24"/>
              </w:rPr>
              <w:t>担保金额</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83" w:right="0"/>
              <w:jc w:val="left"/>
              <w:rPr>
                <w:rFonts w:ascii="宋体" w:hAnsi="宋体" w:cs="宋体" w:eastAsia="宋体" w:hint="default"/>
                <w:sz w:val="24"/>
                <w:szCs w:val="24"/>
              </w:rPr>
            </w:pPr>
            <w:r>
              <w:rPr>
                <w:rFonts w:ascii="宋体" w:hAnsi="宋体" w:cs="宋体" w:eastAsia="宋体" w:hint="default"/>
                <w:sz w:val="24"/>
                <w:szCs w:val="24"/>
              </w:rPr>
              <w:t>担保起始日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78" w:right="0"/>
              <w:jc w:val="left"/>
              <w:rPr>
                <w:rFonts w:ascii="宋体" w:hAnsi="宋体" w:cs="宋体" w:eastAsia="宋体" w:hint="default"/>
                <w:sz w:val="24"/>
                <w:szCs w:val="24"/>
              </w:rPr>
            </w:pPr>
            <w:r>
              <w:rPr>
                <w:rFonts w:ascii="宋体" w:hAnsi="宋体" w:cs="宋体" w:eastAsia="宋体" w:hint="default"/>
                <w:sz w:val="24"/>
                <w:szCs w:val="24"/>
              </w:rPr>
              <w:t>担保到期日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 w:right="0"/>
              <w:jc w:val="center"/>
              <w:rPr>
                <w:rFonts w:ascii="宋体" w:hAnsi="宋体" w:cs="宋体" w:eastAsia="宋体" w:hint="default"/>
                <w:sz w:val="24"/>
                <w:szCs w:val="24"/>
              </w:rPr>
            </w:pPr>
            <w:r>
              <w:rPr>
                <w:rFonts w:ascii="宋体" w:hAnsi="宋体" w:cs="宋体" w:eastAsia="宋体" w:hint="default"/>
                <w:sz w:val="24"/>
                <w:szCs w:val="24"/>
              </w:rPr>
              <w:t>担保是否已经履行</w:t>
            </w:r>
          </w:p>
          <w:p>
            <w:pPr>
              <w:pStyle w:val="TableParagraph"/>
              <w:spacing w:line="313" w:lineRule="exact"/>
              <w:ind w:left="2" w:right="0"/>
              <w:jc w:val="center"/>
              <w:rPr>
                <w:rFonts w:ascii="宋体" w:hAnsi="宋体" w:cs="宋体" w:eastAsia="宋体" w:hint="default"/>
                <w:sz w:val="24"/>
                <w:szCs w:val="24"/>
              </w:rPr>
            </w:pPr>
            <w:r>
              <w:rPr>
                <w:rFonts w:ascii="宋体" w:hAnsi="宋体" w:cs="宋体" w:eastAsia="宋体" w:hint="default"/>
                <w:sz w:val="24"/>
                <w:szCs w:val="24"/>
              </w:rPr>
              <w:t>完毕</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新湖集团</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300,000,000.00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2016-9-21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2018-9-21</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新湖集团</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500,000,000.00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2016-10-27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2018-10-27</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新湖集团</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149,000,000.00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2017-4-21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2018-4-20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新湖集团</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200,000,000.00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2017-4-27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2018-4-25</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19"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新湖集团</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200,000,000.00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2017-5-3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2018-5-3</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新湖集团</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6"/>
              <w:jc w:val="right"/>
              <w:rPr>
                <w:rFonts w:ascii="宋体" w:hAnsi="宋体" w:cs="宋体" w:eastAsia="宋体" w:hint="default"/>
                <w:sz w:val="24"/>
                <w:szCs w:val="24"/>
              </w:rPr>
            </w:pPr>
            <w:r>
              <w:rPr>
                <w:rFonts w:ascii="宋体"/>
                <w:sz w:val="24"/>
              </w:rPr>
              <w:t>280,000,000.00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2017-6-1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2018-5-23</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新湖集团</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51,000,000.00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2017-6-6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2018-6-5</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新湖集团</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100,000,000.00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2017-7-18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2018-1-20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新湖集团</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500,000,000.00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2017-8-11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2019-8-9</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新湖集团</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250,000,000.00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2017-8-23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2018-8-22</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新湖集团</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50,000,000.00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2017-9-6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2018-9-5</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19"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新湖集团</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50,000,000.00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2017-11-9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2018-11-8</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新湖集团</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6"/>
              <w:jc w:val="right"/>
              <w:rPr>
                <w:rFonts w:ascii="宋体" w:hAnsi="宋体" w:cs="宋体" w:eastAsia="宋体" w:hint="default"/>
                <w:sz w:val="24"/>
                <w:szCs w:val="24"/>
              </w:rPr>
            </w:pPr>
            <w:r>
              <w:rPr>
                <w:rFonts w:ascii="宋体"/>
                <w:sz w:val="24"/>
              </w:rPr>
              <w:t>50,000,000.00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2017-12-27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2018-12-26</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 w:right="0"/>
              <w:jc w:val="center"/>
              <w:rPr>
                <w:rFonts w:ascii="宋体" w:hAnsi="宋体" w:cs="宋体" w:eastAsia="宋体" w:hint="default"/>
                <w:sz w:val="24"/>
                <w:szCs w:val="24"/>
              </w:rPr>
            </w:pPr>
            <w:r>
              <w:rPr>
                <w:rFonts w:ascii="宋体" w:hAnsi="宋体" w:cs="宋体" w:eastAsia="宋体" w:hint="default"/>
                <w:sz w:val="24"/>
                <w:szCs w:val="24"/>
              </w:rPr>
              <w:t>否</w:t>
            </w:r>
          </w:p>
        </w:tc>
      </w:tr>
    </w:tbl>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00" w:bottom="280" w:left="1520" w:right="1000"/>
        </w:sectPr>
      </w:pPr>
    </w:p>
    <w:p>
      <w:pPr>
        <w:pStyle w:val="BodyText"/>
        <w:spacing w:line="313" w:lineRule="exact" w:before="26"/>
        <w:ind w:left="278" w:right="-20"/>
        <w:jc w:val="left"/>
      </w:pPr>
      <w:r>
        <w:rPr/>
        <w:t>本公司作为被担保方</w:t>
      </w:r>
    </w:p>
    <w:p>
      <w:pPr>
        <w:pStyle w:val="BodyText"/>
        <w:spacing w:line="313" w:lineRule="exact"/>
        <w:ind w:left="27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tabs>
          <w:tab w:pos="1478" w:val="left" w:leader="none"/>
        </w:tabs>
        <w:spacing w:line="240" w:lineRule="auto"/>
        <w:ind w:left="278" w:right="0"/>
        <w:jc w:val="left"/>
      </w:pPr>
      <w:r>
        <w:rPr/>
        <w:t>单位：元</w:t>
        <w:tab/>
        <w:t>币种：人民币</w:t>
      </w:r>
    </w:p>
    <w:p>
      <w:pPr>
        <w:spacing w:after="0" w:line="240" w:lineRule="auto"/>
        <w:jc w:val="left"/>
        <w:sectPr>
          <w:type w:val="continuous"/>
          <w:pgSz w:w="11910" w:h="16840"/>
          <w:pgMar w:top="1000" w:bottom="280" w:left="1520" w:right="1000"/>
          <w:cols w:num="2" w:equalWidth="0">
            <w:col w:w="2439" w:space="3754"/>
            <w:col w:w="3197"/>
          </w:cols>
        </w:sectPr>
      </w:pPr>
    </w:p>
    <w:p>
      <w:pPr>
        <w:spacing w:line="240" w:lineRule="auto" w:before="10"/>
        <w:rPr>
          <w:rFonts w:ascii="宋体" w:hAnsi="宋体" w:cs="宋体" w:eastAsia="宋体" w:hint="default"/>
          <w:sz w:val="2"/>
          <w:szCs w:val="2"/>
        </w:rPr>
      </w:pPr>
    </w:p>
    <w:tbl>
      <w:tblPr>
        <w:tblW w:w="0" w:type="auto"/>
        <w:jc w:val="left"/>
        <w:tblInd w:w="273" w:type="dxa"/>
        <w:tblLayout w:type="fixed"/>
        <w:tblCellMar>
          <w:top w:w="0" w:type="dxa"/>
          <w:left w:w="0" w:type="dxa"/>
          <w:bottom w:w="0" w:type="dxa"/>
          <w:right w:w="0" w:type="dxa"/>
        </w:tblCellMar>
        <w:tblLook w:val="01E0"/>
      </w:tblPr>
      <w:tblGrid>
        <w:gridCol w:w="2941"/>
        <w:gridCol w:w="1980"/>
        <w:gridCol w:w="1260"/>
        <w:gridCol w:w="1261"/>
        <w:gridCol w:w="1392"/>
      </w:tblGrid>
      <w:tr>
        <w:trPr>
          <w:trHeight w:val="63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hAnsi="宋体" w:cs="宋体" w:eastAsia="宋体" w:hint="default"/>
                <w:sz w:val="24"/>
                <w:szCs w:val="24"/>
              </w:rPr>
              <w:t>担保方</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03" w:right="0"/>
              <w:jc w:val="left"/>
              <w:rPr>
                <w:rFonts w:ascii="宋体" w:hAnsi="宋体" w:cs="宋体" w:eastAsia="宋体" w:hint="default"/>
                <w:sz w:val="24"/>
                <w:szCs w:val="24"/>
              </w:rPr>
            </w:pPr>
            <w:r>
              <w:rPr>
                <w:rFonts w:ascii="宋体" w:hAnsi="宋体" w:cs="宋体" w:eastAsia="宋体" w:hint="default"/>
                <w:sz w:val="24"/>
                <w:szCs w:val="24"/>
              </w:rPr>
              <w:t>担保金额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宋体" w:hAnsi="宋体" w:cs="宋体" w:eastAsia="宋体" w:hint="default"/>
                <w:sz w:val="24"/>
                <w:szCs w:val="24"/>
              </w:rPr>
            </w:pPr>
            <w:r>
              <w:rPr>
                <w:rFonts w:ascii="宋体" w:hAnsi="宋体" w:cs="宋体" w:eastAsia="宋体" w:hint="default"/>
                <w:sz w:val="24"/>
                <w:szCs w:val="24"/>
              </w:rPr>
              <w:t>担保起始日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宋体" w:hAnsi="宋体" w:cs="宋体" w:eastAsia="宋体" w:hint="default"/>
                <w:sz w:val="24"/>
                <w:szCs w:val="24"/>
              </w:rPr>
            </w:pPr>
            <w:r>
              <w:rPr>
                <w:rFonts w:ascii="宋体" w:hAnsi="宋体" w:cs="宋体" w:eastAsia="宋体" w:hint="default"/>
                <w:sz w:val="24"/>
                <w:szCs w:val="24"/>
              </w:rPr>
              <w:t>担保到期日</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8" w:right="0"/>
              <w:jc w:val="left"/>
              <w:rPr>
                <w:rFonts w:ascii="宋体" w:hAnsi="宋体" w:cs="宋体" w:eastAsia="宋体" w:hint="default"/>
                <w:sz w:val="24"/>
                <w:szCs w:val="24"/>
              </w:rPr>
            </w:pPr>
            <w:r>
              <w:rPr>
                <w:rFonts w:ascii="宋体" w:hAnsi="宋体" w:cs="宋体" w:eastAsia="宋体" w:hint="default"/>
                <w:sz w:val="24"/>
                <w:szCs w:val="24"/>
              </w:rPr>
              <w:t>担保是否已</w:t>
            </w:r>
          </w:p>
          <w:p>
            <w:pPr>
              <w:pStyle w:val="TableParagraph"/>
              <w:spacing w:line="313" w:lineRule="exact"/>
              <w:ind w:left="88" w:right="0"/>
              <w:jc w:val="left"/>
              <w:rPr>
                <w:rFonts w:ascii="宋体" w:hAnsi="宋体" w:cs="宋体" w:eastAsia="宋体" w:hint="default"/>
                <w:sz w:val="24"/>
                <w:szCs w:val="24"/>
              </w:rPr>
            </w:pPr>
            <w:r>
              <w:rPr>
                <w:rFonts w:ascii="宋体" w:hAnsi="宋体" w:cs="宋体" w:eastAsia="宋体" w:hint="default"/>
                <w:sz w:val="24"/>
                <w:szCs w:val="24"/>
              </w:rPr>
              <w:t>经履行完毕</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新湖集团</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150,000,000.00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2017-1-9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2018-1-8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19"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新湖集团</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2017-2-7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2018-2-6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新湖集团、黄伟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200,000,000.00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2017-2-10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2018-2-13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bl>
    <w:p>
      <w:pPr>
        <w:spacing w:after="0" w:line="276" w:lineRule="exact"/>
        <w:jc w:val="right"/>
        <w:rPr>
          <w:rFonts w:ascii="宋体" w:hAnsi="宋体" w:cs="宋体" w:eastAsia="宋体" w:hint="default"/>
          <w:sz w:val="24"/>
          <w:szCs w:val="24"/>
        </w:rPr>
        <w:sectPr>
          <w:type w:val="continuous"/>
          <w:pgSz w:w="11910" w:h="16840"/>
          <w:pgMar w:top="1000" w:bottom="280" w:left="1520" w:right="10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33" w:type="dxa"/>
        <w:tblLayout w:type="fixed"/>
        <w:tblCellMar>
          <w:top w:w="0" w:type="dxa"/>
          <w:left w:w="0" w:type="dxa"/>
          <w:bottom w:w="0" w:type="dxa"/>
          <w:right w:w="0" w:type="dxa"/>
        </w:tblCellMar>
        <w:tblLook w:val="01E0"/>
      </w:tblPr>
      <w:tblGrid>
        <w:gridCol w:w="2941"/>
        <w:gridCol w:w="1980"/>
        <w:gridCol w:w="1260"/>
        <w:gridCol w:w="1261"/>
        <w:gridCol w:w="1392"/>
      </w:tblGrid>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hAnsi="宋体" w:cs="宋体" w:eastAsia="宋体" w:hint="default"/>
                <w:sz w:val="24"/>
                <w:szCs w:val="24"/>
              </w:rPr>
              <w:t>新湖集团、黄伟、李萍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4"/>
              <w:jc w:val="right"/>
              <w:rPr>
                <w:rFonts w:ascii="宋体" w:hAnsi="宋体" w:cs="宋体" w:eastAsia="宋体" w:hint="default"/>
                <w:sz w:val="24"/>
                <w:szCs w:val="24"/>
              </w:rPr>
            </w:pPr>
            <w:r>
              <w:rPr>
                <w:rFonts w:ascii="宋体"/>
                <w:sz w:val="24"/>
              </w:rPr>
              <w:t>30,000,000.00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2017-3-17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2018-3-16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新湖集团、黄伟、李萍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2017-4-27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2018-4-25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新湖集团、黄伟、李萍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2017-7-19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2018-1-20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新湖集团、黄伟、李萍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80,000,000.00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2017-9-19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2018-9-18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新湖集团、黄伟、李萍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2017-9-28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2019-9-27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新湖控股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2017-6-23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2019-6-23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19"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新湖控股、黄伟、李萍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2017-2-8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2019-2-7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江苏新湖宝华置业有限公司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29,200,000.00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2016-10-21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2018-10-21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江苏新湖宝华置业有限公司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69,600,000.00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2017-1-4</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2018-12-29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2014-1-14</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2019-1-9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685,000,000.00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2014-12-22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2019-12-15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350,000,000.00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2015-12-30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2018-1-13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450,000,000.00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2016-1-20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2018-12-31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19"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2016-1-27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2018-1-26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162,000,000.00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2016-3-21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2018-3-21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2016-6-24</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2018-8-17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1,001,000,000.00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2016-7-6</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2018-6-20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2016-8-12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2018-8-12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229,800,000.00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2016-8-30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2018-9-27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81,000,000.00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2016-11-21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2018-11-21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0"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150,000,000.00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2016-11-25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2018-10-24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308,000,000.00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2016-12-8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2018-6-8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810,000,000.00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2016-12-14</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2018-12-14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600,000,000.00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2016-12-23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2019-12-23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2017-1-6</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2019-1-5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192,000,000.00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2017-1-6</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2018-7-24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19"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199,900,000.00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2017-1-9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2020-1-8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250,000,000.00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2017-1-25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2020-1-24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800,000,000.00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2017-3-7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2019-3-6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2017-4-26</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2018-4-25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2017-5-9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2018-5-8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80,000,000.00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2017-5-10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2018-5-9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60,000,000.00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2017-5-16</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2018-5-15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19"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33,000,000.00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2017-6-26</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2018-6-25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20,000,000.00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2017-7-24</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2019-1-24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900,000,000.00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2017-7-28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2019-7-27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2017-8-23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2020-6-28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2,022,940,000.00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2017-8-28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2026-8-15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2017-8-30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2018-8-14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2017-9-26</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2018-9-25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0"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800,000,000.00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2017-10-12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2020-10-11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60,000,000.00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2017-10-25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2018-10-24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1,000,000,000.00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2017-11-30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2020-12-1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bl>
    <w:p>
      <w:pPr>
        <w:spacing w:after="0" w:line="274" w:lineRule="exact"/>
        <w:jc w:val="right"/>
        <w:rPr>
          <w:rFonts w:ascii="宋体" w:hAnsi="宋体" w:cs="宋体" w:eastAsia="宋体" w:hint="default"/>
          <w:sz w:val="24"/>
          <w:szCs w:val="24"/>
        </w:rPr>
        <w:sectPr>
          <w:pgSz w:w="11910" w:h="16840"/>
          <w:pgMar w:header="0" w:footer="1195" w:top="1120" w:bottom="1380" w:left="1660" w:right="11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213" w:type="dxa"/>
        <w:tblLayout w:type="fixed"/>
        <w:tblCellMar>
          <w:top w:w="0" w:type="dxa"/>
          <w:left w:w="0" w:type="dxa"/>
          <w:bottom w:w="0" w:type="dxa"/>
          <w:right w:w="0" w:type="dxa"/>
        </w:tblCellMar>
        <w:tblLook w:val="01E0"/>
      </w:tblPr>
      <w:tblGrid>
        <w:gridCol w:w="2941"/>
        <w:gridCol w:w="1980"/>
        <w:gridCol w:w="1260"/>
        <w:gridCol w:w="1261"/>
        <w:gridCol w:w="1392"/>
      </w:tblGrid>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4"/>
              <w:jc w:val="right"/>
              <w:rPr>
                <w:rFonts w:ascii="宋体" w:hAnsi="宋体" w:cs="宋体" w:eastAsia="宋体" w:hint="default"/>
                <w:sz w:val="24"/>
                <w:szCs w:val="24"/>
              </w:rPr>
            </w:pPr>
            <w:r>
              <w:rPr>
                <w:rFonts w:ascii="宋体"/>
                <w:sz w:val="24"/>
              </w:rPr>
              <w:t>115,000,000.00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2017-12-5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2019-11-27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2017-12-18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2019-12-17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黄伟、李萍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2017-8-23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2019-8-23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450,000,000.00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2016-3-31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2018-3-30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2016-8-5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2018-8-4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1,336,000,000.00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2016-8-19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2018-8-17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19"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600,000,000.00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2016-10-25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2022-10-24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400,000,000.00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2016-10-25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2022-10-24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2017-2-10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2018-2-13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3,010,000,000.00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2017-5-11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2023-5-10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2017-5-26</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2018-5-26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2017-9-20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2018-7-26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2017-9-27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2018-7-26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71"/>
              <w:jc w:val="right"/>
              <w:rPr>
                <w:rFonts w:ascii="宋体" w:hAnsi="宋体" w:cs="宋体" w:eastAsia="宋体" w:hint="default"/>
                <w:sz w:val="24"/>
                <w:szCs w:val="24"/>
              </w:rPr>
            </w:pPr>
            <w:r>
              <w:rPr>
                <w:rFonts w:ascii="宋体" w:hAnsi="宋体" w:cs="宋体" w:eastAsia="宋体" w:hint="default"/>
                <w:sz w:val="24"/>
                <w:szCs w:val="24"/>
              </w:rPr>
              <w:t>否</w:t>
            </w:r>
          </w:p>
        </w:tc>
      </w:tr>
    </w:tbl>
    <w:p>
      <w:pPr>
        <w:spacing w:line="240" w:lineRule="auto" w:before="2"/>
        <w:rPr>
          <w:rFonts w:ascii="Times New Roman" w:hAnsi="Times New Roman" w:cs="Times New Roman" w:eastAsia="Times New Roman" w:hint="default"/>
          <w:sz w:val="21"/>
          <w:szCs w:val="21"/>
        </w:rPr>
      </w:pPr>
    </w:p>
    <w:p>
      <w:pPr>
        <w:pStyle w:val="BodyText"/>
        <w:spacing w:line="313" w:lineRule="exact" w:before="26"/>
        <w:ind w:left="218" w:right="233"/>
        <w:jc w:val="left"/>
      </w:pPr>
      <w:r>
        <w:rPr/>
        <w:t>关联担保情况说明</w:t>
      </w:r>
    </w:p>
    <w:p>
      <w:pPr>
        <w:pStyle w:val="BodyText"/>
        <w:spacing w:line="313" w:lineRule="exact"/>
        <w:ind w:left="218" w:right="233"/>
        <w:jc w:val="left"/>
      </w:pPr>
      <w:r>
        <w:rPr/>
        <w:t>□适用</w:t>
      </w:r>
      <w:r>
        <w:rPr>
          <w:spacing w:val="-1"/>
        </w:rPr>
        <w:t> </w:t>
      </w:r>
      <w:r>
        <w:rPr/>
        <w:t>√不适用</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spacing w:line="283" w:lineRule="auto" w:before="26"/>
        <w:ind w:left="218" w:right="-18" w:firstLine="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pacing w:val="10"/>
          <w:sz w:val="24"/>
          <w:szCs w:val="24"/>
        </w:rPr>
        <w:t> </w:t>
      </w:r>
      <w:r>
        <w:rPr>
          <w:rFonts w:ascii="宋体" w:hAnsi="宋体" w:cs="宋体" w:eastAsia="宋体" w:hint="default"/>
          <w:b/>
          <w:bCs/>
          <w:sz w:val="24"/>
          <w:szCs w:val="24"/>
        </w:rPr>
        <w:t>关联方资金拆借</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）拆入资金</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000" w:bottom="280" w:left="1580" w:right="1040"/>
          <w:cols w:num="2" w:equalWidth="0">
            <w:col w:w="2522" w:space="3671"/>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94"/>
        <w:gridCol w:w="2228"/>
        <w:gridCol w:w="2228"/>
      </w:tblGrid>
      <w:tr>
        <w:trPr>
          <w:trHeight w:val="430"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24"/>
                <w:szCs w:val="24"/>
              </w:rPr>
            </w:pPr>
            <w:r>
              <w:rPr>
                <w:rFonts w:ascii="宋体" w:hAnsi="宋体" w:cs="宋体" w:eastAsia="宋体" w:hint="default"/>
                <w:sz w:val="24"/>
                <w:szCs w:val="24"/>
              </w:rPr>
              <w:t>关联方</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24"/>
                <w:szCs w:val="24"/>
              </w:rPr>
            </w:pPr>
            <w:r>
              <w:rPr>
                <w:rFonts w:ascii="宋体" w:hAnsi="宋体" w:cs="宋体" w:eastAsia="宋体" w:hint="default"/>
                <w:sz w:val="24"/>
                <w:szCs w:val="24"/>
              </w:rPr>
              <w:t>拆入</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24"/>
                <w:szCs w:val="24"/>
              </w:rPr>
            </w:pPr>
            <w:r>
              <w:rPr>
                <w:rFonts w:ascii="宋体" w:hAnsi="宋体" w:cs="宋体" w:eastAsia="宋体" w:hint="default"/>
                <w:sz w:val="24"/>
                <w:szCs w:val="24"/>
              </w:rPr>
              <w:t>归还</w:t>
            </w:r>
          </w:p>
        </w:tc>
      </w:tr>
      <w:tr>
        <w:trPr>
          <w:trHeight w:val="430"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嘉兴高级中学</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4"/>
                <w:szCs w:val="24"/>
              </w:rPr>
            </w:pPr>
            <w:r>
              <w:rPr>
                <w:rFonts w:ascii="宋体"/>
                <w:sz w:val="24"/>
              </w:rPr>
              <w:t>11,000,000.00</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4"/>
                <w:szCs w:val="24"/>
              </w:rPr>
            </w:pPr>
            <w:r>
              <w:rPr>
                <w:rFonts w:ascii="宋体"/>
                <w:sz w:val="24"/>
              </w:rPr>
              <w:t>18,000,000.00</w:t>
            </w:r>
          </w:p>
        </w:tc>
      </w:tr>
      <w:tr>
        <w:trPr>
          <w:trHeight w:val="430"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嘉兴市秀洲现代实验学校</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75,200,000.00</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52,600,000.00</w:t>
            </w:r>
          </w:p>
        </w:tc>
      </w:tr>
      <w:tr>
        <w:trPr>
          <w:trHeight w:val="430"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嘉兴南湖国际实验学校</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42,500,000.00</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35,836,000.00</w:t>
            </w:r>
          </w:p>
        </w:tc>
      </w:tr>
      <w:tr>
        <w:trPr>
          <w:trHeight w:val="430"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海宁绿城新湖房地产开发有限公司</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150,000,000.00</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180,000,000.00</w:t>
            </w:r>
          </w:p>
        </w:tc>
      </w:tr>
      <w:tr>
        <w:trPr>
          <w:trHeight w:val="432"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内蒙古合和置业有限公司</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14,000,000.00</w:t>
            </w:r>
          </w:p>
        </w:tc>
        <w:tc>
          <w:tcPr>
            <w:tcW w:w="2228"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江苏新湖宝华置业有限公司</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4"/>
                <w:szCs w:val="24"/>
              </w:rPr>
            </w:pPr>
            <w:r>
              <w:rPr>
                <w:rFonts w:ascii="宋体"/>
                <w:sz w:val="24"/>
              </w:rPr>
              <w:t>23,044,918.42</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4"/>
                <w:szCs w:val="24"/>
              </w:rPr>
            </w:pPr>
            <w:r>
              <w:rPr>
                <w:rFonts w:ascii="宋体"/>
                <w:sz w:val="24"/>
              </w:rPr>
              <w:t>10,000,000.00</w:t>
            </w:r>
          </w:p>
        </w:tc>
      </w:tr>
      <w:tr>
        <w:trPr>
          <w:trHeight w:val="430"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4"/>
                <w:szCs w:val="24"/>
              </w:rPr>
            </w:pPr>
            <w:r>
              <w:rPr>
                <w:rFonts w:ascii="宋体"/>
                <w:sz w:val="24"/>
              </w:rPr>
              <w:t>315,744,918.42</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4"/>
                <w:szCs w:val="24"/>
              </w:rPr>
            </w:pPr>
            <w:r>
              <w:rPr>
                <w:rFonts w:ascii="宋体"/>
                <w:sz w:val="24"/>
              </w:rPr>
              <w:t>296,436,000.00</w:t>
            </w:r>
          </w:p>
        </w:tc>
      </w:tr>
    </w:tbl>
    <w:p>
      <w:pPr>
        <w:spacing w:line="240" w:lineRule="auto" w:before="11"/>
        <w:rPr>
          <w:rFonts w:ascii="宋体" w:hAnsi="宋体" w:cs="宋体" w:eastAsia="宋体" w:hint="default"/>
          <w:sz w:val="18"/>
          <w:szCs w:val="18"/>
        </w:rPr>
      </w:pPr>
    </w:p>
    <w:p>
      <w:pPr>
        <w:pStyle w:val="BodyText"/>
        <w:spacing w:line="312" w:lineRule="exact" w:before="26"/>
        <w:ind w:left="218" w:right="233"/>
        <w:jc w:val="left"/>
      </w:pPr>
      <w:r>
        <w:rPr>
          <w:rFonts w:ascii="宋体" w:hAnsi="宋体" w:cs="宋体" w:eastAsia="宋体" w:hint="default"/>
        </w:rPr>
        <w:t>2</w:t>
      </w:r>
      <w:r>
        <w:rPr/>
        <w:t>）拆出资金</w:t>
      </w:r>
    </w:p>
    <w:p>
      <w:pPr>
        <w:pStyle w:val="BodyText"/>
        <w:tabs>
          <w:tab w:pos="1200" w:val="left" w:leader="none"/>
        </w:tabs>
        <w:spacing w:line="312" w:lineRule="exact"/>
        <w:ind w:left="0" w:right="23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94"/>
        <w:gridCol w:w="2228"/>
        <w:gridCol w:w="2228"/>
      </w:tblGrid>
      <w:tr>
        <w:trPr>
          <w:trHeight w:val="430"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hAnsi="宋体" w:cs="宋体" w:eastAsia="宋体" w:hint="default"/>
                <w:sz w:val="24"/>
                <w:szCs w:val="24"/>
              </w:rPr>
              <w:t>关联方</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hAnsi="宋体" w:cs="宋体" w:eastAsia="宋体" w:hint="default"/>
                <w:sz w:val="24"/>
                <w:szCs w:val="24"/>
              </w:rPr>
              <w:t>拆出</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hAnsi="宋体" w:cs="宋体" w:eastAsia="宋体" w:hint="default"/>
                <w:sz w:val="24"/>
                <w:szCs w:val="24"/>
              </w:rPr>
              <w:t>收回</w:t>
            </w:r>
          </w:p>
        </w:tc>
      </w:tr>
      <w:tr>
        <w:trPr>
          <w:trHeight w:val="430"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甘肃西北矿业集团有限公司</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40,000,000.00</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40,000,000.00</w:t>
            </w:r>
          </w:p>
        </w:tc>
      </w:tr>
      <w:tr>
        <w:trPr>
          <w:trHeight w:val="432"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恩施裕丰房地产开发有限公司</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138,160,000.00</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98,956,288.38</w:t>
            </w:r>
          </w:p>
        </w:tc>
      </w:tr>
      <w:tr>
        <w:trPr>
          <w:trHeight w:val="430"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浩韵控股集团有限公司</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4"/>
                <w:szCs w:val="24"/>
              </w:rPr>
            </w:pPr>
            <w:r>
              <w:rPr>
                <w:rFonts w:ascii="宋体"/>
                <w:sz w:val="24"/>
              </w:rPr>
              <w:t>10,000,000.00</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4"/>
                <w:szCs w:val="24"/>
              </w:rPr>
            </w:pPr>
            <w:r>
              <w:rPr>
                <w:rFonts w:ascii="宋体"/>
                <w:sz w:val="24"/>
              </w:rPr>
              <w:t>10,000,000.00</w:t>
            </w:r>
          </w:p>
        </w:tc>
      </w:tr>
      <w:tr>
        <w:trPr>
          <w:trHeight w:val="430"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188,160,000.00</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148,956,288.38</w:t>
            </w:r>
          </w:p>
        </w:tc>
      </w:tr>
    </w:tbl>
    <w:p>
      <w:pPr>
        <w:spacing w:after="0" w:line="240" w:lineRule="auto"/>
        <w:jc w:val="right"/>
        <w:rPr>
          <w:rFonts w:ascii="宋体" w:hAnsi="宋体" w:cs="宋体" w:eastAsia="宋体" w:hint="default"/>
          <w:sz w:val="24"/>
          <w:szCs w:val="24"/>
        </w:rPr>
        <w:sectPr>
          <w:type w:val="continuous"/>
          <w:pgSz w:w="11910" w:h="16840"/>
          <w:pgMar w:top="1000" w:bottom="280" w:left="158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140" w:right="600"/>
        </w:sectPr>
      </w:pPr>
    </w:p>
    <w:p>
      <w:pPr>
        <w:pStyle w:val="Heading2"/>
        <w:spacing w:line="240" w:lineRule="auto"/>
        <w:ind w:left="658" w:right="-19"/>
        <w:jc w:val="left"/>
        <w:rPr>
          <w:b w:val="0"/>
          <w:bCs w:val="0"/>
        </w:rPr>
      </w:pPr>
      <w:r>
        <w:rPr>
          <w:rFonts w:ascii="宋体" w:hAnsi="宋体" w:cs="宋体" w:eastAsia="宋体" w:hint="default"/>
        </w:rPr>
        <w:t>(6).</w:t>
      </w:r>
      <w:r>
        <w:rPr>
          <w:rFonts w:ascii="宋体" w:hAnsi="宋体" w:cs="宋体" w:eastAsia="宋体" w:hint="default"/>
          <w:spacing w:val="10"/>
        </w:rPr>
        <w:t> </w:t>
      </w:r>
      <w:r>
        <w:rPr/>
        <w:t>关联方资产转让、债务重组情况</w:t>
      </w:r>
      <w:r>
        <w:rPr>
          <w:b w:val="0"/>
          <w:bCs w:val="0"/>
        </w:rPr>
      </w:r>
    </w:p>
    <w:p>
      <w:pPr>
        <w:pStyle w:val="BodyText"/>
        <w:spacing w:line="240" w:lineRule="auto" w:before="58"/>
        <w:ind w:left="65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858" w:val="left" w:leader="none"/>
        </w:tabs>
        <w:spacing w:line="240" w:lineRule="auto"/>
        <w:ind w:left="658" w:right="0"/>
        <w:jc w:val="left"/>
      </w:pPr>
      <w:r>
        <w:rPr/>
        <w:t>单位：元</w:t>
        <w:tab/>
        <w:t>币种：人民币</w:t>
      </w:r>
    </w:p>
    <w:p>
      <w:pPr>
        <w:spacing w:after="0" w:line="240" w:lineRule="auto"/>
        <w:jc w:val="left"/>
        <w:sectPr>
          <w:type w:val="continuous"/>
          <w:pgSz w:w="11910" w:h="16840"/>
          <w:pgMar w:top="1000" w:bottom="280" w:left="1140" w:right="600"/>
          <w:cols w:num="2" w:equalWidth="0">
            <w:col w:w="4648" w:space="1545"/>
            <w:col w:w="3977"/>
          </w:cols>
        </w:sectPr>
      </w:pPr>
    </w:p>
    <w:p>
      <w:pPr>
        <w:spacing w:line="240" w:lineRule="auto" w:before="10"/>
        <w:rPr>
          <w:rFonts w:ascii="宋体" w:hAnsi="宋体" w:cs="宋体" w:eastAsia="宋体" w:hint="default"/>
          <w:sz w:val="2"/>
          <w:szCs w:val="2"/>
        </w:rPr>
      </w:pPr>
    </w:p>
    <w:tbl>
      <w:tblPr>
        <w:tblW w:w="0" w:type="auto"/>
        <w:jc w:val="left"/>
        <w:tblInd w:w="545" w:type="dxa"/>
        <w:tblLayout w:type="fixed"/>
        <w:tblCellMar>
          <w:top w:w="0" w:type="dxa"/>
          <w:left w:w="0" w:type="dxa"/>
          <w:bottom w:w="0" w:type="dxa"/>
          <w:right w:w="0" w:type="dxa"/>
        </w:tblCellMar>
        <w:tblLook w:val="01E0"/>
      </w:tblPr>
      <w:tblGrid>
        <w:gridCol w:w="2377"/>
        <w:gridCol w:w="2880"/>
        <w:gridCol w:w="1896"/>
        <w:gridCol w:w="1897"/>
      </w:tblGrid>
      <w:tr>
        <w:trPr>
          <w:trHeight w:val="336"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0"/>
              <w:jc w:val="center"/>
              <w:rPr>
                <w:rFonts w:ascii="宋体" w:hAnsi="宋体" w:cs="宋体" w:eastAsia="宋体" w:hint="default"/>
                <w:sz w:val="24"/>
                <w:szCs w:val="24"/>
              </w:rPr>
            </w:pPr>
            <w:r>
              <w:rPr>
                <w:rFonts w:ascii="宋体" w:hAnsi="宋体" w:cs="宋体" w:eastAsia="宋体" w:hint="default"/>
                <w:sz w:val="24"/>
                <w:szCs w:val="24"/>
              </w:rPr>
              <w:t>关联方</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715" w:right="0"/>
              <w:jc w:val="left"/>
              <w:rPr>
                <w:rFonts w:ascii="宋体" w:hAnsi="宋体" w:cs="宋体" w:eastAsia="宋体" w:hint="default"/>
                <w:sz w:val="24"/>
                <w:szCs w:val="24"/>
              </w:rPr>
            </w:pPr>
            <w:r>
              <w:rPr>
                <w:rFonts w:ascii="宋体" w:hAnsi="宋体" w:cs="宋体" w:eastAsia="宋体" w:hint="default"/>
                <w:sz w:val="24"/>
                <w:szCs w:val="24"/>
              </w:rPr>
              <w:t>关联交易内容</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0"/>
              <w:jc w:val="center"/>
              <w:rPr>
                <w:rFonts w:ascii="宋体" w:hAnsi="宋体" w:cs="宋体" w:eastAsia="宋体" w:hint="default"/>
                <w:sz w:val="24"/>
                <w:szCs w:val="24"/>
              </w:rPr>
            </w:pPr>
            <w:r>
              <w:rPr>
                <w:rFonts w:ascii="宋体" w:hAnsi="宋体" w:cs="宋体" w:eastAsia="宋体" w:hint="default"/>
                <w:sz w:val="24"/>
                <w:szCs w:val="24"/>
              </w:rPr>
              <w:t>本期发生额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0"/>
              <w:jc w:val="center"/>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63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17"/>
              <w:jc w:val="left"/>
              <w:rPr>
                <w:rFonts w:ascii="宋体" w:hAnsi="宋体" w:cs="宋体" w:eastAsia="宋体" w:hint="default"/>
                <w:sz w:val="24"/>
                <w:szCs w:val="24"/>
              </w:rPr>
            </w:pPr>
            <w:r>
              <w:rPr>
                <w:rFonts w:ascii="宋体" w:hAnsi="宋体" w:cs="宋体" w:eastAsia="宋体" w:hint="default"/>
                <w:sz w:val="24"/>
                <w:szCs w:val="24"/>
              </w:rPr>
              <w:t>哈尔滨高科</w:t>
            </w:r>
            <w:r>
              <w:rPr>
                <w:rFonts w:ascii="宋体" w:hAnsi="宋体" w:cs="宋体" w:eastAsia="宋体" w:hint="default"/>
                <w:spacing w:val="-120"/>
                <w:sz w:val="24"/>
                <w:szCs w:val="24"/>
              </w:rPr>
              <w:t>技</w:t>
            </w:r>
            <w:r>
              <w:rPr>
                <w:rFonts w:ascii="宋体" w:hAnsi="宋体" w:cs="宋体" w:eastAsia="宋体" w:hint="default"/>
                <w:sz w:val="24"/>
                <w:szCs w:val="24"/>
              </w:rPr>
              <w:t>（集团）</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股份有限公司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17"/>
              <w:jc w:val="left"/>
              <w:rPr>
                <w:rFonts w:ascii="宋体" w:hAnsi="宋体" w:cs="宋体" w:eastAsia="宋体" w:hint="default"/>
                <w:sz w:val="24"/>
                <w:szCs w:val="24"/>
              </w:rPr>
            </w:pPr>
            <w:r>
              <w:rPr>
                <w:rFonts w:ascii="宋体" w:hAnsi="宋体" w:cs="宋体" w:eastAsia="宋体" w:hint="default"/>
                <w:spacing w:val="-4"/>
                <w:sz w:val="24"/>
                <w:szCs w:val="24"/>
              </w:rPr>
              <w:t>浩韵控股股权转让［注</w:t>
            </w:r>
            <w:r>
              <w:rPr>
                <w:rFonts w:ascii="宋体" w:hAnsi="宋体" w:cs="宋体" w:eastAsia="宋体" w:hint="default"/>
                <w:spacing w:val="-56"/>
                <w:sz w:val="24"/>
                <w:szCs w:val="24"/>
              </w:rPr>
              <w:t> </w:t>
            </w:r>
            <w:r>
              <w:rPr>
                <w:rFonts w:ascii="宋体" w:hAnsi="宋体" w:cs="宋体" w:eastAsia="宋体" w:hint="default"/>
                <w:sz w:val="24"/>
                <w:szCs w:val="24"/>
              </w:rPr>
              <w:t>1</w:t>
            </w:r>
            <w:r>
              <w:rPr>
                <w:rFonts w:ascii="宋体" w:hAnsi="宋体" w:cs="宋体" w:eastAsia="宋体" w:hint="default"/>
                <w:sz w:val="24"/>
                <w:szCs w:val="24"/>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150,000,000.00</w:t>
            </w: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新湖集团</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7"/>
              <w:jc w:val="left"/>
              <w:rPr>
                <w:rFonts w:ascii="宋体" w:hAnsi="宋体" w:cs="宋体" w:eastAsia="宋体" w:hint="default"/>
                <w:sz w:val="24"/>
                <w:szCs w:val="24"/>
              </w:rPr>
            </w:pPr>
            <w:r>
              <w:rPr>
                <w:rFonts w:ascii="宋体" w:hAnsi="宋体" w:cs="宋体" w:eastAsia="宋体" w:hint="default"/>
                <w:spacing w:val="-4"/>
                <w:sz w:val="24"/>
                <w:szCs w:val="24"/>
              </w:rPr>
              <w:t>兴和投资股权转让［注</w:t>
            </w:r>
            <w:r>
              <w:rPr>
                <w:rFonts w:ascii="宋体" w:hAnsi="宋体" w:cs="宋体" w:eastAsia="宋体" w:hint="default"/>
                <w:spacing w:val="-56"/>
                <w:sz w:val="24"/>
                <w:szCs w:val="24"/>
              </w:rPr>
              <w:t> </w:t>
            </w:r>
            <w:r>
              <w:rPr>
                <w:rFonts w:ascii="宋体" w:hAnsi="宋体" w:cs="宋体" w:eastAsia="宋体" w:hint="default"/>
                <w:sz w:val="24"/>
                <w:szCs w:val="24"/>
              </w:rPr>
              <w:t>2</w:t>
            </w:r>
            <w:r>
              <w:rPr>
                <w:rFonts w:ascii="宋体" w:hAnsi="宋体" w:cs="宋体" w:eastAsia="宋体" w:hint="default"/>
                <w:sz w:val="24"/>
                <w:szCs w:val="24"/>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400,000,000.00</w:t>
            </w: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新湖集团</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青海碱业股权转让</w:t>
            </w:r>
          </w:p>
        </w:tc>
        <w:tc>
          <w:tcPr>
            <w:tcW w:w="189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280,000,000.00</w:t>
            </w:r>
          </w:p>
        </w:tc>
      </w:tr>
    </w:tbl>
    <w:p>
      <w:pPr>
        <w:spacing w:line="241" w:lineRule="exact" w:before="0"/>
        <w:ind w:left="658" w:right="0" w:firstLine="419"/>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2"/>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：根据浩韵控股集团有限公司（以下简称浩韵控股）与本公司</w:t>
      </w:r>
      <w:r>
        <w:rPr>
          <w:rFonts w:ascii="宋体" w:hAnsi="宋体" w:cs="宋体" w:eastAsia="宋体" w:hint="default"/>
          <w:spacing w:val="-42"/>
          <w:sz w:val="21"/>
          <w:szCs w:val="21"/>
        </w:rPr>
        <w:t> </w:t>
      </w:r>
      <w:r>
        <w:rPr>
          <w:rFonts w:ascii="宋体" w:hAnsi="宋体" w:cs="宋体" w:eastAsia="宋体" w:hint="default"/>
          <w:sz w:val="21"/>
          <w:szCs w:val="21"/>
        </w:rPr>
        <w:t>2015</w:t>
      </w:r>
      <w:r>
        <w:rPr>
          <w:rFonts w:ascii="宋体" w:hAnsi="宋体" w:cs="宋体" w:eastAsia="宋体" w:hint="default"/>
          <w:spacing w:val="-42"/>
          <w:sz w:val="21"/>
          <w:szCs w:val="21"/>
        </w:rPr>
        <w:t> </w:t>
      </w:r>
      <w:r>
        <w:rPr>
          <w:rFonts w:ascii="宋体" w:hAnsi="宋体" w:cs="宋体" w:eastAsia="宋体" w:hint="default"/>
          <w:sz w:val="21"/>
          <w:szCs w:val="21"/>
        </w:rPr>
        <w:t>年签订的投资入股协</w:t>
      </w:r>
    </w:p>
    <w:p>
      <w:pPr>
        <w:spacing w:line="357" w:lineRule="auto" w:before="133"/>
        <w:ind w:left="658" w:right="670" w:firstLine="0"/>
        <w:jc w:val="both"/>
        <w:rPr>
          <w:rFonts w:ascii="宋体" w:hAnsi="宋体" w:cs="宋体" w:eastAsia="宋体" w:hint="default"/>
          <w:sz w:val="21"/>
          <w:szCs w:val="21"/>
        </w:rPr>
      </w:pPr>
      <w:r>
        <w:rPr>
          <w:rFonts w:ascii="宋体" w:hAnsi="宋体" w:cs="宋体" w:eastAsia="宋体" w:hint="default"/>
          <w:spacing w:val="-14"/>
          <w:w w:val="100"/>
          <w:sz w:val="21"/>
          <w:szCs w:val="21"/>
        </w:rPr>
        <w:t>议，本公司以现金</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15,000</w:t>
      </w:r>
      <w:r>
        <w:rPr>
          <w:rFonts w:ascii="宋体" w:hAnsi="宋体" w:cs="宋体" w:eastAsia="宋体" w:hint="default"/>
          <w:spacing w:val="-50"/>
          <w:w w:val="100"/>
          <w:sz w:val="21"/>
          <w:szCs w:val="21"/>
        </w:rPr>
        <w:t> </w:t>
      </w:r>
      <w:r>
        <w:rPr>
          <w:rFonts w:ascii="宋体" w:hAnsi="宋体" w:cs="宋体" w:eastAsia="宋体" w:hint="default"/>
          <w:spacing w:val="-7"/>
          <w:w w:val="100"/>
          <w:sz w:val="21"/>
          <w:szCs w:val="21"/>
        </w:rPr>
        <w:t>万元认购浩韵控股股权，增资完成后持股比例为</w:t>
      </w:r>
      <w:r>
        <w:rPr>
          <w:rFonts w:ascii="宋体" w:hAnsi="宋体" w:cs="宋体" w:eastAsia="宋体" w:hint="default"/>
          <w:spacing w:val="-48"/>
          <w:w w:val="100"/>
          <w:sz w:val="21"/>
          <w:szCs w:val="21"/>
        </w:rPr>
        <w:t> </w:t>
      </w:r>
      <w:r>
        <w:rPr>
          <w:rFonts w:ascii="宋体" w:hAnsi="宋体" w:cs="宋体" w:eastAsia="宋体" w:hint="default"/>
          <w:spacing w:val="-12"/>
          <w:w w:val="100"/>
          <w:sz w:val="21"/>
          <w:szCs w:val="21"/>
        </w:rPr>
        <w:t>45%</w:t>
      </w:r>
      <w:r>
        <w:rPr>
          <w:rFonts w:ascii="宋体" w:hAnsi="宋体" w:cs="宋体" w:eastAsia="宋体" w:hint="default"/>
          <w:spacing w:val="-12"/>
          <w:w w:val="100"/>
          <w:sz w:val="21"/>
          <w:szCs w:val="21"/>
        </w:rPr>
        <w:t>。浩韵控股已于</w:t>
      </w:r>
      <w:r>
        <w:rPr>
          <w:rFonts w:ascii="宋体" w:hAnsi="宋体" w:cs="宋体" w:eastAsia="宋体" w:hint="default"/>
          <w:spacing w:val="-47"/>
          <w:w w:val="100"/>
          <w:sz w:val="21"/>
          <w:szCs w:val="21"/>
        </w:rPr>
        <w:t> </w:t>
      </w:r>
      <w:r>
        <w:rPr>
          <w:rFonts w:ascii="宋体" w:hAnsi="宋体" w:cs="宋体" w:eastAsia="宋体" w:hint="default"/>
          <w:spacing w:val="-1"/>
          <w:w w:val="100"/>
          <w:sz w:val="21"/>
          <w:szCs w:val="21"/>
        </w:rPr>
        <w:t>2016</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年完成了工商变更，即本公司持有浩韵控股</w:t>
      </w:r>
      <w:r>
        <w:rPr>
          <w:rFonts w:ascii="宋体" w:hAnsi="宋体" w:cs="宋体" w:eastAsia="宋体" w:hint="default"/>
          <w:spacing w:val="-55"/>
          <w:sz w:val="21"/>
          <w:szCs w:val="21"/>
        </w:rPr>
        <w:t> </w:t>
      </w:r>
      <w:r>
        <w:rPr>
          <w:rFonts w:ascii="宋体" w:hAnsi="宋体" w:cs="宋体" w:eastAsia="宋体" w:hint="default"/>
          <w:sz w:val="21"/>
          <w:szCs w:val="21"/>
        </w:rPr>
        <w:t>45%</w:t>
      </w:r>
      <w:r>
        <w:rPr>
          <w:rFonts w:ascii="宋体" w:hAnsi="宋体" w:cs="宋体" w:eastAsia="宋体" w:hint="default"/>
          <w:sz w:val="21"/>
          <w:szCs w:val="21"/>
        </w:rPr>
        <w:t>股权。截至本次股权转让日，增资款已到位两期</w:t>
      </w:r>
      <w:r>
        <w:rPr>
          <w:rFonts w:ascii="宋体" w:hAnsi="宋体" w:cs="宋体" w:eastAsia="宋体" w:hint="default"/>
          <w:w w:val="100"/>
          <w:sz w:val="21"/>
          <w:szCs w:val="21"/>
        </w:rPr>
        <w:t> </w:t>
      </w:r>
      <w:r>
        <w:rPr>
          <w:rFonts w:ascii="宋体" w:hAnsi="宋体" w:cs="宋体" w:eastAsia="宋体" w:hint="default"/>
          <w:sz w:val="21"/>
          <w:szCs w:val="21"/>
        </w:rPr>
        <w:t>共</w:t>
      </w:r>
      <w:r>
        <w:rPr>
          <w:rFonts w:ascii="宋体" w:hAnsi="宋体" w:cs="宋体" w:eastAsia="宋体" w:hint="default"/>
          <w:spacing w:val="-54"/>
          <w:sz w:val="21"/>
          <w:szCs w:val="21"/>
        </w:rPr>
        <w:t> </w:t>
      </w:r>
      <w:r>
        <w:rPr>
          <w:rFonts w:ascii="宋体" w:hAnsi="宋体" w:cs="宋体" w:eastAsia="宋体" w:hint="default"/>
          <w:sz w:val="21"/>
          <w:szCs w:val="21"/>
        </w:rPr>
        <w:t>10,000</w:t>
      </w:r>
      <w:r>
        <w:rPr>
          <w:rFonts w:ascii="宋体" w:hAnsi="宋体" w:cs="宋体" w:eastAsia="宋体" w:hint="default"/>
          <w:spacing w:val="-56"/>
          <w:sz w:val="21"/>
          <w:szCs w:val="21"/>
        </w:rPr>
        <w:t> </w:t>
      </w:r>
      <w:r>
        <w:rPr>
          <w:rFonts w:ascii="宋体" w:hAnsi="宋体" w:cs="宋体" w:eastAsia="宋体" w:hint="default"/>
          <w:sz w:val="21"/>
          <w:szCs w:val="21"/>
        </w:rPr>
        <w:t>万元，尚有</w:t>
      </w:r>
      <w:r>
        <w:rPr>
          <w:rFonts w:ascii="宋体" w:hAnsi="宋体" w:cs="宋体" w:eastAsia="宋体" w:hint="default"/>
          <w:spacing w:val="-53"/>
          <w:sz w:val="21"/>
          <w:szCs w:val="21"/>
        </w:rPr>
        <w:t> </w:t>
      </w:r>
      <w:r>
        <w:rPr>
          <w:rFonts w:ascii="宋体" w:hAnsi="宋体" w:cs="宋体" w:eastAsia="宋体" w:hint="default"/>
          <w:sz w:val="21"/>
          <w:szCs w:val="21"/>
        </w:rPr>
        <w:t>5,000</w:t>
      </w:r>
      <w:r>
        <w:rPr>
          <w:rFonts w:ascii="宋体" w:hAnsi="宋体" w:cs="宋体" w:eastAsia="宋体" w:hint="default"/>
          <w:spacing w:val="-54"/>
          <w:sz w:val="21"/>
          <w:szCs w:val="21"/>
        </w:rPr>
        <w:t> </w:t>
      </w:r>
      <w:r>
        <w:rPr>
          <w:rFonts w:ascii="宋体" w:hAnsi="宋体" w:cs="宋体" w:eastAsia="宋体" w:hint="default"/>
          <w:sz w:val="21"/>
          <w:szCs w:val="21"/>
        </w:rPr>
        <w:t>万元没有到位。</w:t>
      </w:r>
    </w:p>
    <w:p>
      <w:pPr>
        <w:spacing w:line="355" w:lineRule="auto" w:before="30"/>
        <w:ind w:left="658" w:right="668" w:firstLine="419"/>
        <w:jc w:val="both"/>
        <w:rPr>
          <w:rFonts w:ascii="宋体" w:hAnsi="宋体" w:cs="宋体" w:eastAsia="宋体" w:hint="default"/>
          <w:sz w:val="21"/>
          <w:szCs w:val="21"/>
        </w:rPr>
      </w:pPr>
      <w:r>
        <w:rPr>
          <w:rFonts w:ascii="宋体" w:hAnsi="宋体" w:cs="宋体" w:eastAsia="宋体" w:hint="default"/>
          <w:spacing w:val="-7"/>
          <w:sz w:val="21"/>
          <w:szCs w:val="21"/>
        </w:rPr>
        <w:t>经公司第九届董事会第三十次会议决议通过，公司与哈尔滨高科技（集团）股份有限公司（以</w:t>
      </w:r>
      <w:r>
        <w:rPr>
          <w:rFonts w:ascii="宋体" w:hAnsi="宋体" w:cs="宋体" w:eastAsia="宋体" w:hint="default"/>
          <w:w w:val="100"/>
          <w:sz w:val="21"/>
          <w:szCs w:val="21"/>
        </w:rPr>
        <w:t> </w:t>
      </w:r>
      <w:r>
        <w:rPr>
          <w:rFonts w:ascii="宋体" w:hAnsi="宋体" w:cs="宋体" w:eastAsia="宋体" w:hint="default"/>
          <w:sz w:val="21"/>
          <w:szCs w:val="21"/>
        </w:rPr>
        <w:t>下简称哈高科）于</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月签署《股权转让协议》，哈高科以</w:t>
      </w:r>
      <w:r>
        <w:rPr>
          <w:rFonts w:ascii="宋体" w:hAnsi="宋体" w:cs="宋体" w:eastAsia="宋体" w:hint="default"/>
          <w:spacing w:val="-54"/>
          <w:sz w:val="21"/>
          <w:szCs w:val="21"/>
        </w:rPr>
        <w:t> </w:t>
      </w:r>
      <w:r>
        <w:rPr>
          <w:rFonts w:ascii="宋体" w:hAnsi="宋体" w:cs="宋体" w:eastAsia="宋体" w:hint="default"/>
          <w:sz w:val="21"/>
          <w:szCs w:val="21"/>
        </w:rPr>
        <w:t>15,000</w:t>
      </w:r>
      <w:r>
        <w:rPr>
          <w:rFonts w:ascii="宋体" w:hAnsi="宋体" w:cs="宋体" w:eastAsia="宋体" w:hint="default"/>
          <w:spacing w:val="-56"/>
          <w:sz w:val="21"/>
          <w:szCs w:val="21"/>
        </w:rPr>
        <w:t> </w:t>
      </w:r>
      <w:r>
        <w:rPr>
          <w:rFonts w:ascii="宋体" w:hAnsi="宋体" w:cs="宋体" w:eastAsia="宋体" w:hint="default"/>
          <w:sz w:val="21"/>
          <w:szCs w:val="21"/>
        </w:rPr>
        <w:t>万元作价受让公司持有</w:t>
      </w:r>
    </w:p>
    <w:p>
      <w:pPr>
        <w:spacing w:line="357" w:lineRule="auto" w:before="32"/>
        <w:ind w:left="658" w:right="668" w:firstLine="0"/>
        <w:jc w:val="both"/>
        <w:rPr>
          <w:rFonts w:ascii="宋体" w:hAnsi="宋体" w:cs="宋体" w:eastAsia="宋体" w:hint="default"/>
          <w:sz w:val="21"/>
          <w:szCs w:val="21"/>
        </w:rPr>
      </w:pPr>
      <w:r>
        <w:rPr>
          <w:rFonts w:ascii="宋体" w:hAnsi="宋体" w:cs="宋体" w:eastAsia="宋体" w:hint="default"/>
          <w:sz w:val="21"/>
          <w:szCs w:val="21"/>
        </w:rPr>
        <w:t>的浩韵控股</w:t>
      </w:r>
      <w:r>
        <w:rPr>
          <w:rFonts w:ascii="宋体" w:hAnsi="宋体" w:cs="宋体" w:eastAsia="宋体" w:hint="default"/>
          <w:spacing w:val="-47"/>
          <w:sz w:val="21"/>
          <w:szCs w:val="21"/>
        </w:rPr>
        <w:t> </w:t>
      </w:r>
      <w:r>
        <w:rPr>
          <w:rFonts w:ascii="宋体" w:hAnsi="宋体" w:cs="宋体" w:eastAsia="宋体" w:hint="default"/>
          <w:spacing w:val="-3"/>
          <w:sz w:val="21"/>
          <w:szCs w:val="21"/>
        </w:rPr>
        <w:t>45%</w:t>
      </w:r>
      <w:r>
        <w:rPr>
          <w:rFonts w:ascii="宋体" w:hAnsi="宋体" w:cs="宋体" w:eastAsia="宋体" w:hint="default"/>
          <w:spacing w:val="-3"/>
          <w:sz w:val="21"/>
          <w:szCs w:val="21"/>
        </w:rPr>
        <w:t>的全部股权，其中支付公司</w:t>
      </w:r>
      <w:r>
        <w:rPr>
          <w:rFonts w:ascii="宋体" w:hAnsi="宋体" w:cs="宋体" w:eastAsia="宋体" w:hint="default"/>
          <w:spacing w:val="-49"/>
          <w:sz w:val="21"/>
          <w:szCs w:val="21"/>
        </w:rPr>
        <w:t> </w:t>
      </w:r>
      <w:r>
        <w:rPr>
          <w:rFonts w:ascii="宋体" w:hAnsi="宋体" w:cs="宋体" w:eastAsia="宋体" w:hint="default"/>
          <w:sz w:val="21"/>
          <w:szCs w:val="21"/>
        </w:rPr>
        <w:t>10,000</w:t>
      </w:r>
      <w:r>
        <w:rPr>
          <w:rFonts w:ascii="宋体" w:hAnsi="宋体" w:cs="宋体" w:eastAsia="宋体" w:hint="default"/>
          <w:spacing w:val="-49"/>
          <w:sz w:val="21"/>
          <w:szCs w:val="21"/>
        </w:rPr>
        <w:t> </w:t>
      </w:r>
      <w:r>
        <w:rPr>
          <w:rFonts w:ascii="宋体" w:hAnsi="宋体" w:cs="宋体" w:eastAsia="宋体" w:hint="default"/>
          <w:spacing w:val="-6"/>
          <w:sz w:val="21"/>
          <w:szCs w:val="21"/>
        </w:rPr>
        <w:t>万元，剩余</w:t>
      </w:r>
      <w:r>
        <w:rPr>
          <w:rFonts w:ascii="宋体" w:hAnsi="宋体" w:cs="宋体" w:eastAsia="宋体" w:hint="default"/>
          <w:spacing w:val="-47"/>
          <w:sz w:val="21"/>
          <w:szCs w:val="21"/>
        </w:rPr>
        <w:t> </w:t>
      </w:r>
      <w:r>
        <w:rPr>
          <w:rFonts w:ascii="宋体" w:hAnsi="宋体" w:cs="宋体" w:eastAsia="宋体" w:hint="default"/>
          <w:sz w:val="21"/>
          <w:szCs w:val="21"/>
        </w:rPr>
        <w:t>5,000</w:t>
      </w:r>
      <w:r>
        <w:rPr>
          <w:rFonts w:ascii="宋体" w:hAnsi="宋体" w:cs="宋体" w:eastAsia="宋体" w:hint="default"/>
          <w:spacing w:val="-49"/>
          <w:sz w:val="21"/>
          <w:szCs w:val="21"/>
        </w:rPr>
        <w:t> </w:t>
      </w:r>
      <w:r>
        <w:rPr>
          <w:rFonts w:ascii="宋体" w:hAnsi="宋体" w:cs="宋体" w:eastAsia="宋体" w:hint="default"/>
          <w:sz w:val="21"/>
          <w:szCs w:val="21"/>
        </w:rPr>
        <w:t>万元出资款由哈高科按进度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支付给浩韵控股。期内，公司已收到全部股权转让款，并办妥浩韵控股的工商变更登记手续。</w:t>
      </w:r>
    </w:p>
    <w:p>
      <w:pPr>
        <w:spacing w:line="357" w:lineRule="auto" w:before="30"/>
        <w:ind w:left="658" w:right="670" w:firstLine="419"/>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7"/>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：经公司第九届董事会第三十一次会议审议和</w:t>
      </w:r>
      <w:r>
        <w:rPr>
          <w:rFonts w:ascii="宋体" w:hAnsi="宋体" w:cs="宋体" w:eastAsia="宋体" w:hint="default"/>
          <w:spacing w:val="-35"/>
          <w:sz w:val="21"/>
          <w:szCs w:val="21"/>
        </w:rPr>
        <w:t> </w:t>
      </w:r>
      <w:r>
        <w:rPr>
          <w:rFonts w:ascii="宋体" w:hAnsi="宋体" w:cs="宋体" w:eastAsia="宋体" w:hint="default"/>
          <w:sz w:val="21"/>
          <w:szCs w:val="21"/>
        </w:rPr>
        <w:t>2017</w:t>
      </w:r>
      <w:r>
        <w:rPr>
          <w:rFonts w:ascii="宋体" w:hAnsi="宋体" w:cs="宋体" w:eastAsia="宋体" w:hint="default"/>
          <w:spacing w:val="-37"/>
          <w:sz w:val="21"/>
          <w:szCs w:val="21"/>
        </w:rPr>
        <w:t> </w:t>
      </w:r>
      <w:r>
        <w:rPr>
          <w:rFonts w:ascii="宋体" w:hAnsi="宋体" w:cs="宋体" w:eastAsia="宋体" w:hint="default"/>
          <w:spacing w:val="-3"/>
          <w:sz w:val="21"/>
          <w:szCs w:val="21"/>
        </w:rPr>
        <w:t>年第三次临时股东大会决议通过，公</w:t>
      </w:r>
      <w:r>
        <w:rPr>
          <w:rFonts w:ascii="宋体" w:hAnsi="宋体" w:cs="宋体" w:eastAsia="宋体" w:hint="default"/>
          <w:w w:val="100"/>
          <w:sz w:val="21"/>
          <w:szCs w:val="21"/>
        </w:rPr>
        <w:t> </w:t>
      </w:r>
      <w:r>
        <w:rPr>
          <w:rFonts w:ascii="宋体" w:hAnsi="宋体" w:cs="宋体" w:eastAsia="宋体" w:hint="default"/>
          <w:spacing w:val="-2"/>
          <w:sz w:val="21"/>
          <w:szCs w:val="21"/>
        </w:rPr>
        <w:t>司全资子公司允升投资与新湖集团签署《杭州兴和投资发展有限公司股权转让协议》，新湖集团</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以</w:t>
      </w:r>
      <w:r>
        <w:rPr>
          <w:rFonts w:ascii="宋体" w:hAnsi="宋体" w:cs="宋体" w:eastAsia="宋体" w:hint="default"/>
          <w:spacing w:val="-54"/>
          <w:sz w:val="21"/>
          <w:szCs w:val="21"/>
        </w:rPr>
        <w:t> </w:t>
      </w:r>
      <w:r>
        <w:rPr>
          <w:rFonts w:ascii="宋体" w:hAnsi="宋体" w:cs="宋体" w:eastAsia="宋体" w:hint="default"/>
          <w:sz w:val="21"/>
          <w:szCs w:val="21"/>
        </w:rPr>
        <w:t>40,000</w:t>
      </w:r>
      <w:r>
        <w:rPr>
          <w:rFonts w:ascii="宋体" w:hAnsi="宋体" w:cs="宋体" w:eastAsia="宋体" w:hint="default"/>
          <w:spacing w:val="-56"/>
          <w:sz w:val="21"/>
          <w:szCs w:val="21"/>
        </w:rPr>
        <w:t> </w:t>
      </w:r>
      <w:r>
        <w:rPr>
          <w:rFonts w:ascii="宋体" w:hAnsi="宋体" w:cs="宋体" w:eastAsia="宋体" w:hint="default"/>
          <w:sz w:val="21"/>
          <w:szCs w:val="21"/>
        </w:rPr>
        <w:t>万元作价受让允升投资所持有的兴和投资</w:t>
      </w:r>
      <w:r>
        <w:rPr>
          <w:rFonts w:ascii="宋体" w:hAnsi="宋体" w:cs="宋体" w:eastAsia="宋体" w:hint="default"/>
          <w:spacing w:val="-56"/>
          <w:sz w:val="21"/>
          <w:szCs w:val="21"/>
        </w:rPr>
        <w:t> </w:t>
      </w:r>
      <w:r>
        <w:rPr>
          <w:rFonts w:ascii="宋体" w:hAnsi="宋体" w:cs="宋体" w:eastAsia="宋体" w:hint="default"/>
          <w:sz w:val="21"/>
          <w:szCs w:val="21"/>
        </w:rPr>
        <w:t>100%</w:t>
      </w:r>
      <w:r>
        <w:rPr>
          <w:rFonts w:ascii="宋体" w:hAnsi="宋体" w:cs="宋体" w:eastAsia="宋体" w:hint="default"/>
          <w:sz w:val="21"/>
          <w:szCs w:val="21"/>
        </w:rPr>
        <w:t>的股权。期内，允升投资已收到兴和投</w:t>
      </w:r>
      <w:r>
        <w:rPr>
          <w:rFonts w:ascii="宋体" w:hAnsi="宋体" w:cs="宋体" w:eastAsia="宋体" w:hint="default"/>
          <w:w w:val="100"/>
          <w:sz w:val="21"/>
          <w:szCs w:val="21"/>
        </w:rPr>
        <w:t> </w:t>
      </w:r>
      <w:r>
        <w:rPr>
          <w:rFonts w:ascii="宋体" w:hAnsi="宋体" w:cs="宋体" w:eastAsia="宋体" w:hint="default"/>
          <w:sz w:val="21"/>
          <w:szCs w:val="21"/>
        </w:rPr>
        <w:t>资股权转让款</w:t>
      </w:r>
      <w:r>
        <w:rPr>
          <w:rFonts w:ascii="宋体" w:hAnsi="宋体" w:cs="宋体" w:eastAsia="宋体" w:hint="default"/>
          <w:spacing w:val="-55"/>
          <w:sz w:val="21"/>
          <w:szCs w:val="21"/>
        </w:rPr>
        <w:t> </w:t>
      </w:r>
      <w:r>
        <w:rPr>
          <w:rFonts w:ascii="宋体" w:hAnsi="宋体" w:cs="宋体" w:eastAsia="宋体" w:hint="default"/>
          <w:sz w:val="21"/>
          <w:szCs w:val="21"/>
        </w:rPr>
        <w:t>20,400</w:t>
      </w:r>
      <w:r>
        <w:rPr>
          <w:rFonts w:ascii="宋体" w:hAnsi="宋体" w:cs="宋体" w:eastAsia="宋体" w:hint="default"/>
          <w:spacing w:val="-55"/>
          <w:sz w:val="21"/>
          <w:szCs w:val="21"/>
        </w:rPr>
        <w:t> </w:t>
      </w:r>
      <w:r>
        <w:rPr>
          <w:rFonts w:ascii="宋体" w:hAnsi="宋体" w:cs="宋体" w:eastAsia="宋体" w:hint="default"/>
          <w:sz w:val="21"/>
          <w:szCs w:val="21"/>
        </w:rPr>
        <w:t>万元，并办妥兴和投资的工商变更登记手续。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00" w:bottom="280" w:left="1140" w:right="600"/>
        </w:sectPr>
      </w:pPr>
    </w:p>
    <w:p>
      <w:pPr>
        <w:pStyle w:val="Heading2"/>
        <w:spacing w:line="240" w:lineRule="auto" w:before="184"/>
        <w:ind w:left="658" w:right="-18"/>
        <w:jc w:val="left"/>
        <w:rPr>
          <w:b w:val="0"/>
          <w:bCs w:val="0"/>
        </w:rPr>
      </w:pPr>
      <w:r>
        <w:rPr>
          <w:rFonts w:ascii="宋体" w:hAnsi="宋体" w:cs="宋体" w:eastAsia="宋体" w:hint="default"/>
        </w:rPr>
        <w:t>(7).</w:t>
      </w:r>
      <w:r>
        <w:rPr>
          <w:rFonts w:ascii="宋体" w:hAnsi="宋体" w:cs="宋体" w:eastAsia="宋体" w:hint="default"/>
          <w:spacing w:val="9"/>
        </w:rPr>
        <w:t> </w:t>
      </w:r>
      <w:r>
        <w:rPr/>
        <w:t>关键管理人员报酬</w:t>
      </w:r>
      <w:r>
        <w:rPr>
          <w:b w:val="0"/>
          <w:bCs w:val="0"/>
        </w:rPr>
      </w:r>
    </w:p>
    <w:p>
      <w:pPr>
        <w:pStyle w:val="BodyText"/>
        <w:spacing w:line="240" w:lineRule="auto" w:before="58"/>
        <w:ind w:left="65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8"/>
          <w:szCs w:val="18"/>
        </w:rPr>
      </w:pPr>
    </w:p>
    <w:p>
      <w:pPr>
        <w:pStyle w:val="BodyText"/>
        <w:tabs>
          <w:tab w:pos="2098" w:val="left" w:leader="none"/>
        </w:tabs>
        <w:spacing w:line="240" w:lineRule="auto"/>
        <w:ind w:left="658" w:right="0"/>
        <w:jc w:val="left"/>
      </w:pPr>
      <w:r>
        <w:rPr/>
        <w:t>单位：万元</w:t>
        <w:tab/>
        <w:t>币种：人民币</w:t>
      </w:r>
    </w:p>
    <w:p>
      <w:pPr>
        <w:spacing w:after="0" w:line="240" w:lineRule="auto"/>
        <w:jc w:val="left"/>
        <w:sectPr>
          <w:type w:val="continuous"/>
          <w:pgSz w:w="11910" w:h="16840"/>
          <w:pgMar w:top="1000" w:bottom="280" w:left="1140" w:right="600"/>
          <w:cols w:num="2" w:equalWidth="0">
            <w:col w:w="3202" w:space="2751"/>
            <w:col w:w="4217"/>
          </w:cols>
        </w:sectPr>
      </w:pPr>
    </w:p>
    <w:p>
      <w:pPr>
        <w:spacing w:line="240" w:lineRule="auto" w:before="12"/>
        <w:rPr>
          <w:rFonts w:ascii="宋体" w:hAnsi="宋体" w:cs="宋体" w:eastAsia="宋体" w:hint="default"/>
          <w:sz w:val="2"/>
          <w:szCs w:val="2"/>
        </w:rPr>
      </w:pPr>
    </w:p>
    <w:tbl>
      <w:tblPr>
        <w:tblW w:w="0" w:type="auto"/>
        <w:jc w:val="left"/>
        <w:tblInd w:w="545" w:type="dxa"/>
        <w:tblLayout w:type="fixed"/>
        <w:tblCellMar>
          <w:top w:w="0" w:type="dxa"/>
          <w:left w:w="0" w:type="dxa"/>
          <w:bottom w:w="0" w:type="dxa"/>
          <w:right w:w="0" w:type="dxa"/>
        </w:tblCellMar>
        <w:tblLook w:val="01E0"/>
      </w:tblPr>
      <w:tblGrid>
        <w:gridCol w:w="3274"/>
        <w:gridCol w:w="3274"/>
        <w:gridCol w:w="2501"/>
      </w:tblGrid>
      <w:tr>
        <w:trPr>
          <w:trHeight w:val="32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2"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6"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448.00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513.00</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00" w:bottom="280" w:left="1140" w:right="600"/>
        </w:sectPr>
      </w:pPr>
    </w:p>
    <w:p>
      <w:pPr>
        <w:pStyle w:val="Heading2"/>
        <w:spacing w:line="240" w:lineRule="auto"/>
        <w:ind w:left="658" w:right="-19"/>
        <w:jc w:val="left"/>
        <w:rPr>
          <w:b w:val="0"/>
          <w:bCs w:val="0"/>
        </w:rPr>
      </w:pPr>
      <w:r>
        <w:rPr>
          <w:rFonts w:ascii="宋体" w:hAnsi="宋体" w:cs="宋体" w:eastAsia="宋体" w:hint="default"/>
        </w:rPr>
        <w:t>(8).</w:t>
      </w:r>
      <w:r>
        <w:rPr>
          <w:rFonts w:ascii="宋体" w:hAnsi="宋体" w:cs="宋体" w:eastAsia="宋体" w:hint="default"/>
          <w:spacing w:val="9"/>
        </w:rPr>
        <w:t> </w:t>
      </w:r>
      <w:r>
        <w:rPr/>
        <w:t>其他关联交易</w:t>
      </w:r>
      <w:r>
        <w:rPr>
          <w:b w:val="0"/>
          <w:bCs w:val="0"/>
        </w:rPr>
      </w:r>
    </w:p>
    <w:p>
      <w:pPr>
        <w:pStyle w:val="BodyText"/>
        <w:tabs>
          <w:tab w:pos="1617" w:val="left" w:leader="none"/>
        </w:tabs>
        <w:spacing w:line="312" w:lineRule="exact" w:before="86"/>
        <w:ind w:left="778" w:right="139" w:hanging="120"/>
        <w:jc w:val="left"/>
      </w:pPr>
      <w:r>
        <w:rPr>
          <w:spacing w:val="-1"/>
        </w:rPr>
        <w:t>√适用</w:t>
        <w:tab/>
      </w:r>
      <w:r>
        <w:rPr/>
        <w:t>□不适用</w:t>
      </w:r>
      <w:r>
        <w:rPr/>
        <w:t> </w:t>
      </w:r>
      <w:r>
        <w:rPr>
          <w:rFonts w:ascii="宋体" w:hAnsi="宋体" w:cs="宋体" w:eastAsia="宋体" w:hint="default"/>
        </w:rPr>
        <w:t>1</w:t>
      </w:r>
      <w:r>
        <w:rPr/>
        <w:t>）关联方借款</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9"/>
          <w:szCs w:val="29"/>
        </w:rPr>
      </w:pPr>
    </w:p>
    <w:p>
      <w:pPr>
        <w:pStyle w:val="BodyText"/>
        <w:tabs>
          <w:tab w:pos="1858" w:val="left" w:leader="none"/>
        </w:tabs>
        <w:spacing w:line="240" w:lineRule="auto"/>
        <w:ind w:left="658" w:right="0"/>
        <w:jc w:val="left"/>
      </w:pPr>
      <w:r>
        <w:rPr/>
        <w:t>单位：元</w:t>
        <w:tab/>
        <w:t>币种：人民币</w:t>
      </w:r>
    </w:p>
    <w:p>
      <w:pPr>
        <w:spacing w:after="0" w:line="240" w:lineRule="auto"/>
        <w:jc w:val="left"/>
        <w:sectPr>
          <w:type w:val="continuous"/>
          <w:pgSz w:w="11910" w:h="16840"/>
          <w:pgMar w:top="1000" w:bottom="280" w:left="1140" w:right="600"/>
          <w:cols w:num="2" w:equalWidth="0">
            <w:col w:w="2720" w:space="3353"/>
            <w:col w:w="4097"/>
          </w:cols>
        </w:sectPr>
      </w:pP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840"/>
        <w:gridCol w:w="1697"/>
        <w:gridCol w:w="1092"/>
        <w:gridCol w:w="2137"/>
        <w:gridCol w:w="2172"/>
      </w:tblGrid>
      <w:tr>
        <w:trPr>
          <w:trHeight w:val="634"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关联方</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关联交易内容</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借款利</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率</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83"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w:t>
            </w:r>
            <w:r>
              <w:rPr>
                <w:rFonts w:ascii="宋体" w:hAnsi="宋体" w:cs="宋体" w:eastAsia="宋体" w:hint="default"/>
                <w:sz w:val="24"/>
                <w:szCs w:val="24"/>
              </w:rPr>
              <w:t>本期数</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上年期末数</w:t>
            </w:r>
            <w:r>
              <w:rPr>
                <w:rFonts w:ascii="宋体" w:hAnsi="宋体" w:cs="宋体" w:eastAsia="宋体" w:hint="default"/>
                <w:sz w:val="24"/>
                <w:szCs w:val="24"/>
              </w:rPr>
              <w:t>/</w:t>
            </w:r>
            <w:r>
              <w:rPr>
                <w:rFonts w:ascii="宋体" w:hAnsi="宋体" w:cs="宋体" w:eastAsia="宋体" w:hint="default"/>
                <w:sz w:val="24"/>
                <w:szCs w:val="24"/>
              </w:rPr>
              <w:t>上期</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同期数</w:t>
            </w: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盛京银行股份有限公司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hAnsi="宋体" w:cs="宋体" w:eastAsia="宋体" w:hint="default"/>
                <w:sz w:val="24"/>
                <w:szCs w:val="24"/>
              </w:rPr>
              <w:t>银行借款</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77"/>
              <w:jc w:val="righ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248,950,000.00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248,950,000.00</w:t>
            </w: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盛京银行股份有限公司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hAnsi="宋体" w:cs="宋体" w:eastAsia="宋体" w:hint="default"/>
                <w:sz w:val="24"/>
                <w:szCs w:val="24"/>
              </w:rPr>
              <w:t>借款利息</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77"/>
              <w:jc w:val="righ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15,894,938.96</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33,795,678.94</w:t>
            </w:r>
          </w:p>
        </w:tc>
      </w:tr>
      <w:tr>
        <w:trPr>
          <w:trHeight w:val="432"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温州银行股份有限公司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hAnsi="宋体" w:cs="宋体" w:eastAsia="宋体" w:hint="default"/>
                <w:sz w:val="24"/>
                <w:szCs w:val="24"/>
              </w:rPr>
              <w:t>银行借款</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77"/>
              <w:jc w:val="righ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z w:val="24"/>
                <w:szCs w:val="24"/>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280,000,000.00</w:t>
            </w:r>
          </w:p>
        </w:tc>
        <w:tc>
          <w:tcPr>
            <w:tcW w:w="217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00" w:bottom="280" w:left="1140" w:right="6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840"/>
        <w:gridCol w:w="1697"/>
        <w:gridCol w:w="1092"/>
        <w:gridCol w:w="2137"/>
        <w:gridCol w:w="2172"/>
      </w:tblGrid>
      <w:tr>
        <w:trPr>
          <w:trHeight w:val="425" w:hRule="exact"/>
        </w:trPr>
        <w:tc>
          <w:tcPr>
            <w:tcW w:w="28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温州银行股份有限公司</w:t>
            </w:r>
          </w:p>
        </w:tc>
        <w:tc>
          <w:tcPr>
            <w:tcW w:w="16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right="362"/>
              <w:jc w:val="right"/>
              <w:rPr>
                <w:rFonts w:ascii="宋体" w:hAnsi="宋体" w:cs="宋体" w:eastAsia="宋体" w:hint="default"/>
                <w:sz w:val="24"/>
                <w:szCs w:val="24"/>
              </w:rPr>
            </w:pPr>
            <w:r>
              <w:rPr>
                <w:rFonts w:ascii="宋体" w:hAnsi="宋体" w:cs="宋体" w:eastAsia="宋体" w:hint="default"/>
                <w:sz w:val="24"/>
                <w:szCs w:val="24"/>
              </w:rPr>
              <w:t>借款利息</w:t>
            </w:r>
          </w:p>
        </w:tc>
        <w:tc>
          <w:tcPr>
            <w:tcW w:w="10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right="77"/>
              <w:jc w:val="righ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z w:val="24"/>
                <w:szCs w:val="24"/>
              </w:rPr>
              <w:t>］</w:t>
            </w:r>
          </w:p>
        </w:tc>
        <w:tc>
          <w:tcPr>
            <w:tcW w:w="21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8,166,666.67</w:t>
            </w:r>
          </w:p>
        </w:tc>
        <w:tc>
          <w:tcPr>
            <w:tcW w:w="21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44,788,886.99</w:t>
            </w:r>
          </w:p>
        </w:tc>
      </w:tr>
      <w:tr>
        <w:trPr>
          <w:trHeight w:val="432"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中信银行股份有限公司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62"/>
              <w:jc w:val="right"/>
              <w:rPr>
                <w:rFonts w:ascii="宋体" w:hAnsi="宋体" w:cs="宋体" w:eastAsia="宋体" w:hint="default"/>
                <w:sz w:val="24"/>
                <w:szCs w:val="24"/>
              </w:rPr>
            </w:pPr>
            <w:r>
              <w:rPr>
                <w:rFonts w:ascii="宋体" w:hAnsi="宋体" w:cs="宋体" w:eastAsia="宋体" w:hint="default"/>
                <w:sz w:val="24"/>
                <w:szCs w:val="24"/>
              </w:rPr>
              <w:t>银行借款</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77"/>
              <w:jc w:val="righ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z w:val="24"/>
                <w:szCs w:val="24"/>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1,786,000.000.00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1,903,000,000.00</w:t>
            </w: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中信银行股份有限公司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362"/>
              <w:jc w:val="right"/>
              <w:rPr>
                <w:rFonts w:ascii="宋体" w:hAnsi="宋体" w:cs="宋体" w:eastAsia="宋体" w:hint="default"/>
                <w:sz w:val="24"/>
                <w:szCs w:val="24"/>
              </w:rPr>
            </w:pPr>
            <w:r>
              <w:rPr>
                <w:rFonts w:ascii="宋体" w:hAnsi="宋体" w:cs="宋体" w:eastAsia="宋体" w:hint="default"/>
                <w:sz w:val="24"/>
                <w:szCs w:val="24"/>
              </w:rPr>
              <w:t>借款利息</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7"/>
              <w:jc w:val="righ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z w:val="24"/>
                <w:szCs w:val="24"/>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4"/>
                <w:szCs w:val="24"/>
              </w:rPr>
            </w:pPr>
            <w:r>
              <w:rPr>
                <w:rFonts w:ascii="宋体"/>
                <w:sz w:val="24"/>
              </w:rPr>
              <w:t>108,688,811.21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4"/>
                <w:szCs w:val="24"/>
              </w:rPr>
            </w:pPr>
            <w:r>
              <w:rPr>
                <w:rFonts w:ascii="宋体"/>
                <w:sz w:val="24"/>
              </w:rPr>
              <w:t>9,237,078.27</w:t>
            </w:r>
          </w:p>
        </w:tc>
      </w:tr>
    </w:tbl>
    <w:p>
      <w:pPr>
        <w:spacing w:line="241" w:lineRule="exact" w:before="0"/>
        <w:ind w:left="1078" w:right="416"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14"/>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：盛京银行为本公司提供贷款的利率在中国人民银行公布的贷款利率区间内。</w:t>
      </w:r>
    </w:p>
    <w:p>
      <w:pPr>
        <w:spacing w:line="355" w:lineRule="auto" w:before="133"/>
        <w:ind w:left="1077" w:right="1570" w:firstLine="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：温州银行为本公司提供贷款的利率在中国人民银行公布的贷款利率区间内。</w:t>
      </w:r>
      <w:r>
        <w:rPr>
          <w:rFonts w:ascii="宋体" w:hAnsi="宋体" w:cs="宋体" w:eastAsia="宋体" w:hint="default"/>
          <w:w w:val="100"/>
          <w:sz w:val="21"/>
          <w:szCs w:val="21"/>
        </w:rPr>
        <w:t> </w:t>
      </w:r>
      <w:r>
        <w:rPr>
          <w:rFonts w:ascii="宋体" w:hAnsi="宋体" w:cs="宋体" w:eastAsia="宋体" w:hint="default"/>
          <w:sz w:val="21"/>
          <w:szCs w:val="21"/>
        </w:rPr>
        <w:t>注</w:t>
      </w:r>
      <w:r>
        <w:rPr>
          <w:rFonts w:ascii="宋体" w:hAnsi="宋体" w:cs="宋体" w:eastAsia="宋体" w:hint="default"/>
          <w:spacing w:val="14"/>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：中信银行为本公司提供贷款的利率在中国人民银行公布的贷款利率区间内。</w:t>
      </w:r>
    </w:p>
    <w:p>
      <w:pPr>
        <w:pStyle w:val="BodyText"/>
        <w:spacing w:line="240" w:lineRule="auto" w:before="28"/>
        <w:ind w:left="778" w:right="416"/>
        <w:jc w:val="left"/>
      </w:pPr>
      <w:r>
        <w:rPr>
          <w:rFonts w:ascii="宋体" w:hAnsi="宋体" w:cs="宋体" w:eastAsia="宋体" w:hint="default"/>
        </w:rPr>
        <w:t>2</w:t>
      </w:r>
      <w:r>
        <w:rPr/>
        <w:t>）其他</w:t>
      </w:r>
    </w:p>
    <w:p>
      <w:pPr>
        <w:pStyle w:val="BodyText"/>
        <w:spacing w:line="357" w:lineRule="auto" w:before="151"/>
        <w:ind w:left="658" w:right="416" w:firstLine="479"/>
        <w:jc w:val="left"/>
      </w:pPr>
      <w:r>
        <w:rPr/>
        <w:t>① 经公司第九届董事会第三十一次会议和</w:t>
      </w:r>
      <w:r>
        <w:rPr>
          <w:spacing w:val="-83"/>
        </w:rPr>
        <w:t> </w:t>
      </w:r>
      <w:r>
        <w:rPr>
          <w:rFonts w:ascii="宋体" w:hAnsi="宋体" w:cs="宋体" w:eastAsia="宋体" w:hint="default"/>
        </w:rPr>
        <w:t>2017</w:t>
      </w:r>
      <w:r>
        <w:rPr>
          <w:rFonts w:ascii="宋体" w:hAnsi="宋体" w:cs="宋体" w:eastAsia="宋体" w:hint="default"/>
          <w:spacing w:val="-84"/>
        </w:rPr>
        <w:t> </w:t>
      </w:r>
      <w:r>
        <w:rPr/>
        <w:t>年第三次临时股东大会审议通过， 公司与新湖集团签署《新湖期货有限公司股权转让协议》，新湖集团以</w:t>
      </w:r>
      <w:r>
        <w:rPr>
          <w:spacing w:val="-66"/>
        </w:rPr>
        <w:t> </w:t>
      </w:r>
      <w:r>
        <w:rPr>
          <w:rFonts w:ascii="宋体" w:hAnsi="宋体" w:cs="宋体" w:eastAsia="宋体" w:hint="default"/>
        </w:rPr>
        <w:t>9,600</w:t>
      </w:r>
      <w:r>
        <w:rPr>
          <w:rFonts w:ascii="宋体" w:hAnsi="宋体" w:cs="宋体" w:eastAsia="宋体" w:hint="default"/>
          <w:spacing w:val="-68"/>
        </w:rPr>
        <w:t> </w:t>
      </w:r>
      <w:r>
        <w:rPr/>
        <w:t>万元受 让公司所持有的新湖期货</w:t>
      </w:r>
      <w:r>
        <w:rPr>
          <w:spacing w:val="-60"/>
        </w:rPr>
        <w:t> </w:t>
      </w:r>
      <w:r>
        <w:rPr>
          <w:rFonts w:ascii="宋体" w:hAnsi="宋体" w:cs="宋体" w:eastAsia="宋体" w:hint="default"/>
          <w:spacing w:val="-4"/>
        </w:rPr>
        <w:t>8%</w:t>
      </w:r>
      <w:r>
        <w:rPr>
          <w:spacing w:val="-4"/>
        </w:rPr>
        <w:t>的股权。截至报告日，该股权转让事宜已经中国证监督管</w:t>
      </w:r>
      <w:r>
        <w:rPr/>
        <w:t> 理委员会上海监管局核准，公司已收到新湖期货股权转让款</w:t>
      </w:r>
      <w:r>
        <w:rPr>
          <w:spacing w:val="-64"/>
        </w:rPr>
        <w:t> </w:t>
      </w:r>
      <w:r>
        <w:rPr>
          <w:rFonts w:ascii="宋体" w:hAnsi="宋体" w:cs="宋体" w:eastAsia="宋体" w:hint="default"/>
        </w:rPr>
        <w:t>4,896</w:t>
      </w:r>
      <w:r>
        <w:rPr>
          <w:rFonts w:ascii="宋体" w:hAnsi="宋体" w:cs="宋体" w:eastAsia="宋体" w:hint="default"/>
          <w:spacing w:val="-64"/>
        </w:rPr>
        <w:t> </w:t>
      </w:r>
      <w:r>
        <w:rPr>
          <w:spacing w:val="-3"/>
        </w:rPr>
        <w:t>万元，并办妥新湖</w:t>
      </w:r>
      <w:r>
        <w:rPr/>
        <w:t> 期货的工商变更登记手续。</w:t>
      </w:r>
    </w:p>
    <w:p>
      <w:pPr>
        <w:pStyle w:val="BodyText"/>
        <w:spacing w:line="355" w:lineRule="auto" w:before="36"/>
        <w:ind w:left="658" w:right="414" w:firstLine="419"/>
        <w:jc w:val="left"/>
      </w:pPr>
      <w:r>
        <w:rPr/>
        <w:t>② 经公司第九届董事会第三十二次会议和</w:t>
      </w:r>
      <w:r>
        <w:rPr>
          <w:spacing w:val="-52"/>
        </w:rPr>
        <w:t> </w:t>
      </w:r>
      <w:r>
        <w:rPr>
          <w:rFonts w:ascii="宋体" w:hAnsi="宋体" w:cs="宋体" w:eastAsia="宋体" w:hint="default"/>
        </w:rPr>
        <w:t>2017</w:t>
      </w:r>
      <w:r>
        <w:rPr>
          <w:rFonts w:ascii="宋体" w:hAnsi="宋体" w:cs="宋体" w:eastAsia="宋体" w:hint="default"/>
          <w:spacing w:val="-53"/>
        </w:rPr>
        <w:t> </w:t>
      </w:r>
      <w:r>
        <w:rPr/>
        <w:t>年第四次临时股东大会审议通过， 公司通过境外全资子公司香港冠盛投资有限公司（以下简称香港冠盛）参与中信银行</w:t>
      </w:r>
    </w:p>
    <w:p>
      <w:pPr>
        <w:pStyle w:val="BodyText"/>
        <w:spacing w:line="240" w:lineRule="auto" w:before="38"/>
        <w:ind w:left="658" w:right="416"/>
        <w:jc w:val="left"/>
      </w:pPr>
      <w:r>
        <w:rPr/>
        <w:t>（国际）有限公司（以下简称信银国际）的增资扩股，以</w:t>
      </w:r>
      <w:r>
        <w:rPr>
          <w:spacing w:val="-60"/>
        </w:rPr>
        <w:t> </w:t>
      </w:r>
      <w:r>
        <w:rPr>
          <w:rFonts w:ascii="宋体" w:hAnsi="宋体" w:cs="宋体" w:eastAsia="宋体" w:hint="default"/>
        </w:rPr>
        <w:t>2,172,735,209.06</w:t>
      </w:r>
      <w:r>
        <w:rPr>
          <w:rFonts w:ascii="宋体" w:hAnsi="宋体" w:cs="宋体" w:eastAsia="宋体" w:hint="default"/>
          <w:spacing w:val="-60"/>
        </w:rPr>
        <w:t> </w:t>
      </w:r>
      <w:r>
        <w:rPr/>
        <w:t>港元认</w:t>
      </w:r>
    </w:p>
    <w:p>
      <w:pPr>
        <w:pStyle w:val="BodyText"/>
        <w:spacing w:line="357" w:lineRule="auto" w:before="152"/>
        <w:ind w:left="658" w:right="656"/>
        <w:jc w:val="left"/>
      </w:pPr>
      <w:r>
        <w:rPr/>
        <w:t>购信银国际新增股份</w:t>
      </w:r>
      <w:r>
        <w:rPr>
          <w:spacing w:val="-66"/>
        </w:rPr>
        <w:t> </w:t>
      </w:r>
      <w:r>
        <w:rPr>
          <w:rFonts w:ascii="宋体" w:hAnsi="宋体" w:cs="宋体" w:eastAsia="宋体" w:hint="default"/>
        </w:rPr>
        <w:t>726,667,294</w:t>
      </w:r>
      <w:r>
        <w:rPr>
          <w:rFonts w:ascii="宋体" w:hAnsi="宋体" w:cs="宋体" w:eastAsia="宋体" w:hint="default"/>
          <w:spacing w:val="-66"/>
        </w:rPr>
        <w:t> </w:t>
      </w:r>
      <w:r>
        <w:rPr>
          <w:spacing w:val="-4"/>
        </w:rPr>
        <w:t>股，认购价格</w:t>
      </w:r>
      <w:r>
        <w:rPr>
          <w:spacing w:val="-66"/>
        </w:rPr>
        <w:t> </w:t>
      </w:r>
      <w:r>
        <w:rPr>
          <w:rFonts w:ascii="宋体" w:hAnsi="宋体" w:cs="宋体" w:eastAsia="宋体" w:hint="default"/>
        </w:rPr>
        <w:t>2.99</w:t>
      </w:r>
      <w:r>
        <w:rPr>
          <w:rFonts w:ascii="宋体" w:hAnsi="宋体" w:cs="宋体" w:eastAsia="宋体" w:hint="default"/>
          <w:spacing w:val="-66"/>
        </w:rPr>
        <w:t> </w:t>
      </w:r>
      <w:r>
        <w:rPr/>
        <w:t>港元</w:t>
      </w:r>
      <w:r>
        <w:rPr>
          <w:rFonts w:ascii="宋体" w:hAnsi="宋体" w:cs="宋体" w:eastAsia="宋体" w:hint="default"/>
        </w:rPr>
        <w:t>/</w:t>
      </w:r>
      <w:r>
        <w:rPr/>
        <w:t>股，占其本轮增资完成后 总股本的</w:t>
      </w:r>
      <w:r>
        <w:rPr>
          <w:spacing w:val="-61"/>
        </w:rPr>
        <w:t> </w:t>
      </w:r>
      <w:r>
        <w:rPr>
          <w:rFonts w:ascii="宋体" w:hAnsi="宋体" w:cs="宋体" w:eastAsia="宋体" w:hint="default"/>
        </w:rPr>
        <w:t>6%</w:t>
      </w:r>
      <w:r>
        <w:rPr/>
        <w:t>。截至资产负债表日，该增资事项已完成。</w:t>
      </w:r>
    </w:p>
    <w:p>
      <w:pPr>
        <w:pStyle w:val="BodyText"/>
        <w:spacing w:line="357" w:lineRule="auto" w:before="34"/>
        <w:ind w:left="658" w:right="672" w:firstLine="419"/>
        <w:jc w:val="both"/>
      </w:pPr>
      <w:r>
        <w:rPr/>
        <w:t>③</w:t>
      </w:r>
      <w:r>
        <w:rPr>
          <w:spacing w:val="27"/>
        </w:rPr>
        <w:t> </w:t>
      </w:r>
      <w:r>
        <w:rPr>
          <w:spacing w:val="-4"/>
        </w:rPr>
        <w:t>经公司第九届董事会第三十三次会议审议通过，公司与参股公司新湖控股有限</w:t>
      </w:r>
      <w:r>
        <w:rPr/>
        <w:t> </w:t>
      </w:r>
      <w:r>
        <w:rPr>
          <w:spacing w:val="-2"/>
        </w:rPr>
        <w:t>公司（以下简称新湖控股）共同参与湘财证券股份有限公司（以下简称湘财证券）的</w:t>
      </w:r>
      <w:r>
        <w:rPr>
          <w:spacing w:val="-93"/>
        </w:rPr>
        <w:t> </w:t>
      </w:r>
      <w:r>
        <w:rPr>
          <w:spacing w:val="-93"/>
        </w:rPr>
      </w:r>
      <w:r>
        <w:rPr/>
        <w:t>增资扩股方案，双方根据持股比例以</w:t>
      </w:r>
      <w:r>
        <w:rPr>
          <w:spacing w:val="-60"/>
        </w:rPr>
        <w:t> </w:t>
      </w:r>
      <w:r>
        <w:rPr>
          <w:rFonts w:ascii="宋体" w:hAnsi="宋体" w:cs="宋体" w:eastAsia="宋体" w:hint="default"/>
        </w:rPr>
        <w:t>3.125</w:t>
      </w:r>
      <w:r>
        <w:rPr>
          <w:rFonts w:ascii="宋体" w:hAnsi="宋体" w:cs="宋体" w:eastAsia="宋体" w:hint="default"/>
          <w:spacing w:val="-60"/>
        </w:rPr>
        <w:t> </w:t>
      </w:r>
      <w:r>
        <w:rPr/>
        <w:t>元</w:t>
      </w:r>
      <w:r>
        <w:rPr>
          <w:rFonts w:ascii="宋体" w:hAnsi="宋体" w:cs="宋体" w:eastAsia="宋体" w:hint="default"/>
        </w:rPr>
        <w:t>/</w:t>
      </w:r>
      <w:r>
        <w:rPr/>
        <w:t>股的价格分别认购湘财证券定向增发</w:t>
      </w:r>
    </w:p>
    <w:p>
      <w:pPr>
        <w:pStyle w:val="BodyText"/>
        <w:spacing w:line="240" w:lineRule="auto" w:before="36"/>
        <w:ind w:left="658" w:right="416"/>
        <w:jc w:val="left"/>
      </w:pPr>
      <w:r>
        <w:rPr/>
        <w:t>的</w:t>
      </w:r>
      <w:r>
        <w:rPr>
          <w:spacing w:val="-61"/>
        </w:rPr>
        <w:t> </w:t>
      </w:r>
      <w:r>
        <w:rPr>
          <w:rFonts w:ascii="宋体" w:hAnsi="宋体" w:cs="宋体" w:eastAsia="宋体" w:hint="default"/>
        </w:rPr>
        <w:t>22,018,882</w:t>
      </w:r>
      <w:r>
        <w:rPr>
          <w:rFonts w:ascii="宋体" w:hAnsi="宋体" w:cs="宋体" w:eastAsia="宋体" w:hint="default"/>
          <w:spacing w:val="-60"/>
        </w:rPr>
        <w:t> </w:t>
      </w:r>
      <w:r>
        <w:rPr/>
        <w:t>股和</w:t>
      </w:r>
      <w:r>
        <w:rPr>
          <w:spacing w:val="-60"/>
        </w:rPr>
        <w:t> </w:t>
      </w:r>
      <w:r>
        <w:rPr>
          <w:rFonts w:ascii="宋体" w:hAnsi="宋体" w:cs="宋体" w:eastAsia="宋体" w:hint="default"/>
        </w:rPr>
        <w:t>455,339,162</w:t>
      </w:r>
      <w:r>
        <w:rPr>
          <w:rFonts w:ascii="宋体" w:hAnsi="宋体" w:cs="宋体" w:eastAsia="宋体" w:hint="default"/>
          <w:spacing w:val="-60"/>
        </w:rPr>
        <w:t> </w:t>
      </w:r>
      <w:r>
        <w:rPr/>
        <w:t>股股份，认购金额分别为</w:t>
      </w:r>
      <w:r>
        <w:rPr>
          <w:spacing w:val="-60"/>
        </w:rPr>
        <w:t> </w:t>
      </w:r>
      <w:r>
        <w:rPr>
          <w:rFonts w:ascii="宋体" w:hAnsi="宋体" w:cs="宋体" w:eastAsia="宋体" w:hint="default"/>
        </w:rPr>
        <w:t>68,809,006.25</w:t>
      </w:r>
      <w:r>
        <w:rPr>
          <w:rFonts w:ascii="宋体" w:hAnsi="宋体" w:cs="宋体" w:eastAsia="宋体" w:hint="default"/>
          <w:spacing w:val="-60"/>
        </w:rPr>
        <w:t> </w:t>
      </w:r>
      <w:r>
        <w:rPr/>
        <w:t>元和</w:t>
      </w:r>
    </w:p>
    <w:p>
      <w:pPr>
        <w:pStyle w:val="BodyText"/>
        <w:spacing w:line="240" w:lineRule="auto" w:before="154"/>
        <w:ind w:left="658" w:right="416"/>
        <w:jc w:val="left"/>
      </w:pPr>
      <w:r>
        <w:rPr>
          <w:rFonts w:ascii="宋体" w:hAnsi="宋体" w:cs="宋体" w:eastAsia="宋体" w:hint="default"/>
        </w:rPr>
        <w:t>1,422,934,881.25</w:t>
      </w:r>
      <w:r>
        <w:rPr>
          <w:rFonts w:ascii="宋体" w:hAnsi="宋体" w:cs="宋体" w:eastAsia="宋体" w:hint="default"/>
          <w:spacing w:val="-61"/>
        </w:rPr>
        <w:t> </w:t>
      </w:r>
      <w:r>
        <w:rPr/>
        <w:t>元。截至资产负债表日，该增资事项已完成。</w:t>
      </w:r>
    </w:p>
    <w:p>
      <w:pPr>
        <w:pStyle w:val="BodyText"/>
        <w:spacing w:line="357" w:lineRule="auto" w:before="152"/>
        <w:ind w:left="658" w:right="658" w:firstLine="419"/>
        <w:jc w:val="left"/>
      </w:pPr>
      <w:r>
        <w:rPr/>
        <w:t>④ 新湖控股拟向股东融资不超过</w:t>
      </w:r>
      <w:r>
        <w:rPr>
          <w:spacing w:val="-60"/>
        </w:rPr>
        <w:t> </w:t>
      </w:r>
      <w:r>
        <w:rPr>
          <w:rFonts w:ascii="宋体" w:hAnsi="宋体" w:cs="宋体" w:eastAsia="宋体" w:hint="default"/>
        </w:rPr>
        <w:t>15</w:t>
      </w:r>
      <w:r>
        <w:rPr>
          <w:rFonts w:ascii="宋体" w:hAnsi="宋体" w:cs="宋体" w:eastAsia="宋体" w:hint="default"/>
          <w:spacing w:val="-60"/>
        </w:rPr>
        <w:t> </w:t>
      </w:r>
      <w:r>
        <w:rPr/>
        <w:t>亿元，融资形式为全体股东按股权比例配股 或借款，配股价格为</w:t>
      </w:r>
      <w:r>
        <w:rPr>
          <w:spacing w:val="-85"/>
        </w:rPr>
        <w:t> </w:t>
      </w:r>
      <w:r>
        <w:rPr>
          <w:rFonts w:ascii="宋体" w:hAnsi="宋体" w:cs="宋体" w:eastAsia="宋体" w:hint="default"/>
        </w:rPr>
        <w:t>1.50</w:t>
      </w:r>
      <w:r>
        <w:rPr>
          <w:rFonts w:ascii="宋体" w:hAnsi="宋体" w:cs="宋体" w:eastAsia="宋体" w:hint="default"/>
          <w:spacing w:val="-85"/>
        </w:rPr>
        <w:t> </w:t>
      </w:r>
      <w:r>
        <w:rPr/>
        <w:t>元</w:t>
      </w:r>
      <w:r>
        <w:rPr>
          <w:rFonts w:ascii="宋体" w:hAnsi="宋体" w:cs="宋体" w:eastAsia="宋体" w:hint="default"/>
        </w:rPr>
        <w:t>/</w:t>
      </w:r>
      <w:r>
        <w:rPr/>
        <w:t>股，借款利息为同期金融机构贷款利率。经公司第九届</w:t>
      </w:r>
    </w:p>
    <w:p>
      <w:pPr>
        <w:pStyle w:val="BodyText"/>
        <w:spacing w:line="357" w:lineRule="auto" w:before="34"/>
        <w:ind w:left="658" w:right="728"/>
        <w:jc w:val="left"/>
      </w:pPr>
      <w:r>
        <w:rPr/>
        <w:t>董事会第三十三次会议和</w:t>
      </w:r>
      <w:r>
        <w:rPr>
          <w:spacing w:val="-60"/>
        </w:rPr>
        <w:t> </w:t>
      </w:r>
      <w:r>
        <w:rPr>
          <w:rFonts w:ascii="宋体" w:hAnsi="宋体" w:cs="宋体" w:eastAsia="宋体" w:hint="default"/>
        </w:rPr>
        <w:t>2017</w:t>
      </w:r>
      <w:r>
        <w:rPr>
          <w:rFonts w:ascii="宋体" w:hAnsi="宋体" w:cs="宋体" w:eastAsia="宋体" w:hint="default"/>
          <w:spacing w:val="-60"/>
        </w:rPr>
        <w:t> </w:t>
      </w:r>
      <w:r>
        <w:rPr/>
        <w:t>年第五次临时股东大会审议通过，公司拟与新湖集团 按股权比例共同参与新湖控股的融资方案。截至报告日，该方案尚未执行。</w:t>
      </w:r>
    </w:p>
    <w:p>
      <w:pPr>
        <w:pStyle w:val="BodyText"/>
        <w:spacing w:line="357" w:lineRule="auto" w:before="34"/>
        <w:ind w:left="658" w:right="660" w:firstLine="465"/>
        <w:jc w:val="left"/>
      </w:pPr>
      <w:r>
        <w:rPr/>
        <w:t>⑤ 盛京银行本期为本公司的子公司天津海建市政工程有限公司承兑银行承兑汇 票</w:t>
      </w:r>
      <w:r>
        <w:rPr>
          <w:spacing w:val="-73"/>
        </w:rPr>
        <w:t> </w:t>
      </w:r>
      <w:r>
        <w:rPr>
          <w:rFonts w:ascii="宋体" w:hAnsi="宋体" w:cs="宋体" w:eastAsia="宋体" w:hint="default"/>
        </w:rPr>
        <w:t>5,000</w:t>
      </w:r>
      <w:r>
        <w:rPr>
          <w:rFonts w:ascii="宋体" w:hAnsi="宋体" w:cs="宋体" w:eastAsia="宋体" w:hint="default"/>
          <w:spacing w:val="-73"/>
        </w:rPr>
        <w:t> </w:t>
      </w:r>
      <w:r>
        <w:rPr/>
        <w:t>万元，与期初未到期应付票据</w:t>
      </w:r>
      <w:r>
        <w:rPr>
          <w:spacing w:val="-73"/>
        </w:rPr>
        <w:t> </w:t>
      </w:r>
      <w:r>
        <w:rPr>
          <w:rFonts w:ascii="宋体" w:hAnsi="宋体" w:cs="宋体" w:eastAsia="宋体" w:hint="default"/>
        </w:rPr>
        <w:t>2,000</w:t>
      </w:r>
      <w:r>
        <w:rPr>
          <w:rFonts w:ascii="宋体" w:hAnsi="宋体" w:cs="宋体" w:eastAsia="宋体" w:hint="default"/>
          <w:spacing w:val="-73"/>
        </w:rPr>
        <w:t> </w:t>
      </w:r>
      <w:r>
        <w:rPr/>
        <w:t>万元均在本期已解付，期末无未到期应</w:t>
      </w:r>
    </w:p>
    <w:p>
      <w:pPr>
        <w:pStyle w:val="BodyText"/>
        <w:spacing w:line="240" w:lineRule="auto" w:before="34"/>
        <w:ind w:left="658" w:right="416"/>
        <w:jc w:val="left"/>
      </w:pPr>
      <w:r>
        <w:rPr/>
        <w:t>付票据。本公司期末在盛京银行的存款余额为</w:t>
      </w:r>
      <w:r>
        <w:rPr>
          <w:spacing w:val="-69"/>
        </w:rPr>
        <w:t> </w:t>
      </w:r>
      <w:r>
        <w:rPr>
          <w:rFonts w:ascii="宋体" w:hAnsi="宋体" w:cs="宋体" w:eastAsia="宋体" w:hint="default"/>
        </w:rPr>
        <w:t>40,438,164.70</w:t>
      </w:r>
      <w:r>
        <w:rPr>
          <w:rFonts w:ascii="宋体" w:hAnsi="宋体" w:cs="宋体" w:eastAsia="宋体" w:hint="default"/>
          <w:spacing w:val="-69"/>
        </w:rPr>
        <w:t> </w:t>
      </w:r>
      <w:r>
        <w:rPr>
          <w:spacing w:val="-3"/>
        </w:rPr>
        <w:t>元，本期收到存款利息</w:t>
      </w:r>
    </w:p>
    <w:p>
      <w:pPr>
        <w:pStyle w:val="BodyText"/>
        <w:spacing w:line="240" w:lineRule="auto" w:before="154"/>
        <w:ind w:left="658" w:right="416"/>
        <w:jc w:val="left"/>
      </w:pPr>
      <w:r>
        <w:rPr>
          <w:rFonts w:ascii="宋体" w:hAnsi="宋体" w:cs="宋体" w:eastAsia="宋体" w:hint="default"/>
        </w:rPr>
        <w:t>4,939,512.90</w:t>
      </w:r>
      <w:r>
        <w:rPr>
          <w:rFonts w:ascii="宋体" w:hAnsi="宋体" w:cs="宋体" w:eastAsia="宋体" w:hint="default"/>
          <w:spacing w:val="-61"/>
        </w:rPr>
        <w:t> </w:t>
      </w:r>
      <w:r>
        <w:rPr/>
        <w:t>元，存款利率为中国人民银行公布的存款利率。</w:t>
      </w:r>
    </w:p>
    <w:p>
      <w:pPr>
        <w:spacing w:after="0" w:line="240" w:lineRule="auto"/>
        <w:jc w:val="left"/>
        <w:sectPr>
          <w:pgSz w:w="11910" w:h="16840"/>
          <w:pgMar w:header="0" w:footer="1195" w:top="1120" w:bottom="1380" w:left="1140" w:right="600"/>
        </w:sectPr>
      </w:pPr>
    </w:p>
    <w:p>
      <w:pPr>
        <w:spacing w:line="240" w:lineRule="auto" w:before="5"/>
        <w:rPr>
          <w:rFonts w:ascii="宋体" w:hAnsi="宋体" w:cs="宋体" w:eastAsia="宋体" w:hint="default"/>
          <w:sz w:val="25"/>
          <w:szCs w:val="25"/>
        </w:rPr>
      </w:pPr>
    </w:p>
    <w:p>
      <w:pPr>
        <w:pStyle w:val="BodyText"/>
        <w:spacing w:line="357" w:lineRule="auto" w:before="26"/>
        <w:ind w:left="278" w:right="388" w:firstLine="419"/>
        <w:jc w:val="left"/>
      </w:pPr>
      <w:r>
        <w:rPr/>
        <w:t>⑥ 本公司期末在温州银行的存款余额为</w:t>
      </w:r>
      <w:r>
        <w:rPr>
          <w:spacing w:val="-59"/>
        </w:rPr>
        <w:t> </w:t>
      </w:r>
      <w:r>
        <w:rPr>
          <w:rFonts w:ascii="宋体" w:hAnsi="宋体" w:cs="宋体" w:eastAsia="宋体" w:hint="default"/>
        </w:rPr>
        <w:t>75,017,951.35</w:t>
      </w:r>
      <w:r>
        <w:rPr>
          <w:rFonts w:ascii="宋体" w:hAnsi="宋体" w:cs="宋体" w:eastAsia="宋体" w:hint="default"/>
          <w:spacing w:val="-60"/>
        </w:rPr>
        <w:t> </w:t>
      </w:r>
      <w:r>
        <w:rPr/>
        <w:t>元，本期收到存款利息 </w:t>
      </w:r>
      <w:r>
        <w:rPr>
          <w:rFonts w:ascii="宋体" w:hAnsi="宋体" w:cs="宋体" w:eastAsia="宋体" w:hint="default"/>
        </w:rPr>
        <w:t>1,707,289.00</w:t>
      </w:r>
      <w:r>
        <w:rPr>
          <w:rFonts w:ascii="宋体" w:hAnsi="宋体" w:cs="宋体" w:eastAsia="宋体" w:hint="default"/>
          <w:spacing w:val="-61"/>
        </w:rPr>
        <w:t> </w:t>
      </w:r>
      <w:r>
        <w:rPr/>
        <w:t>元，存款利率为中国人民银行公布的存款利率。</w:t>
      </w:r>
    </w:p>
    <w:p>
      <w:pPr>
        <w:pStyle w:val="BodyText"/>
        <w:spacing w:line="357" w:lineRule="auto" w:before="34"/>
        <w:ind w:left="278" w:right="268" w:firstLine="419"/>
        <w:jc w:val="left"/>
      </w:pPr>
      <w:r>
        <w:rPr/>
        <w:t>⑦ 本公司期末在中信银行的存款余额为</w:t>
      </w:r>
      <w:r>
        <w:rPr>
          <w:spacing w:val="-59"/>
        </w:rPr>
        <w:t> </w:t>
      </w:r>
      <w:r>
        <w:rPr>
          <w:rFonts w:ascii="宋体" w:hAnsi="宋体" w:cs="宋体" w:eastAsia="宋体" w:hint="default"/>
        </w:rPr>
        <w:t>963,244,114.17</w:t>
      </w:r>
      <w:r>
        <w:rPr>
          <w:rFonts w:ascii="宋体" w:hAnsi="宋体" w:cs="宋体" w:eastAsia="宋体" w:hint="default"/>
          <w:spacing w:val="-60"/>
        </w:rPr>
        <w:t> </w:t>
      </w:r>
      <w:r>
        <w:rPr/>
        <w:t>元，本期收到存款利息 </w:t>
      </w:r>
      <w:r>
        <w:rPr>
          <w:rFonts w:ascii="宋体" w:hAnsi="宋体" w:cs="宋体" w:eastAsia="宋体" w:hint="default"/>
        </w:rPr>
        <w:t>36,360,462.59</w:t>
      </w:r>
      <w:r>
        <w:rPr>
          <w:rFonts w:ascii="宋体" w:hAnsi="宋体" w:cs="宋体" w:eastAsia="宋体" w:hint="default"/>
          <w:spacing w:val="-61"/>
        </w:rPr>
        <w:t> </w:t>
      </w:r>
      <w:r>
        <w:rPr/>
        <w:t>元，存款利率为中国人民银行公布的存款利率。</w:t>
      </w:r>
    </w:p>
    <w:p>
      <w:pPr>
        <w:pStyle w:val="BodyText"/>
        <w:spacing w:line="240" w:lineRule="auto" w:before="36"/>
        <w:ind w:left="758" w:right="0"/>
        <w:jc w:val="left"/>
      </w:pPr>
      <w:r>
        <w:rPr/>
        <w:t>⑧ 本公司本期向中信银行购买理财累计</w:t>
      </w:r>
      <w:r>
        <w:rPr>
          <w:spacing w:val="-71"/>
        </w:rPr>
        <w:t> </w:t>
      </w:r>
      <w:r>
        <w:rPr>
          <w:rFonts w:ascii="宋体" w:hAnsi="宋体" w:cs="宋体" w:eastAsia="宋体" w:hint="default"/>
        </w:rPr>
        <w:t>54.6</w:t>
      </w:r>
      <w:r>
        <w:rPr>
          <w:rFonts w:ascii="宋体" w:hAnsi="宋体" w:cs="宋体" w:eastAsia="宋体" w:hint="default"/>
          <w:spacing w:val="-72"/>
        </w:rPr>
        <w:t> </w:t>
      </w:r>
      <w:r>
        <w:rPr/>
        <w:t>亿元</w:t>
      </w:r>
      <w:r>
        <w:rPr>
          <w:spacing w:val="-120"/>
        </w:rPr>
        <w:t>，</w:t>
      </w:r>
      <w:r>
        <w:rPr/>
        <w:t>期末未到期理财</w:t>
      </w:r>
      <w:r>
        <w:rPr>
          <w:spacing w:val="-72"/>
        </w:rPr>
        <w:t> </w:t>
      </w:r>
      <w:r>
        <w:rPr>
          <w:rFonts w:ascii="宋体" w:hAnsi="宋体" w:cs="宋体" w:eastAsia="宋体" w:hint="default"/>
        </w:rPr>
        <w:t>11.5</w:t>
      </w:r>
      <w:r>
        <w:rPr>
          <w:rFonts w:ascii="宋体" w:hAnsi="宋体" w:cs="宋体" w:eastAsia="宋体" w:hint="default"/>
          <w:spacing w:val="-72"/>
        </w:rPr>
        <w:t> </w:t>
      </w:r>
      <w:r>
        <w:rPr/>
        <w:t>亿元，</w:t>
      </w:r>
    </w:p>
    <w:p>
      <w:pPr>
        <w:pStyle w:val="BodyText"/>
        <w:spacing w:line="240" w:lineRule="auto" w:before="151"/>
        <w:ind w:left="278" w:right="388"/>
        <w:jc w:val="left"/>
      </w:pPr>
      <w:r>
        <w:rPr/>
        <w:t>本期收到理财利息</w:t>
      </w:r>
      <w:r>
        <w:rPr>
          <w:spacing w:val="-61"/>
        </w:rPr>
        <w:t> </w:t>
      </w:r>
      <w:r>
        <w:rPr>
          <w:rFonts w:ascii="宋体" w:hAnsi="宋体" w:cs="宋体" w:eastAsia="宋体" w:hint="default"/>
        </w:rPr>
        <w:t>18,719,753.42</w:t>
      </w:r>
      <w:r>
        <w:rPr>
          <w:rFonts w:ascii="宋体" w:hAnsi="宋体" w:cs="宋体" w:eastAsia="宋体" w:hint="default"/>
          <w:spacing w:val="-60"/>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195" w:top="1120" w:bottom="1380" w:left="1520" w:right="1000"/>
        </w:sectPr>
      </w:pPr>
    </w:p>
    <w:p>
      <w:pPr>
        <w:pStyle w:val="Heading2"/>
        <w:spacing w:line="283" w:lineRule="auto"/>
        <w:ind w:left="278" w:right="-18"/>
        <w:jc w:val="left"/>
        <w:rPr>
          <w:b w:val="0"/>
          <w:bCs w:val="0"/>
        </w:rPr>
      </w:pPr>
      <w:r>
        <w:rPr>
          <w:rFonts w:ascii="宋体" w:hAnsi="宋体" w:cs="宋体" w:eastAsia="宋体" w:hint="default"/>
        </w:rPr>
        <w:t>6</w:t>
      </w:r>
      <w:r>
        <w:rPr/>
        <w:t>、</w:t>
      </w:r>
      <w:r>
        <w:rPr>
          <w:spacing w:val="-60"/>
        </w:rPr>
        <w:t> </w:t>
      </w:r>
      <w:r>
        <w:rPr/>
        <w:t>关联方应收应付款项</w:t>
      </w:r>
      <w:r>
        <w:rPr>
          <w:w w:val="99"/>
        </w:rPr>
        <w:t> </w:t>
      </w:r>
      <w:r>
        <w:rPr>
          <w:rFonts w:ascii="宋体" w:hAnsi="宋体" w:cs="宋体" w:eastAsia="宋体" w:hint="default"/>
        </w:rPr>
        <w:t>(1).</w:t>
      </w:r>
      <w:r>
        <w:rPr>
          <w:rFonts w:ascii="宋体" w:hAnsi="宋体" w:cs="宋体" w:eastAsia="宋体" w:hint="default"/>
          <w:spacing w:val="11"/>
        </w:rPr>
        <w:t> </w:t>
      </w:r>
      <w:r>
        <w:rPr/>
        <w:t>应收项目</w:t>
      </w:r>
      <w:r>
        <w:rPr>
          <w:b w:val="0"/>
          <w:bCs w:val="0"/>
        </w:rPr>
      </w:r>
    </w:p>
    <w:p>
      <w:pPr>
        <w:pStyle w:val="BodyText"/>
        <w:tabs>
          <w:tab w:pos="1237" w:val="left" w:leader="none"/>
        </w:tabs>
        <w:spacing w:line="240" w:lineRule="auto" w:before="12"/>
        <w:ind w:left="278" w:right="-18"/>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tabs>
          <w:tab w:pos="1358" w:val="left" w:leader="none"/>
        </w:tabs>
        <w:spacing w:line="240" w:lineRule="auto"/>
        <w:ind w:left="27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00" w:bottom="280" w:left="1520" w:right="1000"/>
          <w:cols w:num="2" w:equalWidth="0">
            <w:col w:w="2872" w:space="3561"/>
            <w:col w:w="2957"/>
          </w:cols>
        </w:sectPr>
      </w:pPr>
    </w:p>
    <w:p>
      <w:pPr>
        <w:spacing w:line="240" w:lineRule="auto" w:before="12"/>
        <w:rPr>
          <w:rFonts w:ascii="宋体" w:hAnsi="宋体" w:cs="宋体" w:eastAsia="宋体" w:hint="default"/>
          <w:sz w:val="2"/>
          <w:szCs w:val="2"/>
        </w:rPr>
      </w:pPr>
    </w:p>
    <w:tbl>
      <w:tblPr>
        <w:tblW w:w="0" w:type="auto"/>
        <w:jc w:val="left"/>
        <w:tblInd w:w="242" w:type="dxa"/>
        <w:tblLayout w:type="fixed"/>
        <w:tblCellMar>
          <w:top w:w="0" w:type="dxa"/>
          <w:left w:w="0" w:type="dxa"/>
          <w:bottom w:w="0" w:type="dxa"/>
          <w:right w:w="0" w:type="dxa"/>
        </w:tblCellMar>
        <w:tblLook w:val="01E0"/>
      </w:tblPr>
      <w:tblGrid>
        <w:gridCol w:w="1186"/>
        <w:gridCol w:w="2009"/>
        <w:gridCol w:w="1529"/>
        <w:gridCol w:w="1320"/>
        <w:gridCol w:w="1532"/>
        <w:gridCol w:w="1320"/>
      </w:tblGrid>
      <w:tr>
        <w:trPr>
          <w:trHeight w:val="281" w:hRule="exact"/>
        </w:trPr>
        <w:tc>
          <w:tcPr>
            <w:tcW w:w="1186" w:type="dxa"/>
            <w:vMerge w:val="restart"/>
            <w:tcBorders>
              <w:top w:val="single" w:sz="4" w:space="0" w:color="000000"/>
              <w:left w:val="single" w:sz="4" w:space="0" w:color="000000"/>
              <w:right w:val="single" w:sz="4" w:space="0" w:color="000000"/>
            </w:tcBorders>
          </w:tcPr>
          <w:p>
            <w:pPr>
              <w:pStyle w:val="TableParagraph"/>
              <w:spacing w:line="240" w:lineRule="auto" w:before="107"/>
              <w:ind w:left="16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09"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186" w:type="dxa"/>
            <w:vMerge/>
            <w:tcBorders>
              <w:left w:val="single" w:sz="4" w:space="0" w:color="000000"/>
              <w:bottom w:val="single" w:sz="4" w:space="0" w:color="000000"/>
              <w:right w:val="single" w:sz="4" w:space="0" w:color="000000"/>
            </w:tcBorders>
          </w:tcPr>
          <w:p>
            <w:pPr/>
          </w:p>
        </w:tc>
        <w:tc>
          <w:tcPr>
            <w:tcW w:w="2009" w:type="dxa"/>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潘孝娜</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2,700,000.00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108,000.00</w:t>
            </w:r>
          </w:p>
        </w:tc>
      </w:tr>
      <w:tr>
        <w:trPr>
          <w:trHeight w:val="281"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黄立程</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18,307,835.00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732,313.40</w:t>
            </w:r>
          </w:p>
        </w:tc>
      </w:tr>
      <w:tr>
        <w:trPr>
          <w:trHeight w:val="55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上海新湖绿城物业服</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9,763.20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390.53</w:t>
            </w:r>
          </w:p>
        </w:tc>
        <w:tc>
          <w:tcPr>
            <w:tcW w:w="153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上海新湖绿城物业服</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149,445.20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宋体" w:hAnsi="宋体" w:cs="宋体" w:eastAsia="宋体" w:hint="default"/>
                <w:sz w:val="21"/>
                <w:szCs w:val="21"/>
              </w:rPr>
            </w:pPr>
            <w:r>
              <w:rPr>
                <w:rFonts w:ascii="宋体"/>
                <w:spacing w:val="-1"/>
                <w:sz w:val="21"/>
              </w:rPr>
              <w:t>585,500.00</w:t>
            </w: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沈阳新湖绿城物业服</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371,074.40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617,877.78</w:t>
            </w: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甘肃西北矿业集团有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41,169,950.66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1,646,798.03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37,961,902.49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1,518,476.10</w:t>
            </w:r>
          </w:p>
        </w:tc>
      </w:tr>
      <w:tr>
        <w:trPr>
          <w:trHeight w:val="55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浙江新湖集团股份有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196,000,000.00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7,840,000.00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126,000,000.00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5,040,000.00</w:t>
            </w:r>
          </w:p>
        </w:tc>
      </w:tr>
      <w:tr>
        <w:trPr>
          <w:trHeight w:val="55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恩施裕丰房地产开发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50,674,003.76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2,026,960.15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800,000.00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32,000.00</w:t>
            </w:r>
          </w:p>
        </w:tc>
      </w:tr>
      <w:tr>
        <w:trPr>
          <w:trHeight w:val="555"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沈阳新湖绿城物业服</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1,200.00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48.00</w:t>
            </w:r>
          </w:p>
        </w:tc>
        <w:tc>
          <w:tcPr>
            <w:tcW w:w="153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00" w:bottom="280" w:left="1520" w:right="1000"/>
        </w:sectPr>
      </w:pPr>
    </w:p>
    <w:p>
      <w:pPr>
        <w:pStyle w:val="Heading2"/>
        <w:spacing w:line="240" w:lineRule="auto"/>
        <w:ind w:left="278" w:right="-19"/>
        <w:jc w:val="left"/>
        <w:rPr>
          <w:b w:val="0"/>
          <w:bCs w:val="0"/>
        </w:rPr>
      </w:pPr>
      <w:r>
        <w:rPr>
          <w:rFonts w:ascii="宋体" w:hAnsi="宋体" w:cs="宋体" w:eastAsia="宋体" w:hint="default"/>
        </w:rPr>
        <w:t>(2).</w:t>
      </w:r>
      <w:r>
        <w:rPr>
          <w:rFonts w:ascii="宋体" w:hAnsi="宋体" w:cs="宋体" w:eastAsia="宋体" w:hint="default"/>
          <w:spacing w:val="11"/>
        </w:rPr>
        <w:t> </w:t>
      </w:r>
      <w:r>
        <w:rPr/>
        <w:t>应付项目</w:t>
      </w:r>
      <w:r>
        <w:rPr>
          <w:b w:val="0"/>
          <w:bCs w:val="0"/>
        </w:rPr>
      </w:r>
    </w:p>
    <w:p>
      <w:pPr>
        <w:pStyle w:val="BodyText"/>
        <w:tabs>
          <w:tab w:pos="1237" w:val="left" w:leader="none"/>
        </w:tabs>
        <w:spacing w:line="240" w:lineRule="auto" w:before="58"/>
        <w:ind w:left="278" w:right="-19"/>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358" w:val="left" w:leader="none"/>
        </w:tabs>
        <w:spacing w:line="240" w:lineRule="auto"/>
        <w:ind w:left="27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00" w:bottom="280" w:left="1520" w:right="1000"/>
          <w:cols w:num="2" w:equalWidth="0">
            <w:col w:w="2199" w:space="4234"/>
            <w:col w:w="2957"/>
          </w:cols>
        </w:sectPr>
      </w:pPr>
    </w:p>
    <w:p>
      <w:pPr>
        <w:spacing w:line="240" w:lineRule="auto" w:before="12"/>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416"/>
        <w:gridCol w:w="4050"/>
        <w:gridCol w:w="1841"/>
        <w:gridCol w:w="1841"/>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3" w:right="0"/>
              <w:jc w:val="left"/>
              <w:rPr>
                <w:rFonts w:ascii="宋体" w:hAnsi="宋体" w:cs="宋体" w:eastAsia="宋体" w:hint="default"/>
                <w:sz w:val="24"/>
                <w:szCs w:val="24"/>
              </w:rPr>
            </w:pPr>
            <w:r>
              <w:rPr>
                <w:rFonts w:ascii="宋体" w:hAnsi="宋体" w:cs="宋体" w:eastAsia="宋体" w:hint="default"/>
                <w:sz w:val="24"/>
                <w:szCs w:val="24"/>
              </w:rPr>
              <w:t>项目名称</w:t>
            </w: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关联方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4" w:right="0"/>
              <w:jc w:val="left"/>
              <w:rPr>
                <w:rFonts w:ascii="宋体" w:hAnsi="宋体" w:cs="宋体" w:eastAsia="宋体" w:hint="default"/>
                <w:sz w:val="24"/>
                <w:szCs w:val="24"/>
              </w:rPr>
            </w:pPr>
            <w:r>
              <w:rPr>
                <w:rFonts w:ascii="宋体" w:hAnsi="宋体" w:cs="宋体" w:eastAsia="宋体" w:hint="default"/>
                <w:sz w:val="24"/>
                <w:szCs w:val="24"/>
              </w:rPr>
              <w:t>期末账面余额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4" w:right="0"/>
              <w:jc w:val="left"/>
              <w:rPr>
                <w:rFonts w:ascii="宋体" w:hAnsi="宋体" w:cs="宋体" w:eastAsia="宋体" w:hint="default"/>
                <w:sz w:val="24"/>
                <w:szCs w:val="24"/>
              </w:rPr>
            </w:pPr>
            <w:r>
              <w:rPr>
                <w:rFonts w:ascii="宋体" w:hAnsi="宋体" w:cs="宋体" w:eastAsia="宋体" w:hint="default"/>
                <w:sz w:val="24"/>
                <w:szCs w:val="24"/>
              </w:rPr>
              <w:t>期初账面余额</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衢州新湖绿城物业服务有限公司</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1,300,000.00</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浙江新湖绿城物业服务有限公司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1,971,986.62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4,459,683.62</w:t>
            </w:r>
          </w:p>
        </w:tc>
      </w:tr>
      <w:tr>
        <w:trPr>
          <w:trHeight w:val="319"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沈阳新湖绿城物业服务有限公司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1,877,044.84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1,798,046.37</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哈高科绥棱二塑防水工程有限公司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3,043,343.60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2,925,919.72</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上海新湖绿城物业服务有限公司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8,956,200.58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6,467,935.84</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江苏新湖宝华置业有限公司</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290,347.20</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海宁绿城新湖房地产开发有限公司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255,255,293.20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285,255,293.20</w:t>
            </w:r>
          </w:p>
        </w:tc>
      </w:tr>
    </w:tbl>
    <w:p>
      <w:pPr>
        <w:spacing w:after="0" w:line="274" w:lineRule="exact"/>
        <w:jc w:val="right"/>
        <w:rPr>
          <w:rFonts w:ascii="宋体" w:hAnsi="宋体" w:cs="宋体" w:eastAsia="宋体" w:hint="default"/>
          <w:sz w:val="24"/>
          <w:szCs w:val="24"/>
        </w:rPr>
        <w:sectPr>
          <w:type w:val="continuous"/>
          <w:pgSz w:w="11910" w:h="16840"/>
          <w:pgMar w:top="1000" w:bottom="280" w:left="152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17" w:type="dxa"/>
        <w:tblLayout w:type="fixed"/>
        <w:tblCellMar>
          <w:top w:w="0" w:type="dxa"/>
          <w:left w:w="0" w:type="dxa"/>
          <w:bottom w:w="0" w:type="dxa"/>
          <w:right w:w="0" w:type="dxa"/>
        </w:tblCellMar>
        <w:tblLook w:val="01E0"/>
      </w:tblPr>
      <w:tblGrid>
        <w:gridCol w:w="1416"/>
        <w:gridCol w:w="4050"/>
        <w:gridCol w:w="1841"/>
        <w:gridCol w:w="1841"/>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6" w:right="0"/>
              <w:jc w:val="left"/>
              <w:rPr>
                <w:rFonts w:ascii="宋体" w:hAnsi="宋体" w:cs="宋体" w:eastAsia="宋体" w:hint="default"/>
                <w:sz w:val="24"/>
                <w:szCs w:val="24"/>
              </w:rPr>
            </w:pPr>
            <w:r>
              <w:rPr>
                <w:rFonts w:ascii="宋体" w:hAnsi="宋体" w:cs="宋体" w:eastAsia="宋体" w:hint="default"/>
                <w:sz w:val="24"/>
                <w:szCs w:val="24"/>
              </w:rPr>
              <w:t>内蒙古合和置业有限公司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2"/>
              <w:jc w:val="right"/>
              <w:rPr>
                <w:rFonts w:ascii="宋体" w:hAnsi="宋体" w:cs="宋体" w:eastAsia="宋体" w:hint="default"/>
                <w:sz w:val="24"/>
                <w:szCs w:val="24"/>
              </w:rPr>
            </w:pPr>
            <w:r>
              <w:rPr>
                <w:rFonts w:ascii="宋体"/>
                <w:sz w:val="24"/>
              </w:rPr>
              <w:t>14,000,000.00</w:t>
            </w: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嘉兴市秀洲现代实验学校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32,516,898.02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12,258,059.21</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嘉兴高级中学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18,552,263.78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22,680,225.13</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湘财证券股份有限公司</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146,258.00</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嘉兴南湖国际实验学校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11,547,096.01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7,946,252.27</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哈高科绥棱二塑防水工程有限公司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304,521.00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264,397.00</w:t>
            </w:r>
          </w:p>
        </w:tc>
      </w:tr>
      <w:tr>
        <w:trPr>
          <w:trHeight w:val="319"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江苏新湖宝华置业有限公司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182,309,002.96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266,369,017.22</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上海新湖绿城物业服务有限公司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306,810.25</w:t>
            </w:r>
          </w:p>
        </w:tc>
        <w:tc>
          <w:tcPr>
            <w:tcW w:w="18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3"/>
          <w:szCs w:val="23"/>
        </w:rPr>
      </w:pPr>
    </w:p>
    <w:p>
      <w:pPr>
        <w:pStyle w:val="Heading2"/>
        <w:spacing w:line="240" w:lineRule="auto"/>
        <w:ind w:left="378" w:right="0"/>
        <w:jc w:val="left"/>
        <w:rPr>
          <w:b w:val="0"/>
          <w:bCs w:val="0"/>
        </w:rPr>
      </w:pPr>
      <w:r>
        <w:rPr>
          <w:rFonts w:ascii="宋体" w:hAnsi="宋体" w:cs="宋体" w:eastAsia="宋体" w:hint="default"/>
        </w:rPr>
        <w:t>7</w:t>
      </w:r>
      <w:r>
        <w:rPr/>
        <w:t>、</w:t>
      </w:r>
      <w:r>
        <w:rPr>
          <w:spacing w:val="-60"/>
        </w:rPr>
        <w:t> </w:t>
      </w:r>
      <w:r>
        <w:rPr/>
        <w:t>关联方承诺</w:t>
      </w:r>
      <w:r>
        <w:rPr>
          <w:b w:val="0"/>
          <w:bCs w:val="0"/>
        </w:rPr>
      </w:r>
    </w:p>
    <w:p>
      <w:pPr>
        <w:pStyle w:val="BodyText"/>
        <w:tabs>
          <w:tab w:pos="1337" w:val="left" w:leader="none"/>
        </w:tabs>
        <w:spacing w:line="240" w:lineRule="auto" w:before="58"/>
        <w:ind w:left="378" w:right="0"/>
        <w:jc w:val="left"/>
      </w:pPr>
      <w:r>
        <w:rPr>
          <w:spacing w:val="-1"/>
        </w:rPr>
        <w:t>□适用</w:t>
        <w:tab/>
      </w:r>
      <w:r>
        <w:rPr/>
        <w:t>√不适用</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420" w:right="880"/>
        </w:sectPr>
      </w:pPr>
    </w:p>
    <w:p>
      <w:pPr>
        <w:spacing w:before="26"/>
        <w:ind w:left="378" w:right="-19" w:firstLine="0"/>
        <w:jc w:val="left"/>
        <w:rPr>
          <w:rFonts w:ascii="宋体" w:hAnsi="宋体" w:cs="宋体" w:eastAsia="宋体" w:hint="default"/>
          <w:sz w:val="24"/>
          <w:szCs w:val="24"/>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3"/>
          <w:sz w:val="20"/>
          <w:szCs w:val="20"/>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tabs>
          <w:tab w:pos="1337" w:val="left" w:leader="none"/>
        </w:tabs>
        <w:spacing w:line="240" w:lineRule="auto" w:before="58"/>
        <w:ind w:left="378" w:right="-19"/>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578" w:val="left" w:leader="none"/>
        </w:tabs>
        <w:spacing w:line="240" w:lineRule="auto"/>
        <w:ind w:left="378" w:right="0"/>
        <w:jc w:val="left"/>
      </w:pPr>
      <w:r>
        <w:rPr/>
        <w:t>单位：元</w:t>
        <w:tab/>
        <w:t>币种：人民币</w:t>
      </w:r>
    </w:p>
    <w:p>
      <w:pPr>
        <w:spacing w:after="0" w:line="240" w:lineRule="auto"/>
        <w:jc w:val="left"/>
        <w:sectPr>
          <w:type w:val="continuous"/>
          <w:pgSz w:w="11910" w:h="16840"/>
          <w:pgMar w:top="1000" w:bottom="280" w:left="1420" w:right="880"/>
          <w:cols w:num="2" w:equalWidth="0">
            <w:col w:w="2299" w:space="3894"/>
            <w:col w:w="3417"/>
          </w:cols>
        </w:sectPr>
      </w:pPr>
    </w:p>
    <w:p>
      <w:pPr>
        <w:spacing w:line="240" w:lineRule="auto" w:before="10"/>
        <w:rPr>
          <w:rFonts w:ascii="宋体" w:hAnsi="宋体" w:cs="宋体" w:eastAsia="宋体" w:hint="default"/>
          <w:sz w:val="2"/>
          <w:szCs w:val="2"/>
        </w:rPr>
      </w:pPr>
    </w:p>
    <w:tbl>
      <w:tblPr>
        <w:tblW w:w="0" w:type="auto"/>
        <w:jc w:val="left"/>
        <w:tblInd w:w="265" w:type="dxa"/>
        <w:tblLayout w:type="fixed"/>
        <w:tblCellMar>
          <w:top w:w="0" w:type="dxa"/>
          <w:left w:w="0" w:type="dxa"/>
          <w:bottom w:w="0" w:type="dxa"/>
          <w:right w:w="0" w:type="dxa"/>
        </w:tblCellMar>
        <w:tblLook w:val="01E0"/>
      </w:tblPr>
      <w:tblGrid>
        <w:gridCol w:w="2235"/>
        <w:gridCol w:w="2940"/>
        <w:gridCol w:w="2137"/>
        <w:gridCol w:w="1738"/>
      </w:tblGrid>
      <w:tr>
        <w:trPr>
          <w:trHeight w:val="430"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43" w:right="0"/>
              <w:jc w:val="left"/>
              <w:rPr>
                <w:rFonts w:ascii="宋体" w:hAnsi="宋体" w:cs="宋体" w:eastAsia="宋体" w:hint="default"/>
                <w:sz w:val="24"/>
                <w:szCs w:val="24"/>
              </w:rPr>
            </w:pPr>
            <w:r>
              <w:rPr>
                <w:rFonts w:ascii="宋体" w:hAnsi="宋体" w:cs="宋体" w:eastAsia="宋体" w:hint="default"/>
                <w:sz w:val="24"/>
                <w:szCs w:val="24"/>
              </w:rPr>
              <w:t>项目名称</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hAnsi="宋体" w:cs="宋体" w:eastAsia="宋体" w:hint="default"/>
                <w:sz w:val="24"/>
                <w:szCs w:val="24"/>
              </w:rPr>
              <w:t>关联方</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hAnsi="宋体" w:cs="宋体" w:eastAsia="宋体" w:hint="default"/>
                <w:sz w:val="24"/>
                <w:szCs w:val="24"/>
              </w:rPr>
              <w:t>期末数</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04" w:right="0"/>
              <w:jc w:val="left"/>
              <w:rPr>
                <w:rFonts w:ascii="宋体" w:hAnsi="宋体" w:cs="宋体" w:eastAsia="宋体" w:hint="default"/>
                <w:sz w:val="24"/>
                <w:szCs w:val="24"/>
              </w:rPr>
            </w:pPr>
            <w:r>
              <w:rPr>
                <w:rFonts w:ascii="宋体" w:hAnsi="宋体" w:cs="宋体" w:eastAsia="宋体" w:hint="default"/>
                <w:sz w:val="24"/>
                <w:szCs w:val="24"/>
              </w:rPr>
              <w:t>期初数</w:t>
            </w:r>
          </w:p>
        </w:tc>
      </w:tr>
      <w:tr>
        <w:trPr>
          <w:trHeight w:val="432"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中信银行股份有限公司</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sz w:val="24"/>
              </w:rPr>
              <w:t>1,150,000,000.00</w:t>
            </w: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小</w:t>
              <w:tab/>
              <w:t>计</w:t>
            </w:r>
          </w:p>
        </w:tc>
        <w:tc>
          <w:tcPr>
            <w:tcW w:w="294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4"/>
                <w:szCs w:val="24"/>
              </w:rPr>
            </w:pPr>
            <w:r>
              <w:rPr>
                <w:rFonts w:ascii="宋体"/>
                <w:sz w:val="24"/>
              </w:rPr>
              <w:t>1,150,000,000.00</w:t>
            </w:r>
          </w:p>
        </w:tc>
        <w:tc>
          <w:tcPr>
            <w:tcW w:w="17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00" w:bottom="280" w:left="1420" w:right="880"/>
        </w:sectPr>
      </w:pPr>
    </w:p>
    <w:p>
      <w:pPr>
        <w:pStyle w:val="Heading2"/>
        <w:spacing w:line="240" w:lineRule="auto"/>
        <w:ind w:left="378" w:right="-19"/>
        <w:jc w:val="left"/>
        <w:rPr>
          <w:b w:val="0"/>
          <w:bCs w:val="0"/>
        </w:rPr>
      </w:pPr>
      <w:r>
        <w:rPr/>
        <w:t>十三、</w:t>
      </w:r>
      <w:r>
        <w:rPr>
          <w:spacing w:val="-5"/>
        </w:rPr>
        <w:t> </w:t>
      </w:r>
      <w:r>
        <w:rPr/>
        <w:t>股份支付</w:t>
      </w:r>
      <w:r>
        <w:rPr>
          <w:b w:val="0"/>
          <w:bCs w:val="0"/>
        </w:rPr>
      </w:r>
    </w:p>
    <w:p>
      <w:pPr>
        <w:pStyle w:val="Heading2"/>
        <w:spacing w:line="240" w:lineRule="auto" w:before="58"/>
        <w:ind w:left="378" w:right="-19"/>
        <w:jc w:val="left"/>
        <w:rPr>
          <w:b w:val="0"/>
          <w:bCs w:val="0"/>
        </w:rPr>
      </w:pPr>
      <w:r>
        <w:rPr>
          <w:rFonts w:ascii="宋体" w:hAnsi="宋体" w:cs="宋体" w:eastAsia="宋体" w:hint="default"/>
        </w:rPr>
        <w:t>1</w:t>
      </w:r>
      <w:r>
        <w:rPr/>
        <w:t>、</w:t>
      </w:r>
      <w:r>
        <w:rPr>
          <w:spacing w:val="-61"/>
        </w:rPr>
        <w:t> </w:t>
      </w:r>
      <w:r>
        <w:rPr/>
        <w:t>股份支付总体情况</w:t>
      </w:r>
      <w:r>
        <w:rPr>
          <w:b w:val="0"/>
          <w:bCs w:val="0"/>
        </w:rPr>
      </w:r>
    </w:p>
    <w:p>
      <w:pPr>
        <w:pStyle w:val="BodyText"/>
        <w:spacing w:line="240" w:lineRule="auto" w:before="58"/>
        <w:ind w:left="37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tabs>
          <w:tab w:pos="1578" w:val="left" w:leader="none"/>
        </w:tabs>
        <w:spacing w:line="240" w:lineRule="auto"/>
        <w:ind w:left="378" w:right="0"/>
        <w:jc w:val="left"/>
      </w:pPr>
      <w:r>
        <w:rPr/>
        <w:t>单位：股</w:t>
        <w:tab/>
        <w:t>币种：人民币</w:t>
      </w:r>
    </w:p>
    <w:p>
      <w:pPr>
        <w:spacing w:after="0" w:line="240" w:lineRule="auto"/>
        <w:jc w:val="left"/>
        <w:sectPr>
          <w:type w:val="continuous"/>
          <w:pgSz w:w="11910" w:h="16840"/>
          <w:pgMar w:top="1000" w:bottom="280" w:left="1420" w:right="880"/>
          <w:cols w:num="2" w:equalWidth="0">
            <w:col w:w="2730" w:space="3463"/>
            <w:col w:w="3417"/>
          </w:cols>
        </w:sectPr>
      </w:pPr>
    </w:p>
    <w:p>
      <w:pPr>
        <w:spacing w:line="240" w:lineRule="auto" w:before="12"/>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973"/>
        <w:gridCol w:w="5399"/>
      </w:tblGrid>
      <w:tr>
        <w:trPr>
          <w:trHeight w:val="322"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公司本期授予的各项权益工具总额</w:t>
            </w:r>
          </w:p>
        </w:tc>
        <w:tc>
          <w:tcPr>
            <w:tcW w:w="5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401,900,000</w:t>
            </w:r>
          </w:p>
        </w:tc>
      </w:tr>
      <w:tr>
        <w:trPr>
          <w:trHeight w:val="322"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公司本期行权的各项权益工具总额</w:t>
            </w:r>
          </w:p>
        </w:tc>
        <w:tc>
          <w:tcPr>
            <w:tcW w:w="53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公司本期失效的各项权益工具总额</w:t>
            </w:r>
          </w:p>
        </w:tc>
        <w:tc>
          <w:tcPr>
            <w:tcW w:w="5399" w:type="dxa"/>
            <w:tcBorders>
              <w:top w:val="single" w:sz="4" w:space="0" w:color="000000"/>
              <w:left w:val="single" w:sz="4" w:space="0" w:color="000000"/>
              <w:bottom w:val="single" w:sz="4" w:space="0" w:color="000000"/>
              <w:right w:val="single" w:sz="4" w:space="0" w:color="000000"/>
            </w:tcBorders>
          </w:tcPr>
          <w:p>
            <w:pPr/>
          </w:p>
        </w:tc>
      </w:tr>
      <w:tr>
        <w:trPr>
          <w:trHeight w:val="1256"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257"/>
              <w:jc w:val="left"/>
              <w:rPr>
                <w:rFonts w:ascii="宋体" w:hAnsi="宋体" w:cs="宋体" w:eastAsia="宋体" w:hint="default"/>
                <w:sz w:val="24"/>
                <w:szCs w:val="24"/>
              </w:rPr>
            </w:pPr>
            <w:r>
              <w:rPr>
                <w:rFonts w:ascii="宋体" w:hAnsi="宋体" w:cs="宋体" w:eastAsia="宋体" w:hint="default"/>
                <w:sz w:val="24"/>
                <w:szCs w:val="24"/>
              </w:rPr>
              <w:t>公司期末发行在外的股票期权行权 价格的范围和合同剩余期限</w:t>
            </w:r>
          </w:p>
        </w:tc>
        <w:tc>
          <w:tcPr>
            <w:tcW w:w="53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0" w:right="0"/>
              <w:jc w:val="left"/>
              <w:rPr>
                <w:rFonts w:ascii="宋体" w:hAnsi="宋体" w:cs="宋体" w:eastAsia="宋体" w:hint="default"/>
                <w:sz w:val="24"/>
                <w:szCs w:val="24"/>
              </w:rPr>
            </w:pPr>
            <w:r>
              <w:rPr>
                <w:rFonts w:ascii="宋体" w:hAnsi="宋体" w:cs="宋体" w:eastAsia="宋体" w:hint="default"/>
                <w:sz w:val="24"/>
                <w:szCs w:val="24"/>
              </w:rPr>
              <w:t>本公司发行在外的股份期权的标的股票价格范围</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在</w:t>
            </w:r>
            <w:r>
              <w:rPr>
                <w:rFonts w:ascii="宋体" w:hAnsi="宋体" w:cs="宋体" w:eastAsia="宋体" w:hint="default"/>
                <w:spacing w:val="-60"/>
                <w:sz w:val="24"/>
                <w:szCs w:val="24"/>
              </w:rPr>
              <w:t> </w:t>
            </w:r>
            <w:r>
              <w:rPr>
                <w:rFonts w:ascii="宋体" w:hAnsi="宋体" w:cs="宋体" w:eastAsia="宋体" w:hint="default"/>
                <w:sz w:val="24"/>
                <w:szCs w:val="24"/>
              </w:rPr>
              <w:t>4.13</w:t>
            </w:r>
            <w:r>
              <w:rPr>
                <w:rFonts w:ascii="宋体" w:hAnsi="宋体" w:cs="宋体" w:eastAsia="宋体" w:hint="default"/>
                <w:spacing w:val="-60"/>
                <w:sz w:val="24"/>
                <w:szCs w:val="24"/>
              </w:rPr>
              <w:t> </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股至</w:t>
            </w:r>
            <w:r>
              <w:rPr>
                <w:rFonts w:ascii="宋体" w:hAnsi="宋体" w:cs="宋体" w:eastAsia="宋体" w:hint="default"/>
                <w:spacing w:val="-60"/>
                <w:sz w:val="24"/>
                <w:szCs w:val="24"/>
              </w:rPr>
              <w:t> </w:t>
            </w:r>
            <w:r>
              <w:rPr>
                <w:rFonts w:ascii="宋体" w:hAnsi="宋体" w:cs="宋体" w:eastAsia="宋体" w:hint="default"/>
                <w:sz w:val="24"/>
                <w:szCs w:val="24"/>
              </w:rPr>
              <w:t>5.86</w:t>
            </w:r>
            <w:r>
              <w:rPr>
                <w:rFonts w:ascii="宋体" w:hAnsi="宋体" w:cs="宋体" w:eastAsia="宋体" w:hint="default"/>
                <w:spacing w:val="-60"/>
                <w:sz w:val="24"/>
                <w:szCs w:val="24"/>
              </w:rPr>
              <w:t> </w:t>
            </w:r>
            <w:r>
              <w:rPr>
                <w:rFonts w:ascii="宋体" w:hAnsi="宋体" w:cs="宋体" w:eastAsia="宋体" w:hint="default"/>
                <w:sz w:val="24"/>
                <w:szCs w:val="24"/>
              </w:rPr>
              <w:t>元 </w:t>
            </w:r>
            <w:r>
              <w:rPr>
                <w:rFonts w:ascii="宋体" w:hAnsi="宋体" w:cs="宋体" w:eastAsia="宋体" w:hint="default"/>
                <w:sz w:val="24"/>
                <w:szCs w:val="24"/>
              </w:rPr>
              <w:t>/</w:t>
            </w:r>
            <w:r>
              <w:rPr>
                <w:rFonts w:ascii="宋体" w:hAnsi="宋体" w:cs="宋体" w:eastAsia="宋体" w:hint="default"/>
                <w:sz w:val="24"/>
                <w:szCs w:val="24"/>
              </w:rPr>
              <w:t>股之间；合同的剩余期</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pacing w:val="-5"/>
                <w:sz w:val="24"/>
                <w:szCs w:val="24"/>
              </w:rPr>
              <w:t>限为，离第一期行权剩余</w:t>
            </w:r>
            <w:r>
              <w:rPr>
                <w:rFonts w:ascii="宋体" w:hAnsi="宋体" w:cs="宋体" w:eastAsia="宋体" w:hint="default"/>
                <w:spacing w:val="-56"/>
                <w:sz w:val="24"/>
                <w:szCs w:val="24"/>
              </w:rPr>
              <w:t> </w:t>
            </w:r>
            <w:r>
              <w:rPr>
                <w:rFonts w:ascii="宋体" w:hAnsi="宋体" w:cs="宋体" w:eastAsia="宋体" w:hint="default"/>
                <w:sz w:val="24"/>
                <w:szCs w:val="24"/>
              </w:rPr>
              <w:t>3</w:t>
            </w:r>
            <w:r>
              <w:rPr>
                <w:rFonts w:ascii="宋体" w:hAnsi="宋体" w:cs="宋体" w:eastAsia="宋体" w:hint="default"/>
                <w:spacing w:val="-56"/>
                <w:sz w:val="24"/>
                <w:szCs w:val="24"/>
              </w:rPr>
              <w:t> </w:t>
            </w:r>
            <w:r>
              <w:rPr>
                <w:rFonts w:ascii="宋体" w:hAnsi="宋体" w:cs="宋体" w:eastAsia="宋体" w:hint="default"/>
                <w:spacing w:val="-5"/>
                <w:sz w:val="24"/>
                <w:szCs w:val="24"/>
              </w:rPr>
              <w:t>天，离第二期行权剩余</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年零</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天，离第三期行权剩余</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年零</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天。</w:t>
            </w:r>
          </w:p>
        </w:tc>
      </w:tr>
      <w:tr>
        <w:trPr>
          <w:trHeight w:val="631"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公司期末发行在外的其他权益工具</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行权价格的范围和合同剩余期限</w:t>
            </w:r>
          </w:p>
        </w:tc>
        <w:tc>
          <w:tcPr>
            <w:tcW w:w="539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3" w:lineRule="exact"/>
        <w:ind w:left="378" w:right="0"/>
        <w:jc w:val="left"/>
      </w:pPr>
      <w:r>
        <w:rPr/>
        <w:t>其他说明</w:t>
      </w:r>
    </w:p>
    <w:p>
      <w:pPr>
        <w:pStyle w:val="BodyText"/>
        <w:spacing w:line="313" w:lineRule="exact"/>
        <w:ind w:left="858" w:right="0"/>
        <w:jc w:val="left"/>
      </w:pP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日，公司第九届董事会第六次会议审议通过了《关于</w:t>
      </w:r>
      <w:r>
        <w:rPr>
          <w:spacing w:val="-60"/>
        </w:rPr>
        <w:t> </w:t>
      </w:r>
      <w:r>
        <w:rPr>
          <w:rFonts w:ascii="宋体" w:hAnsi="宋体" w:cs="宋体" w:eastAsia="宋体" w:hint="default"/>
        </w:rPr>
        <w:t>2015</w:t>
      </w:r>
      <w:r>
        <w:rPr>
          <w:rFonts w:ascii="宋体" w:hAnsi="宋体" w:cs="宋体" w:eastAsia="宋体" w:hint="default"/>
          <w:spacing w:val="-60"/>
        </w:rPr>
        <w:t> </w:t>
      </w:r>
      <w:r>
        <w:rPr/>
        <w:t>年股票</w:t>
      </w:r>
    </w:p>
    <w:p>
      <w:pPr>
        <w:pStyle w:val="BodyText"/>
        <w:spacing w:line="357" w:lineRule="auto" w:before="151"/>
        <w:ind w:left="858" w:right="0" w:hanging="480"/>
        <w:jc w:val="left"/>
      </w:pPr>
      <w:r>
        <w:rPr/>
        <w:t>期权激励计划授予的议案》，确定公司股票期权首次授予日为</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 </w:t>
      </w:r>
      <w:r>
        <w:rPr>
          <w:spacing w:val="-2"/>
        </w:rPr>
        <w:t>在该授予日</w:t>
      </w:r>
      <w:r>
        <w:rPr>
          <w:rFonts w:ascii="宋体" w:hAnsi="宋体" w:cs="宋体" w:eastAsia="宋体" w:hint="default"/>
          <w:spacing w:val="-2"/>
        </w:rPr>
        <w:t>,</w:t>
      </w:r>
      <w:r>
        <w:rPr>
          <w:spacing w:val="-2"/>
        </w:rPr>
        <w:t>公司授予激励对象</w:t>
      </w:r>
      <w:r>
        <w:rPr>
          <w:rFonts w:ascii="宋体" w:hAnsi="宋体" w:cs="宋体" w:eastAsia="宋体" w:hint="default"/>
          <w:spacing w:val="-2"/>
        </w:rPr>
        <w:t>(</w:t>
      </w:r>
      <w:r>
        <w:rPr>
          <w:spacing w:val="-2"/>
        </w:rPr>
        <w:t>包括公司董事、监事、高级管理人员及公司认为</w:t>
      </w:r>
    </w:p>
    <w:p>
      <w:pPr>
        <w:pStyle w:val="BodyText"/>
        <w:spacing w:line="240" w:lineRule="auto" w:before="36"/>
        <w:ind w:left="378" w:right="0"/>
        <w:jc w:val="left"/>
      </w:pPr>
      <w:r>
        <w:rPr/>
        <w:t>应当激励的业务骨干员工，但不包括独立董事</w:t>
      </w:r>
      <w:r>
        <w:rPr>
          <w:rFonts w:ascii="宋体" w:hAnsi="宋体" w:cs="宋体" w:eastAsia="宋体" w:hint="default"/>
        </w:rPr>
        <w:t>)40,190</w:t>
      </w:r>
      <w:r>
        <w:rPr>
          <w:rFonts w:ascii="宋体" w:hAnsi="宋体" w:cs="宋体" w:eastAsia="宋体" w:hint="default"/>
          <w:spacing w:val="-60"/>
        </w:rPr>
        <w:t> </w:t>
      </w:r>
      <w:r>
        <w:rPr/>
        <w:t>万份股票期权，每份股票期权</w:t>
      </w:r>
    </w:p>
    <w:p>
      <w:pPr>
        <w:spacing w:after="0" w:line="240" w:lineRule="auto"/>
        <w:jc w:val="left"/>
        <w:sectPr>
          <w:type w:val="continuous"/>
          <w:pgSz w:w="11910" w:h="16840"/>
          <w:pgMar w:top="1000" w:bottom="280" w:left="1420" w:right="880"/>
        </w:sectPr>
      </w:pPr>
    </w:p>
    <w:p>
      <w:pPr>
        <w:spacing w:line="240" w:lineRule="auto" w:before="5"/>
        <w:rPr>
          <w:rFonts w:ascii="宋体" w:hAnsi="宋体" w:cs="宋体" w:eastAsia="宋体" w:hint="default"/>
          <w:sz w:val="25"/>
          <w:szCs w:val="25"/>
        </w:rPr>
      </w:pPr>
    </w:p>
    <w:p>
      <w:pPr>
        <w:pStyle w:val="BodyText"/>
        <w:spacing w:line="357" w:lineRule="auto" w:before="26"/>
        <w:ind w:left="598" w:right="653"/>
        <w:jc w:val="left"/>
      </w:pPr>
      <w:r>
        <w:rPr/>
        <w:t>拥有在授予日起</w:t>
      </w:r>
      <w:r>
        <w:rPr>
          <w:spacing w:val="-61"/>
        </w:rPr>
        <w:t> </w:t>
      </w:r>
      <w:r>
        <w:rPr>
          <w:rFonts w:ascii="宋体" w:hAnsi="宋体" w:cs="宋体" w:eastAsia="宋体" w:hint="default"/>
        </w:rPr>
        <w:t>4</w:t>
      </w:r>
      <w:r>
        <w:rPr>
          <w:rFonts w:ascii="宋体" w:hAnsi="宋体" w:cs="宋体" w:eastAsia="宋体" w:hint="default"/>
          <w:spacing w:val="-61"/>
        </w:rPr>
        <w:t> </w:t>
      </w:r>
      <w:r>
        <w:rPr/>
        <w:t>年内的可行权日以行权价格（每股</w:t>
      </w:r>
      <w:r>
        <w:rPr>
          <w:spacing w:val="-60"/>
        </w:rPr>
        <w:t> </w:t>
      </w:r>
      <w:r>
        <w:rPr>
          <w:rFonts w:ascii="宋体" w:hAnsi="宋体" w:cs="宋体" w:eastAsia="宋体" w:hint="default"/>
        </w:rPr>
        <w:t>5.58</w:t>
      </w:r>
      <w:r>
        <w:rPr>
          <w:rFonts w:ascii="宋体" w:hAnsi="宋体" w:cs="宋体" w:eastAsia="宋体" w:hint="default"/>
          <w:spacing w:val="-61"/>
        </w:rPr>
        <w:t> </w:t>
      </w:r>
      <w:r>
        <w:rPr/>
        <w:t>元）行权条件购买</w:t>
      </w:r>
      <w:r>
        <w:rPr>
          <w:spacing w:val="-61"/>
        </w:rPr>
        <w:t> </w:t>
      </w:r>
      <w:r>
        <w:rPr>
          <w:rFonts w:ascii="宋体" w:hAnsi="宋体" w:cs="宋体" w:eastAsia="宋体" w:hint="default"/>
        </w:rPr>
        <w:t>1</w:t>
      </w:r>
      <w:r>
        <w:rPr>
          <w:rFonts w:ascii="宋体" w:hAnsi="宋体" w:cs="宋体" w:eastAsia="宋体" w:hint="default"/>
          <w:spacing w:val="-61"/>
        </w:rPr>
        <w:t> </w:t>
      </w:r>
      <w:r>
        <w:rPr/>
        <w:t>股公 司的股票的权利。</w:t>
      </w:r>
    </w:p>
    <w:p>
      <w:pPr>
        <w:pStyle w:val="BodyText"/>
        <w:spacing w:line="240" w:lineRule="auto" w:before="34"/>
        <w:ind w:left="1078" w:right="0"/>
        <w:jc w:val="left"/>
      </w:pPr>
      <w:r>
        <w:rPr/>
        <w:t>激励计划有效期为自股票期权授予日起</w:t>
      </w:r>
      <w:r>
        <w:rPr>
          <w:spacing w:val="-58"/>
        </w:rPr>
        <w:t> </w:t>
      </w:r>
      <w:r>
        <w:rPr>
          <w:rFonts w:ascii="宋体" w:hAnsi="宋体" w:cs="宋体" w:eastAsia="宋体" w:hint="default"/>
        </w:rPr>
        <w:t>4</w:t>
      </w:r>
      <w:r>
        <w:rPr>
          <w:rFonts w:ascii="宋体" w:hAnsi="宋体" w:cs="宋体" w:eastAsia="宋体" w:hint="default"/>
          <w:spacing w:val="-59"/>
        </w:rPr>
        <w:t> </w:t>
      </w:r>
      <w:r>
        <w:rPr>
          <w:spacing w:val="-3"/>
        </w:rPr>
        <w:t>年，可行权日为自股票期权首次授予日</w:t>
      </w:r>
    </w:p>
    <w:p>
      <w:pPr>
        <w:pStyle w:val="BodyText"/>
        <w:spacing w:line="240" w:lineRule="auto" w:before="154"/>
        <w:ind w:left="598" w:right="794"/>
        <w:jc w:val="left"/>
      </w:pPr>
      <w:r>
        <w:rPr/>
        <w:t>（</w:t>
      </w:r>
      <w:r>
        <w:rPr>
          <w:rFonts w:ascii="宋体" w:hAnsi="宋体" w:cs="宋体" w:eastAsia="宋体" w:hint="default"/>
        </w:rPr>
        <w:t>T</w:t>
      </w:r>
      <w:r>
        <w:rPr>
          <w:rFonts w:ascii="宋体" w:hAnsi="宋体" w:cs="宋体" w:eastAsia="宋体" w:hint="default"/>
          <w:spacing w:val="-61"/>
        </w:rPr>
        <w:t> </w:t>
      </w:r>
      <w:r>
        <w:rPr/>
        <w:t>日）＋</w:t>
      </w:r>
      <w:r>
        <w:rPr>
          <w:rFonts w:ascii="宋体" w:hAnsi="宋体" w:cs="宋体" w:eastAsia="宋体" w:hint="default"/>
        </w:rPr>
        <w:t>12</w:t>
      </w:r>
      <w:r>
        <w:rPr>
          <w:rFonts w:ascii="宋体" w:hAnsi="宋体" w:cs="宋体" w:eastAsia="宋体" w:hint="default"/>
          <w:spacing w:val="-61"/>
        </w:rPr>
        <w:t> </w:t>
      </w:r>
      <w:r>
        <w:rPr/>
        <w:t>个月至</w:t>
      </w:r>
      <w:r>
        <w:rPr>
          <w:spacing w:val="-61"/>
        </w:rPr>
        <w:t> </w:t>
      </w:r>
      <w:r>
        <w:rPr>
          <w:rFonts w:ascii="宋体" w:hAnsi="宋体" w:cs="宋体" w:eastAsia="宋体" w:hint="default"/>
        </w:rPr>
        <w:t>T</w:t>
      </w:r>
      <w:r>
        <w:rPr/>
        <w:t>＋</w:t>
      </w:r>
      <w:r>
        <w:rPr>
          <w:rFonts w:ascii="宋体" w:hAnsi="宋体" w:cs="宋体" w:eastAsia="宋体" w:hint="default"/>
        </w:rPr>
        <w:t>48</w:t>
      </w:r>
      <w:r>
        <w:rPr>
          <w:rFonts w:ascii="宋体" w:hAnsi="宋体" w:cs="宋体" w:eastAsia="宋体" w:hint="default"/>
          <w:spacing w:val="-61"/>
        </w:rPr>
        <w:t> </w:t>
      </w:r>
      <w:r>
        <w:rPr/>
        <w:t>个月。其中：</w:t>
      </w:r>
    </w:p>
    <w:p>
      <w:pPr>
        <w:pStyle w:val="BodyText"/>
        <w:spacing w:line="355" w:lineRule="auto" w:before="154"/>
        <w:ind w:left="598" w:right="649" w:firstLine="479"/>
        <w:jc w:val="left"/>
      </w:pPr>
      <w:r>
        <w:rPr/>
        <w:t>第一期行权期间为</w:t>
      </w:r>
      <w:r>
        <w:rPr>
          <w:spacing w:val="-60"/>
        </w:rPr>
        <w:t> </w:t>
      </w:r>
      <w:r>
        <w:rPr>
          <w:rFonts w:ascii="宋体" w:hAnsi="宋体" w:cs="宋体" w:eastAsia="宋体" w:hint="default"/>
        </w:rPr>
        <w:t>T</w:t>
      </w:r>
      <w:r>
        <w:rPr>
          <w:rFonts w:ascii="宋体" w:hAnsi="宋体" w:cs="宋体" w:eastAsia="宋体" w:hint="default"/>
          <w:spacing w:val="-60"/>
        </w:rPr>
        <w:t> </w:t>
      </w:r>
      <w:r>
        <w:rPr/>
        <w:t>日</w:t>
      </w:r>
      <w:r>
        <w:rPr>
          <w:rFonts w:ascii="宋体" w:hAnsi="宋体" w:cs="宋体" w:eastAsia="宋体" w:hint="default"/>
        </w:rPr>
        <w:t>+12</w:t>
      </w:r>
      <w:r>
        <w:rPr>
          <w:rFonts w:ascii="宋体" w:hAnsi="宋体" w:cs="宋体" w:eastAsia="宋体" w:hint="default"/>
          <w:spacing w:val="-60"/>
        </w:rPr>
        <w:t> </w:t>
      </w:r>
      <w:r>
        <w:rPr/>
        <w:t>个月至</w:t>
      </w:r>
      <w:r>
        <w:rPr>
          <w:spacing w:val="-60"/>
        </w:rPr>
        <w:t> </w:t>
      </w:r>
      <w:r>
        <w:rPr>
          <w:rFonts w:ascii="宋体" w:hAnsi="宋体" w:cs="宋体" w:eastAsia="宋体" w:hint="default"/>
        </w:rPr>
        <w:t>T</w:t>
      </w:r>
      <w:r>
        <w:rPr>
          <w:rFonts w:ascii="宋体" w:hAnsi="宋体" w:cs="宋体" w:eastAsia="宋体" w:hint="default"/>
          <w:spacing w:val="-60"/>
        </w:rPr>
        <w:t> </w:t>
      </w:r>
      <w:r>
        <w:rPr/>
        <w:t>日</w:t>
      </w:r>
      <w:r>
        <w:rPr>
          <w:rFonts w:ascii="宋体" w:hAnsi="宋体" w:cs="宋体" w:eastAsia="宋体" w:hint="default"/>
        </w:rPr>
        <w:t>+24</w:t>
      </w:r>
      <w:r>
        <w:rPr>
          <w:rFonts w:ascii="宋体" w:hAnsi="宋体" w:cs="宋体" w:eastAsia="宋体" w:hint="default"/>
          <w:spacing w:val="-60"/>
        </w:rPr>
        <w:t> </w:t>
      </w:r>
      <w:r>
        <w:rPr/>
        <w:t>个月内的交易日，可行权部分为已授 予股票期权总量的</w:t>
      </w:r>
      <w:r>
        <w:rPr>
          <w:spacing w:val="-61"/>
        </w:rPr>
        <w:t> </w:t>
      </w:r>
      <w:r>
        <w:rPr>
          <w:rFonts w:ascii="宋体" w:hAnsi="宋体" w:cs="宋体" w:eastAsia="宋体" w:hint="default"/>
        </w:rPr>
        <w:t>40%</w:t>
      </w:r>
      <w:r>
        <w:rPr/>
        <w:t>；</w:t>
      </w:r>
    </w:p>
    <w:p>
      <w:pPr>
        <w:pStyle w:val="BodyText"/>
        <w:spacing w:line="355" w:lineRule="auto" w:before="38"/>
        <w:ind w:left="598" w:right="649" w:firstLine="479"/>
        <w:jc w:val="left"/>
      </w:pPr>
      <w:r>
        <w:rPr/>
        <w:t>第二期行权时间为</w:t>
      </w:r>
      <w:r>
        <w:rPr>
          <w:spacing w:val="-60"/>
        </w:rPr>
        <w:t> </w:t>
      </w:r>
      <w:r>
        <w:rPr>
          <w:rFonts w:ascii="宋体" w:hAnsi="宋体" w:cs="宋体" w:eastAsia="宋体" w:hint="default"/>
        </w:rPr>
        <w:t>T</w:t>
      </w:r>
      <w:r>
        <w:rPr>
          <w:rFonts w:ascii="宋体" w:hAnsi="宋体" w:cs="宋体" w:eastAsia="宋体" w:hint="default"/>
          <w:spacing w:val="-60"/>
        </w:rPr>
        <w:t> </w:t>
      </w:r>
      <w:r>
        <w:rPr/>
        <w:t>日</w:t>
      </w:r>
      <w:r>
        <w:rPr>
          <w:rFonts w:ascii="宋体" w:hAnsi="宋体" w:cs="宋体" w:eastAsia="宋体" w:hint="default"/>
        </w:rPr>
        <w:t>+24</w:t>
      </w:r>
      <w:r>
        <w:rPr>
          <w:rFonts w:ascii="宋体" w:hAnsi="宋体" w:cs="宋体" w:eastAsia="宋体" w:hint="default"/>
          <w:spacing w:val="-60"/>
        </w:rPr>
        <w:t> </w:t>
      </w:r>
      <w:r>
        <w:rPr/>
        <w:t>个月至</w:t>
      </w:r>
      <w:r>
        <w:rPr>
          <w:spacing w:val="-60"/>
        </w:rPr>
        <w:t> </w:t>
      </w:r>
      <w:r>
        <w:rPr>
          <w:rFonts w:ascii="宋体" w:hAnsi="宋体" w:cs="宋体" w:eastAsia="宋体" w:hint="default"/>
        </w:rPr>
        <w:t>T</w:t>
      </w:r>
      <w:r>
        <w:rPr>
          <w:rFonts w:ascii="宋体" w:hAnsi="宋体" w:cs="宋体" w:eastAsia="宋体" w:hint="default"/>
          <w:spacing w:val="-60"/>
        </w:rPr>
        <w:t> </w:t>
      </w:r>
      <w:r>
        <w:rPr/>
        <w:t>日</w:t>
      </w:r>
      <w:r>
        <w:rPr>
          <w:rFonts w:ascii="宋体" w:hAnsi="宋体" w:cs="宋体" w:eastAsia="宋体" w:hint="default"/>
        </w:rPr>
        <w:t>+36</w:t>
      </w:r>
      <w:r>
        <w:rPr>
          <w:rFonts w:ascii="宋体" w:hAnsi="宋体" w:cs="宋体" w:eastAsia="宋体" w:hint="default"/>
          <w:spacing w:val="-60"/>
        </w:rPr>
        <w:t> </w:t>
      </w:r>
      <w:r>
        <w:rPr/>
        <w:t>个月内的交易日，可行权部分为已授 予股票期权总量的</w:t>
      </w:r>
      <w:r>
        <w:rPr>
          <w:spacing w:val="-61"/>
        </w:rPr>
        <w:t> </w:t>
      </w:r>
      <w:r>
        <w:rPr>
          <w:rFonts w:ascii="宋体" w:hAnsi="宋体" w:cs="宋体" w:eastAsia="宋体" w:hint="default"/>
        </w:rPr>
        <w:t>30%</w:t>
      </w:r>
      <w:r>
        <w:rPr/>
        <w:t>；</w:t>
      </w:r>
    </w:p>
    <w:p>
      <w:pPr>
        <w:pStyle w:val="BodyText"/>
        <w:spacing w:line="355" w:lineRule="auto" w:before="38"/>
        <w:ind w:left="598" w:right="649" w:firstLine="479"/>
        <w:jc w:val="left"/>
      </w:pPr>
      <w:r>
        <w:rPr/>
        <w:t>第三期行权时间为</w:t>
      </w:r>
      <w:r>
        <w:rPr>
          <w:spacing w:val="-60"/>
        </w:rPr>
        <w:t> </w:t>
      </w:r>
      <w:r>
        <w:rPr>
          <w:rFonts w:ascii="宋体" w:hAnsi="宋体" w:cs="宋体" w:eastAsia="宋体" w:hint="default"/>
        </w:rPr>
        <w:t>T</w:t>
      </w:r>
      <w:r>
        <w:rPr>
          <w:rFonts w:ascii="宋体" w:hAnsi="宋体" w:cs="宋体" w:eastAsia="宋体" w:hint="default"/>
          <w:spacing w:val="-60"/>
        </w:rPr>
        <w:t> </w:t>
      </w:r>
      <w:r>
        <w:rPr/>
        <w:t>日</w:t>
      </w:r>
      <w:r>
        <w:rPr>
          <w:rFonts w:ascii="宋体" w:hAnsi="宋体" w:cs="宋体" w:eastAsia="宋体" w:hint="default"/>
        </w:rPr>
        <w:t>+36</w:t>
      </w:r>
      <w:r>
        <w:rPr>
          <w:rFonts w:ascii="宋体" w:hAnsi="宋体" w:cs="宋体" w:eastAsia="宋体" w:hint="default"/>
          <w:spacing w:val="-60"/>
        </w:rPr>
        <w:t> </w:t>
      </w:r>
      <w:r>
        <w:rPr/>
        <w:t>个月至</w:t>
      </w:r>
      <w:r>
        <w:rPr>
          <w:spacing w:val="-60"/>
        </w:rPr>
        <w:t> </w:t>
      </w:r>
      <w:r>
        <w:rPr>
          <w:rFonts w:ascii="宋体" w:hAnsi="宋体" w:cs="宋体" w:eastAsia="宋体" w:hint="default"/>
        </w:rPr>
        <w:t>T</w:t>
      </w:r>
      <w:r>
        <w:rPr>
          <w:rFonts w:ascii="宋体" w:hAnsi="宋体" w:cs="宋体" w:eastAsia="宋体" w:hint="default"/>
          <w:spacing w:val="-60"/>
        </w:rPr>
        <w:t> </w:t>
      </w:r>
      <w:r>
        <w:rPr/>
        <w:t>日</w:t>
      </w:r>
      <w:r>
        <w:rPr>
          <w:rFonts w:ascii="宋体" w:hAnsi="宋体" w:cs="宋体" w:eastAsia="宋体" w:hint="default"/>
        </w:rPr>
        <w:t>+48</w:t>
      </w:r>
      <w:r>
        <w:rPr>
          <w:rFonts w:ascii="宋体" w:hAnsi="宋体" w:cs="宋体" w:eastAsia="宋体" w:hint="default"/>
          <w:spacing w:val="-60"/>
        </w:rPr>
        <w:t> </w:t>
      </w:r>
      <w:r>
        <w:rPr/>
        <w:t>个月内的交易日，可行权部分为已授 予股票期权总量的</w:t>
      </w:r>
      <w:r>
        <w:rPr>
          <w:spacing w:val="-61"/>
        </w:rPr>
        <w:t> </w:t>
      </w:r>
      <w:r>
        <w:rPr>
          <w:rFonts w:ascii="宋体" w:hAnsi="宋体" w:cs="宋体" w:eastAsia="宋体" w:hint="default"/>
        </w:rPr>
        <w:t>30%</w:t>
      </w:r>
      <w:r>
        <w:rPr/>
        <w:t>。</w:t>
      </w: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0" w:footer="1195" w:top="1120" w:bottom="1380" w:left="1200" w:right="680"/>
        </w:sectPr>
      </w:pPr>
    </w:p>
    <w:p>
      <w:pPr>
        <w:pStyle w:val="Heading2"/>
        <w:spacing w:line="240" w:lineRule="auto"/>
        <w:ind w:left="598" w:right="-18"/>
        <w:jc w:val="left"/>
        <w:rPr>
          <w:b w:val="0"/>
          <w:bCs w:val="0"/>
        </w:rPr>
      </w:pPr>
      <w:r>
        <w:rPr>
          <w:rFonts w:ascii="宋体" w:hAnsi="宋体" w:cs="宋体" w:eastAsia="宋体" w:hint="default"/>
        </w:rPr>
        <w:t>2</w:t>
      </w:r>
      <w:r>
        <w:rPr/>
        <w:t>、</w:t>
      </w:r>
      <w:r>
        <w:rPr>
          <w:spacing w:val="-61"/>
        </w:rPr>
        <w:t> </w:t>
      </w:r>
      <w:r>
        <w:rPr/>
        <w:t>以权益结算的股份支付情况</w:t>
      </w:r>
      <w:r>
        <w:rPr>
          <w:b w:val="0"/>
          <w:bCs w:val="0"/>
        </w:rPr>
      </w:r>
    </w:p>
    <w:p>
      <w:pPr>
        <w:pStyle w:val="BodyText"/>
        <w:spacing w:line="240" w:lineRule="auto" w:before="58"/>
        <w:ind w:left="59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798" w:val="left" w:leader="none"/>
        </w:tabs>
        <w:spacing w:line="240" w:lineRule="auto"/>
        <w:ind w:left="598" w:right="0"/>
        <w:jc w:val="left"/>
      </w:pPr>
      <w:r>
        <w:rPr/>
        <w:t>单位：元</w:t>
        <w:tab/>
        <w:t>币种：人民币</w:t>
      </w:r>
    </w:p>
    <w:p>
      <w:pPr>
        <w:spacing w:after="0" w:line="240" w:lineRule="auto"/>
        <w:jc w:val="left"/>
        <w:sectPr>
          <w:type w:val="continuous"/>
          <w:pgSz w:w="11910" w:h="16840"/>
          <w:pgMar w:top="1000" w:bottom="280" w:left="1200" w:right="680"/>
          <w:cols w:num="2" w:equalWidth="0">
            <w:col w:w="3914" w:space="2279"/>
            <w:col w:w="3837"/>
          </w:cols>
        </w:sectPr>
      </w:pPr>
    </w:p>
    <w:p>
      <w:pPr>
        <w:spacing w:line="240" w:lineRule="auto" w:before="10"/>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5389"/>
        <w:gridCol w:w="4405"/>
      </w:tblGrid>
      <w:tr>
        <w:trPr>
          <w:trHeight w:val="322"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授予日权益工具公允价值的确定方法</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z w:val="24"/>
                <w:szCs w:val="24"/>
              </w:rPr>
              <w:t>]</w:t>
            </w:r>
          </w:p>
        </w:tc>
      </w:tr>
      <w:tr>
        <w:trPr>
          <w:trHeight w:val="1256"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可行权权益工具数量的确定依据</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z w:val="24"/>
                <w:szCs w:val="24"/>
              </w:rPr>
              <w:t>在等待期内的每个资产负债表日，根据</w:t>
            </w:r>
          </w:p>
          <w:p>
            <w:pPr>
              <w:pStyle w:val="TableParagraph"/>
              <w:spacing w:line="312" w:lineRule="exact" w:before="28"/>
              <w:ind w:left="103" w:right="209"/>
              <w:jc w:val="both"/>
              <w:rPr>
                <w:rFonts w:ascii="宋体" w:hAnsi="宋体" w:cs="宋体" w:eastAsia="宋体" w:hint="default"/>
                <w:sz w:val="24"/>
                <w:szCs w:val="24"/>
              </w:rPr>
            </w:pPr>
            <w:r>
              <w:rPr>
                <w:rFonts w:ascii="宋体" w:hAnsi="宋体" w:cs="宋体" w:eastAsia="宋体" w:hint="default"/>
                <w:sz w:val="24"/>
                <w:szCs w:val="24"/>
              </w:rPr>
              <w:t>最新取得的可行权职工人数变动等后续 信息做出最佳估计，修正预计可行权的 权益工具数量。</w:t>
            </w:r>
          </w:p>
        </w:tc>
      </w:tr>
      <w:tr>
        <w:trPr>
          <w:trHeight w:val="322"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本期估计与上期估计有重大差异的原因</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322"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以权益结算的股份支付计入资本公积的累计金额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119,880,852.63</w:t>
            </w:r>
          </w:p>
        </w:tc>
      </w:tr>
      <w:tr>
        <w:trPr>
          <w:trHeight w:val="322"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本期以权益结算的股份支付确认的费用总额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43,441,178.76</w:t>
            </w:r>
          </w:p>
        </w:tc>
      </w:tr>
    </w:tbl>
    <w:p>
      <w:pPr>
        <w:spacing w:line="240" w:lineRule="auto" w:before="10"/>
        <w:rPr>
          <w:rFonts w:ascii="宋体" w:hAnsi="宋体" w:cs="宋体" w:eastAsia="宋体" w:hint="default"/>
          <w:sz w:val="18"/>
          <w:szCs w:val="18"/>
        </w:rPr>
      </w:pPr>
    </w:p>
    <w:p>
      <w:pPr>
        <w:pStyle w:val="BodyText"/>
        <w:spacing w:line="312" w:lineRule="exact" w:before="26"/>
        <w:ind w:left="598" w:right="794"/>
        <w:jc w:val="left"/>
      </w:pPr>
      <w:r>
        <w:rPr/>
        <w:t>其他说明</w:t>
      </w:r>
    </w:p>
    <w:p>
      <w:pPr>
        <w:pStyle w:val="BodyText"/>
        <w:spacing w:line="381" w:lineRule="auto"/>
        <w:ind w:left="598" w:right="0" w:firstLine="479"/>
        <w:jc w:val="left"/>
      </w:pPr>
      <w:r>
        <w:rPr/>
        <w:t>注：根据《会计准则第</w:t>
      </w:r>
      <w:r>
        <w:rPr>
          <w:spacing w:val="-60"/>
        </w:rPr>
        <w:t> </w:t>
      </w:r>
      <w:r>
        <w:rPr>
          <w:rFonts w:ascii="宋体" w:hAnsi="宋体" w:cs="宋体" w:eastAsia="宋体" w:hint="default"/>
        </w:rPr>
        <w:t>11</w:t>
      </w:r>
      <w:r>
        <w:rPr>
          <w:rFonts w:ascii="宋体" w:hAnsi="宋体" w:cs="宋体" w:eastAsia="宋体" w:hint="default"/>
          <w:spacing w:val="-60"/>
        </w:rPr>
        <w:t> </w:t>
      </w:r>
      <w:r>
        <w:rPr/>
        <w:t>号——股份支付》的规定，由于公司授予的股票期权 没有现行市价，也没有相同交易条件的期权的市场价格，故本公司采用布莱克—斯科 尔斯期权定价模型进行估值。期权定价模型估计确定的授予日股票价格、行权价格、</w:t>
      </w:r>
      <w:r>
        <w:rPr>
          <w:spacing w:val="-63"/>
        </w:rPr>
        <w:t> </w:t>
      </w:r>
      <w:r>
        <w:rPr>
          <w:spacing w:val="-63"/>
        </w:rPr>
      </w:r>
      <w:r>
        <w:rPr/>
        <w:t>各期的剩余期限、无风险利率及股票波动率等参数如下：</w:t>
      </w:r>
    </w:p>
    <w:p>
      <w:pPr>
        <w:pStyle w:val="BodyText"/>
        <w:spacing w:line="381" w:lineRule="auto" w:before="41"/>
        <w:ind w:left="1078" w:right="1488"/>
        <w:jc w:val="left"/>
      </w:pPr>
      <w:r>
        <w:rPr/>
        <w:t>授予日股票价格：</w:t>
      </w:r>
      <w:r>
        <w:rPr>
          <w:rFonts w:ascii="宋体" w:hAnsi="宋体" w:cs="宋体" w:eastAsia="宋体" w:hint="default"/>
        </w:rPr>
        <w:t>4.35</w:t>
      </w:r>
      <w:r>
        <w:rPr>
          <w:rFonts w:ascii="宋体" w:hAnsi="宋体" w:cs="宋体" w:eastAsia="宋体" w:hint="default"/>
          <w:spacing w:val="-60"/>
        </w:rPr>
        <w:t> </w:t>
      </w:r>
      <w:r>
        <w:rPr/>
        <w:t>元</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日的股票收盘价</w:t>
      </w:r>
      <w:r>
        <w:rPr>
          <w:rFonts w:ascii="宋体" w:hAnsi="宋体" w:cs="宋体" w:eastAsia="宋体" w:hint="default"/>
        </w:rPr>
        <w:t>)</w:t>
      </w:r>
      <w:r>
        <w:rPr/>
        <w:t>。 行权价格：依据激励计划，行权价格为</w:t>
      </w:r>
      <w:r>
        <w:rPr>
          <w:spacing w:val="-59"/>
        </w:rPr>
        <w:t> </w:t>
      </w:r>
      <w:r>
        <w:rPr>
          <w:rFonts w:ascii="宋体" w:hAnsi="宋体" w:cs="宋体" w:eastAsia="宋体" w:hint="default"/>
        </w:rPr>
        <w:t>5.58</w:t>
      </w:r>
      <w:r>
        <w:rPr>
          <w:rFonts w:ascii="宋体" w:hAnsi="宋体" w:cs="宋体" w:eastAsia="宋体" w:hint="default"/>
          <w:spacing w:val="-60"/>
        </w:rPr>
        <w:t> </w:t>
      </w:r>
      <w:r>
        <w:rPr/>
        <w:t>元。 各期的剩余期限：依据激励计划，各期股票期权的剩余期限如下所示：</w:t>
      </w:r>
    </w:p>
    <w:p>
      <w:pPr>
        <w:spacing w:line="240" w:lineRule="auto" w:before="5"/>
        <w:rPr>
          <w:rFonts w:ascii="宋体" w:hAnsi="宋体" w:cs="宋体" w:eastAsia="宋体" w:hint="default"/>
          <w:sz w:val="6"/>
          <w:szCs w:val="6"/>
        </w:rPr>
      </w:pPr>
    </w:p>
    <w:tbl>
      <w:tblPr>
        <w:tblW w:w="0" w:type="auto"/>
        <w:jc w:val="left"/>
        <w:tblInd w:w="588" w:type="dxa"/>
        <w:tblLayout w:type="fixed"/>
        <w:tblCellMar>
          <w:top w:w="0" w:type="dxa"/>
          <w:left w:w="0" w:type="dxa"/>
          <w:bottom w:w="0" w:type="dxa"/>
          <w:right w:w="0" w:type="dxa"/>
        </w:tblCellMar>
        <w:tblLook w:val="01E0"/>
      </w:tblPr>
      <w:tblGrid>
        <w:gridCol w:w="2504"/>
        <w:gridCol w:w="2583"/>
        <w:gridCol w:w="3759"/>
      </w:tblGrid>
      <w:tr>
        <w:trPr>
          <w:trHeight w:val="509"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79" w:right="0"/>
              <w:jc w:val="left"/>
              <w:rPr>
                <w:rFonts w:ascii="宋体" w:hAnsi="宋体" w:cs="宋体" w:eastAsia="宋体" w:hint="default"/>
                <w:sz w:val="24"/>
                <w:szCs w:val="24"/>
              </w:rPr>
            </w:pPr>
            <w:r>
              <w:rPr>
                <w:rFonts w:ascii="宋体" w:hAnsi="宋体" w:cs="宋体" w:eastAsia="宋体" w:hint="default"/>
                <w:sz w:val="24"/>
                <w:szCs w:val="24"/>
              </w:rPr>
              <w:t>行权期</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 w:right="0"/>
              <w:jc w:val="center"/>
              <w:rPr>
                <w:rFonts w:ascii="宋体" w:hAnsi="宋体" w:cs="宋体" w:eastAsia="宋体" w:hint="default"/>
                <w:sz w:val="24"/>
                <w:szCs w:val="24"/>
              </w:rPr>
            </w:pPr>
            <w:r>
              <w:rPr>
                <w:rFonts w:ascii="宋体" w:hAnsi="宋体" w:cs="宋体" w:eastAsia="宋体" w:hint="default"/>
                <w:sz w:val="24"/>
                <w:szCs w:val="24"/>
              </w:rPr>
              <w:t>行权期间（年）</w:t>
            </w:r>
          </w:p>
        </w:tc>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0" w:right="0"/>
              <w:jc w:val="left"/>
              <w:rPr>
                <w:rFonts w:ascii="宋体" w:hAnsi="宋体" w:cs="宋体" w:eastAsia="宋体" w:hint="default"/>
                <w:sz w:val="24"/>
                <w:szCs w:val="24"/>
              </w:rPr>
            </w:pPr>
            <w:r>
              <w:rPr>
                <w:rFonts w:ascii="宋体" w:hAnsi="宋体" w:cs="宋体" w:eastAsia="宋体" w:hint="default"/>
                <w:sz w:val="24"/>
                <w:szCs w:val="24"/>
              </w:rPr>
              <w:t>平均年化剩余期限（年）</w:t>
            </w:r>
          </w:p>
        </w:tc>
      </w:tr>
      <w:tr>
        <w:trPr>
          <w:trHeight w:val="506"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79" w:right="0"/>
              <w:jc w:val="left"/>
              <w:rPr>
                <w:rFonts w:ascii="宋体" w:hAnsi="宋体" w:cs="宋体" w:eastAsia="宋体" w:hint="default"/>
                <w:sz w:val="24"/>
                <w:szCs w:val="24"/>
              </w:rPr>
            </w:pPr>
            <w:r>
              <w:rPr>
                <w:rFonts w:ascii="宋体" w:hAnsi="宋体" w:cs="宋体" w:eastAsia="宋体" w:hint="default"/>
                <w:sz w:val="24"/>
                <w:szCs w:val="24"/>
              </w:rPr>
              <w:t>第一个行权期</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2" w:right="0"/>
              <w:jc w:val="center"/>
              <w:rPr>
                <w:rFonts w:ascii="宋体" w:hAnsi="宋体" w:cs="宋体" w:eastAsia="宋体" w:hint="default"/>
                <w:sz w:val="24"/>
                <w:szCs w:val="24"/>
              </w:rPr>
            </w:pPr>
            <w:r>
              <w:rPr>
                <w:rFonts w:ascii="宋体"/>
                <w:sz w:val="24"/>
              </w:rPr>
              <w:t>1-2</w:t>
            </w:r>
          </w:p>
        </w:tc>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 w:right="0"/>
              <w:jc w:val="center"/>
              <w:rPr>
                <w:rFonts w:ascii="宋体" w:hAnsi="宋体" w:cs="宋体" w:eastAsia="宋体" w:hint="default"/>
                <w:sz w:val="24"/>
                <w:szCs w:val="24"/>
              </w:rPr>
            </w:pPr>
            <w:r>
              <w:rPr>
                <w:rFonts w:ascii="宋体"/>
                <w:sz w:val="24"/>
              </w:rPr>
              <w:t>1.5</w:t>
            </w:r>
          </w:p>
        </w:tc>
      </w:tr>
    </w:tbl>
    <w:p>
      <w:pPr>
        <w:spacing w:after="0" w:line="274" w:lineRule="exact"/>
        <w:jc w:val="center"/>
        <w:rPr>
          <w:rFonts w:ascii="宋体" w:hAnsi="宋体" w:cs="宋体" w:eastAsia="宋体" w:hint="default"/>
          <w:sz w:val="24"/>
          <w:szCs w:val="24"/>
        </w:rPr>
        <w:sectPr>
          <w:type w:val="continuous"/>
          <w:pgSz w:w="11910" w:h="16840"/>
          <w:pgMar w:top="1000" w:bottom="280" w:left="1200" w:right="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08" w:type="dxa"/>
        <w:tblLayout w:type="fixed"/>
        <w:tblCellMar>
          <w:top w:w="0" w:type="dxa"/>
          <w:left w:w="0" w:type="dxa"/>
          <w:bottom w:w="0" w:type="dxa"/>
          <w:right w:w="0" w:type="dxa"/>
        </w:tblCellMar>
        <w:tblLook w:val="01E0"/>
      </w:tblPr>
      <w:tblGrid>
        <w:gridCol w:w="2504"/>
        <w:gridCol w:w="2583"/>
        <w:gridCol w:w="3759"/>
      </w:tblGrid>
      <w:tr>
        <w:trPr>
          <w:trHeight w:val="509"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479" w:right="0"/>
              <w:jc w:val="left"/>
              <w:rPr>
                <w:rFonts w:ascii="宋体" w:hAnsi="宋体" w:cs="宋体" w:eastAsia="宋体" w:hint="default"/>
                <w:sz w:val="24"/>
                <w:szCs w:val="24"/>
              </w:rPr>
            </w:pPr>
            <w:r>
              <w:rPr>
                <w:rFonts w:ascii="宋体" w:hAnsi="宋体" w:cs="宋体" w:eastAsia="宋体" w:hint="default"/>
                <w:sz w:val="24"/>
                <w:szCs w:val="24"/>
              </w:rPr>
              <w:t>第二个行权期</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62" w:right="0"/>
              <w:jc w:val="center"/>
              <w:rPr>
                <w:rFonts w:ascii="宋体" w:hAnsi="宋体" w:cs="宋体" w:eastAsia="宋体" w:hint="default"/>
                <w:sz w:val="24"/>
                <w:szCs w:val="24"/>
              </w:rPr>
            </w:pPr>
            <w:r>
              <w:rPr>
                <w:rFonts w:ascii="宋体"/>
                <w:sz w:val="24"/>
              </w:rPr>
              <w:t>2-3</w:t>
            </w:r>
          </w:p>
        </w:tc>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671"/>
              <w:jc w:val="right"/>
              <w:rPr>
                <w:rFonts w:ascii="宋体" w:hAnsi="宋体" w:cs="宋体" w:eastAsia="宋体" w:hint="default"/>
                <w:sz w:val="24"/>
                <w:szCs w:val="24"/>
              </w:rPr>
            </w:pPr>
            <w:r>
              <w:rPr>
                <w:rFonts w:ascii="宋体"/>
                <w:sz w:val="24"/>
              </w:rPr>
              <w:t>2.5</w:t>
            </w:r>
          </w:p>
        </w:tc>
      </w:tr>
      <w:tr>
        <w:trPr>
          <w:trHeight w:val="509"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79" w:right="0"/>
              <w:jc w:val="left"/>
              <w:rPr>
                <w:rFonts w:ascii="宋体" w:hAnsi="宋体" w:cs="宋体" w:eastAsia="宋体" w:hint="default"/>
                <w:sz w:val="24"/>
                <w:szCs w:val="24"/>
              </w:rPr>
            </w:pPr>
            <w:r>
              <w:rPr>
                <w:rFonts w:ascii="宋体" w:hAnsi="宋体" w:cs="宋体" w:eastAsia="宋体" w:hint="default"/>
                <w:sz w:val="24"/>
                <w:szCs w:val="24"/>
              </w:rPr>
              <w:t>第三个行权期</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2" w:right="0"/>
              <w:jc w:val="center"/>
              <w:rPr>
                <w:rFonts w:ascii="宋体" w:hAnsi="宋体" w:cs="宋体" w:eastAsia="宋体" w:hint="default"/>
                <w:sz w:val="24"/>
                <w:szCs w:val="24"/>
              </w:rPr>
            </w:pPr>
            <w:r>
              <w:rPr>
                <w:rFonts w:ascii="宋体"/>
                <w:sz w:val="24"/>
              </w:rPr>
              <w:t>3-4</w:t>
            </w:r>
          </w:p>
        </w:tc>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71"/>
              <w:jc w:val="right"/>
              <w:rPr>
                <w:rFonts w:ascii="宋体" w:hAnsi="宋体" w:cs="宋体" w:eastAsia="宋体" w:hint="default"/>
                <w:sz w:val="24"/>
                <w:szCs w:val="24"/>
              </w:rPr>
            </w:pPr>
            <w:r>
              <w:rPr>
                <w:rFonts w:ascii="宋体"/>
                <w:sz w:val="24"/>
              </w:rPr>
              <w:t>3.5</w:t>
            </w:r>
          </w:p>
        </w:tc>
      </w:tr>
    </w:tbl>
    <w:p>
      <w:pPr>
        <w:spacing w:line="240" w:lineRule="auto" w:before="10"/>
        <w:rPr>
          <w:rFonts w:ascii="宋体" w:hAnsi="宋体" w:cs="宋体" w:eastAsia="宋体" w:hint="default"/>
          <w:sz w:val="18"/>
          <w:szCs w:val="18"/>
        </w:rPr>
      </w:pPr>
    </w:p>
    <w:p>
      <w:pPr>
        <w:pStyle w:val="BodyText"/>
        <w:spacing w:line="379" w:lineRule="auto" w:before="26"/>
        <w:ind w:left="698" w:right="215"/>
        <w:jc w:val="left"/>
      </w:pPr>
      <w:r>
        <w:rPr/>
        <w:t>无风险利率：取整存整取存款一年期利率</w:t>
      </w:r>
      <w:r>
        <w:rPr>
          <w:spacing w:val="-59"/>
        </w:rPr>
        <w:t> </w:t>
      </w:r>
      <w:r>
        <w:rPr>
          <w:rFonts w:ascii="宋体" w:hAnsi="宋体" w:cs="宋体" w:eastAsia="宋体" w:hint="default"/>
        </w:rPr>
        <w:t>1.5%</w:t>
      </w:r>
      <w:r>
        <w:rPr/>
        <w:t>作为无风险利率。 </w:t>
      </w:r>
      <w:r>
        <w:rPr>
          <w:spacing w:val="-3"/>
        </w:rPr>
        <w:t>股票波动率：根据自公司上市以来至授权日前一日的 </w:t>
      </w:r>
      <w:r>
        <w:rPr>
          <w:rFonts w:ascii="宋体" w:hAnsi="宋体" w:cs="宋体" w:eastAsia="宋体" w:hint="default"/>
        </w:rPr>
        <w:t>5</w:t>
      </w:r>
      <w:r>
        <w:rPr>
          <w:rFonts w:ascii="宋体" w:hAnsi="宋体" w:cs="宋体" w:eastAsia="宋体" w:hint="default"/>
          <w:spacing w:val="-95"/>
        </w:rPr>
        <w:t> </w:t>
      </w:r>
      <w:r>
        <w:rPr/>
        <w:t>日均价计算的年化历史波</w:t>
      </w:r>
    </w:p>
    <w:p>
      <w:pPr>
        <w:spacing w:after="0" w:line="379" w:lineRule="auto"/>
        <w:jc w:val="left"/>
        <w:sectPr>
          <w:footerReference w:type="default" r:id="rId103"/>
          <w:pgSz w:w="11910" w:h="16840"/>
          <w:pgMar w:footer="1195" w:header="0" w:top="1120" w:bottom="1380" w:left="1580" w:right="1040"/>
        </w:sectPr>
      </w:pPr>
    </w:p>
    <w:p>
      <w:pPr>
        <w:pStyle w:val="BodyText"/>
        <w:spacing w:line="240" w:lineRule="auto" w:before="46"/>
        <w:ind w:left="218" w:right="-14"/>
        <w:jc w:val="left"/>
      </w:pPr>
      <w:r>
        <w:rPr/>
        <w:t>动率</w:t>
      </w:r>
      <w:r>
        <w:rPr>
          <w:spacing w:val="-61"/>
        </w:rPr>
        <w:t> </w:t>
      </w:r>
      <w:r>
        <w:rPr>
          <w:rFonts w:ascii="宋体" w:hAnsi="宋体" w:cs="宋体" w:eastAsia="宋体" w:hint="default"/>
        </w:rPr>
        <w:t>25.69%</w:t>
      </w:r>
      <w:r>
        <w:rPr/>
        <w:t>。</w:t>
      </w:r>
    </w:p>
    <w:p>
      <w:pPr>
        <w:spacing w:line="447" w:lineRule="exact" w:before="137"/>
        <w:ind w:left="729" w:right="-14" w:firstLine="0"/>
        <w:jc w:val="left"/>
        <w:rPr>
          <w:rFonts w:ascii="Times New Roman" w:hAnsi="Times New Roman" w:cs="Times New Roman" w:eastAsia="Times New Roman" w:hint="default"/>
          <w:sz w:val="23"/>
          <w:szCs w:val="23"/>
        </w:rPr>
      </w:pPr>
      <w:r>
        <w:rPr/>
        <w:pict>
          <v:shape style="position:absolute;margin-left:198.501251pt;margin-top:42.997448pt;width:3.15pt;height:7.05pt;mso-position-horizontal-relative:page;mso-position-vertical-relative:paragraph;z-index:-1295968" type="#_x0000_t202" filled="false" stroked="false">
            <v:textbox inset="0,0,0,0">
              <w:txbxContent>
                <w:p>
                  <w:pPr>
                    <w:spacing w:line="140" w:lineRule="exact" w:before="0"/>
                    <w:ind w:left="0" w:right="0" w:firstLine="0"/>
                    <w:jc w:val="left"/>
                    <w:rPr>
                      <w:rFonts w:ascii="Times New Roman" w:hAnsi="Times New Roman" w:cs="Times New Roman" w:eastAsia="Times New Roman" w:hint="default"/>
                      <w:sz w:val="14"/>
                      <w:szCs w:val="14"/>
                    </w:rPr>
                  </w:pPr>
                  <w:r>
                    <w:rPr>
                      <w:rFonts w:ascii="Times New Roman"/>
                      <w:w w:val="100"/>
                      <w:sz w:val="14"/>
                    </w:rPr>
                    <w:t>c</w:t>
                  </w:r>
                </w:p>
              </w:txbxContent>
            </v:textbox>
            <w10:wrap type="none"/>
          </v:shape>
        </w:pict>
      </w:r>
      <w:r>
        <w:rPr>
          <w:rFonts w:ascii="Times New Roman" w:hAnsi="Times New Roman" w:cs="Times New Roman" w:eastAsia="Times New Roman" w:hint="default"/>
          <w:w w:val="97"/>
          <w:position w:val="2"/>
          <w:sz w:val="23"/>
          <w:szCs w:val="23"/>
        </w:rPr>
        <w:t>C</w:t>
      </w:r>
      <w:r>
        <w:rPr>
          <w:rFonts w:ascii="Times New Roman" w:hAnsi="Times New Roman" w:cs="Times New Roman" w:eastAsia="Times New Roman" w:hint="default"/>
          <w:spacing w:val="-31"/>
          <w:position w:val="2"/>
          <w:sz w:val="23"/>
          <w:szCs w:val="23"/>
        </w:rPr>
        <w:t> </w:t>
      </w:r>
      <w:r>
        <w:rPr>
          <w:rFonts w:ascii="Times New Roman" w:hAnsi="Times New Roman" w:cs="Times New Roman" w:eastAsia="Times New Roman" w:hint="default"/>
          <w:w w:val="100"/>
          <w:position w:val="-3"/>
          <w:sz w:val="13"/>
          <w:szCs w:val="13"/>
        </w:rPr>
        <w:t>0</w:t>
      </w:r>
      <w:r>
        <w:rPr>
          <w:rFonts w:ascii="Times New Roman" w:hAnsi="Times New Roman" w:cs="Times New Roman" w:eastAsia="Times New Roman" w:hint="default"/>
          <w:position w:val="-3"/>
          <w:sz w:val="13"/>
          <w:szCs w:val="13"/>
        </w:rPr>
        <w:t> </w:t>
      </w:r>
      <w:r>
        <w:rPr>
          <w:rFonts w:ascii="Times New Roman" w:hAnsi="Times New Roman" w:cs="Times New Roman" w:eastAsia="Times New Roman" w:hint="default"/>
          <w:spacing w:val="-10"/>
          <w:position w:val="-3"/>
          <w:sz w:val="13"/>
          <w:szCs w:val="13"/>
        </w:rPr>
        <w:t> </w:t>
      </w:r>
      <w:r>
        <w:rPr>
          <w:rFonts w:ascii="宋体" w:hAnsi="宋体" w:cs="宋体" w:eastAsia="宋体" w:hint="default"/>
          <w:position w:val="-9"/>
          <w:sz w:val="24"/>
          <w:szCs w:val="24"/>
        </w:rPr>
        <w:t>=</w:t>
      </w:r>
      <w:r>
        <w:rPr>
          <w:rFonts w:ascii="宋体" w:hAnsi="宋体" w:cs="宋体" w:eastAsia="宋体" w:hint="default"/>
          <w:spacing w:val="-95"/>
          <w:position w:val="-9"/>
          <w:sz w:val="24"/>
          <w:szCs w:val="24"/>
        </w:rPr>
        <w:t> </w:t>
      </w:r>
      <w:r>
        <w:rPr>
          <w:rFonts w:ascii="Times New Roman" w:hAnsi="Times New Roman" w:cs="Times New Roman" w:eastAsia="Times New Roman" w:hint="default"/>
          <w:spacing w:val="8"/>
          <w:w w:val="103"/>
          <w:position w:val="2"/>
          <w:sz w:val="23"/>
          <w:szCs w:val="23"/>
        </w:rPr>
        <w:t>S</w:t>
      </w:r>
      <w:r>
        <w:rPr>
          <w:rFonts w:ascii="Times New Roman" w:hAnsi="Times New Roman" w:cs="Times New Roman" w:eastAsia="Times New Roman" w:hint="default"/>
          <w:w w:val="106"/>
          <w:position w:val="-3"/>
          <w:sz w:val="13"/>
          <w:szCs w:val="13"/>
        </w:rPr>
        <w:t>0</w:t>
      </w:r>
      <w:r>
        <w:rPr>
          <w:rFonts w:ascii="Times New Roman" w:hAnsi="Times New Roman" w:cs="Times New Roman" w:eastAsia="Times New Roman" w:hint="default"/>
          <w:spacing w:val="-5"/>
          <w:position w:val="-3"/>
          <w:sz w:val="13"/>
          <w:szCs w:val="13"/>
        </w:rPr>
        <w:t> </w:t>
      </w:r>
      <w:r>
        <w:rPr>
          <w:rFonts w:ascii="Symbol" w:hAnsi="Symbol" w:cs="Symbol" w:eastAsia="Symbol" w:hint="default"/>
          <w:spacing w:val="-5"/>
          <w:w w:val="73"/>
          <w:position w:val="2"/>
          <w:sz w:val="32"/>
          <w:szCs w:val="32"/>
        </w:rPr>
        <w:t></w:t>
      </w:r>
      <w:r>
        <w:rPr>
          <w:rFonts w:ascii="Times New Roman" w:hAnsi="Times New Roman" w:cs="Times New Roman" w:eastAsia="Times New Roman" w:hint="default"/>
          <w:spacing w:val="6"/>
          <w:w w:val="103"/>
          <w:position w:val="2"/>
          <w:sz w:val="23"/>
          <w:szCs w:val="23"/>
        </w:rPr>
        <w:t>N</w:t>
      </w:r>
      <w:r>
        <w:rPr>
          <w:rFonts w:ascii="Symbol" w:hAnsi="Symbol" w:cs="Symbol" w:eastAsia="Symbol" w:hint="default"/>
          <w:spacing w:val="-7"/>
          <w:w w:val="75"/>
          <w:position w:val="2"/>
          <w:sz w:val="31"/>
          <w:szCs w:val="31"/>
        </w:rPr>
        <w:t></w:t>
      </w:r>
      <w:r>
        <w:rPr>
          <w:rFonts w:ascii="Times New Roman" w:hAnsi="Times New Roman" w:cs="Times New Roman" w:eastAsia="Times New Roman" w:hint="default"/>
          <w:spacing w:val="8"/>
          <w:w w:val="103"/>
          <w:position w:val="2"/>
          <w:sz w:val="23"/>
          <w:szCs w:val="23"/>
        </w:rPr>
        <w:t>d</w:t>
      </w:r>
      <w:r>
        <w:rPr>
          <w:rFonts w:ascii="Times New Roman" w:hAnsi="Times New Roman" w:cs="Times New Roman" w:eastAsia="Times New Roman" w:hint="default"/>
          <w:w w:val="106"/>
          <w:position w:val="-3"/>
          <w:sz w:val="13"/>
          <w:szCs w:val="13"/>
        </w:rPr>
        <w:t>1</w:t>
      </w:r>
      <w:r>
        <w:rPr>
          <w:rFonts w:ascii="Times New Roman" w:hAnsi="Times New Roman" w:cs="Times New Roman" w:eastAsia="Times New Roman" w:hint="default"/>
          <w:spacing w:val="-2"/>
          <w:position w:val="-3"/>
          <w:sz w:val="13"/>
          <w:szCs w:val="13"/>
        </w:rPr>
        <w:t> </w:t>
      </w:r>
      <w:r>
        <w:rPr>
          <w:rFonts w:ascii="Symbol" w:hAnsi="Symbol" w:cs="Symbol" w:eastAsia="Symbol" w:hint="default"/>
          <w:spacing w:val="-14"/>
          <w:w w:val="75"/>
          <w:position w:val="2"/>
          <w:sz w:val="31"/>
          <w:szCs w:val="31"/>
        </w:rPr>
        <w:t></w:t>
      </w:r>
      <w:r>
        <w:rPr>
          <w:rFonts w:ascii="Symbol" w:hAnsi="Symbol" w:cs="Symbol" w:eastAsia="Symbol" w:hint="default"/>
          <w:w w:val="73"/>
          <w:position w:val="2"/>
          <w:sz w:val="32"/>
          <w:szCs w:val="32"/>
        </w:rPr>
        <w:t></w:t>
      </w:r>
      <w:r>
        <w:rPr>
          <w:rFonts w:ascii="Times New Roman" w:hAnsi="Times New Roman" w:cs="Times New Roman" w:eastAsia="Times New Roman" w:hint="default"/>
          <w:spacing w:val="-49"/>
          <w:position w:val="2"/>
          <w:sz w:val="32"/>
          <w:szCs w:val="32"/>
        </w:rPr>
        <w:t> </w:t>
      </w:r>
      <w:r>
        <w:rPr>
          <w:rFonts w:ascii="宋体" w:hAnsi="宋体" w:cs="宋体" w:eastAsia="宋体" w:hint="default"/>
          <w:position w:val="-9"/>
          <w:sz w:val="24"/>
          <w:szCs w:val="24"/>
        </w:rPr>
        <w:t>-</w:t>
      </w:r>
      <w:r>
        <w:rPr>
          <w:rFonts w:ascii="宋体" w:hAnsi="宋体" w:cs="宋体" w:eastAsia="宋体" w:hint="default"/>
          <w:spacing w:val="-83"/>
          <w:position w:val="-9"/>
          <w:sz w:val="24"/>
          <w:szCs w:val="24"/>
        </w:rPr>
        <w:t> </w:t>
      </w:r>
      <w:r>
        <w:rPr>
          <w:rFonts w:ascii="Times New Roman" w:hAnsi="Times New Roman" w:cs="Times New Roman" w:eastAsia="Times New Roman" w:hint="default"/>
          <w:spacing w:val="-2"/>
          <w:w w:val="103"/>
          <w:sz w:val="23"/>
          <w:szCs w:val="23"/>
        </w:rPr>
        <w:t>Xe</w:t>
      </w:r>
      <w:r>
        <w:rPr>
          <w:rFonts w:ascii="Times New Roman" w:hAnsi="Times New Roman" w:cs="Times New Roman" w:eastAsia="Times New Roman" w:hint="default"/>
          <w:sz w:val="23"/>
          <w:szCs w:val="23"/>
        </w:rPr>
      </w:r>
    </w:p>
    <w:p>
      <w:pPr>
        <w:spacing w:line="240" w:lineRule="auto" w:before="0"/>
        <w:rPr>
          <w:rFonts w:ascii="Times New Roman" w:hAnsi="Times New Roman" w:cs="Times New Roman" w:eastAsia="Times New Roman" w:hint="default"/>
          <w:sz w:val="16"/>
          <w:szCs w:val="16"/>
        </w:rPr>
      </w:pPr>
      <w:r>
        <w:rPr/>
        <w:br w:type="column"/>
      </w:r>
      <w:r>
        <w:rPr>
          <w:rFonts w:ascii="Times New Roman"/>
          <w:sz w:val="16"/>
        </w:rPr>
      </w:r>
    </w:p>
    <w:p>
      <w:pPr>
        <w:spacing w:line="240" w:lineRule="auto" w:before="0"/>
        <w:rPr>
          <w:rFonts w:ascii="Times New Roman" w:hAnsi="Times New Roman" w:cs="Times New Roman" w:eastAsia="Times New Roman" w:hint="default"/>
          <w:sz w:val="16"/>
          <w:szCs w:val="16"/>
        </w:rPr>
      </w:pPr>
    </w:p>
    <w:p>
      <w:pPr>
        <w:spacing w:line="240" w:lineRule="auto" w:before="1"/>
        <w:rPr>
          <w:rFonts w:ascii="Times New Roman" w:hAnsi="Times New Roman" w:cs="Times New Roman" w:eastAsia="Times New Roman" w:hint="default"/>
          <w:sz w:val="20"/>
          <w:szCs w:val="20"/>
        </w:rPr>
      </w:pPr>
    </w:p>
    <w:p>
      <w:pPr>
        <w:spacing w:before="0"/>
        <w:ind w:left="-16" w:right="-17" w:firstLine="0"/>
        <w:jc w:val="left"/>
        <w:rPr>
          <w:rFonts w:ascii="Times New Roman" w:hAnsi="Times New Roman" w:cs="Times New Roman" w:eastAsia="Times New Roman" w:hint="default"/>
          <w:sz w:val="13"/>
          <w:szCs w:val="13"/>
        </w:rPr>
      </w:pPr>
      <w:r>
        <w:rPr>
          <w:rFonts w:ascii="Symbol" w:hAnsi="Symbol" w:cs="Symbol" w:eastAsia="Symbol" w:hint="default"/>
          <w:spacing w:val="4"/>
          <w:w w:val="105"/>
          <w:sz w:val="13"/>
          <w:szCs w:val="13"/>
        </w:rPr>
        <w:t></w:t>
      </w:r>
      <w:r>
        <w:rPr>
          <w:rFonts w:ascii="Times New Roman" w:hAnsi="Times New Roman" w:cs="Times New Roman" w:eastAsia="Times New Roman" w:hint="default"/>
          <w:spacing w:val="4"/>
          <w:w w:val="105"/>
          <w:sz w:val="13"/>
          <w:szCs w:val="13"/>
        </w:rPr>
        <w:t>r</w:t>
      </w:r>
      <w:r>
        <w:rPr>
          <w:rFonts w:ascii="Times New Roman" w:hAnsi="Times New Roman" w:cs="Times New Roman" w:eastAsia="Times New Roman" w:hint="default"/>
          <w:spacing w:val="4"/>
          <w:w w:val="105"/>
          <w:position w:val="-2"/>
          <w:sz w:val="10"/>
          <w:szCs w:val="10"/>
        </w:rPr>
        <w:t>c</w:t>
      </w:r>
      <w:r>
        <w:rPr>
          <w:rFonts w:ascii="Times New Roman" w:hAnsi="Times New Roman" w:cs="Times New Roman" w:eastAsia="Times New Roman" w:hint="default"/>
          <w:spacing w:val="4"/>
          <w:w w:val="105"/>
          <w:sz w:val="13"/>
          <w:szCs w:val="13"/>
        </w:rPr>
        <w:t>t</w:t>
      </w:r>
      <w:r>
        <w:rPr>
          <w:rFonts w:ascii="Times New Roman" w:hAnsi="Times New Roman" w:cs="Times New Roman" w:eastAsia="Times New Roman" w:hint="default"/>
          <w:spacing w:val="4"/>
          <w:sz w:val="13"/>
          <w:szCs w:val="13"/>
        </w:rPr>
      </w:r>
    </w:p>
    <w:p>
      <w:pPr>
        <w:spacing w:line="240" w:lineRule="auto" w:before="11"/>
        <w:rPr>
          <w:rFonts w:ascii="Times New Roman" w:hAnsi="Times New Roman" w:cs="Times New Roman" w:eastAsia="Times New Roman" w:hint="default"/>
          <w:sz w:val="44"/>
          <w:szCs w:val="44"/>
        </w:rPr>
      </w:pPr>
      <w:r>
        <w:rPr/>
        <w:br w:type="column"/>
      </w:r>
      <w:r>
        <w:rPr>
          <w:rFonts w:ascii="Times New Roman"/>
          <w:sz w:val="44"/>
        </w:rPr>
      </w:r>
    </w:p>
    <w:p>
      <w:pPr>
        <w:spacing w:before="0"/>
        <w:ind w:left="-4" w:right="0" w:firstLine="0"/>
        <w:jc w:val="left"/>
        <w:rPr>
          <w:rFonts w:ascii="Symbol" w:hAnsi="Symbol" w:cs="Symbol" w:eastAsia="Symbol" w:hint="default"/>
          <w:sz w:val="32"/>
          <w:szCs w:val="32"/>
        </w:rPr>
      </w:pPr>
      <w:r>
        <w:rPr>
          <w:rFonts w:ascii="Symbol" w:hAnsi="Symbol" w:cs="Symbol" w:eastAsia="Symbol" w:hint="default"/>
          <w:spacing w:val="-3"/>
          <w:w w:val="95"/>
          <w:sz w:val="32"/>
          <w:szCs w:val="32"/>
        </w:rPr>
        <w:t></w:t>
      </w:r>
      <w:r>
        <w:rPr>
          <w:rFonts w:ascii="Times New Roman" w:hAnsi="Times New Roman" w:cs="Times New Roman" w:eastAsia="Times New Roman" w:hint="default"/>
          <w:spacing w:val="-3"/>
          <w:w w:val="95"/>
          <w:sz w:val="23"/>
          <w:szCs w:val="23"/>
        </w:rPr>
        <w:t>N</w:t>
      </w:r>
      <w:r>
        <w:rPr>
          <w:rFonts w:ascii="Symbol" w:hAnsi="Symbol" w:cs="Symbol" w:eastAsia="Symbol" w:hint="default"/>
          <w:spacing w:val="-3"/>
          <w:w w:val="95"/>
          <w:sz w:val="31"/>
          <w:szCs w:val="31"/>
        </w:rPr>
        <w:t></w:t>
      </w:r>
      <w:r>
        <w:rPr>
          <w:rFonts w:ascii="Times New Roman" w:hAnsi="Times New Roman" w:cs="Times New Roman" w:eastAsia="Times New Roman" w:hint="default"/>
          <w:spacing w:val="-3"/>
          <w:w w:val="95"/>
          <w:sz w:val="23"/>
          <w:szCs w:val="23"/>
        </w:rPr>
        <w:t>d</w:t>
      </w:r>
      <w:r>
        <w:rPr>
          <w:rFonts w:ascii="Times New Roman" w:hAnsi="Times New Roman" w:cs="Times New Roman" w:eastAsia="Times New Roman" w:hint="default"/>
          <w:spacing w:val="-46"/>
          <w:w w:val="95"/>
          <w:sz w:val="23"/>
          <w:szCs w:val="23"/>
        </w:rPr>
        <w:t> </w:t>
      </w:r>
      <w:r>
        <w:rPr>
          <w:rFonts w:ascii="Times New Roman" w:hAnsi="Times New Roman" w:cs="Times New Roman" w:eastAsia="Times New Roman" w:hint="default"/>
          <w:w w:val="95"/>
          <w:position w:val="-5"/>
          <w:sz w:val="13"/>
          <w:szCs w:val="13"/>
        </w:rPr>
        <w:t>2</w:t>
      </w:r>
      <w:r>
        <w:rPr>
          <w:rFonts w:ascii="Times New Roman" w:hAnsi="Times New Roman" w:cs="Times New Roman" w:eastAsia="Times New Roman" w:hint="default"/>
          <w:spacing w:val="-17"/>
          <w:w w:val="95"/>
          <w:position w:val="-5"/>
          <w:sz w:val="13"/>
          <w:szCs w:val="13"/>
        </w:rPr>
        <w:t> </w:t>
      </w:r>
      <w:r>
        <w:rPr>
          <w:rFonts w:ascii="Symbol" w:hAnsi="Symbol" w:cs="Symbol" w:eastAsia="Symbol" w:hint="default"/>
          <w:spacing w:val="-9"/>
          <w:w w:val="95"/>
          <w:sz w:val="31"/>
          <w:szCs w:val="31"/>
        </w:rPr>
        <w:t></w:t>
      </w:r>
      <w:r>
        <w:rPr>
          <w:rFonts w:ascii="Symbol" w:hAnsi="Symbol" w:cs="Symbol" w:eastAsia="Symbol" w:hint="default"/>
          <w:spacing w:val="-9"/>
          <w:w w:val="95"/>
          <w:sz w:val="32"/>
          <w:szCs w:val="32"/>
        </w:rPr>
        <w:t></w:t>
      </w:r>
      <w:r>
        <w:rPr>
          <w:rFonts w:ascii="Symbol" w:hAnsi="Symbol" w:cs="Symbol" w:eastAsia="Symbol" w:hint="default"/>
          <w:spacing w:val="-9"/>
          <w:sz w:val="32"/>
          <w:szCs w:val="32"/>
        </w:rPr>
      </w:r>
    </w:p>
    <w:p>
      <w:pPr>
        <w:spacing w:after="0"/>
        <w:jc w:val="left"/>
        <w:rPr>
          <w:rFonts w:ascii="Symbol" w:hAnsi="Symbol" w:cs="Symbol" w:eastAsia="Symbol" w:hint="default"/>
          <w:sz w:val="32"/>
          <w:szCs w:val="32"/>
        </w:rPr>
        <w:sectPr>
          <w:type w:val="continuous"/>
          <w:pgSz w:w="11910" w:h="16840"/>
          <w:pgMar w:top="1000" w:bottom="280" w:left="1580" w:right="1040"/>
          <w:cols w:num="3" w:equalWidth="0">
            <w:col w:w="2567" w:space="40"/>
            <w:col w:w="208" w:space="40"/>
            <w:col w:w="6435"/>
          </w:cols>
        </w:sectPr>
      </w:pPr>
    </w:p>
    <w:p>
      <w:pPr>
        <w:spacing w:line="240" w:lineRule="auto" w:before="8"/>
        <w:rPr>
          <w:rFonts w:ascii="Symbol" w:hAnsi="Symbol" w:cs="Symbol" w:eastAsia="Symbol" w:hint="default"/>
          <w:sz w:val="36"/>
          <w:szCs w:val="36"/>
        </w:rPr>
      </w:pPr>
    </w:p>
    <w:p>
      <w:pPr>
        <w:spacing w:before="0"/>
        <w:ind w:left="0" w:right="0" w:firstLine="0"/>
        <w:jc w:val="right"/>
        <w:rPr>
          <w:rFonts w:ascii="宋体" w:hAnsi="宋体" w:cs="宋体" w:eastAsia="宋体" w:hint="default"/>
          <w:sz w:val="24"/>
          <w:szCs w:val="24"/>
        </w:rPr>
      </w:pPr>
      <w:r>
        <w:rPr>
          <w:rFonts w:ascii="Times New Roman"/>
          <w:spacing w:val="2"/>
          <w:sz w:val="24"/>
        </w:rPr>
        <w:t>d</w:t>
      </w:r>
      <w:r>
        <w:rPr>
          <w:rFonts w:ascii="Times New Roman"/>
          <w:spacing w:val="2"/>
          <w:position w:val="-5"/>
          <w:sz w:val="14"/>
        </w:rPr>
        <w:t>1</w:t>
      </w:r>
      <w:r>
        <w:rPr>
          <w:rFonts w:ascii="Times New Roman"/>
          <w:spacing w:val="8"/>
          <w:position w:val="-5"/>
          <w:sz w:val="14"/>
        </w:rPr>
        <w:t> </w:t>
      </w:r>
      <w:r>
        <w:rPr>
          <w:rFonts w:ascii="宋体"/>
          <w:position w:val="-10"/>
          <w:sz w:val="24"/>
        </w:rPr>
        <w:t>=</w:t>
      </w:r>
      <w:r>
        <w:rPr>
          <w:rFonts w:ascii="宋体"/>
          <w:sz w:val="24"/>
        </w:rPr>
      </w:r>
    </w:p>
    <w:p>
      <w:pPr>
        <w:spacing w:before="17"/>
        <w:ind w:left="12" w:right="-17" w:firstLine="0"/>
        <w:jc w:val="left"/>
        <w:rPr>
          <w:rFonts w:ascii="Times New Roman" w:hAnsi="Times New Roman" w:cs="Times New Roman" w:eastAsia="Times New Roman" w:hint="default"/>
          <w:sz w:val="14"/>
          <w:szCs w:val="14"/>
        </w:rPr>
      </w:pPr>
      <w:r>
        <w:rPr/>
        <w:br w:type="column"/>
      </w:r>
      <w:r>
        <w:rPr>
          <w:rFonts w:ascii="Times New Roman" w:hAnsi="Times New Roman" w:cs="Times New Roman" w:eastAsia="Times New Roman" w:hint="default"/>
          <w:spacing w:val="4"/>
          <w:w w:val="100"/>
          <w:sz w:val="24"/>
          <w:szCs w:val="24"/>
        </w:rPr>
        <w:t>l</w:t>
      </w:r>
      <w:r>
        <w:rPr>
          <w:rFonts w:ascii="Times New Roman" w:hAnsi="Times New Roman" w:cs="Times New Roman" w:eastAsia="Times New Roman" w:hint="default"/>
          <w:spacing w:val="2"/>
          <w:w w:val="100"/>
          <w:sz w:val="24"/>
          <w:szCs w:val="24"/>
        </w:rPr>
        <w:t>n</w:t>
      </w:r>
      <w:r>
        <w:rPr>
          <w:rFonts w:ascii="Symbol" w:hAnsi="Symbol" w:cs="Symbol" w:eastAsia="Symbol" w:hint="default"/>
          <w:spacing w:val="-16"/>
          <w:w w:val="76"/>
          <w:sz w:val="31"/>
          <w:szCs w:val="31"/>
        </w:rPr>
        <w:t></w:t>
      </w:r>
      <w:r>
        <w:rPr>
          <w:rFonts w:ascii="Times New Roman" w:hAnsi="Times New Roman" w:cs="Times New Roman" w:eastAsia="Times New Roman" w:hint="default"/>
          <w:spacing w:val="7"/>
          <w:w w:val="100"/>
          <w:sz w:val="24"/>
          <w:szCs w:val="24"/>
        </w:rPr>
        <w:t>S</w:t>
      </w:r>
      <w:r>
        <w:rPr>
          <w:rFonts w:ascii="Times New Roman" w:hAnsi="Times New Roman" w:cs="Times New Roman" w:eastAsia="Times New Roman" w:hint="default"/>
          <w:w w:val="100"/>
          <w:position w:val="-5"/>
          <w:sz w:val="14"/>
          <w:szCs w:val="14"/>
        </w:rPr>
        <w:t>0</w:t>
      </w:r>
      <w:r>
        <w:rPr>
          <w:rFonts w:ascii="Times New Roman" w:hAnsi="Times New Roman" w:cs="Times New Roman" w:eastAsia="Times New Roman" w:hint="default"/>
          <w:w w:val="100"/>
          <w:sz w:val="14"/>
          <w:szCs w:val="14"/>
        </w:rPr>
      </w:r>
    </w:p>
    <w:p>
      <w:pPr>
        <w:spacing w:line="417" w:lineRule="exact" w:before="0"/>
        <w:ind w:left="27" w:right="0" w:firstLine="0"/>
        <w:jc w:val="left"/>
        <w:rPr>
          <w:rFonts w:ascii="Times New Roman" w:hAnsi="Times New Roman" w:cs="Times New Roman" w:eastAsia="Times New Roman" w:hint="default"/>
          <w:sz w:val="24"/>
          <w:szCs w:val="24"/>
        </w:rPr>
      </w:pPr>
      <w:r>
        <w:rPr>
          <w:w w:val="95"/>
        </w:rPr>
        <w:br w:type="column"/>
      </w:r>
      <w:r>
        <w:rPr>
          <w:rFonts w:ascii="Times New Roman" w:hAnsi="Times New Roman" w:cs="Times New Roman" w:eastAsia="Times New Roman" w:hint="default"/>
          <w:w w:val="95"/>
          <w:sz w:val="24"/>
          <w:szCs w:val="24"/>
        </w:rPr>
        <w:t>/</w:t>
      </w:r>
      <w:r>
        <w:rPr>
          <w:rFonts w:ascii="Times New Roman" w:hAnsi="Times New Roman" w:cs="Times New Roman" w:eastAsia="Times New Roman" w:hint="default"/>
          <w:spacing w:val="-32"/>
          <w:w w:val="95"/>
          <w:sz w:val="24"/>
          <w:szCs w:val="24"/>
        </w:rPr>
        <w:t> </w:t>
      </w:r>
      <w:r>
        <w:rPr>
          <w:rFonts w:ascii="Times New Roman" w:hAnsi="Times New Roman" w:cs="Times New Roman" w:eastAsia="Times New Roman" w:hint="default"/>
          <w:spacing w:val="16"/>
          <w:w w:val="95"/>
          <w:sz w:val="24"/>
          <w:szCs w:val="24"/>
        </w:rPr>
        <w:t>X</w:t>
      </w:r>
      <w:r>
        <w:rPr>
          <w:rFonts w:ascii="Symbol" w:hAnsi="Symbol" w:cs="Symbol" w:eastAsia="Symbol" w:hint="default"/>
          <w:spacing w:val="16"/>
          <w:w w:val="95"/>
          <w:sz w:val="31"/>
          <w:szCs w:val="31"/>
        </w:rPr>
        <w:t></w:t>
      </w:r>
      <w:r>
        <w:rPr>
          <w:rFonts w:ascii="Symbol" w:hAnsi="Symbol" w:cs="Symbol" w:eastAsia="Symbol" w:hint="default"/>
          <w:spacing w:val="16"/>
          <w:w w:val="95"/>
          <w:sz w:val="24"/>
          <w:szCs w:val="24"/>
        </w:rPr>
        <w:t></w:t>
      </w:r>
      <w:r>
        <w:rPr>
          <w:rFonts w:ascii="Symbol" w:hAnsi="Symbol" w:cs="Symbol" w:eastAsia="Symbol" w:hint="default"/>
          <w:spacing w:val="-31"/>
          <w:w w:val="95"/>
          <w:sz w:val="24"/>
          <w:szCs w:val="24"/>
        </w:rPr>
        <w:t></w:t>
      </w:r>
      <w:r>
        <w:rPr>
          <w:rFonts w:ascii="Times New Roman" w:hAnsi="Times New Roman" w:cs="Times New Roman" w:eastAsia="Times New Roman" w:hint="default"/>
          <w:spacing w:val="-31"/>
          <w:w w:val="95"/>
          <w:sz w:val="24"/>
          <w:szCs w:val="24"/>
        </w:rPr>
      </w:r>
      <w:r>
        <w:rPr>
          <w:rFonts w:ascii="Symbol" w:hAnsi="Symbol" w:cs="Symbol" w:eastAsia="Symbol" w:hint="default"/>
          <w:spacing w:val="-19"/>
          <w:w w:val="95"/>
          <w:sz w:val="40"/>
          <w:szCs w:val="40"/>
        </w:rPr>
        <w:t></w:t>
      </w:r>
      <w:r>
        <w:rPr>
          <w:rFonts w:ascii="Times New Roman" w:hAnsi="Times New Roman" w:cs="Times New Roman" w:eastAsia="Times New Roman" w:hint="default"/>
          <w:spacing w:val="-19"/>
          <w:w w:val="95"/>
          <w:sz w:val="24"/>
          <w:szCs w:val="24"/>
        </w:rPr>
        <w:t>r</w:t>
      </w:r>
    </w:p>
    <w:p>
      <w:pPr>
        <w:spacing w:line="417" w:lineRule="exact" w:before="0"/>
        <w:ind w:left="40" w:right="0" w:firstLine="0"/>
        <w:jc w:val="left"/>
        <w:rPr>
          <w:rFonts w:ascii="Times New Roman" w:hAnsi="Times New Roman" w:cs="Times New Roman" w:eastAsia="Times New Roman" w:hint="default"/>
          <w:sz w:val="24"/>
          <w:szCs w:val="24"/>
        </w:rPr>
      </w:pPr>
      <w:r>
        <w:rPr/>
        <w:br w:type="column"/>
      </w:r>
      <w:r>
        <w:rPr>
          <w:rFonts w:ascii="Symbol" w:hAnsi="Symbol" w:cs="Symbol" w:eastAsia="Symbol" w:hint="default"/>
          <w:sz w:val="24"/>
          <w:szCs w:val="24"/>
        </w:rPr>
        <w:t></w:t>
      </w:r>
      <w:r>
        <w:rPr>
          <w:rFonts w:ascii="Symbol" w:hAnsi="Symbol" w:cs="Symbol" w:eastAsia="Symbol" w:hint="default"/>
          <w:spacing w:val="-34"/>
          <w:sz w:val="24"/>
          <w:szCs w:val="24"/>
        </w:rPr>
        <w:t></w:t>
      </w:r>
      <w:r>
        <w:rPr>
          <w:rFonts w:ascii="Times New Roman" w:hAnsi="Times New Roman" w:cs="Times New Roman" w:eastAsia="Times New Roman" w:hint="default"/>
          <w:spacing w:val="-34"/>
          <w:sz w:val="24"/>
          <w:szCs w:val="24"/>
        </w:rPr>
      </w:r>
      <w:r>
        <w:rPr>
          <w:rFonts w:ascii="Symbol" w:hAnsi="Symbol" w:cs="Symbol" w:eastAsia="Symbol" w:hint="default"/>
          <w:spacing w:val="-28"/>
          <w:sz w:val="38"/>
          <w:szCs w:val="38"/>
        </w:rPr>
        <w:t></w:t>
      </w:r>
      <w:r>
        <w:rPr>
          <w:rFonts w:ascii="Symbol" w:hAnsi="Symbol" w:cs="Symbol" w:eastAsia="Symbol" w:hint="default"/>
          <w:i/>
          <w:spacing w:val="-28"/>
          <w:sz w:val="25"/>
          <w:szCs w:val="25"/>
        </w:rPr>
        <w:t></w:t>
      </w:r>
      <w:r>
        <w:rPr>
          <w:rFonts w:ascii="Symbol" w:hAnsi="Symbol" w:cs="Symbol" w:eastAsia="Symbol" w:hint="default"/>
          <w:i/>
          <w:spacing w:val="-31"/>
          <w:sz w:val="25"/>
          <w:szCs w:val="25"/>
        </w:rPr>
        <w:t></w:t>
      </w:r>
      <w:r>
        <w:rPr>
          <w:rFonts w:ascii="Times New Roman" w:hAnsi="Times New Roman" w:cs="Times New Roman" w:eastAsia="Times New Roman" w:hint="default"/>
          <w:i/>
          <w:spacing w:val="-31"/>
          <w:sz w:val="25"/>
          <w:szCs w:val="25"/>
        </w:rPr>
      </w:r>
      <w:r>
        <w:rPr>
          <w:rFonts w:ascii="Times New Roman" w:hAnsi="Times New Roman" w:cs="Times New Roman" w:eastAsia="Times New Roman" w:hint="default"/>
          <w:position w:val="11"/>
          <w:sz w:val="14"/>
          <w:szCs w:val="14"/>
        </w:rPr>
        <w:t>2</w:t>
      </w:r>
      <w:r>
        <w:rPr>
          <w:rFonts w:ascii="Times New Roman" w:hAnsi="Times New Roman" w:cs="Times New Roman" w:eastAsia="Times New Roman" w:hint="default"/>
          <w:spacing w:val="2"/>
          <w:position w:val="11"/>
          <w:sz w:val="14"/>
          <w:szCs w:val="14"/>
        </w:rPr>
        <w:t>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19"/>
          <w:sz w:val="24"/>
          <w:szCs w:val="24"/>
        </w:rPr>
        <w:t>2</w:t>
      </w:r>
      <w:r>
        <w:rPr>
          <w:rFonts w:ascii="Symbol" w:hAnsi="Symbol" w:cs="Symbol" w:eastAsia="Symbol" w:hint="default"/>
          <w:spacing w:val="-19"/>
          <w:sz w:val="38"/>
          <w:szCs w:val="38"/>
        </w:rPr>
        <w:t></w:t>
      </w:r>
      <w:r>
        <w:rPr>
          <w:rFonts w:ascii="Symbol" w:hAnsi="Symbol" w:cs="Symbol" w:eastAsia="Symbol" w:hint="default"/>
          <w:spacing w:val="-19"/>
          <w:sz w:val="40"/>
          <w:szCs w:val="40"/>
        </w:rPr>
        <w:t></w:t>
      </w:r>
      <w:r>
        <w:rPr>
          <w:rFonts w:ascii="Times New Roman" w:hAnsi="Times New Roman" w:cs="Times New Roman" w:eastAsia="Times New Roman" w:hint="default"/>
          <w:spacing w:val="-19"/>
          <w:sz w:val="24"/>
          <w:szCs w:val="24"/>
        </w:rPr>
        <w:t>t</w:t>
      </w:r>
    </w:p>
    <w:p>
      <w:pPr>
        <w:spacing w:after="0" w:line="417" w:lineRule="exact"/>
        <w:jc w:val="left"/>
        <w:rPr>
          <w:rFonts w:ascii="Times New Roman" w:hAnsi="Times New Roman" w:cs="Times New Roman" w:eastAsia="Times New Roman" w:hint="default"/>
          <w:sz w:val="24"/>
          <w:szCs w:val="24"/>
        </w:rPr>
        <w:sectPr>
          <w:type w:val="continuous"/>
          <w:pgSz w:w="11910" w:h="16840"/>
          <w:pgMar w:top="1000" w:bottom="280" w:left="1580" w:right="1040"/>
          <w:cols w:num="4" w:equalWidth="0">
            <w:col w:w="1087" w:space="40"/>
            <w:col w:w="484" w:space="40"/>
            <w:col w:w="803" w:space="40"/>
            <w:col w:w="6796"/>
          </w:cols>
        </w:sectPr>
      </w:pPr>
    </w:p>
    <w:p>
      <w:pPr>
        <w:spacing w:before="61"/>
        <w:ind w:left="730" w:right="233" w:firstLine="0"/>
        <w:jc w:val="left"/>
        <w:rPr>
          <w:rFonts w:ascii="Symbol" w:hAnsi="Symbol" w:cs="Symbol" w:eastAsia="Symbol" w:hint="default"/>
          <w:sz w:val="25"/>
          <w:szCs w:val="25"/>
        </w:rPr>
      </w:pPr>
      <w:r>
        <w:rPr/>
        <w:pict>
          <v:group style="position:absolute;margin-left:135.107788pt;margin-top:-19.676105pt;width:121pt;height:16.2pt;mso-position-horizontal-relative:page;mso-position-vertical-relative:paragraph;z-index:1408" coordorigin="2702,-394" coordsize="2420,324">
            <v:group style="position:absolute;left:3878;top:-190;width:31;height:18" coordorigin="3878,-190" coordsize="31,18">
              <v:shape style="position:absolute;left:3878;top:-190;width:31;height:18" coordorigin="3878,-190" coordsize="31,18" path="m3878,-172l3909,-190e" filled="false" stroked="true" strokeweight=".486658pt" strokecolor="#000000">
                <v:path arrowok="t"/>
              </v:shape>
            </v:group>
            <v:group style="position:absolute;left:3909;top:-185;width:45;height:82" coordorigin="3909,-185" coordsize="45,82">
              <v:shape style="position:absolute;left:3909;top:-185;width:45;height:82" coordorigin="3909,-185" coordsize="45,82" path="m3909,-185l3953,-104e" filled="false" stroked="true" strokeweight=".999587pt" strokecolor="#000000">
                <v:path arrowok="t"/>
              </v:shape>
            </v:group>
            <v:group style="position:absolute;left:3958;top:-346;width:59;height:243" coordorigin="3958,-346" coordsize="59,243">
              <v:shape style="position:absolute;left:3958;top:-346;width:59;height:243" coordorigin="3958,-346" coordsize="59,243" path="m3958,-104l4017,-346e" filled="false" stroked="true" strokeweight=".48792pt" strokecolor="#000000">
                <v:path arrowok="t"/>
              </v:shape>
            </v:group>
            <v:group style="position:absolute;left:4017;top:-346;width:107;height:2" coordorigin="4017,-346" coordsize="107,2">
              <v:shape style="position:absolute;left:4017;top:-346;width:107;height:2" coordorigin="4017,-346" coordsize="107,0" path="m4017,-346l4123,-346e" filled="false" stroked="true" strokeweight=".486202pt" strokecolor="#000000">
                <v:path arrowok="t"/>
              </v:shape>
            </v:group>
            <v:group style="position:absolute;left:2707;top:-389;width:2410;height:2" coordorigin="2707,-389" coordsize="2410,2">
              <v:shape style="position:absolute;left:2707;top:-389;width:2410;height:2" coordorigin="2707,-389" coordsize="2410,0" path="m2707,-389l5117,-389e" filled="false" stroked="true" strokeweight=".486202pt" strokecolor="#000000">
                <v:path arrowok="t"/>
              </v:shape>
              <v:shape style="position:absolute;left:2702;top:-394;width:2420;height:324" type="#_x0000_t202" filled="false" stroked="false">
                <v:textbox inset="0,0,0,0">
                  <w:txbxContent>
                    <w:p>
                      <w:pPr>
                        <w:tabs>
                          <w:tab w:pos="357" w:val="left" w:leader="none"/>
                        </w:tabs>
                        <w:spacing w:line="298" w:lineRule="exact" w:before="25"/>
                        <w:ind w:left="0" w:right="40" w:firstLine="0"/>
                        <w:jc w:val="center"/>
                        <w:rPr>
                          <w:rFonts w:ascii="Times New Roman" w:hAnsi="Times New Roman" w:cs="Times New Roman" w:eastAsia="Times New Roman" w:hint="default"/>
                          <w:sz w:val="24"/>
                          <w:szCs w:val="24"/>
                        </w:rPr>
                      </w:pPr>
                      <w:r>
                        <w:rPr>
                          <w:rFonts w:ascii="Symbol" w:hAnsi="Symbol" w:cs="Symbol" w:eastAsia="Symbol" w:hint="default"/>
                          <w:i/>
                          <w:w w:val="95"/>
                          <w:sz w:val="25"/>
                          <w:szCs w:val="25"/>
                        </w:rPr>
                        <w:t></w:t>
                      </w:r>
                      <w:r>
                        <w:rPr>
                          <w:rFonts w:ascii="Times New Roman" w:hAnsi="Times New Roman" w:cs="Times New Roman" w:eastAsia="Times New Roman" w:hint="default"/>
                          <w:i/>
                          <w:w w:val="95"/>
                          <w:sz w:val="25"/>
                          <w:szCs w:val="25"/>
                        </w:rPr>
                        <w:tab/>
                      </w:r>
                      <w:r>
                        <w:rPr>
                          <w:rFonts w:ascii="Times New Roman" w:hAnsi="Times New Roman" w:cs="Times New Roman" w:eastAsia="Times New Roman" w:hint="default"/>
                          <w:sz w:val="24"/>
                          <w:szCs w:val="24"/>
                        </w:rPr>
                        <w:t>t</w:t>
                      </w:r>
                    </w:p>
                  </w:txbxContent>
                </v:textbox>
                <w10:wrap type="none"/>
              </v:shape>
            </v:group>
            <w10:wrap type="none"/>
          </v:group>
        </w:pict>
      </w:r>
      <w:r>
        <w:rPr/>
        <w:pict>
          <v:group style="position:absolute;margin-left:165.175858pt;margin-top:4.326964pt;width:13pt;height:13.85pt;mso-position-horizontal-relative:page;mso-position-vertical-relative:paragraph;z-index:1456" coordorigin="3304,87" coordsize="260,277">
            <v:group style="position:absolute;left:3309;top:245;width:31;height:18" coordorigin="3309,245" coordsize="31,18">
              <v:shape style="position:absolute;left:3309;top:245;width:31;height:18" coordorigin="3309,245" coordsize="31,18" path="m3309,262l3339,245e" filled="false" stroked="true" strokeweight=".501069pt" strokecolor="#000000">
                <v:path arrowok="t"/>
              </v:shape>
            </v:group>
            <v:group style="position:absolute;left:3339;top:250;width:46;height:81" coordorigin="3339,250" coordsize="46,81">
              <v:shape style="position:absolute;left:3339;top:250;width:46;height:81" coordorigin="3339,250" coordsize="46,81" path="m3339,250l3385,330e" filled="false" stroked="true" strokeweight="1.024841pt" strokecolor="#000000">
                <v:path arrowok="t"/>
              </v:shape>
            </v:group>
            <v:group style="position:absolute;left:3390;top:92;width:61;height:239" coordorigin="3390,92" coordsize="61,239">
              <v:shape style="position:absolute;left:3390;top:92;width:61;height:239" coordorigin="3390,92" coordsize="61,239" path="m3390,330l3450,92e" filled="false" stroked="true" strokeweight=".500292pt" strokecolor="#000000">
                <v:path arrowok="t"/>
              </v:shape>
            </v:group>
            <v:group style="position:absolute;left:3450;top:92;width:109;height:2" coordorigin="3450,92" coordsize="109,2">
              <v:shape style="position:absolute;left:3450;top:92;width:109;height:2" coordorigin="3450,92" coordsize="109,0" path="m3450,92l3558,92e" filled="false" stroked="true" strokeweight=".501329pt" strokecolor="#000000">
                <v:path arrowok="t"/>
              </v:shape>
              <v:shape style="position:absolute;left:3304;top:87;width:260;height:277" type="#_x0000_t202" filled="false" stroked="false">
                <v:textbox inset="0,0,0,0">
                  <w:txbxContent>
                    <w:p>
                      <w:pPr>
                        <w:spacing w:line="261" w:lineRule="exact" w:before="15"/>
                        <w:ind w:left="165" w:right="0" w:firstLine="0"/>
                        <w:jc w:val="left"/>
                        <w:rPr>
                          <w:rFonts w:ascii="Times New Roman" w:hAnsi="Times New Roman" w:cs="Times New Roman" w:eastAsia="Times New Roman" w:hint="default"/>
                          <w:sz w:val="23"/>
                          <w:szCs w:val="23"/>
                        </w:rPr>
                      </w:pPr>
                      <w:r>
                        <w:rPr>
                          <w:rFonts w:ascii="Times New Roman"/>
                          <w:w w:val="102"/>
                          <w:sz w:val="23"/>
                        </w:rPr>
                        <w:t>t</w:t>
                      </w:r>
                      <w:r>
                        <w:rPr>
                          <w:rFonts w:ascii="Times New Roman"/>
                          <w:sz w:val="23"/>
                        </w:rPr>
                      </w:r>
                    </w:p>
                  </w:txbxContent>
                </v:textbox>
                <w10:wrap type="none"/>
              </v:shape>
            </v:group>
            <w10:wrap type="none"/>
          </v:group>
        </w:pict>
      </w:r>
      <w:r>
        <w:rPr>
          <w:rFonts w:ascii="Times New Roman" w:hAnsi="Times New Roman" w:cs="Times New Roman" w:eastAsia="Times New Roman" w:hint="default"/>
          <w:sz w:val="24"/>
          <w:szCs w:val="24"/>
        </w:rPr>
        <w:t>d</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position w:val="-5"/>
          <w:sz w:val="14"/>
          <w:szCs w:val="14"/>
        </w:rPr>
        <w:t>2</w:t>
      </w:r>
      <w:r>
        <w:rPr>
          <w:rFonts w:ascii="Times New Roman" w:hAnsi="Times New Roman" w:cs="Times New Roman" w:eastAsia="Times New Roman" w:hint="default"/>
          <w:spacing w:val="10"/>
          <w:position w:val="-5"/>
          <w:sz w:val="14"/>
          <w:szCs w:val="14"/>
        </w:rPr>
        <w:t> </w:t>
      </w:r>
      <w:r>
        <w:rPr>
          <w:rFonts w:ascii="宋体" w:hAnsi="宋体" w:cs="宋体" w:eastAsia="宋体" w:hint="default"/>
          <w:position w:val="-10"/>
          <w:sz w:val="24"/>
          <w:szCs w:val="24"/>
        </w:rPr>
        <w:t>=</w:t>
      </w:r>
      <w:r>
        <w:rPr>
          <w:rFonts w:ascii="宋体" w:hAnsi="宋体" w:cs="宋体" w:eastAsia="宋体" w:hint="default"/>
          <w:spacing w:val="-92"/>
          <w:position w:val="-10"/>
          <w:sz w:val="24"/>
          <w:szCs w:val="24"/>
        </w:rPr>
        <w:t> </w:t>
      </w:r>
      <w:r>
        <w:rPr>
          <w:rFonts w:ascii="Times New Roman" w:hAnsi="Times New Roman" w:cs="Times New Roman" w:eastAsia="Times New Roman" w:hint="default"/>
          <w:spacing w:val="2"/>
          <w:sz w:val="24"/>
          <w:szCs w:val="24"/>
        </w:rPr>
        <w:t>d</w:t>
      </w:r>
      <w:r>
        <w:rPr>
          <w:rFonts w:ascii="Times New Roman" w:hAnsi="Times New Roman" w:cs="Times New Roman" w:eastAsia="Times New Roman" w:hint="default"/>
          <w:spacing w:val="2"/>
          <w:position w:val="-5"/>
          <w:sz w:val="14"/>
          <w:szCs w:val="14"/>
        </w:rPr>
        <w:t>1</w:t>
      </w:r>
      <w:r>
        <w:rPr>
          <w:rFonts w:ascii="Times New Roman" w:hAnsi="Times New Roman" w:cs="Times New Roman" w:eastAsia="Times New Roman" w:hint="default"/>
          <w:spacing w:val="6"/>
          <w:position w:val="-5"/>
          <w:sz w:val="14"/>
          <w:szCs w:val="14"/>
        </w:rPr>
        <w:t> </w:t>
      </w:r>
      <w:r>
        <w:rPr>
          <w:rFonts w:ascii="宋体" w:hAnsi="宋体" w:cs="宋体" w:eastAsia="宋体" w:hint="default"/>
          <w:spacing w:val="8"/>
          <w:position w:val="-10"/>
          <w:sz w:val="24"/>
          <w:szCs w:val="24"/>
        </w:rPr>
        <w:t>-</w:t>
      </w:r>
      <w:r>
        <w:rPr>
          <w:rFonts w:ascii="Symbol" w:hAnsi="Symbol" w:cs="Symbol" w:eastAsia="Symbol" w:hint="default"/>
          <w:i/>
          <w:spacing w:val="8"/>
          <w:position w:val="-2"/>
          <w:sz w:val="25"/>
          <w:szCs w:val="25"/>
        </w:rPr>
        <w:t></w:t>
      </w:r>
      <w:r>
        <w:rPr>
          <w:rFonts w:ascii="Symbol" w:hAnsi="Symbol" w:cs="Symbol" w:eastAsia="Symbol" w:hint="default"/>
          <w:spacing w:val="8"/>
          <w:sz w:val="25"/>
          <w:szCs w:val="25"/>
        </w:rPr>
      </w:r>
    </w:p>
    <w:p>
      <w:pPr>
        <w:pStyle w:val="BodyText"/>
        <w:spacing w:line="240" w:lineRule="auto" w:before="163"/>
        <w:ind w:left="698" w:right="233"/>
        <w:jc w:val="left"/>
      </w:pPr>
      <w:r>
        <w:rPr/>
        <w:t>公式参数表示如下：</w:t>
      </w:r>
    </w:p>
    <w:p>
      <w:pPr>
        <w:pStyle w:val="BodyText"/>
        <w:spacing w:line="240" w:lineRule="auto" w:before="184"/>
        <w:ind w:left="698" w:right="233"/>
        <w:jc w:val="left"/>
      </w:pPr>
      <w:r>
        <w:rPr>
          <w:rFonts w:ascii="宋体" w:hAnsi="宋体" w:cs="宋体" w:eastAsia="宋体" w:hint="default"/>
          <w:position w:val="2"/>
        </w:rPr>
        <w:t>1. S</w:t>
      </w:r>
      <w:r>
        <w:rPr>
          <w:rFonts w:ascii="宋体" w:hAnsi="宋体" w:cs="宋体" w:eastAsia="宋体" w:hint="default"/>
          <w:sz w:val="12"/>
          <w:szCs w:val="12"/>
        </w:rPr>
        <w:t>0 </w:t>
      </w:r>
      <w:r>
        <w:rPr>
          <w:rFonts w:ascii="宋体" w:hAnsi="宋体" w:cs="宋体" w:eastAsia="宋体" w:hint="default"/>
          <w:position w:val="2"/>
        </w:rPr>
        <w:t>--</w:t>
      </w:r>
      <w:r>
        <w:rPr>
          <w:position w:val="2"/>
        </w:rPr>
        <w:t>授予日股票价格；</w:t>
      </w:r>
      <w:r>
        <w:rPr/>
      </w:r>
    </w:p>
    <w:p>
      <w:pPr>
        <w:pStyle w:val="BodyText"/>
        <w:spacing w:line="240" w:lineRule="auto" w:before="183"/>
        <w:ind w:left="698" w:right="233"/>
        <w:jc w:val="left"/>
      </w:pPr>
      <w:r>
        <w:rPr>
          <w:rFonts w:ascii="宋体" w:hAnsi="宋体" w:cs="宋体" w:eastAsia="宋体" w:hint="default"/>
        </w:rPr>
        <w:t>2. X --</w:t>
      </w:r>
      <w:r>
        <w:rPr/>
        <w:t>期权的行权价格；</w:t>
      </w:r>
    </w:p>
    <w:p>
      <w:pPr>
        <w:pStyle w:val="BodyText"/>
        <w:spacing w:line="240" w:lineRule="auto" w:before="186"/>
        <w:ind w:left="698" w:right="233"/>
        <w:jc w:val="left"/>
      </w:pPr>
      <w:r>
        <w:rPr>
          <w:rFonts w:ascii="宋体" w:hAnsi="宋体" w:cs="宋体" w:eastAsia="宋体" w:hint="default"/>
          <w:position w:val="2"/>
        </w:rPr>
        <w:t>3. r</w:t>
      </w:r>
      <w:r>
        <w:rPr>
          <w:rFonts w:ascii="宋体" w:hAnsi="宋体" w:cs="宋体" w:eastAsia="宋体" w:hint="default"/>
          <w:sz w:val="12"/>
          <w:szCs w:val="12"/>
        </w:rPr>
        <w:t>c </w:t>
      </w:r>
      <w:r>
        <w:rPr>
          <w:rFonts w:ascii="宋体" w:hAnsi="宋体" w:cs="宋体" w:eastAsia="宋体" w:hint="default"/>
          <w:position w:val="2"/>
        </w:rPr>
        <w:t>--</w:t>
      </w:r>
      <w:r>
        <w:rPr>
          <w:position w:val="2"/>
        </w:rPr>
        <w:t>无风险利率；</w:t>
      </w:r>
      <w:r>
        <w:rPr/>
      </w:r>
    </w:p>
    <w:p>
      <w:pPr>
        <w:pStyle w:val="BodyText"/>
        <w:tabs>
          <w:tab w:pos="1417" w:val="left" w:leader="none"/>
        </w:tabs>
        <w:spacing w:line="240" w:lineRule="auto" w:before="183"/>
        <w:ind w:left="698" w:right="233"/>
        <w:jc w:val="left"/>
      </w:pPr>
      <w:r>
        <w:rPr>
          <w:rFonts w:ascii="宋体" w:hAnsi="宋体" w:cs="宋体" w:eastAsia="宋体" w:hint="default"/>
        </w:rPr>
        <w:t>4.</w:t>
      </w:r>
      <w:r>
        <w:rPr>
          <w:rFonts w:ascii="宋体" w:hAnsi="宋体" w:cs="宋体" w:eastAsia="宋体" w:hint="default"/>
          <w:spacing w:val="-1"/>
        </w:rPr>
        <w:t> </w:t>
      </w:r>
      <w:r>
        <w:rPr>
          <w:rFonts w:ascii="Arial" w:hAnsi="Arial" w:cs="Arial" w:eastAsia="Arial" w:hint="default"/>
        </w:rPr>
        <w:t>σ</w:t>
        <w:tab/>
      </w:r>
      <w:r>
        <w:rPr>
          <w:rFonts w:ascii="宋体" w:hAnsi="宋体" w:cs="宋体" w:eastAsia="宋体" w:hint="default"/>
        </w:rPr>
        <w:t>--</w:t>
      </w:r>
      <w:r>
        <w:rPr/>
        <w:t>股票波动率</w:t>
      </w:r>
    </w:p>
    <w:p>
      <w:pPr>
        <w:pStyle w:val="BodyText"/>
        <w:spacing w:line="240" w:lineRule="auto" w:before="168"/>
        <w:ind w:left="698" w:right="233"/>
        <w:jc w:val="left"/>
      </w:pPr>
      <w:r>
        <w:rPr>
          <w:rFonts w:ascii="宋体" w:hAnsi="宋体" w:cs="宋体" w:eastAsia="宋体" w:hint="default"/>
        </w:rPr>
        <w:t>5. t --</w:t>
      </w:r>
      <w:r>
        <w:rPr/>
        <w:t>各期的剩余期限（单位：年）。</w:t>
      </w:r>
    </w:p>
    <w:p>
      <w:pPr>
        <w:pStyle w:val="BodyText"/>
        <w:spacing w:line="381" w:lineRule="auto" w:before="187"/>
        <w:ind w:left="218" w:right="288" w:firstLine="479"/>
        <w:jc w:val="left"/>
      </w:pPr>
      <w:r>
        <w:rPr/>
        <w:pict>
          <v:shape style="position:absolute;margin-left:84.264pt;margin-top:53.245621pt;width:453.2pt;height:96.5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52"/>
                    <w:gridCol w:w="1897"/>
                    <w:gridCol w:w="1752"/>
                    <w:gridCol w:w="1752"/>
                    <w:gridCol w:w="1897"/>
                  </w:tblGrid>
                  <w:tr>
                    <w:trPr>
                      <w:trHeight w:val="63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11" w:right="0"/>
                          <w:jc w:val="left"/>
                          <w:rPr>
                            <w:rFonts w:ascii="宋体" w:hAnsi="宋体" w:cs="宋体" w:eastAsia="宋体" w:hint="default"/>
                            <w:sz w:val="24"/>
                            <w:szCs w:val="24"/>
                          </w:rPr>
                        </w:pPr>
                        <w:r>
                          <w:rPr>
                            <w:rFonts w:ascii="宋体" w:hAnsi="宋体" w:cs="宋体" w:eastAsia="宋体" w:hint="default"/>
                            <w:sz w:val="24"/>
                            <w:szCs w:val="24"/>
                          </w:rPr>
                          <w:t>行权期</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期权份数</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授予日期权公</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允价值</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期权剩余期限</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年</w:t>
                        </w:r>
                        <w:r>
                          <w:rPr>
                            <w:rFonts w:ascii="宋体" w:hAnsi="宋体" w:cs="宋体" w:eastAsia="宋体" w:hint="default"/>
                            <w:sz w:val="24"/>
                            <w:szCs w:val="24"/>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63" w:right="0"/>
                          <w:jc w:val="left"/>
                          <w:rPr>
                            <w:rFonts w:ascii="宋体" w:hAnsi="宋体" w:cs="宋体" w:eastAsia="宋体" w:hint="default"/>
                            <w:sz w:val="24"/>
                            <w:szCs w:val="24"/>
                          </w:rPr>
                        </w:pPr>
                        <w:r>
                          <w:rPr>
                            <w:rFonts w:ascii="宋体" w:hAnsi="宋体" w:cs="宋体" w:eastAsia="宋体" w:hint="default"/>
                            <w:sz w:val="24"/>
                            <w:szCs w:val="24"/>
                          </w:rPr>
                          <w:t>公允价值</w:t>
                        </w:r>
                      </w:p>
                    </w:tc>
                  </w:tr>
                  <w:tr>
                    <w:trPr>
                      <w:trHeight w:val="322"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第一个行权期</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160,760,000.00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0.21</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33,788,928.25</w:t>
                        </w:r>
                      </w:p>
                    </w:tc>
                  </w:tr>
                  <w:tr>
                    <w:trPr>
                      <w:trHeight w:val="322"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第二个行权期</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120,570,000.00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0.37</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44,856,658.55</w:t>
                        </w:r>
                      </w:p>
                    </w:tc>
                  </w:tr>
                  <w:tr>
                    <w:trPr>
                      <w:trHeight w:val="322"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第三个行权期</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120,570,000.00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0.52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3.50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62,356,613.00</w:t>
                        </w:r>
                      </w:p>
                    </w:tc>
                  </w:tr>
                  <w:tr>
                    <w:trPr>
                      <w:trHeight w:val="322"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pacing w:val="-1"/>
                            <w:sz w:val="24"/>
                            <w:szCs w:val="24"/>
                          </w:rPr>
                          <w:t> </w:t>
                        </w:r>
                        <w:r>
                          <w:rPr>
                            <w:rFonts w:ascii="宋体" w:hAnsi="宋体" w:cs="宋体" w:eastAsia="宋体" w:hint="default"/>
                            <w:sz w:val="24"/>
                            <w:szCs w:val="24"/>
                          </w:rPr>
                          <w:t>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401,900,000.00</w:t>
                        </w:r>
                      </w:p>
                    </w:tc>
                    <w:tc>
                      <w:tcPr>
                        <w:tcW w:w="1752"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141,002,199.80</w:t>
                        </w:r>
                      </w:p>
                    </w:tc>
                  </w:tr>
                </w:tbl>
                <w:p>
                  <w:pPr/>
                </w:p>
              </w:txbxContent>
            </v:textbox>
            <w10:wrap type="none"/>
          </v:shape>
        </w:pict>
      </w:r>
      <w:r>
        <w:rPr/>
        <w:t>经计算，公司一次授予、分期行权的期权在</w:t>
      </w:r>
      <w:r>
        <w:rPr>
          <w:spacing w:val="-59"/>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日的公允价值结果如 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40" w:lineRule="auto"/>
        <w:ind w:right="233"/>
        <w:jc w:val="left"/>
        <w:rPr>
          <w:b w:val="0"/>
          <w:bCs w:val="0"/>
        </w:rPr>
      </w:pPr>
      <w:r>
        <w:rPr>
          <w:rFonts w:ascii="宋体" w:hAnsi="宋体" w:cs="宋体" w:eastAsia="宋体" w:hint="default"/>
        </w:rPr>
        <w:t>3</w:t>
      </w:r>
      <w:r>
        <w:rPr/>
        <w:t>、</w:t>
      </w:r>
      <w:r>
        <w:rPr>
          <w:spacing w:val="-61"/>
        </w:rPr>
        <w:t> </w:t>
      </w:r>
      <w:r>
        <w:rPr/>
        <w:t>以现金结算的股份支付情况</w:t>
      </w:r>
      <w:r>
        <w:rPr>
          <w:b w:val="0"/>
          <w:bCs w:val="0"/>
        </w:rPr>
      </w:r>
    </w:p>
    <w:p>
      <w:pPr>
        <w:pStyle w:val="BodyText"/>
        <w:spacing w:line="240" w:lineRule="auto" w:before="58"/>
        <w:ind w:left="218" w:right="233"/>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right="233"/>
        <w:jc w:val="left"/>
        <w:rPr>
          <w:b w:val="0"/>
          <w:bCs w:val="0"/>
        </w:rPr>
      </w:pPr>
      <w:r>
        <w:rPr>
          <w:rFonts w:ascii="宋体" w:hAnsi="宋体" w:cs="宋体" w:eastAsia="宋体" w:hint="default"/>
        </w:rPr>
        <w:t>4</w:t>
      </w:r>
      <w:r>
        <w:rPr/>
        <w:t>、</w:t>
      </w:r>
      <w:r>
        <w:rPr>
          <w:spacing w:val="-61"/>
        </w:rPr>
        <w:t> </w:t>
      </w:r>
      <w:r>
        <w:rPr/>
        <w:t>股份支付的修改、终止情况</w:t>
      </w:r>
      <w:r>
        <w:rPr>
          <w:b w:val="0"/>
          <w:bCs w:val="0"/>
        </w:rPr>
      </w:r>
    </w:p>
    <w:p>
      <w:pPr>
        <w:pStyle w:val="BodyText"/>
        <w:tabs>
          <w:tab w:pos="1177" w:val="left" w:leader="none"/>
        </w:tabs>
        <w:spacing w:line="240" w:lineRule="auto" w:before="58"/>
        <w:ind w:left="218" w:right="233"/>
        <w:jc w:val="left"/>
      </w:pPr>
      <w:r>
        <w:rPr>
          <w:spacing w:val="-1"/>
        </w:rPr>
        <w:t>□适用</w:t>
        <w:tab/>
      </w:r>
      <w:r>
        <w:rPr/>
        <w:t>√不适用</w:t>
      </w:r>
    </w:p>
    <w:p>
      <w:pPr>
        <w:spacing w:after="0" w:line="240" w:lineRule="auto"/>
        <w:jc w:val="left"/>
        <w:sectPr>
          <w:type w:val="continuous"/>
          <w:pgSz w:w="11910" w:h="16840"/>
          <w:pgMar w:top="1000" w:bottom="280" w:left="1580" w:right="1040"/>
        </w:sectPr>
      </w:pPr>
    </w:p>
    <w:p>
      <w:pPr>
        <w:spacing w:line="240" w:lineRule="auto" w:before="5"/>
        <w:rPr>
          <w:rFonts w:ascii="宋体" w:hAnsi="宋体" w:cs="宋体" w:eastAsia="宋体" w:hint="default"/>
          <w:sz w:val="25"/>
          <w:szCs w:val="25"/>
        </w:rPr>
      </w:pPr>
    </w:p>
    <w:p>
      <w:pPr>
        <w:pStyle w:val="Heading2"/>
        <w:spacing w:line="240" w:lineRule="auto"/>
        <w:ind w:left="278" w:right="0"/>
        <w:jc w:val="left"/>
        <w:rPr>
          <w:b w:val="0"/>
          <w:bCs w:val="0"/>
        </w:rPr>
      </w:pPr>
      <w:r>
        <w:rPr>
          <w:rFonts w:ascii="宋体" w:hAnsi="宋体" w:cs="宋体" w:eastAsia="宋体" w:hint="default"/>
        </w:rPr>
        <w:t>5</w:t>
      </w:r>
      <w:r>
        <w:rPr/>
        <w:t>、</w:t>
      </w:r>
      <w:r>
        <w:rPr>
          <w:spacing w:val="-57"/>
        </w:rPr>
        <w:t> </w:t>
      </w:r>
      <w:r>
        <w:rPr/>
        <w:t>其他</w:t>
      </w:r>
      <w:r>
        <w:rPr>
          <w:b w:val="0"/>
          <w:bCs w:val="0"/>
        </w:rPr>
      </w:r>
    </w:p>
    <w:p>
      <w:pPr>
        <w:pStyle w:val="BodyText"/>
        <w:tabs>
          <w:tab w:pos="1237" w:val="left" w:leader="none"/>
        </w:tabs>
        <w:spacing w:line="240" w:lineRule="auto" w:before="58"/>
        <w:ind w:left="278" w:right="0"/>
        <w:jc w:val="left"/>
      </w:pPr>
      <w:r>
        <w:rPr>
          <w:spacing w:val="-1"/>
        </w:rPr>
        <w:t>□适用</w:t>
        <w:tab/>
      </w:r>
      <w:r>
        <w:rPr/>
        <w:t>√不适用</w:t>
      </w:r>
    </w:p>
    <w:p>
      <w:pPr>
        <w:spacing w:line="240" w:lineRule="auto" w:before="1"/>
        <w:rPr>
          <w:rFonts w:ascii="宋体" w:hAnsi="宋体" w:cs="宋体" w:eastAsia="宋体" w:hint="default"/>
          <w:sz w:val="28"/>
          <w:szCs w:val="28"/>
        </w:rPr>
      </w:pPr>
    </w:p>
    <w:p>
      <w:pPr>
        <w:pStyle w:val="Heading2"/>
        <w:spacing w:line="283" w:lineRule="auto" w:before="0"/>
        <w:ind w:left="278" w:right="6644"/>
        <w:jc w:val="left"/>
        <w:rPr>
          <w:b w:val="0"/>
          <w:bCs w:val="0"/>
        </w:rPr>
      </w:pPr>
      <w:r>
        <w:rPr/>
        <w:t>十四、</w:t>
      </w:r>
      <w:r>
        <w:rPr>
          <w:spacing w:val="-6"/>
        </w:rPr>
        <w:t> </w:t>
      </w:r>
      <w:r>
        <w:rPr/>
        <w:t>承诺及或有事项</w:t>
      </w:r>
      <w:r>
        <w:rPr>
          <w:w w:val="99"/>
        </w:rPr>
        <w:t> </w:t>
      </w:r>
      <w:r>
        <w:rPr>
          <w:rFonts w:ascii="宋体" w:hAnsi="宋体" w:cs="宋体" w:eastAsia="宋体" w:hint="default"/>
        </w:rPr>
        <w:t>1</w:t>
      </w:r>
      <w:r>
        <w:rPr/>
        <w:t>、</w:t>
      </w:r>
      <w:r>
        <w:rPr>
          <w:spacing w:val="-61"/>
        </w:rPr>
        <w:t> </w:t>
      </w:r>
      <w:r>
        <w:rPr/>
        <w:t>重要承诺事项</w:t>
      </w:r>
      <w:r>
        <w:rPr>
          <w:b w:val="0"/>
          <w:bCs w:val="0"/>
        </w:rPr>
      </w:r>
    </w:p>
    <w:p>
      <w:pPr>
        <w:pStyle w:val="BodyText"/>
        <w:spacing w:line="312" w:lineRule="exact" w:before="45"/>
        <w:ind w:left="278" w:right="4128"/>
        <w:jc w:val="left"/>
      </w:pPr>
      <w:r>
        <w:rPr/>
        <w:t>√适用</w:t>
      </w:r>
      <w:r>
        <w:rPr>
          <w:spacing w:val="-1"/>
        </w:rPr>
        <w:t> </w:t>
      </w:r>
      <w:r>
        <w:rPr/>
        <w:t>□不适用</w:t>
      </w:r>
      <w:r>
        <w:rPr/>
        <w:t> 资产负债表日存在的对外重要承诺、性质、金额</w:t>
      </w:r>
    </w:p>
    <w:p>
      <w:pPr>
        <w:pStyle w:val="BodyText"/>
        <w:spacing w:line="240" w:lineRule="auto" w:before="123"/>
        <w:ind w:left="698" w:right="0"/>
        <w:jc w:val="left"/>
      </w:pPr>
      <w:r>
        <w:rPr>
          <w:spacing w:val="-3"/>
        </w:rPr>
        <w:t>截至资产负债表日，本公司已签订正在履行的大额发包合同 </w:t>
      </w:r>
      <w:r>
        <w:rPr>
          <w:rFonts w:ascii="宋体" w:hAnsi="宋体" w:cs="宋体" w:eastAsia="宋体" w:hint="default"/>
        </w:rPr>
        <w:t>115.24</w:t>
      </w:r>
      <w:r>
        <w:rPr>
          <w:rFonts w:ascii="宋体" w:hAnsi="宋体" w:cs="宋体" w:eastAsia="宋体" w:hint="default"/>
          <w:spacing w:val="-90"/>
        </w:rPr>
        <w:t> </w:t>
      </w:r>
      <w:r>
        <w:rPr>
          <w:spacing w:val="-9"/>
        </w:rPr>
        <w:t>亿元，已支付</w:t>
      </w:r>
    </w:p>
    <w:p>
      <w:pPr>
        <w:pStyle w:val="BodyText"/>
        <w:spacing w:line="355" w:lineRule="auto" w:before="154"/>
        <w:ind w:left="278" w:right="335"/>
        <w:jc w:val="left"/>
      </w:pPr>
      <w:r>
        <w:rPr>
          <w:rFonts w:ascii="宋体" w:hAnsi="宋体" w:cs="宋体" w:eastAsia="宋体" w:hint="default"/>
        </w:rPr>
        <w:t>75.17</w:t>
      </w:r>
      <w:r>
        <w:rPr>
          <w:rFonts w:ascii="宋体" w:hAnsi="宋体" w:cs="宋体" w:eastAsia="宋体" w:hint="default"/>
          <w:spacing w:val="-56"/>
        </w:rPr>
        <w:t> </w:t>
      </w:r>
      <w:r>
        <w:rPr/>
        <w:t>亿元，尚未支付</w:t>
      </w:r>
      <w:r>
        <w:rPr>
          <w:spacing w:val="-55"/>
        </w:rPr>
        <w:t> </w:t>
      </w:r>
      <w:r>
        <w:rPr>
          <w:rFonts w:ascii="宋体" w:hAnsi="宋体" w:cs="宋体" w:eastAsia="宋体" w:hint="default"/>
        </w:rPr>
        <w:t>40.07</w:t>
      </w:r>
      <w:r>
        <w:rPr>
          <w:rFonts w:ascii="宋体" w:hAnsi="宋体" w:cs="宋体" w:eastAsia="宋体" w:hint="default"/>
          <w:spacing w:val="-56"/>
        </w:rPr>
        <w:t> </w:t>
      </w:r>
      <w:r>
        <w:rPr/>
        <w:t>亿元，本公司将根据合同约定与实际的履行情况进行支 付。</w:t>
      </w:r>
    </w:p>
    <w:p>
      <w:pPr>
        <w:spacing w:line="240" w:lineRule="auto" w:before="3"/>
        <w:rPr>
          <w:rFonts w:ascii="宋体" w:hAnsi="宋体" w:cs="宋体" w:eastAsia="宋体" w:hint="default"/>
          <w:sz w:val="31"/>
          <w:szCs w:val="31"/>
        </w:rPr>
      </w:pPr>
    </w:p>
    <w:p>
      <w:pPr>
        <w:pStyle w:val="Heading2"/>
        <w:spacing w:line="240" w:lineRule="auto" w:before="0"/>
        <w:ind w:left="278" w:right="0"/>
        <w:jc w:val="left"/>
        <w:rPr>
          <w:b w:val="0"/>
          <w:bCs w:val="0"/>
        </w:rPr>
      </w:pPr>
      <w:r>
        <w:rPr>
          <w:rFonts w:ascii="宋体" w:hAnsi="宋体" w:cs="宋体" w:eastAsia="宋体" w:hint="default"/>
        </w:rPr>
        <w:t>2</w:t>
      </w:r>
      <w:r>
        <w:rPr/>
        <w:t>、</w:t>
      </w:r>
      <w:r>
        <w:rPr>
          <w:spacing w:val="-59"/>
        </w:rPr>
        <w:t> </w:t>
      </w:r>
      <w:r>
        <w:rPr/>
        <w:t>或有事项</w:t>
      </w:r>
      <w:r>
        <w:rPr>
          <w:b w:val="0"/>
          <w:bCs w:val="0"/>
        </w:rPr>
      </w:r>
    </w:p>
    <w:p>
      <w:pPr>
        <w:pStyle w:val="Heading2"/>
        <w:spacing w:line="240" w:lineRule="auto" w:before="58"/>
        <w:ind w:left="278" w:right="0"/>
        <w:jc w:val="left"/>
        <w:rPr>
          <w:b w:val="0"/>
          <w:bCs w:val="0"/>
        </w:rPr>
      </w:pPr>
      <w:r>
        <w:rPr>
          <w:rFonts w:ascii="宋体" w:hAnsi="宋体" w:cs="宋体" w:eastAsia="宋体" w:hint="default"/>
        </w:rPr>
        <w:t>(1).</w:t>
      </w:r>
      <w:r>
        <w:rPr>
          <w:rFonts w:ascii="宋体" w:hAnsi="宋体" w:cs="宋体" w:eastAsia="宋体" w:hint="default"/>
          <w:spacing w:val="9"/>
        </w:rPr>
        <w:t> </w:t>
      </w:r>
      <w:r>
        <w:rPr/>
        <w:t>资产负债表日存在的重要或有事项</w:t>
      </w:r>
      <w:r>
        <w:rPr>
          <w:b w:val="0"/>
          <w:bCs w:val="0"/>
        </w:rPr>
      </w:r>
    </w:p>
    <w:p>
      <w:pPr>
        <w:pStyle w:val="BodyText"/>
        <w:tabs>
          <w:tab w:pos="1237" w:val="left" w:leader="none"/>
        </w:tabs>
        <w:spacing w:line="310" w:lineRule="exact" w:before="90"/>
        <w:ind w:left="698" w:right="3006" w:hanging="420"/>
        <w:jc w:val="left"/>
      </w:pPr>
      <w:r>
        <w:rPr>
          <w:spacing w:val="-1"/>
        </w:rPr>
        <w:t>√适用</w:t>
        <w:tab/>
      </w:r>
      <w:r>
        <w:rPr/>
        <w:t>□不适用</w:t>
      </w:r>
      <w:r>
        <w:rPr/>
        <w:t> 为其他单位提供债务担保形成的或有负债及其财务影响</w:t>
      </w:r>
    </w:p>
    <w:p>
      <w:pPr>
        <w:pStyle w:val="BodyText"/>
        <w:spacing w:line="240" w:lineRule="auto" w:before="125"/>
        <w:ind w:left="758" w:right="0"/>
        <w:jc w:val="left"/>
      </w:pPr>
      <w:r>
        <w:rPr>
          <w:rFonts w:ascii="宋体" w:hAnsi="宋体" w:cs="宋体" w:eastAsia="宋体" w:hint="default"/>
        </w:rPr>
        <w:t>1.</w:t>
      </w:r>
      <w:r>
        <w:rPr>
          <w:rFonts w:ascii="宋体" w:hAnsi="宋体" w:cs="宋体" w:eastAsia="宋体" w:hint="default"/>
          <w:spacing w:val="62"/>
        </w:rPr>
        <w:t> </w:t>
      </w:r>
      <w:r>
        <w:rPr/>
        <w:t>为关联方提供的担保事项详见本财务报表附注十二关联方及关联交易之说明。</w:t>
      </w:r>
    </w:p>
    <w:p>
      <w:pPr>
        <w:pStyle w:val="BodyText"/>
        <w:spacing w:line="240" w:lineRule="auto" w:before="151"/>
        <w:ind w:left="758" w:right="0"/>
        <w:jc w:val="left"/>
      </w:pPr>
      <w:r>
        <w:rPr>
          <w:rFonts w:ascii="宋体" w:hAnsi="宋体" w:cs="宋体" w:eastAsia="宋体" w:hint="default"/>
        </w:rPr>
        <w:t>2. </w:t>
      </w:r>
      <w:r>
        <w:rPr/>
        <w:t>公司及子公司为非关联方提供的担保事项</w:t>
      </w:r>
    </w:p>
    <w:p>
      <w:pPr>
        <w:pStyle w:val="BodyText"/>
        <w:spacing w:line="240" w:lineRule="auto" w:before="154"/>
        <w:ind w:left="758" w:right="0"/>
        <w:jc w:val="left"/>
      </w:pPr>
      <w:r>
        <w:rPr>
          <w:rFonts w:ascii="宋体" w:hAnsi="宋体" w:cs="宋体" w:eastAsia="宋体" w:hint="default"/>
        </w:rPr>
        <w:t>1) </w:t>
      </w:r>
      <w:r>
        <w:rPr/>
        <w:t>保证</w:t>
      </w:r>
    </w:p>
    <w:p>
      <w:pPr>
        <w:spacing w:line="240" w:lineRule="auto" w:before="11"/>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09"/>
        <w:gridCol w:w="2259"/>
        <w:gridCol w:w="1733"/>
        <w:gridCol w:w="1280"/>
        <w:gridCol w:w="989"/>
      </w:tblGrid>
      <w:tr>
        <w:trPr>
          <w:trHeight w:val="4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4" w:right="0"/>
              <w:jc w:val="left"/>
              <w:rPr>
                <w:rFonts w:ascii="宋体" w:hAnsi="宋体" w:cs="宋体" w:eastAsia="宋体" w:hint="default"/>
                <w:sz w:val="21"/>
                <w:szCs w:val="21"/>
              </w:rPr>
            </w:pPr>
            <w:r>
              <w:rPr>
                <w:rFonts w:ascii="宋体" w:hAnsi="宋体" w:cs="宋体" w:eastAsia="宋体" w:hint="default"/>
                <w:sz w:val="21"/>
                <w:szCs w:val="21"/>
              </w:rPr>
              <w:t>被担保单位</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9"/>
              <w:jc w:val="center"/>
              <w:rPr>
                <w:rFonts w:ascii="宋体" w:hAnsi="宋体" w:cs="宋体" w:eastAsia="宋体" w:hint="default"/>
                <w:sz w:val="21"/>
                <w:szCs w:val="21"/>
              </w:rPr>
            </w:pPr>
            <w:r>
              <w:rPr>
                <w:rFonts w:ascii="宋体" w:hAnsi="宋体" w:cs="宋体" w:eastAsia="宋体" w:hint="default"/>
                <w:sz w:val="21"/>
                <w:szCs w:val="21"/>
              </w:rPr>
              <w:t>贷款金融机构</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 w:right="0"/>
              <w:jc w:val="center"/>
              <w:rPr>
                <w:rFonts w:ascii="宋体" w:hAnsi="宋体" w:cs="宋体" w:eastAsia="宋体" w:hint="default"/>
                <w:sz w:val="21"/>
                <w:szCs w:val="21"/>
              </w:rPr>
            </w:pPr>
            <w:r>
              <w:rPr>
                <w:rFonts w:ascii="宋体" w:hAnsi="宋体" w:cs="宋体" w:eastAsia="宋体" w:hint="default"/>
                <w:sz w:val="21"/>
                <w:szCs w:val="21"/>
              </w:rPr>
              <w:t>担保借款金额</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hAnsi="宋体" w:cs="宋体" w:eastAsia="宋体" w:hint="default"/>
                <w:spacing w:val="-1"/>
                <w:sz w:val="21"/>
                <w:szCs w:val="21"/>
              </w:rPr>
              <w:t>借款到期日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2"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4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4" w:right="0"/>
              <w:jc w:val="left"/>
              <w:rPr>
                <w:rFonts w:ascii="宋体" w:hAnsi="宋体" w:cs="宋体" w:eastAsia="宋体" w:hint="default"/>
                <w:sz w:val="21"/>
                <w:szCs w:val="21"/>
              </w:rPr>
            </w:pPr>
            <w:r>
              <w:rPr>
                <w:rFonts w:ascii="宋体" w:hAnsi="宋体" w:cs="宋体" w:eastAsia="宋体" w:hint="default"/>
                <w:sz w:val="21"/>
                <w:szCs w:val="21"/>
              </w:rPr>
              <w:t>美都能源股份有限公司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1"/>
              <w:jc w:val="center"/>
              <w:rPr>
                <w:rFonts w:ascii="宋体" w:hAnsi="宋体" w:cs="宋体" w:eastAsia="宋体" w:hint="default"/>
                <w:sz w:val="21"/>
                <w:szCs w:val="21"/>
              </w:rPr>
            </w:pPr>
            <w:r>
              <w:rPr>
                <w:rFonts w:ascii="宋体" w:hAnsi="宋体" w:cs="宋体" w:eastAsia="宋体" w:hint="default"/>
                <w:sz w:val="21"/>
                <w:szCs w:val="21"/>
              </w:rPr>
              <w:t>平安银行杭州分行</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21"/>
                <w:szCs w:val="21"/>
              </w:rPr>
            </w:pPr>
            <w:r>
              <w:rPr>
                <w:rFonts w:ascii="宋体"/>
                <w:sz w:val="21"/>
              </w:rPr>
              <w:t>100,000,000.00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21"/>
                <w:szCs w:val="21"/>
              </w:rPr>
            </w:pPr>
            <w:r>
              <w:rPr>
                <w:rFonts w:ascii="宋体"/>
                <w:spacing w:val="-1"/>
                <w:sz w:val="21"/>
              </w:rPr>
              <w:t>2018-5-26</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4" w:right="0"/>
              <w:jc w:val="left"/>
              <w:rPr>
                <w:rFonts w:ascii="宋体" w:hAnsi="宋体" w:cs="宋体" w:eastAsia="宋体" w:hint="default"/>
                <w:sz w:val="21"/>
                <w:szCs w:val="21"/>
              </w:rPr>
            </w:pPr>
            <w:r>
              <w:rPr>
                <w:rFonts w:ascii="宋体" w:hAnsi="宋体" w:cs="宋体" w:eastAsia="宋体" w:hint="default"/>
                <w:sz w:val="21"/>
                <w:szCs w:val="21"/>
              </w:rPr>
              <w:t>美都能源股份有限公司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
              <w:jc w:val="center"/>
              <w:rPr>
                <w:rFonts w:ascii="宋体" w:hAnsi="宋体" w:cs="宋体" w:eastAsia="宋体" w:hint="default"/>
                <w:sz w:val="21"/>
                <w:szCs w:val="21"/>
              </w:rPr>
            </w:pPr>
            <w:r>
              <w:rPr>
                <w:rFonts w:ascii="宋体" w:hAnsi="宋体" w:cs="宋体" w:eastAsia="宋体" w:hint="default"/>
                <w:sz w:val="21"/>
                <w:szCs w:val="21"/>
              </w:rPr>
              <w:t>农行德清支行</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21"/>
                <w:szCs w:val="21"/>
              </w:rPr>
            </w:pPr>
            <w:r>
              <w:rPr>
                <w:rFonts w:ascii="宋体"/>
                <w:sz w:val="21"/>
              </w:rPr>
              <w:t>29,000,000.00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21"/>
                <w:szCs w:val="21"/>
              </w:rPr>
            </w:pPr>
            <w:r>
              <w:rPr>
                <w:rFonts w:ascii="宋体"/>
                <w:spacing w:val="-1"/>
                <w:sz w:val="21"/>
              </w:rPr>
              <w:t>2018-6-30</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4" w:right="0"/>
              <w:jc w:val="left"/>
              <w:rPr>
                <w:rFonts w:ascii="宋体" w:hAnsi="宋体" w:cs="宋体" w:eastAsia="宋体" w:hint="default"/>
                <w:sz w:val="21"/>
                <w:szCs w:val="21"/>
              </w:rPr>
            </w:pPr>
            <w:r>
              <w:rPr>
                <w:rFonts w:ascii="宋体" w:hAnsi="宋体" w:cs="宋体" w:eastAsia="宋体" w:hint="default"/>
                <w:sz w:val="21"/>
                <w:szCs w:val="21"/>
              </w:rPr>
              <w:t>美都能源股份有限公司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1"/>
              <w:jc w:val="center"/>
              <w:rPr>
                <w:rFonts w:ascii="宋体" w:hAnsi="宋体" w:cs="宋体" w:eastAsia="宋体" w:hint="default"/>
                <w:sz w:val="21"/>
                <w:szCs w:val="21"/>
              </w:rPr>
            </w:pPr>
            <w:r>
              <w:rPr>
                <w:rFonts w:ascii="宋体" w:hAnsi="宋体" w:cs="宋体" w:eastAsia="宋体" w:hint="default"/>
                <w:sz w:val="21"/>
                <w:szCs w:val="21"/>
              </w:rPr>
              <w:t>兴业银行杭州分行</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21"/>
                <w:szCs w:val="21"/>
              </w:rPr>
            </w:pPr>
            <w:r>
              <w:rPr>
                <w:rFonts w:ascii="宋体"/>
                <w:sz w:val="21"/>
              </w:rPr>
              <w:t>50,000,000.00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2018-12-14</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4" w:right="0"/>
              <w:jc w:val="left"/>
              <w:rPr>
                <w:rFonts w:ascii="宋体" w:hAnsi="宋体" w:cs="宋体" w:eastAsia="宋体" w:hint="default"/>
                <w:sz w:val="21"/>
                <w:szCs w:val="21"/>
              </w:rPr>
            </w:pPr>
            <w:r>
              <w:rPr>
                <w:rFonts w:ascii="宋体" w:hAnsi="宋体" w:cs="宋体" w:eastAsia="宋体" w:hint="default"/>
                <w:sz w:val="21"/>
                <w:szCs w:val="21"/>
              </w:rPr>
              <w:t>美都能源股份有限公司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1"/>
              <w:jc w:val="center"/>
              <w:rPr>
                <w:rFonts w:ascii="宋体" w:hAnsi="宋体" w:cs="宋体" w:eastAsia="宋体" w:hint="default"/>
                <w:sz w:val="21"/>
                <w:szCs w:val="21"/>
              </w:rPr>
            </w:pPr>
            <w:r>
              <w:rPr>
                <w:rFonts w:ascii="宋体" w:hAnsi="宋体" w:cs="宋体" w:eastAsia="宋体" w:hint="default"/>
                <w:sz w:val="21"/>
                <w:szCs w:val="21"/>
              </w:rPr>
              <w:t>兴业银行杭州分行</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21"/>
                <w:szCs w:val="21"/>
              </w:rPr>
            </w:pPr>
            <w:r>
              <w:rPr>
                <w:rFonts w:ascii="宋体"/>
                <w:sz w:val="21"/>
              </w:rPr>
              <w:t>50,000,000.00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2018-12-21</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57"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4" w:right="0"/>
              <w:jc w:val="left"/>
              <w:rPr>
                <w:rFonts w:ascii="宋体" w:hAnsi="宋体" w:cs="宋体" w:eastAsia="宋体" w:hint="default"/>
                <w:sz w:val="21"/>
                <w:szCs w:val="21"/>
              </w:rPr>
            </w:pPr>
            <w:r>
              <w:rPr>
                <w:rFonts w:ascii="宋体" w:hAnsi="宋体" w:cs="宋体" w:eastAsia="宋体" w:hint="default"/>
                <w:sz w:val="21"/>
                <w:szCs w:val="21"/>
              </w:rPr>
              <w:t>美都经贸浙江有限公司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1"/>
              <w:jc w:val="center"/>
              <w:rPr>
                <w:rFonts w:ascii="宋体" w:hAnsi="宋体" w:cs="宋体" w:eastAsia="宋体" w:hint="default"/>
                <w:sz w:val="21"/>
                <w:szCs w:val="21"/>
              </w:rPr>
            </w:pPr>
            <w:r>
              <w:rPr>
                <w:rFonts w:ascii="宋体" w:hAnsi="宋体" w:cs="宋体" w:eastAsia="宋体" w:hint="default"/>
                <w:sz w:val="21"/>
                <w:szCs w:val="21"/>
              </w:rPr>
              <w:t>江苏银行杭州分行</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21"/>
                <w:szCs w:val="21"/>
              </w:rPr>
            </w:pPr>
            <w:r>
              <w:rPr>
                <w:rFonts w:ascii="宋体"/>
                <w:sz w:val="21"/>
              </w:rPr>
              <w:t>20,000,000.00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21"/>
                <w:szCs w:val="21"/>
              </w:rPr>
            </w:pPr>
            <w:r>
              <w:rPr>
                <w:rFonts w:ascii="宋体"/>
                <w:spacing w:val="-1"/>
                <w:sz w:val="21"/>
              </w:rPr>
              <w:t>2018-4-20</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4" w:right="0"/>
              <w:jc w:val="left"/>
              <w:rPr>
                <w:rFonts w:ascii="宋体" w:hAnsi="宋体" w:cs="宋体" w:eastAsia="宋体" w:hint="default"/>
                <w:sz w:val="21"/>
                <w:szCs w:val="21"/>
              </w:rPr>
            </w:pPr>
            <w:r>
              <w:rPr>
                <w:rFonts w:ascii="宋体" w:hAnsi="宋体" w:cs="宋体" w:eastAsia="宋体" w:hint="default"/>
                <w:sz w:val="21"/>
                <w:szCs w:val="21"/>
              </w:rPr>
              <w:t>美都经贸浙江有限公司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1"/>
              <w:jc w:val="center"/>
              <w:rPr>
                <w:rFonts w:ascii="宋体" w:hAnsi="宋体" w:cs="宋体" w:eastAsia="宋体" w:hint="default"/>
                <w:sz w:val="21"/>
                <w:szCs w:val="21"/>
              </w:rPr>
            </w:pPr>
            <w:r>
              <w:rPr>
                <w:rFonts w:ascii="宋体" w:hAnsi="宋体" w:cs="宋体" w:eastAsia="宋体" w:hint="default"/>
                <w:sz w:val="21"/>
                <w:szCs w:val="21"/>
              </w:rPr>
              <w:t>南京银行杭州分行</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 w:right="0"/>
              <w:jc w:val="center"/>
              <w:rPr>
                <w:rFonts w:ascii="宋体" w:hAnsi="宋体" w:cs="宋体" w:eastAsia="宋体" w:hint="default"/>
                <w:sz w:val="21"/>
                <w:szCs w:val="21"/>
              </w:rPr>
            </w:pPr>
            <w:r>
              <w:rPr>
                <w:rFonts w:ascii="宋体"/>
                <w:sz w:val="21"/>
              </w:rPr>
              <w:t>20,000,000.00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3" w:right="0"/>
              <w:jc w:val="left"/>
              <w:rPr>
                <w:rFonts w:ascii="宋体" w:hAnsi="宋体" w:cs="宋体" w:eastAsia="宋体" w:hint="default"/>
                <w:sz w:val="21"/>
                <w:szCs w:val="21"/>
              </w:rPr>
            </w:pPr>
            <w:r>
              <w:rPr>
                <w:rFonts w:ascii="宋体"/>
                <w:sz w:val="21"/>
              </w:rPr>
              <w:t>2018-5-8</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4" w:right="0"/>
              <w:jc w:val="left"/>
              <w:rPr>
                <w:rFonts w:ascii="宋体" w:hAnsi="宋体" w:cs="宋体" w:eastAsia="宋体" w:hint="default"/>
                <w:sz w:val="21"/>
                <w:szCs w:val="21"/>
              </w:rPr>
            </w:pPr>
            <w:r>
              <w:rPr>
                <w:rFonts w:ascii="宋体" w:hAnsi="宋体" w:cs="宋体" w:eastAsia="宋体" w:hint="default"/>
                <w:sz w:val="21"/>
                <w:szCs w:val="21"/>
              </w:rPr>
              <w:t>美都经贸浙江有限公司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1"/>
              <w:jc w:val="center"/>
              <w:rPr>
                <w:rFonts w:ascii="宋体" w:hAnsi="宋体" w:cs="宋体" w:eastAsia="宋体" w:hint="default"/>
                <w:sz w:val="21"/>
                <w:szCs w:val="21"/>
              </w:rPr>
            </w:pPr>
            <w:r>
              <w:rPr>
                <w:rFonts w:ascii="宋体" w:hAnsi="宋体" w:cs="宋体" w:eastAsia="宋体" w:hint="default"/>
                <w:sz w:val="21"/>
                <w:szCs w:val="21"/>
              </w:rPr>
              <w:t>南京银行杭州分行</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21"/>
                <w:szCs w:val="21"/>
              </w:rPr>
            </w:pPr>
            <w:r>
              <w:rPr>
                <w:rFonts w:ascii="宋体"/>
                <w:sz w:val="21"/>
              </w:rPr>
              <w:t>30,000,000.00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21"/>
                <w:szCs w:val="21"/>
              </w:rPr>
            </w:pPr>
            <w:r>
              <w:rPr>
                <w:rFonts w:ascii="宋体"/>
                <w:spacing w:val="-1"/>
                <w:sz w:val="21"/>
              </w:rPr>
              <w:t>2018-5-22</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4" w:right="0"/>
              <w:jc w:val="left"/>
              <w:rPr>
                <w:rFonts w:ascii="宋体" w:hAnsi="宋体" w:cs="宋体" w:eastAsia="宋体" w:hint="default"/>
                <w:sz w:val="21"/>
                <w:szCs w:val="21"/>
              </w:rPr>
            </w:pPr>
            <w:r>
              <w:rPr>
                <w:rFonts w:ascii="宋体" w:hAnsi="宋体" w:cs="宋体" w:eastAsia="宋体" w:hint="default"/>
                <w:sz w:val="21"/>
                <w:szCs w:val="21"/>
              </w:rPr>
              <w:t>济和集团有限公司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1"/>
              <w:jc w:val="center"/>
              <w:rPr>
                <w:rFonts w:ascii="宋体" w:hAnsi="宋体" w:cs="宋体" w:eastAsia="宋体" w:hint="default"/>
                <w:sz w:val="21"/>
                <w:szCs w:val="21"/>
              </w:rPr>
            </w:pPr>
            <w:r>
              <w:rPr>
                <w:rFonts w:ascii="宋体" w:hAnsi="宋体" w:cs="宋体" w:eastAsia="宋体" w:hint="default"/>
                <w:sz w:val="21"/>
                <w:szCs w:val="21"/>
              </w:rPr>
              <w:t>中信银行杭州分行</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21"/>
                <w:szCs w:val="21"/>
              </w:rPr>
            </w:pPr>
            <w:r>
              <w:rPr>
                <w:rFonts w:ascii="宋体"/>
                <w:sz w:val="21"/>
              </w:rPr>
              <w:t>10,000,000.00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21"/>
                <w:szCs w:val="21"/>
              </w:rPr>
            </w:pPr>
            <w:r>
              <w:rPr>
                <w:rFonts w:ascii="宋体"/>
                <w:spacing w:val="-1"/>
                <w:sz w:val="21"/>
              </w:rPr>
              <w:t>2018-3-17</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4" w:right="0"/>
              <w:jc w:val="left"/>
              <w:rPr>
                <w:rFonts w:ascii="宋体" w:hAnsi="宋体" w:cs="宋体" w:eastAsia="宋体" w:hint="default"/>
                <w:sz w:val="21"/>
                <w:szCs w:val="21"/>
              </w:rPr>
            </w:pPr>
            <w:r>
              <w:rPr>
                <w:rFonts w:ascii="宋体" w:hAnsi="宋体" w:cs="宋体" w:eastAsia="宋体" w:hint="default"/>
                <w:sz w:val="21"/>
                <w:szCs w:val="21"/>
              </w:rPr>
              <w:t>济和集团有限公司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1"/>
              <w:jc w:val="center"/>
              <w:rPr>
                <w:rFonts w:ascii="宋体" w:hAnsi="宋体" w:cs="宋体" w:eastAsia="宋体" w:hint="default"/>
                <w:sz w:val="21"/>
                <w:szCs w:val="21"/>
              </w:rPr>
            </w:pPr>
            <w:r>
              <w:rPr>
                <w:rFonts w:ascii="宋体" w:hAnsi="宋体" w:cs="宋体" w:eastAsia="宋体" w:hint="default"/>
                <w:sz w:val="21"/>
                <w:szCs w:val="21"/>
              </w:rPr>
              <w:t>中信银行杭州分行</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21"/>
                <w:szCs w:val="21"/>
              </w:rPr>
            </w:pPr>
            <w:r>
              <w:rPr>
                <w:rFonts w:ascii="宋体"/>
                <w:sz w:val="21"/>
              </w:rPr>
              <w:t>20,000,000.00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21"/>
                <w:szCs w:val="21"/>
              </w:rPr>
            </w:pPr>
            <w:r>
              <w:rPr>
                <w:rFonts w:ascii="宋体"/>
                <w:spacing w:val="-1"/>
                <w:sz w:val="21"/>
              </w:rPr>
              <w:t>2018-4-11</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4" w:right="0"/>
              <w:jc w:val="left"/>
              <w:rPr>
                <w:rFonts w:ascii="宋体" w:hAnsi="宋体" w:cs="宋体" w:eastAsia="宋体" w:hint="default"/>
                <w:sz w:val="21"/>
                <w:szCs w:val="21"/>
              </w:rPr>
            </w:pPr>
            <w:r>
              <w:rPr>
                <w:rFonts w:ascii="宋体" w:hAnsi="宋体" w:cs="宋体" w:eastAsia="宋体" w:hint="default"/>
                <w:sz w:val="21"/>
                <w:szCs w:val="21"/>
              </w:rPr>
              <w:t>济和集团有限公司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1"/>
              <w:jc w:val="center"/>
              <w:rPr>
                <w:rFonts w:ascii="宋体" w:hAnsi="宋体" w:cs="宋体" w:eastAsia="宋体" w:hint="default"/>
                <w:sz w:val="21"/>
                <w:szCs w:val="21"/>
              </w:rPr>
            </w:pPr>
            <w:r>
              <w:rPr>
                <w:rFonts w:ascii="宋体" w:hAnsi="宋体" w:cs="宋体" w:eastAsia="宋体" w:hint="default"/>
                <w:sz w:val="21"/>
                <w:szCs w:val="21"/>
              </w:rPr>
              <w:t>中国银行开元支行</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21"/>
                <w:szCs w:val="21"/>
              </w:rPr>
            </w:pPr>
            <w:r>
              <w:rPr>
                <w:rFonts w:ascii="宋体"/>
                <w:sz w:val="21"/>
              </w:rPr>
              <w:t>9,999,000.00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3" w:right="0"/>
              <w:jc w:val="left"/>
              <w:rPr>
                <w:rFonts w:ascii="宋体" w:hAnsi="宋体" w:cs="宋体" w:eastAsia="宋体" w:hint="default"/>
                <w:sz w:val="21"/>
                <w:szCs w:val="21"/>
              </w:rPr>
            </w:pPr>
            <w:r>
              <w:rPr>
                <w:rFonts w:ascii="宋体"/>
                <w:sz w:val="21"/>
              </w:rPr>
              <w:t>2018-3-7</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56"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4" w:right="0"/>
              <w:jc w:val="left"/>
              <w:rPr>
                <w:rFonts w:ascii="宋体" w:hAnsi="宋体" w:cs="宋体" w:eastAsia="宋体" w:hint="default"/>
                <w:sz w:val="21"/>
                <w:szCs w:val="21"/>
              </w:rPr>
            </w:pPr>
            <w:r>
              <w:rPr>
                <w:rFonts w:ascii="宋体" w:hAnsi="宋体" w:cs="宋体" w:eastAsia="宋体" w:hint="default"/>
                <w:sz w:val="21"/>
                <w:szCs w:val="21"/>
              </w:rPr>
              <w:t>济和集团有限公司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1"/>
              <w:jc w:val="center"/>
              <w:rPr>
                <w:rFonts w:ascii="宋体" w:hAnsi="宋体" w:cs="宋体" w:eastAsia="宋体" w:hint="default"/>
                <w:sz w:val="21"/>
                <w:szCs w:val="21"/>
              </w:rPr>
            </w:pPr>
            <w:r>
              <w:rPr>
                <w:rFonts w:ascii="宋体" w:hAnsi="宋体" w:cs="宋体" w:eastAsia="宋体" w:hint="default"/>
                <w:sz w:val="21"/>
                <w:szCs w:val="21"/>
              </w:rPr>
              <w:t>中国银行开元支行</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21"/>
                <w:szCs w:val="21"/>
              </w:rPr>
            </w:pPr>
            <w:r>
              <w:rPr>
                <w:rFonts w:ascii="宋体"/>
                <w:sz w:val="21"/>
              </w:rPr>
              <w:t>27,499,000.00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21"/>
                <w:szCs w:val="21"/>
              </w:rPr>
            </w:pPr>
            <w:r>
              <w:rPr>
                <w:rFonts w:ascii="宋体"/>
                <w:spacing w:val="-1"/>
                <w:sz w:val="21"/>
              </w:rPr>
              <w:t>2018-4-19</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4"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1"/>
              <w:jc w:val="center"/>
              <w:rPr>
                <w:rFonts w:ascii="宋体" w:hAnsi="宋体" w:cs="宋体" w:eastAsia="宋体" w:hint="default"/>
                <w:sz w:val="21"/>
                <w:szCs w:val="21"/>
              </w:rPr>
            </w:pPr>
            <w:r>
              <w:rPr>
                <w:rFonts w:ascii="宋体" w:hAnsi="宋体" w:cs="宋体" w:eastAsia="宋体" w:hint="default"/>
                <w:sz w:val="21"/>
                <w:szCs w:val="21"/>
              </w:rPr>
              <w:t>民生银行嘉兴分行</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 w:right="0"/>
              <w:jc w:val="center"/>
              <w:rPr>
                <w:rFonts w:ascii="宋体" w:hAnsi="宋体" w:cs="宋体" w:eastAsia="宋体" w:hint="default"/>
                <w:sz w:val="21"/>
                <w:szCs w:val="21"/>
              </w:rPr>
            </w:pPr>
            <w:r>
              <w:rPr>
                <w:rFonts w:ascii="宋体"/>
                <w:sz w:val="21"/>
              </w:rPr>
              <w:t>4,802,637.00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9"/>
              <w:jc w:val="right"/>
              <w:rPr>
                <w:rFonts w:ascii="宋体" w:hAnsi="宋体" w:cs="宋体" w:eastAsia="宋体" w:hint="default"/>
                <w:sz w:val="21"/>
                <w:szCs w:val="21"/>
              </w:rPr>
            </w:pPr>
            <w:r>
              <w:rPr>
                <w:rFonts w:ascii="宋体"/>
                <w:spacing w:val="-1"/>
                <w:sz w:val="21"/>
              </w:rPr>
              <w:t>2018-1-10</w:t>
            </w:r>
          </w:p>
        </w:tc>
        <w:tc>
          <w:tcPr>
            <w:tcW w:w="989" w:type="dxa"/>
            <w:vMerge w:val="restart"/>
            <w:tcBorders>
              <w:top w:val="single" w:sz="4" w:space="0" w:color="000000"/>
              <w:left w:val="single" w:sz="4" w:space="0" w:color="000000"/>
              <w:right w:val="single" w:sz="4" w:space="0" w:color="000000"/>
            </w:tcBorders>
          </w:tcPr>
          <w:p>
            <w:pPr>
              <w:pStyle w:val="TableParagraph"/>
              <w:spacing w:line="357" w:lineRule="auto" w:before="6"/>
              <w:ind w:left="4" w:right="129"/>
              <w:jc w:val="left"/>
              <w:rPr>
                <w:rFonts w:ascii="宋体" w:hAnsi="宋体" w:cs="宋体" w:eastAsia="宋体" w:hint="default"/>
                <w:sz w:val="21"/>
                <w:szCs w:val="21"/>
              </w:rPr>
            </w:pPr>
            <w:r>
              <w:rPr>
                <w:rFonts w:ascii="宋体" w:hAnsi="宋体" w:cs="宋体" w:eastAsia="宋体" w:hint="default"/>
                <w:sz w:val="21"/>
                <w:szCs w:val="21"/>
              </w:rPr>
              <w:t>担保金额</w:t>
            </w:r>
            <w:r>
              <w:rPr>
                <w:rFonts w:ascii="宋体" w:hAnsi="宋体" w:cs="宋体" w:eastAsia="宋体" w:hint="default"/>
                <w:w w:val="100"/>
                <w:sz w:val="21"/>
                <w:szCs w:val="21"/>
              </w:rPr>
              <w:t> </w:t>
            </w:r>
            <w:r>
              <w:rPr>
                <w:rFonts w:ascii="宋体" w:hAnsi="宋体" w:cs="宋体" w:eastAsia="宋体" w:hint="default"/>
                <w:sz w:val="21"/>
                <w:szCs w:val="21"/>
              </w:rPr>
              <w:t>为美元按</w:t>
            </w:r>
          </w:p>
        </w:tc>
      </w:tr>
      <w:tr>
        <w:trPr>
          <w:trHeight w:val="4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4"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1"/>
              <w:jc w:val="center"/>
              <w:rPr>
                <w:rFonts w:ascii="宋体" w:hAnsi="宋体" w:cs="宋体" w:eastAsia="宋体" w:hint="default"/>
                <w:sz w:val="21"/>
                <w:szCs w:val="21"/>
              </w:rPr>
            </w:pPr>
            <w:r>
              <w:rPr>
                <w:rFonts w:ascii="宋体" w:hAnsi="宋体" w:cs="宋体" w:eastAsia="宋体" w:hint="default"/>
                <w:sz w:val="21"/>
                <w:szCs w:val="21"/>
              </w:rPr>
              <w:t>民生银行嘉兴分行</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21"/>
                <w:szCs w:val="21"/>
              </w:rPr>
            </w:pPr>
            <w:r>
              <w:rPr>
                <w:rFonts w:ascii="宋体"/>
                <w:sz w:val="21"/>
              </w:rPr>
              <w:t>4,099,746.11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3" w:right="0"/>
              <w:jc w:val="left"/>
              <w:rPr>
                <w:rFonts w:ascii="宋体" w:hAnsi="宋体" w:cs="宋体" w:eastAsia="宋体" w:hint="default"/>
                <w:sz w:val="21"/>
                <w:szCs w:val="21"/>
              </w:rPr>
            </w:pPr>
            <w:r>
              <w:rPr>
                <w:rFonts w:ascii="宋体"/>
                <w:sz w:val="21"/>
              </w:rPr>
              <w:t>2018-1-8</w:t>
            </w:r>
          </w:p>
        </w:tc>
        <w:tc>
          <w:tcPr>
            <w:tcW w:w="989" w:type="dxa"/>
            <w:vMerge/>
            <w:tcBorders>
              <w:left w:val="single" w:sz="4" w:space="0" w:color="000000"/>
              <w:bottom w:val="single" w:sz="4" w:space="0" w:color="000000"/>
              <w:right w:val="single" w:sz="4" w:space="0" w:color="000000"/>
            </w:tcBorders>
          </w:tcPr>
          <w:p>
            <w:pPr/>
          </w:p>
        </w:tc>
      </w:tr>
    </w:tbl>
    <w:p>
      <w:pPr>
        <w:spacing w:after="0"/>
        <w:sectPr>
          <w:footerReference w:type="default" r:id="rId104"/>
          <w:pgSz w:w="11910" w:h="16840"/>
          <w:pgMar w:footer="1195" w:header="0" w:top="1120" w:bottom="1380" w:left="1520" w:right="920"/>
          <w:pgNumType w:start="20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9"/>
        <w:gridCol w:w="2259"/>
        <w:gridCol w:w="1733"/>
        <w:gridCol w:w="1280"/>
        <w:gridCol w:w="989"/>
      </w:tblGrid>
      <w:tr>
        <w:trPr>
          <w:trHeight w:val="456"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4"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6" w:right="0"/>
              <w:jc w:val="left"/>
              <w:rPr>
                <w:rFonts w:ascii="宋体" w:hAnsi="宋体" w:cs="宋体" w:eastAsia="宋体" w:hint="default"/>
                <w:sz w:val="21"/>
                <w:szCs w:val="21"/>
              </w:rPr>
            </w:pPr>
            <w:r>
              <w:rPr>
                <w:rFonts w:ascii="宋体" w:hAnsi="宋体" w:cs="宋体" w:eastAsia="宋体" w:hint="default"/>
                <w:sz w:val="21"/>
                <w:szCs w:val="21"/>
              </w:rPr>
              <w:t>民生银行嘉兴分行</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21"/>
                <w:szCs w:val="21"/>
              </w:rPr>
            </w:pPr>
            <w:r>
              <w:rPr>
                <w:rFonts w:ascii="宋体"/>
                <w:sz w:val="21"/>
              </w:rPr>
              <w:t>9,435,384.80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3" w:right="0"/>
              <w:jc w:val="left"/>
              <w:rPr>
                <w:rFonts w:ascii="宋体" w:hAnsi="宋体" w:cs="宋体" w:eastAsia="宋体" w:hint="default"/>
                <w:sz w:val="21"/>
                <w:szCs w:val="21"/>
              </w:rPr>
            </w:pPr>
            <w:r>
              <w:rPr>
                <w:rFonts w:ascii="宋体"/>
                <w:sz w:val="21"/>
              </w:rPr>
              <w:t>2018-2-5</w:t>
            </w:r>
          </w:p>
        </w:tc>
        <w:tc>
          <w:tcPr>
            <w:tcW w:w="989" w:type="dxa"/>
            <w:vMerge w:val="restart"/>
            <w:tcBorders>
              <w:top w:val="single" w:sz="4" w:space="0" w:color="000000"/>
              <w:left w:val="single" w:sz="4" w:space="0" w:color="000000"/>
              <w:right w:val="single" w:sz="4" w:space="0" w:color="000000"/>
            </w:tcBorders>
          </w:tcPr>
          <w:p>
            <w:pPr>
              <w:pStyle w:val="TableParagraph"/>
              <w:spacing w:line="244" w:lineRule="exact"/>
              <w:ind w:left="-22" w:right="103"/>
              <w:jc w:val="center"/>
              <w:rPr>
                <w:rFonts w:ascii="宋体" w:hAnsi="宋体" w:cs="宋体" w:eastAsia="宋体" w:hint="default"/>
                <w:sz w:val="21"/>
                <w:szCs w:val="21"/>
              </w:rPr>
            </w:pPr>
            <w:r>
              <w:rPr>
                <w:rFonts w:ascii="宋体" w:hAnsi="宋体" w:cs="宋体" w:eastAsia="宋体" w:hint="default"/>
                <w:sz w:val="21"/>
                <w:szCs w:val="21"/>
              </w:rPr>
              <w:t>6.5342</w:t>
            </w:r>
            <w:r>
              <w:rPr>
                <w:rFonts w:ascii="宋体" w:hAnsi="宋体" w:cs="宋体" w:eastAsia="宋体" w:hint="default"/>
                <w:spacing w:val="-52"/>
                <w:sz w:val="21"/>
                <w:szCs w:val="21"/>
              </w:rPr>
              <w:t> </w:t>
            </w:r>
            <w:r>
              <w:rPr>
                <w:rFonts w:ascii="宋体" w:hAnsi="宋体" w:cs="宋体" w:eastAsia="宋体" w:hint="default"/>
                <w:sz w:val="21"/>
                <w:szCs w:val="21"/>
              </w:rPr>
              <w:t>汇</w:t>
            </w:r>
          </w:p>
          <w:p>
            <w:pPr>
              <w:pStyle w:val="TableParagraph"/>
              <w:spacing w:line="355" w:lineRule="auto" w:before="133"/>
              <w:ind w:left="4" w:right="129"/>
              <w:jc w:val="center"/>
              <w:rPr>
                <w:rFonts w:ascii="宋体" w:hAnsi="宋体" w:cs="宋体" w:eastAsia="宋体" w:hint="default"/>
                <w:sz w:val="21"/>
                <w:szCs w:val="21"/>
              </w:rPr>
            </w:pPr>
            <w:r>
              <w:rPr>
                <w:rFonts w:ascii="宋体" w:hAnsi="宋体" w:cs="宋体" w:eastAsia="宋体" w:hint="default"/>
                <w:sz w:val="21"/>
                <w:szCs w:val="21"/>
              </w:rPr>
              <w:t>率折算后</w:t>
            </w:r>
            <w:r>
              <w:rPr>
                <w:rFonts w:ascii="宋体" w:hAnsi="宋体" w:cs="宋体" w:eastAsia="宋体" w:hint="default"/>
                <w:w w:val="100"/>
                <w:sz w:val="21"/>
                <w:szCs w:val="21"/>
              </w:rPr>
              <w:t> </w:t>
            </w:r>
            <w:r>
              <w:rPr>
                <w:rFonts w:ascii="宋体" w:hAnsi="宋体" w:cs="宋体" w:eastAsia="宋体" w:hint="default"/>
                <w:sz w:val="21"/>
                <w:szCs w:val="21"/>
              </w:rPr>
              <w:t>人民币金</w:t>
            </w:r>
            <w:r>
              <w:rPr>
                <w:rFonts w:ascii="宋体" w:hAnsi="宋体" w:cs="宋体" w:eastAsia="宋体" w:hint="default"/>
                <w:w w:val="100"/>
                <w:sz w:val="21"/>
                <w:szCs w:val="21"/>
              </w:rPr>
              <w:t> </w:t>
            </w:r>
            <w:r>
              <w:rPr>
                <w:rFonts w:ascii="宋体" w:hAnsi="宋体" w:cs="宋体" w:eastAsia="宋体" w:hint="default"/>
                <w:sz w:val="21"/>
                <w:szCs w:val="21"/>
              </w:rPr>
              <w:t>额</w:t>
            </w:r>
          </w:p>
        </w:tc>
      </w:tr>
      <w:tr>
        <w:trPr>
          <w:trHeight w:val="4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4"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6" w:right="0"/>
              <w:jc w:val="left"/>
              <w:rPr>
                <w:rFonts w:ascii="宋体" w:hAnsi="宋体" w:cs="宋体" w:eastAsia="宋体" w:hint="default"/>
                <w:sz w:val="21"/>
                <w:szCs w:val="21"/>
              </w:rPr>
            </w:pPr>
            <w:r>
              <w:rPr>
                <w:rFonts w:ascii="宋体" w:hAnsi="宋体" w:cs="宋体" w:eastAsia="宋体" w:hint="default"/>
                <w:sz w:val="21"/>
                <w:szCs w:val="21"/>
              </w:rPr>
              <w:t>民生银行嘉兴分行</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21"/>
                <w:szCs w:val="21"/>
              </w:rPr>
            </w:pPr>
            <w:r>
              <w:rPr>
                <w:rFonts w:ascii="宋体"/>
                <w:sz w:val="21"/>
              </w:rPr>
              <w:t>4,207,306.04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0" w:right="0"/>
              <w:jc w:val="left"/>
              <w:rPr>
                <w:rFonts w:ascii="宋体" w:hAnsi="宋体" w:cs="宋体" w:eastAsia="宋体" w:hint="default"/>
                <w:sz w:val="21"/>
                <w:szCs w:val="21"/>
              </w:rPr>
            </w:pPr>
            <w:r>
              <w:rPr>
                <w:rFonts w:ascii="宋体"/>
                <w:sz w:val="21"/>
              </w:rPr>
              <w:t>2018-1-22</w:t>
            </w:r>
          </w:p>
        </w:tc>
        <w:tc>
          <w:tcPr>
            <w:tcW w:w="989" w:type="dxa"/>
            <w:vMerge/>
            <w:tcBorders>
              <w:left w:val="single" w:sz="4" w:space="0" w:color="000000"/>
              <w:right w:val="single" w:sz="4" w:space="0" w:color="000000"/>
            </w:tcBorders>
          </w:tcPr>
          <w:p>
            <w:pPr/>
          </w:p>
        </w:tc>
      </w:tr>
      <w:tr>
        <w:trPr>
          <w:trHeight w:val="4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4"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6" w:right="0"/>
              <w:jc w:val="left"/>
              <w:rPr>
                <w:rFonts w:ascii="宋体" w:hAnsi="宋体" w:cs="宋体" w:eastAsia="宋体" w:hint="default"/>
                <w:sz w:val="21"/>
                <w:szCs w:val="21"/>
              </w:rPr>
            </w:pPr>
            <w:r>
              <w:rPr>
                <w:rFonts w:ascii="宋体" w:hAnsi="宋体" w:cs="宋体" w:eastAsia="宋体" w:hint="default"/>
                <w:sz w:val="21"/>
                <w:szCs w:val="21"/>
              </w:rPr>
              <w:t>民生银行嘉兴分行</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21"/>
                <w:szCs w:val="21"/>
              </w:rPr>
            </w:pPr>
            <w:r>
              <w:rPr>
                <w:rFonts w:ascii="宋体"/>
                <w:sz w:val="21"/>
              </w:rPr>
              <w:t>4,013,595.76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0" w:right="0"/>
              <w:jc w:val="left"/>
              <w:rPr>
                <w:rFonts w:ascii="宋体" w:hAnsi="宋体" w:cs="宋体" w:eastAsia="宋体" w:hint="default"/>
                <w:sz w:val="21"/>
                <w:szCs w:val="21"/>
              </w:rPr>
            </w:pPr>
            <w:r>
              <w:rPr>
                <w:rFonts w:ascii="宋体"/>
                <w:sz w:val="21"/>
              </w:rPr>
              <w:t>2018-1-24</w:t>
            </w:r>
          </w:p>
        </w:tc>
        <w:tc>
          <w:tcPr>
            <w:tcW w:w="989" w:type="dxa"/>
            <w:vMerge/>
            <w:tcBorders>
              <w:left w:val="single" w:sz="4" w:space="0" w:color="000000"/>
              <w:right w:val="single" w:sz="4" w:space="0" w:color="000000"/>
            </w:tcBorders>
          </w:tcPr>
          <w:p>
            <w:pPr/>
          </w:p>
        </w:tc>
      </w:tr>
      <w:tr>
        <w:trPr>
          <w:trHeight w:val="4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4"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6" w:right="0"/>
              <w:jc w:val="left"/>
              <w:rPr>
                <w:rFonts w:ascii="宋体" w:hAnsi="宋体" w:cs="宋体" w:eastAsia="宋体" w:hint="default"/>
                <w:sz w:val="21"/>
                <w:szCs w:val="21"/>
              </w:rPr>
            </w:pPr>
            <w:r>
              <w:rPr>
                <w:rFonts w:ascii="宋体" w:hAnsi="宋体" w:cs="宋体" w:eastAsia="宋体" w:hint="default"/>
                <w:sz w:val="21"/>
                <w:szCs w:val="21"/>
              </w:rPr>
              <w:t>民生银行嘉兴分行</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21"/>
                <w:szCs w:val="21"/>
              </w:rPr>
            </w:pPr>
            <w:r>
              <w:rPr>
                <w:rFonts w:ascii="宋体"/>
                <w:sz w:val="21"/>
              </w:rPr>
              <w:t>2,769,030.61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0" w:right="0"/>
              <w:jc w:val="left"/>
              <w:rPr>
                <w:rFonts w:ascii="宋体" w:hAnsi="宋体" w:cs="宋体" w:eastAsia="宋体" w:hint="default"/>
                <w:sz w:val="21"/>
                <w:szCs w:val="21"/>
              </w:rPr>
            </w:pPr>
            <w:r>
              <w:rPr>
                <w:rFonts w:ascii="宋体"/>
                <w:sz w:val="21"/>
              </w:rPr>
              <w:t>2018-1-18</w:t>
            </w:r>
          </w:p>
        </w:tc>
        <w:tc>
          <w:tcPr>
            <w:tcW w:w="989" w:type="dxa"/>
            <w:vMerge/>
            <w:tcBorders>
              <w:left w:val="single" w:sz="4" w:space="0" w:color="000000"/>
              <w:right w:val="single" w:sz="4" w:space="0" w:color="000000"/>
            </w:tcBorders>
          </w:tcPr>
          <w:p>
            <w:pPr/>
          </w:p>
        </w:tc>
      </w:tr>
      <w:tr>
        <w:trPr>
          <w:trHeight w:val="4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4"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6" w:right="0"/>
              <w:jc w:val="left"/>
              <w:rPr>
                <w:rFonts w:ascii="宋体" w:hAnsi="宋体" w:cs="宋体" w:eastAsia="宋体" w:hint="default"/>
                <w:sz w:val="21"/>
                <w:szCs w:val="21"/>
              </w:rPr>
            </w:pPr>
            <w:r>
              <w:rPr>
                <w:rFonts w:ascii="宋体" w:hAnsi="宋体" w:cs="宋体" w:eastAsia="宋体" w:hint="default"/>
                <w:sz w:val="21"/>
                <w:szCs w:val="21"/>
              </w:rPr>
              <w:t>民生银行嘉兴分行</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21"/>
                <w:szCs w:val="21"/>
              </w:rPr>
            </w:pPr>
            <w:r>
              <w:rPr>
                <w:rFonts w:ascii="宋体"/>
                <w:sz w:val="21"/>
              </w:rPr>
              <w:t>1,013,768.06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0" w:right="0"/>
              <w:jc w:val="left"/>
              <w:rPr>
                <w:rFonts w:ascii="宋体" w:hAnsi="宋体" w:cs="宋体" w:eastAsia="宋体" w:hint="default"/>
                <w:sz w:val="21"/>
                <w:szCs w:val="21"/>
              </w:rPr>
            </w:pPr>
            <w:r>
              <w:rPr>
                <w:rFonts w:ascii="宋体"/>
                <w:sz w:val="21"/>
              </w:rPr>
              <w:t>2018-1-14</w:t>
            </w:r>
          </w:p>
        </w:tc>
        <w:tc>
          <w:tcPr>
            <w:tcW w:w="989" w:type="dxa"/>
            <w:vMerge/>
            <w:tcBorders>
              <w:left w:val="single" w:sz="4" w:space="0" w:color="000000"/>
              <w:right w:val="single" w:sz="4" w:space="0" w:color="000000"/>
            </w:tcBorders>
          </w:tcPr>
          <w:p>
            <w:pPr/>
          </w:p>
        </w:tc>
      </w:tr>
      <w:tr>
        <w:trPr>
          <w:trHeight w:val="4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4"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6" w:right="0"/>
              <w:jc w:val="left"/>
              <w:rPr>
                <w:rFonts w:ascii="宋体" w:hAnsi="宋体" w:cs="宋体" w:eastAsia="宋体" w:hint="default"/>
                <w:sz w:val="21"/>
                <w:szCs w:val="21"/>
              </w:rPr>
            </w:pPr>
            <w:r>
              <w:rPr>
                <w:rFonts w:ascii="宋体" w:hAnsi="宋体" w:cs="宋体" w:eastAsia="宋体" w:hint="default"/>
                <w:sz w:val="21"/>
                <w:szCs w:val="21"/>
              </w:rPr>
              <w:t>民生银行嘉兴分行</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21"/>
                <w:szCs w:val="21"/>
              </w:rPr>
            </w:pPr>
            <w:r>
              <w:rPr>
                <w:rFonts w:ascii="宋体"/>
                <w:sz w:val="21"/>
              </w:rPr>
              <w:t>5,008,464.30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3" w:right="0"/>
              <w:jc w:val="left"/>
              <w:rPr>
                <w:rFonts w:ascii="宋体" w:hAnsi="宋体" w:cs="宋体" w:eastAsia="宋体" w:hint="default"/>
                <w:sz w:val="21"/>
                <w:szCs w:val="21"/>
              </w:rPr>
            </w:pPr>
            <w:r>
              <w:rPr>
                <w:rFonts w:ascii="宋体"/>
                <w:sz w:val="21"/>
              </w:rPr>
              <w:t>2018-2-5</w:t>
            </w:r>
          </w:p>
        </w:tc>
        <w:tc>
          <w:tcPr>
            <w:tcW w:w="989" w:type="dxa"/>
            <w:vMerge/>
            <w:tcBorders>
              <w:left w:val="single" w:sz="4" w:space="0" w:color="000000"/>
              <w:right w:val="single" w:sz="4" w:space="0" w:color="000000"/>
            </w:tcBorders>
          </w:tcPr>
          <w:p>
            <w:pPr/>
          </w:p>
        </w:tc>
      </w:tr>
      <w:tr>
        <w:trPr>
          <w:trHeight w:val="456"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4"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6" w:right="0"/>
              <w:jc w:val="left"/>
              <w:rPr>
                <w:rFonts w:ascii="宋体" w:hAnsi="宋体" w:cs="宋体" w:eastAsia="宋体" w:hint="default"/>
                <w:sz w:val="21"/>
                <w:szCs w:val="21"/>
              </w:rPr>
            </w:pPr>
            <w:r>
              <w:rPr>
                <w:rFonts w:ascii="宋体" w:hAnsi="宋体" w:cs="宋体" w:eastAsia="宋体" w:hint="default"/>
                <w:sz w:val="21"/>
                <w:szCs w:val="21"/>
              </w:rPr>
              <w:t>民生银行嘉兴分行</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21"/>
                <w:szCs w:val="21"/>
              </w:rPr>
            </w:pPr>
            <w:r>
              <w:rPr>
                <w:rFonts w:ascii="宋体"/>
                <w:sz w:val="21"/>
              </w:rPr>
              <w:t>10,206,420.40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0" w:right="0"/>
              <w:jc w:val="left"/>
              <w:rPr>
                <w:rFonts w:ascii="宋体" w:hAnsi="宋体" w:cs="宋体" w:eastAsia="宋体" w:hint="default"/>
                <w:sz w:val="21"/>
                <w:szCs w:val="21"/>
              </w:rPr>
            </w:pPr>
            <w:r>
              <w:rPr>
                <w:rFonts w:ascii="宋体"/>
                <w:sz w:val="21"/>
              </w:rPr>
              <w:t>2018-5-24</w:t>
            </w:r>
          </w:p>
        </w:tc>
        <w:tc>
          <w:tcPr>
            <w:tcW w:w="989" w:type="dxa"/>
            <w:vMerge/>
            <w:tcBorders>
              <w:left w:val="single" w:sz="4" w:space="0" w:color="000000"/>
              <w:right w:val="single" w:sz="4" w:space="0" w:color="000000"/>
            </w:tcBorders>
          </w:tcPr>
          <w:p>
            <w:pPr/>
          </w:p>
        </w:tc>
      </w:tr>
      <w:tr>
        <w:trPr>
          <w:trHeight w:val="4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14"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6" w:right="0"/>
              <w:jc w:val="left"/>
              <w:rPr>
                <w:rFonts w:ascii="宋体" w:hAnsi="宋体" w:cs="宋体" w:eastAsia="宋体" w:hint="default"/>
                <w:sz w:val="21"/>
                <w:szCs w:val="21"/>
              </w:rPr>
            </w:pPr>
            <w:r>
              <w:rPr>
                <w:rFonts w:ascii="宋体" w:hAnsi="宋体" w:cs="宋体" w:eastAsia="宋体" w:hint="default"/>
                <w:sz w:val="21"/>
                <w:szCs w:val="21"/>
              </w:rPr>
              <w:t>中信银行嘉兴分行</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center"/>
              <w:rPr>
                <w:rFonts w:ascii="宋体" w:hAnsi="宋体" w:cs="宋体" w:eastAsia="宋体" w:hint="default"/>
                <w:sz w:val="21"/>
                <w:szCs w:val="21"/>
              </w:rPr>
            </w:pPr>
            <w:r>
              <w:rPr>
                <w:rFonts w:ascii="宋体"/>
                <w:sz w:val="21"/>
              </w:rPr>
              <w:t>2,079,661.14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3" w:right="0"/>
              <w:jc w:val="left"/>
              <w:rPr>
                <w:rFonts w:ascii="宋体" w:hAnsi="宋体" w:cs="宋体" w:eastAsia="宋体" w:hint="default"/>
                <w:sz w:val="21"/>
                <w:szCs w:val="21"/>
              </w:rPr>
            </w:pPr>
            <w:r>
              <w:rPr>
                <w:rFonts w:ascii="宋体"/>
                <w:sz w:val="21"/>
              </w:rPr>
              <w:t>2018-1-8</w:t>
            </w:r>
          </w:p>
        </w:tc>
        <w:tc>
          <w:tcPr>
            <w:tcW w:w="989" w:type="dxa"/>
            <w:vMerge/>
            <w:tcBorders>
              <w:left w:val="single" w:sz="4" w:space="0" w:color="000000"/>
              <w:right w:val="single" w:sz="4" w:space="0" w:color="000000"/>
            </w:tcBorders>
          </w:tcPr>
          <w:p>
            <w:pPr/>
          </w:p>
        </w:tc>
      </w:tr>
      <w:tr>
        <w:trPr>
          <w:trHeight w:val="4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4"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6" w:right="0"/>
              <w:jc w:val="left"/>
              <w:rPr>
                <w:rFonts w:ascii="宋体" w:hAnsi="宋体" w:cs="宋体" w:eastAsia="宋体" w:hint="default"/>
                <w:sz w:val="21"/>
                <w:szCs w:val="21"/>
              </w:rPr>
            </w:pPr>
            <w:r>
              <w:rPr>
                <w:rFonts w:ascii="宋体" w:hAnsi="宋体" w:cs="宋体" w:eastAsia="宋体" w:hint="default"/>
                <w:sz w:val="21"/>
                <w:szCs w:val="21"/>
              </w:rPr>
              <w:t>建设银行嘉兴分行</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21"/>
                <w:szCs w:val="21"/>
              </w:rPr>
            </w:pPr>
            <w:r>
              <w:rPr>
                <w:rFonts w:ascii="宋体"/>
                <w:sz w:val="21"/>
              </w:rPr>
              <w:t>2,032,166.58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0" w:right="0"/>
              <w:jc w:val="left"/>
              <w:rPr>
                <w:rFonts w:ascii="宋体" w:hAnsi="宋体" w:cs="宋体" w:eastAsia="宋体" w:hint="default"/>
                <w:sz w:val="21"/>
                <w:szCs w:val="21"/>
              </w:rPr>
            </w:pPr>
            <w:r>
              <w:rPr>
                <w:rFonts w:ascii="宋体"/>
                <w:sz w:val="21"/>
              </w:rPr>
              <w:t>2018-1-21</w:t>
            </w:r>
          </w:p>
        </w:tc>
        <w:tc>
          <w:tcPr>
            <w:tcW w:w="989" w:type="dxa"/>
            <w:vMerge/>
            <w:tcBorders>
              <w:left w:val="single" w:sz="4" w:space="0" w:color="000000"/>
              <w:right w:val="single" w:sz="4" w:space="0" w:color="000000"/>
            </w:tcBorders>
          </w:tcPr>
          <w:p>
            <w:pPr/>
          </w:p>
        </w:tc>
      </w:tr>
      <w:tr>
        <w:trPr>
          <w:trHeight w:val="4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4"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6" w:right="0"/>
              <w:jc w:val="left"/>
              <w:rPr>
                <w:rFonts w:ascii="宋体" w:hAnsi="宋体" w:cs="宋体" w:eastAsia="宋体" w:hint="default"/>
                <w:sz w:val="21"/>
                <w:szCs w:val="21"/>
              </w:rPr>
            </w:pPr>
            <w:r>
              <w:rPr>
                <w:rFonts w:ascii="宋体" w:hAnsi="宋体" w:cs="宋体" w:eastAsia="宋体" w:hint="default"/>
                <w:sz w:val="21"/>
                <w:szCs w:val="21"/>
              </w:rPr>
              <w:t>建设银行嘉兴分行</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21"/>
                <w:szCs w:val="21"/>
              </w:rPr>
            </w:pPr>
            <w:r>
              <w:rPr>
                <w:rFonts w:ascii="宋体"/>
                <w:sz w:val="21"/>
              </w:rPr>
              <w:t>4,068,103.53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0" w:right="0"/>
              <w:jc w:val="left"/>
              <w:rPr>
                <w:rFonts w:ascii="宋体" w:hAnsi="宋体" w:cs="宋体" w:eastAsia="宋体" w:hint="default"/>
                <w:sz w:val="21"/>
                <w:szCs w:val="21"/>
              </w:rPr>
            </w:pPr>
            <w:r>
              <w:rPr>
                <w:rFonts w:ascii="宋体"/>
                <w:sz w:val="21"/>
              </w:rPr>
              <w:t>2018-1-21</w:t>
            </w:r>
          </w:p>
        </w:tc>
        <w:tc>
          <w:tcPr>
            <w:tcW w:w="989" w:type="dxa"/>
            <w:vMerge/>
            <w:tcBorders>
              <w:left w:val="single" w:sz="4" w:space="0" w:color="000000"/>
              <w:right w:val="single" w:sz="4" w:space="0" w:color="000000"/>
            </w:tcBorders>
          </w:tcPr>
          <w:p>
            <w:pPr/>
          </w:p>
        </w:tc>
      </w:tr>
      <w:tr>
        <w:trPr>
          <w:trHeight w:val="4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4"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6" w:right="0"/>
              <w:jc w:val="left"/>
              <w:rPr>
                <w:rFonts w:ascii="宋体" w:hAnsi="宋体" w:cs="宋体" w:eastAsia="宋体" w:hint="default"/>
                <w:sz w:val="21"/>
                <w:szCs w:val="21"/>
              </w:rPr>
            </w:pPr>
            <w:r>
              <w:rPr>
                <w:rFonts w:ascii="宋体" w:hAnsi="宋体" w:cs="宋体" w:eastAsia="宋体" w:hint="default"/>
                <w:sz w:val="21"/>
                <w:szCs w:val="21"/>
              </w:rPr>
              <w:t>建设银行嘉兴分行</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21"/>
                <w:szCs w:val="21"/>
              </w:rPr>
            </w:pPr>
            <w:r>
              <w:rPr>
                <w:rFonts w:ascii="宋体"/>
                <w:sz w:val="21"/>
              </w:rPr>
              <w:t>5,087,730.94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0" w:right="0"/>
              <w:jc w:val="left"/>
              <w:rPr>
                <w:rFonts w:ascii="宋体" w:hAnsi="宋体" w:cs="宋体" w:eastAsia="宋体" w:hint="default"/>
                <w:sz w:val="21"/>
                <w:szCs w:val="21"/>
              </w:rPr>
            </w:pPr>
            <w:r>
              <w:rPr>
                <w:rFonts w:ascii="宋体"/>
                <w:sz w:val="21"/>
              </w:rPr>
              <w:t>2018-3-12</w:t>
            </w:r>
          </w:p>
        </w:tc>
        <w:tc>
          <w:tcPr>
            <w:tcW w:w="989" w:type="dxa"/>
            <w:vMerge/>
            <w:tcBorders>
              <w:left w:val="single" w:sz="4" w:space="0" w:color="000000"/>
              <w:bottom w:val="single" w:sz="4" w:space="0" w:color="000000"/>
              <w:right w:val="single" w:sz="4" w:space="0" w:color="000000"/>
            </w:tcBorders>
          </w:tcPr>
          <w:p>
            <w:pPr/>
          </w:p>
        </w:tc>
      </w:tr>
      <w:tr>
        <w:trPr>
          <w:trHeight w:val="4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4"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6" w:right="0"/>
              <w:jc w:val="left"/>
              <w:rPr>
                <w:rFonts w:ascii="宋体" w:hAnsi="宋体" w:cs="宋体" w:eastAsia="宋体" w:hint="default"/>
                <w:sz w:val="21"/>
                <w:szCs w:val="21"/>
              </w:rPr>
            </w:pPr>
            <w:r>
              <w:rPr>
                <w:rFonts w:ascii="宋体" w:hAnsi="宋体" w:cs="宋体" w:eastAsia="宋体" w:hint="default"/>
                <w:sz w:val="21"/>
                <w:szCs w:val="21"/>
              </w:rPr>
              <w:t>建设银行嘉兴分行</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21"/>
                <w:szCs w:val="21"/>
              </w:rPr>
            </w:pPr>
            <w:r>
              <w:rPr>
                <w:rFonts w:ascii="宋体"/>
                <w:sz w:val="21"/>
              </w:rPr>
              <w:t>120,000,000.00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0" w:right="0"/>
              <w:jc w:val="left"/>
              <w:rPr>
                <w:rFonts w:ascii="宋体" w:hAnsi="宋体" w:cs="宋体" w:eastAsia="宋体" w:hint="default"/>
                <w:sz w:val="21"/>
                <w:szCs w:val="21"/>
              </w:rPr>
            </w:pPr>
            <w:r>
              <w:rPr>
                <w:rFonts w:ascii="宋体"/>
                <w:sz w:val="21"/>
              </w:rPr>
              <w:t>2018-5-11</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56"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21"/>
                <w:szCs w:val="21"/>
              </w:rPr>
            </w:pPr>
            <w:r>
              <w:rPr>
                <w:rFonts w:ascii="宋体"/>
                <w:sz w:val="21"/>
              </w:rPr>
              <w:t>545,322,015.27</w:t>
            </w:r>
          </w:p>
        </w:tc>
        <w:tc>
          <w:tcPr>
            <w:tcW w:w="128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164"/>
        <w:ind w:left="758" w:right="97"/>
        <w:jc w:val="left"/>
      </w:pPr>
      <w:r>
        <w:rPr>
          <w:rFonts w:ascii="宋体" w:hAnsi="宋体" w:cs="宋体" w:eastAsia="宋体" w:hint="default"/>
        </w:rPr>
        <w:t>2)</w:t>
      </w:r>
      <w:r>
        <w:rPr>
          <w:rFonts w:ascii="宋体" w:hAnsi="宋体" w:cs="宋体" w:eastAsia="宋体" w:hint="default"/>
          <w:spacing w:val="-12"/>
        </w:rPr>
        <w:t> </w:t>
      </w:r>
      <w:r>
        <w:rPr/>
        <w:t>截至</w:t>
      </w:r>
      <w:r>
        <w:rPr>
          <w:spacing w:val="-66"/>
        </w:rPr>
        <w:t> </w:t>
      </w:r>
      <w:r>
        <w:rPr>
          <w:rFonts w:ascii="宋体" w:hAnsi="宋体" w:cs="宋体" w:eastAsia="宋体" w:hint="default"/>
        </w:rPr>
        <w:t>2017</w:t>
      </w:r>
      <w:r>
        <w:rPr>
          <w:rFonts w:ascii="宋体" w:hAnsi="宋体" w:cs="宋体" w:eastAsia="宋体" w:hint="default"/>
          <w:spacing w:val="-66"/>
        </w:rPr>
        <w:t> </w:t>
      </w:r>
      <w:r>
        <w:rPr/>
        <w:t>年</w:t>
      </w:r>
      <w:r>
        <w:rPr>
          <w:spacing w:val="-66"/>
        </w:rPr>
        <w:t> </w:t>
      </w:r>
      <w:r>
        <w:rPr>
          <w:rFonts w:ascii="宋体" w:hAnsi="宋体" w:cs="宋体" w:eastAsia="宋体" w:hint="default"/>
        </w:rPr>
        <w:t>12</w:t>
      </w:r>
      <w:r>
        <w:rPr>
          <w:rFonts w:ascii="宋体" w:hAnsi="宋体" w:cs="宋体" w:eastAsia="宋体" w:hint="default"/>
          <w:spacing w:val="-66"/>
        </w:rPr>
        <w:t> </w:t>
      </w:r>
      <w:r>
        <w:rPr/>
        <w:t>月</w:t>
      </w:r>
      <w:r>
        <w:rPr>
          <w:spacing w:val="-66"/>
        </w:rPr>
        <w:t> </w:t>
      </w:r>
      <w:r>
        <w:rPr>
          <w:rFonts w:ascii="宋体" w:hAnsi="宋体" w:cs="宋体" w:eastAsia="宋体" w:hint="default"/>
        </w:rPr>
        <w:t>31</w:t>
      </w:r>
      <w:r>
        <w:rPr>
          <w:rFonts w:ascii="宋体" w:hAnsi="宋体" w:cs="宋体" w:eastAsia="宋体" w:hint="default"/>
          <w:spacing w:val="-66"/>
        </w:rPr>
        <w:t> </w:t>
      </w:r>
      <w:r>
        <w:rPr/>
        <w:t>日，本公司下属房地产子公司为商品房承购人提供阶段</w:t>
      </w:r>
    </w:p>
    <w:p>
      <w:pPr>
        <w:pStyle w:val="BodyText"/>
        <w:spacing w:line="240" w:lineRule="auto" w:before="154"/>
        <w:ind w:left="278" w:right="97"/>
        <w:jc w:val="left"/>
      </w:pPr>
      <w:r>
        <w:rPr/>
        <w:t>性购房按揭贷款担保，担保余额总计为人民币</w:t>
      </w:r>
      <w:r>
        <w:rPr>
          <w:spacing w:val="-60"/>
        </w:rPr>
        <w:t> </w:t>
      </w:r>
      <w:r>
        <w:rPr>
          <w:rFonts w:ascii="宋体" w:hAnsi="宋体" w:cs="宋体" w:eastAsia="宋体" w:hint="default"/>
        </w:rPr>
        <w:t>98.05</w:t>
      </w:r>
      <w:r>
        <w:rPr>
          <w:rFonts w:ascii="宋体" w:hAnsi="宋体" w:cs="宋体" w:eastAsia="宋体" w:hint="default"/>
          <w:spacing w:val="-60"/>
        </w:rPr>
        <w:t> </w:t>
      </w:r>
      <w:r>
        <w:rPr/>
        <w:t>亿元。</w:t>
      </w:r>
    </w:p>
    <w:p>
      <w:pPr>
        <w:spacing w:line="240" w:lineRule="auto" w:before="0"/>
        <w:rPr>
          <w:rFonts w:ascii="宋体" w:hAnsi="宋体" w:cs="宋体" w:eastAsia="宋体" w:hint="default"/>
          <w:sz w:val="24"/>
          <w:szCs w:val="24"/>
        </w:rPr>
      </w:pPr>
    </w:p>
    <w:p>
      <w:pPr>
        <w:pStyle w:val="Heading2"/>
        <w:spacing w:line="240" w:lineRule="auto" w:before="209"/>
        <w:ind w:left="278" w:right="97"/>
        <w:jc w:val="left"/>
        <w:rPr>
          <w:b w:val="0"/>
          <w:bCs w:val="0"/>
        </w:rPr>
      </w:pPr>
      <w:r>
        <w:rPr>
          <w:rFonts w:ascii="宋体" w:hAnsi="宋体" w:cs="宋体" w:eastAsia="宋体" w:hint="default"/>
        </w:rPr>
        <w:t>(2).</w:t>
      </w:r>
      <w:r>
        <w:rPr>
          <w:rFonts w:ascii="宋体" w:hAnsi="宋体" w:cs="宋体" w:eastAsia="宋体" w:hint="default"/>
          <w:spacing w:val="7"/>
        </w:rPr>
        <w:t> </w:t>
      </w:r>
      <w:r>
        <w:rPr/>
        <w:t>公司没有需要披露的重要或有事项，也应予以说明：</w:t>
      </w:r>
      <w:r>
        <w:rPr>
          <w:b w:val="0"/>
          <w:bCs w:val="0"/>
        </w:rPr>
      </w:r>
    </w:p>
    <w:p>
      <w:pPr>
        <w:pStyle w:val="BodyText"/>
        <w:tabs>
          <w:tab w:pos="1237" w:val="left" w:leader="none"/>
        </w:tabs>
        <w:spacing w:line="240" w:lineRule="auto" w:before="58"/>
        <w:ind w:left="278" w:right="97"/>
        <w:jc w:val="left"/>
      </w:pPr>
      <w:r>
        <w:rPr>
          <w:spacing w:val="-1"/>
        </w:rPr>
        <w:t>□适用</w:t>
        <w:tab/>
      </w:r>
      <w:r>
        <w:rPr/>
        <w:t>√不适用</w:t>
      </w:r>
    </w:p>
    <w:p>
      <w:pPr>
        <w:spacing w:line="240" w:lineRule="auto" w:before="8"/>
        <w:rPr>
          <w:rFonts w:ascii="宋体" w:hAnsi="宋体" w:cs="宋体" w:eastAsia="宋体" w:hint="default"/>
          <w:sz w:val="26"/>
          <w:szCs w:val="26"/>
        </w:rPr>
      </w:pPr>
    </w:p>
    <w:p>
      <w:pPr>
        <w:pStyle w:val="Heading2"/>
        <w:spacing w:line="240" w:lineRule="auto" w:before="0"/>
        <w:ind w:left="278" w:right="97"/>
        <w:jc w:val="left"/>
        <w:rPr>
          <w:b w:val="0"/>
          <w:bCs w:val="0"/>
        </w:rPr>
      </w:pPr>
      <w:r>
        <w:rPr>
          <w:rFonts w:ascii="宋体" w:hAnsi="宋体" w:cs="宋体" w:eastAsia="宋体" w:hint="default"/>
        </w:rPr>
        <w:t>3</w:t>
      </w:r>
      <w:r>
        <w:rPr/>
        <w:t>、</w:t>
      </w:r>
      <w:r>
        <w:rPr>
          <w:spacing w:val="-57"/>
        </w:rPr>
        <w:t> </w:t>
      </w:r>
      <w:r>
        <w:rPr/>
        <w:t>其他</w:t>
      </w:r>
      <w:r>
        <w:rPr>
          <w:b w:val="0"/>
          <w:bCs w:val="0"/>
        </w:rPr>
      </w:r>
    </w:p>
    <w:p>
      <w:pPr>
        <w:pStyle w:val="BodyText"/>
        <w:tabs>
          <w:tab w:pos="1237" w:val="left" w:leader="none"/>
        </w:tabs>
        <w:spacing w:line="240" w:lineRule="auto" w:before="58"/>
        <w:ind w:left="278" w:right="97"/>
        <w:jc w:val="left"/>
      </w:pPr>
      <w:r>
        <w:rPr>
          <w:spacing w:val="-1"/>
        </w:rPr>
        <w:t>□适用</w:t>
        <w:tab/>
      </w:r>
      <w:r>
        <w:rPr/>
        <w:t>√不适用</w:t>
      </w:r>
    </w:p>
    <w:p>
      <w:pPr>
        <w:spacing w:line="240" w:lineRule="auto" w:before="4"/>
        <w:rPr>
          <w:rFonts w:ascii="宋体" w:hAnsi="宋体" w:cs="宋体" w:eastAsia="宋体" w:hint="default"/>
          <w:sz w:val="28"/>
          <w:szCs w:val="28"/>
        </w:rPr>
      </w:pPr>
    </w:p>
    <w:p>
      <w:pPr>
        <w:pStyle w:val="Heading2"/>
        <w:spacing w:line="240" w:lineRule="auto" w:before="0"/>
        <w:ind w:left="278" w:right="97"/>
        <w:jc w:val="left"/>
        <w:rPr>
          <w:b w:val="0"/>
          <w:bCs w:val="0"/>
        </w:rPr>
      </w:pPr>
      <w:r>
        <w:rPr/>
        <w:t>十五、</w:t>
      </w:r>
      <w:r>
        <w:rPr>
          <w:spacing w:val="-6"/>
        </w:rPr>
        <w:t> </w:t>
      </w:r>
      <w:r>
        <w:rPr/>
        <w:t>资产负债表日后事项</w:t>
      </w:r>
      <w:r>
        <w:rPr>
          <w:b w:val="0"/>
          <w:bCs w:val="0"/>
        </w:rPr>
      </w:r>
    </w:p>
    <w:p>
      <w:pPr>
        <w:pStyle w:val="Heading2"/>
        <w:spacing w:line="240" w:lineRule="auto" w:before="55"/>
        <w:ind w:left="278" w:right="97"/>
        <w:jc w:val="left"/>
        <w:rPr>
          <w:b w:val="0"/>
          <w:bCs w:val="0"/>
        </w:rPr>
      </w:pPr>
      <w:r>
        <w:rPr>
          <w:rFonts w:ascii="Calibri" w:hAnsi="Calibri" w:cs="Calibri" w:eastAsia="Calibri" w:hint="default"/>
        </w:rPr>
        <w:t>1</w:t>
      </w:r>
      <w:r>
        <w:rPr/>
        <w:t>、</w:t>
      </w:r>
      <w:r>
        <w:rPr>
          <w:spacing w:val="-62"/>
        </w:rPr>
        <w:t> </w:t>
      </w:r>
      <w:r>
        <w:rPr/>
        <w:t>重要的非调整事项</w:t>
      </w:r>
      <w:r>
        <w:rPr>
          <w:b w:val="0"/>
          <w:bCs w:val="0"/>
        </w:rPr>
      </w:r>
    </w:p>
    <w:p>
      <w:pPr>
        <w:pStyle w:val="BodyText"/>
        <w:spacing w:line="240" w:lineRule="auto" w:before="27"/>
        <w:ind w:left="278" w:right="97"/>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5" w:top="1120" w:bottom="1380" w:left="1520" w:right="980"/>
        </w:sectPr>
      </w:pPr>
    </w:p>
    <w:p>
      <w:pPr>
        <w:pStyle w:val="Heading2"/>
        <w:spacing w:line="240" w:lineRule="auto"/>
        <w:ind w:left="278" w:right="-19"/>
        <w:jc w:val="left"/>
        <w:rPr>
          <w:b w:val="0"/>
          <w:bCs w:val="0"/>
        </w:rPr>
      </w:pPr>
      <w:r>
        <w:rPr>
          <w:rFonts w:ascii="Calibri" w:hAnsi="Calibri" w:cs="Calibri" w:eastAsia="Calibri" w:hint="default"/>
        </w:rPr>
        <w:t>2</w:t>
      </w:r>
      <w:r>
        <w:rPr/>
        <w:t>、</w:t>
      </w:r>
      <w:r>
        <w:rPr>
          <w:spacing w:val="-62"/>
        </w:rPr>
        <w:t> </w:t>
      </w:r>
      <w:r>
        <w:rPr/>
        <w:t>利润分配情况</w:t>
      </w:r>
      <w:r>
        <w:rPr>
          <w:b w:val="0"/>
          <w:bCs w:val="0"/>
        </w:rPr>
      </w:r>
    </w:p>
    <w:p>
      <w:pPr>
        <w:pStyle w:val="BodyText"/>
        <w:spacing w:line="240" w:lineRule="auto" w:before="27"/>
        <w:ind w:left="27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478" w:val="left" w:leader="none"/>
        </w:tabs>
        <w:spacing w:line="240" w:lineRule="auto"/>
        <w:ind w:left="278" w:right="0"/>
        <w:jc w:val="left"/>
      </w:pPr>
      <w:r>
        <w:rPr/>
        <w:t>单位：元</w:t>
        <w:tab/>
        <w:t>币种：人民币</w:t>
      </w:r>
    </w:p>
    <w:p>
      <w:pPr>
        <w:spacing w:after="0" w:line="240" w:lineRule="auto"/>
        <w:jc w:val="left"/>
        <w:sectPr>
          <w:type w:val="continuous"/>
          <w:pgSz w:w="11910" w:h="16840"/>
          <w:pgMar w:top="1000" w:bottom="280" w:left="1520" w:right="980"/>
          <w:cols w:num="2" w:equalWidth="0">
            <w:col w:w="2148" w:space="4045"/>
            <w:col w:w="3217"/>
          </w:cols>
        </w:sectPr>
      </w:pPr>
    </w:p>
    <w:p>
      <w:pPr>
        <w:spacing w:line="240" w:lineRule="auto" w:before="10"/>
        <w:rPr>
          <w:rFonts w:ascii="宋体" w:hAnsi="宋体" w:cs="宋体" w:eastAsia="宋体" w:hint="default"/>
          <w:sz w:val="2"/>
          <w:szCs w:val="2"/>
        </w:rPr>
      </w:pPr>
    </w:p>
    <w:tbl>
      <w:tblPr>
        <w:tblW w:w="0" w:type="auto"/>
        <w:jc w:val="left"/>
        <w:tblInd w:w="165" w:type="dxa"/>
        <w:tblLayout w:type="fixed"/>
        <w:tblCellMar>
          <w:top w:w="0" w:type="dxa"/>
          <w:left w:w="0" w:type="dxa"/>
          <w:bottom w:w="0" w:type="dxa"/>
          <w:right w:w="0" w:type="dxa"/>
        </w:tblCellMar>
        <w:tblLook w:val="01E0"/>
      </w:tblPr>
      <w:tblGrid>
        <w:gridCol w:w="4364"/>
        <w:gridCol w:w="4686"/>
      </w:tblGrid>
      <w:tr>
        <w:trPr>
          <w:trHeight w:val="478"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拟分配的利润或股利</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490,162,581.55</w:t>
            </w:r>
          </w:p>
        </w:tc>
      </w:tr>
      <w:tr>
        <w:trPr>
          <w:trHeight w:val="478"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经审议批准宣告发放的利润或股利</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注</w:t>
            </w:r>
          </w:p>
        </w:tc>
      </w:tr>
    </w:tbl>
    <w:p>
      <w:pPr>
        <w:spacing w:after="0" w:line="274" w:lineRule="exact"/>
        <w:jc w:val="right"/>
        <w:rPr>
          <w:rFonts w:ascii="宋体" w:hAnsi="宋体" w:cs="宋体" w:eastAsia="宋体" w:hint="default"/>
          <w:sz w:val="24"/>
          <w:szCs w:val="24"/>
        </w:rPr>
        <w:sectPr>
          <w:type w:val="continuous"/>
          <w:pgSz w:w="11910" w:h="16840"/>
          <w:pgMar w:top="1000" w:bottom="280" w:left="1520" w:right="980"/>
        </w:sectPr>
      </w:pPr>
    </w:p>
    <w:p>
      <w:pPr>
        <w:spacing w:line="240" w:lineRule="auto" w:before="5"/>
        <w:rPr>
          <w:rFonts w:ascii="宋体" w:hAnsi="宋体" w:cs="宋体" w:eastAsia="宋体" w:hint="default"/>
          <w:sz w:val="25"/>
          <w:szCs w:val="25"/>
        </w:rPr>
      </w:pPr>
    </w:p>
    <w:p>
      <w:pPr>
        <w:pStyle w:val="BodyText"/>
        <w:spacing w:line="240" w:lineRule="auto" w:before="26"/>
        <w:ind w:left="618" w:right="0"/>
        <w:jc w:val="left"/>
      </w:pPr>
      <w:r>
        <w:rPr/>
        <w:t>注：根据</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日公司董事会审议通过的</w:t>
      </w:r>
      <w:r>
        <w:rPr>
          <w:spacing w:val="-60"/>
        </w:rPr>
        <w:t> </w:t>
      </w:r>
      <w:r>
        <w:rPr>
          <w:rFonts w:ascii="宋体" w:hAnsi="宋体" w:cs="宋体" w:eastAsia="宋体" w:hint="default"/>
        </w:rPr>
        <w:t>2017</w:t>
      </w:r>
      <w:r>
        <w:rPr>
          <w:rFonts w:ascii="宋体" w:hAnsi="宋体" w:cs="宋体" w:eastAsia="宋体" w:hint="default"/>
          <w:spacing w:val="-60"/>
        </w:rPr>
        <w:t> </w:t>
      </w:r>
      <w:r>
        <w:rPr/>
        <w:t>年度利润分配预案，公</w:t>
      </w:r>
    </w:p>
    <w:p>
      <w:pPr>
        <w:pStyle w:val="BodyText"/>
        <w:spacing w:line="240" w:lineRule="auto" w:before="154"/>
        <w:ind w:right="0"/>
        <w:jc w:val="both"/>
      </w:pPr>
      <w:r>
        <w:rPr/>
        <w:t>司拟以分红派息股权登记日股份数为基数，向全体股东每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股派发现金股利人民币</w:t>
      </w:r>
    </w:p>
    <w:p>
      <w:pPr>
        <w:pStyle w:val="BodyText"/>
        <w:spacing w:line="240" w:lineRule="auto" w:before="151"/>
        <w:ind w:right="0"/>
        <w:jc w:val="both"/>
      </w:pPr>
      <w:r>
        <w:rPr>
          <w:rFonts w:ascii="宋体" w:hAnsi="宋体" w:cs="宋体" w:eastAsia="宋体" w:hint="default"/>
        </w:rPr>
        <w:t>0.57</w:t>
      </w:r>
      <w:r>
        <w:rPr>
          <w:rFonts w:ascii="宋体" w:hAnsi="宋体" w:cs="宋体" w:eastAsia="宋体" w:hint="default"/>
          <w:spacing w:val="-61"/>
        </w:rPr>
        <w:t> </w:t>
      </w:r>
      <w:r>
        <w:rPr/>
        <w:t>元（含税）。该利润分配预案尚待股东大会审议通过。</w:t>
      </w:r>
    </w:p>
    <w:p>
      <w:pPr>
        <w:spacing w:line="240" w:lineRule="auto" w:before="0"/>
        <w:rPr>
          <w:rFonts w:ascii="宋体" w:hAnsi="宋体" w:cs="宋体" w:eastAsia="宋体" w:hint="default"/>
          <w:sz w:val="24"/>
          <w:szCs w:val="24"/>
        </w:rPr>
      </w:pPr>
    </w:p>
    <w:p>
      <w:pPr>
        <w:pStyle w:val="Heading2"/>
        <w:spacing w:line="240" w:lineRule="auto" w:before="212"/>
        <w:ind w:left="138" w:right="0"/>
        <w:jc w:val="both"/>
        <w:rPr>
          <w:b w:val="0"/>
          <w:bCs w:val="0"/>
        </w:rPr>
      </w:pPr>
      <w:r>
        <w:rPr>
          <w:rFonts w:ascii="Calibri" w:hAnsi="Calibri" w:cs="Calibri" w:eastAsia="Calibri" w:hint="default"/>
        </w:rPr>
        <w:t>3</w:t>
      </w:r>
      <w:r>
        <w:rPr/>
        <w:t>、</w:t>
      </w:r>
      <w:r>
        <w:rPr>
          <w:spacing w:val="-63"/>
        </w:rPr>
        <w:t> </w:t>
      </w:r>
      <w:r>
        <w:rPr/>
        <w:t>其他资产负债表日后事项说明</w:t>
      </w:r>
      <w:r>
        <w:rPr>
          <w:b w:val="0"/>
          <w:bCs w:val="0"/>
        </w:rPr>
      </w:r>
    </w:p>
    <w:p>
      <w:pPr>
        <w:pStyle w:val="BodyText"/>
        <w:spacing w:line="313" w:lineRule="exact" w:before="25"/>
        <w:ind w:right="0"/>
        <w:jc w:val="both"/>
      </w:pPr>
      <w:r>
        <w:rPr/>
        <w:t>√适用</w:t>
      </w:r>
      <w:r>
        <w:rPr>
          <w:spacing w:val="119"/>
        </w:rPr>
        <w:t> </w:t>
      </w:r>
      <w:r>
        <w:rPr/>
        <w:t>□不适用</w:t>
      </w:r>
    </w:p>
    <w:p>
      <w:pPr>
        <w:pStyle w:val="BodyText"/>
        <w:spacing w:line="357" w:lineRule="auto"/>
        <w:ind w:right="113" w:firstLine="479"/>
        <w:jc w:val="both"/>
      </w:pPr>
      <w:r>
        <w:rPr>
          <w:rFonts w:ascii="宋体" w:hAnsi="宋体" w:cs="宋体" w:eastAsia="宋体" w:hint="default"/>
        </w:rPr>
        <w:t>1. </w:t>
      </w:r>
      <w:r>
        <w:rPr/>
        <w:t>经公司第九届董事会第三十八次会议审议通过，公司子公司新湖地产于</w:t>
      </w:r>
      <w:r>
        <w:rPr>
          <w:spacing w:val="-60"/>
        </w:rPr>
        <w:t> </w:t>
      </w:r>
      <w:r>
        <w:rPr>
          <w:rFonts w:ascii="宋体" w:hAnsi="宋体" w:cs="宋体" w:eastAsia="宋体" w:hint="default"/>
        </w:rPr>
        <w:t>2018 </w:t>
      </w:r>
      <w:r>
        <w:rPr/>
        <w:t>年</w:t>
      </w:r>
      <w:r>
        <w:rPr>
          <w:spacing w:val="-60"/>
        </w:rPr>
        <w:t> </w:t>
      </w:r>
      <w:r>
        <w:rPr>
          <w:rFonts w:ascii="宋体" w:hAnsi="宋体" w:cs="宋体" w:eastAsia="宋体" w:hint="default"/>
        </w:rPr>
        <w:t>3</w:t>
      </w:r>
      <w:r>
        <w:rPr>
          <w:rFonts w:ascii="宋体" w:hAnsi="宋体" w:cs="宋体" w:eastAsia="宋体" w:hint="default"/>
          <w:spacing w:val="-59"/>
        </w:rPr>
        <w:t> </w:t>
      </w:r>
      <w:r>
        <w:rPr/>
        <w:t>月以总价</w:t>
      </w:r>
      <w:r>
        <w:rPr>
          <w:spacing w:val="-59"/>
        </w:rPr>
        <w:t> </w:t>
      </w:r>
      <w:r>
        <w:rPr>
          <w:rFonts w:ascii="宋体" w:hAnsi="宋体" w:cs="宋体" w:eastAsia="宋体" w:hint="default"/>
        </w:rPr>
        <w:t>156,000</w:t>
      </w:r>
      <w:r>
        <w:rPr>
          <w:rFonts w:ascii="宋体" w:hAnsi="宋体" w:cs="宋体" w:eastAsia="宋体" w:hint="default"/>
          <w:spacing w:val="-59"/>
        </w:rPr>
        <w:t> </w:t>
      </w:r>
      <w:r>
        <w:rPr/>
        <w:t>万元竞得温岭市</w:t>
      </w:r>
      <w:r>
        <w:rPr>
          <w:spacing w:val="2"/>
        </w:rPr>
        <w:t> </w:t>
      </w:r>
      <w:r>
        <w:rPr>
          <w:rFonts w:ascii="宋体" w:hAnsi="宋体" w:cs="宋体" w:eastAsia="宋体" w:hint="default"/>
        </w:rPr>
        <w:t>XQ060301</w:t>
      </w:r>
      <w:r>
        <w:rPr>
          <w:rFonts w:ascii="宋体" w:hAnsi="宋体" w:cs="宋体" w:eastAsia="宋体" w:hint="default"/>
          <w:spacing w:val="2"/>
        </w:rPr>
        <w:t> </w:t>
      </w:r>
      <w:r>
        <w:rPr>
          <w:spacing w:val="-4"/>
        </w:rPr>
        <w:t>地块的土地使用权。该地块出让面</w:t>
      </w:r>
      <w:r>
        <w:rPr/>
        <w:t> 积为</w:t>
      </w:r>
      <w:r>
        <w:rPr>
          <w:spacing w:val="-61"/>
        </w:rPr>
        <w:t> </w:t>
      </w:r>
      <w:r>
        <w:rPr>
          <w:rFonts w:ascii="宋体" w:hAnsi="宋体" w:cs="宋体" w:eastAsia="宋体" w:hint="default"/>
        </w:rPr>
        <w:t>39,437</w:t>
      </w:r>
      <w:r>
        <w:rPr>
          <w:rFonts w:ascii="宋体" w:hAnsi="宋体" w:cs="宋体" w:eastAsia="宋体" w:hint="default"/>
          <w:spacing w:val="-60"/>
        </w:rPr>
        <w:t> </w:t>
      </w:r>
      <w:r>
        <w:rPr/>
        <w:t>平方米，容积率＞</w:t>
      </w:r>
      <w:r>
        <w:rPr>
          <w:rFonts w:ascii="宋体" w:hAnsi="宋体" w:cs="宋体" w:eastAsia="宋体" w:hint="default"/>
        </w:rPr>
        <w:t>1.0 </w:t>
      </w:r>
      <w:r>
        <w:rPr/>
        <w:t>且≤</w:t>
      </w:r>
      <w:r>
        <w:rPr>
          <w:rFonts w:ascii="宋体" w:hAnsi="宋体" w:cs="宋体" w:eastAsia="宋体" w:hint="default"/>
        </w:rPr>
        <w:t>2.3</w:t>
      </w:r>
      <w:r>
        <w:rPr/>
        <w:t>；出让用途为二类居住用地（</w:t>
      </w:r>
      <w:r>
        <w:rPr>
          <w:rFonts w:ascii="宋体" w:hAnsi="宋体" w:cs="宋体" w:eastAsia="宋体" w:hint="default"/>
        </w:rPr>
        <w:t>R2</w:t>
      </w:r>
      <w:r>
        <w:rPr/>
        <w:t>）</w:t>
      </w:r>
      <w:r>
        <w:rPr>
          <w:rFonts w:ascii="宋体" w:hAnsi="宋体" w:cs="宋体" w:eastAsia="宋体" w:hint="default"/>
        </w:rPr>
        <w:t>/</w:t>
      </w:r>
      <w:r>
        <w:rPr/>
        <w:t>兼容 商业，出让期限为住宅 </w:t>
      </w:r>
      <w:r>
        <w:rPr>
          <w:rFonts w:ascii="宋体" w:hAnsi="宋体" w:cs="宋体" w:eastAsia="宋体" w:hint="default"/>
        </w:rPr>
        <w:t>70 </w:t>
      </w:r>
      <w:r>
        <w:rPr/>
        <w:t>年、商业 </w:t>
      </w:r>
      <w:r>
        <w:rPr>
          <w:rFonts w:ascii="宋体" w:hAnsi="宋体" w:cs="宋体" w:eastAsia="宋体" w:hint="default"/>
        </w:rPr>
        <w:t>40 </w:t>
      </w:r>
      <w:r>
        <w:rPr/>
        <w:t>年。</w:t>
      </w:r>
    </w:p>
    <w:p>
      <w:pPr>
        <w:pStyle w:val="BodyText"/>
        <w:spacing w:line="240" w:lineRule="auto" w:before="34"/>
        <w:ind w:left="618" w:right="0"/>
        <w:jc w:val="left"/>
      </w:pPr>
      <w:r>
        <w:rPr>
          <w:rFonts w:ascii="宋体" w:hAnsi="宋体" w:cs="宋体" w:eastAsia="宋体" w:hint="default"/>
        </w:rPr>
        <w:t>2.</w:t>
      </w:r>
      <w:r>
        <w:rPr>
          <w:rFonts w:ascii="宋体" w:hAnsi="宋体" w:cs="宋体" w:eastAsia="宋体" w:hint="default"/>
          <w:spacing w:val="-16"/>
        </w:rPr>
        <w:t> </w:t>
      </w:r>
      <w:r>
        <w:rPr/>
        <w:t>经公司第九届董事会第三十七次会议审议通过，本公司于</w:t>
      </w:r>
      <w:r>
        <w:rPr>
          <w:spacing w:val="-68"/>
        </w:rPr>
        <w:t> </w:t>
      </w:r>
      <w:r>
        <w:rPr>
          <w:rFonts w:ascii="宋体" w:hAnsi="宋体" w:cs="宋体" w:eastAsia="宋体" w:hint="default"/>
        </w:rPr>
        <w:t>2018</w:t>
      </w:r>
      <w:r>
        <w:rPr>
          <w:rFonts w:ascii="宋体" w:hAnsi="宋体" w:cs="宋体" w:eastAsia="宋体" w:hint="default"/>
          <w:spacing w:val="-68"/>
        </w:rPr>
        <w:t> </w:t>
      </w:r>
      <w:r>
        <w:rPr/>
        <w:t>年</w:t>
      </w:r>
      <w:r>
        <w:rPr>
          <w:spacing w:val="-68"/>
        </w:rPr>
        <w:t> </w:t>
      </w:r>
      <w:r>
        <w:rPr>
          <w:rFonts w:ascii="宋体" w:hAnsi="宋体" w:cs="宋体" w:eastAsia="宋体" w:hint="default"/>
        </w:rPr>
        <w:t>2</w:t>
      </w:r>
      <w:r>
        <w:rPr>
          <w:rFonts w:ascii="宋体" w:hAnsi="宋体" w:cs="宋体" w:eastAsia="宋体" w:hint="default"/>
          <w:spacing w:val="-68"/>
        </w:rPr>
        <w:t> </w:t>
      </w:r>
      <w:r>
        <w:rPr/>
        <w:t>月在上海</w:t>
      </w:r>
    </w:p>
    <w:p>
      <w:pPr>
        <w:pStyle w:val="BodyText"/>
        <w:spacing w:line="240" w:lineRule="auto" w:before="154"/>
        <w:ind w:right="0"/>
        <w:jc w:val="both"/>
      </w:pPr>
      <w:r>
        <w:rPr/>
        <w:t>联合产权交易所通过网络竞拍方式竞得万得信息</w:t>
      </w:r>
      <w:r>
        <w:rPr>
          <w:spacing w:val="-60"/>
        </w:rPr>
        <w:t> </w:t>
      </w:r>
      <w:r>
        <w:rPr>
          <w:rFonts w:ascii="宋体" w:hAnsi="宋体" w:cs="宋体" w:eastAsia="宋体" w:hint="default"/>
        </w:rPr>
        <w:t>3,866.302</w:t>
      </w:r>
      <w:r>
        <w:rPr>
          <w:rFonts w:ascii="宋体" w:hAnsi="宋体" w:cs="宋体" w:eastAsia="宋体" w:hint="default"/>
          <w:spacing w:val="-60"/>
        </w:rPr>
        <w:t> </w:t>
      </w:r>
      <w:r>
        <w:rPr/>
        <w:t>万股股权（占总股本的</w:t>
      </w:r>
    </w:p>
    <w:p>
      <w:pPr>
        <w:pStyle w:val="BodyText"/>
        <w:spacing w:line="240" w:lineRule="auto" w:before="151"/>
        <w:ind w:right="0"/>
        <w:jc w:val="both"/>
      </w:pPr>
      <w:r>
        <w:rPr>
          <w:rFonts w:ascii="宋体" w:hAnsi="宋体" w:cs="宋体" w:eastAsia="宋体" w:hint="default"/>
        </w:rPr>
        <w:t>6.0183%</w:t>
      </w:r>
      <w:r>
        <w:rPr/>
        <w:t>），竞得价为人民币 </w:t>
      </w:r>
      <w:r>
        <w:rPr>
          <w:rFonts w:ascii="宋体" w:hAnsi="宋体" w:cs="宋体" w:eastAsia="宋体" w:hint="default"/>
        </w:rPr>
        <w:t>136,800</w:t>
      </w:r>
      <w:r>
        <w:rPr>
          <w:rFonts w:ascii="宋体" w:hAnsi="宋体" w:cs="宋体" w:eastAsia="宋体" w:hint="default"/>
          <w:spacing w:val="-61"/>
        </w:rPr>
        <w:t> </w:t>
      </w:r>
      <w:r>
        <w:rPr/>
        <w:t>万元。</w:t>
      </w:r>
    </w:p>
    <w:p>
      <w:pPr>
        <w:pStyle w:val="BodyText"/>
        <w:spacing w:line="240" w:lineRule="auto" w:before="154"/>
        <w:ind w:left="618" w:right="0"/>
        <w:jc w:val="left"/>
      </w:pPr>
      <w:r>
        <w:rPr>
          <w:rFonts w:ascii="宋体" w:hAnsi="宋体" w:cs="宋体" w:eastAsia="宋体" w:hint="default"/>
        </w:rPr>
        <w:t>3. </w:t>
      </w:r>
      <w:r>
        <w:rPr/>
        <w:t>经公司第九届董事会第十五次会议及公司</w:t>
      </w:r>
      <w:r>
        <w:rPr>
          <w:spacing w:val="-83"/>
        </w:rPr>
        <w:t> </w:t>
      </w:r>
      <w:r>
        <w:rPr>
          <w:rFonts w:ascii="宋体" w:hAnsi="宋体" w:cs="宋体" w:eastAsia="宋体" w:hint="default"/>
        </w:rPr>
        <w:t>2016</w:t>
      </w:r>
      <w:r>
        <w:rPr>
          <w:rFonts w:ascii="宋体" w:hAnsi="宋体" w:cs="宋体" w:eastAsia="宋体" w:hint="default"/>
          <w:spacing w:val="-84"/>
        </w:rPr>
        <w:t> </w:t>
      </w:r>
      <w:r>
        <w:rPr/>
        <w:t>年度第四次临时股东大会审议</w:t>
      </w:r>
    </w:p>
    <w:p>
      <w:pPr>
        <w:pStyle w:val="BodyText"/>
        <w:spacing w:line="357" w:lineRule="auto" w:before="151"/>
        <w:ind w:right="110"/>
        <w:jc w:val="both"/>
        <w:rPr>
          <w:rFonts w:ascii="宋体" w:hAnsi="宋体" w:cs="宋体" w:eastAsia="宋体" w:hint="default"/>
        </w:rPr>
      </w:pPr>
      <w:r>
        <w:rPr/>
        <w:t>通过，并根据</w:t>
      </w:r>
      <w:r>
        <w:rPr>
          <w:spacing w:val="-61"/>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月收到上海证券交易所出具的《关于对新湖中宝股份有限公 司非公开发行公司债券挂牌转让无异议的函》（上证函【</w:t>
      </w:r>
      <w:r>
        <w:rPr>
          <w:rFonts w:ascii="宋体" w:hAnsi="宋体" w:cs="宋体" w:eastAsia="宋体" w:hint="default"/>
        </w:rPr>
        <w:t>2017</w:t>
      </w:r>
      <w:r>
        <w:rPr/>
        <w:t>】</w:t>
      </w:r>
      <w:r>
        <w:rPr>
          <w:rFonts w:ascii="宋体" w:hAnsi="宋体" w:cs="宋体" w:eastAsia="宋体" w:hint="default"/>
        </w:rPr>
        <w:t>966</w:t>
      </w:r>
      <w:r>
        <w:rPr>
          <w:rFonts w:ascii="宋体" w:hAnsi="宋体" w:cs="宋体" w:eastAsia="宋体" w:hint="default"/>
          <w:spacing w:val="-60"/>
        </w:rPr>
        <w:t> </w:t>
      </w:r>
      <w:r>
        <w:rPr/>
        <w:t>号），公司可面 向合格投资者非公开发行总额不超过</w:t>
      </w:r>
      <w:r>
        <w:rPr>
          <w:spacing w:val="-67"/>
        </w:rPr>
        <w:t> </w:t>
      </w:r>
      <w:r>
        <w:rPr>
          <w:rFonts w:ascii="宋体" w:hAnsi="宋体" w:cs="宋体" w:eastAsia="宋体" w:hint="default"/>
        </w:rPr>
        <w:t>35</w:t>
      </w:r>
      <w:r>
        <w:rPr>
          <w:rFonts w:ascii="宋体" w:hAnsi="宋体" w:cs="宋体" w:eastAsia="宋体" w:hint="default"/>
          <w:spacing w:val="-68"/>
        </w:rPr>
        <w:t> </w:t>
      </w:r>
      <w:r>
        <w:rPr>
          <w:spacing w:val="-10"/>
        </w:rPr>
        <w:t>亿元的公司债券。</w:t>
      </w:r>
      <w:r>
        <w:rPr>
          <w:rFonts w:ascii="宋体" w:hAnsi="宋体" w:cs="宋体" w:eastAsia="宋体" w:hint="default"/>
          <w:spacing w:val="-10"/>
        </w:rPr>
        <w:t>2018</w:t>
      </w:r>
      <w:r>
        <w:rPr>
          <w:rFonts w:ascii="宋体" w:hAnsi="宋体" w:cs="宋体" w:eastAsia="宋体" w:hint="default"/>
          <w:spacing w:val="-68"/>
        </w:rPr>
        <w:t> </w:t>
      </w:r>
      <w:r>
        <w:rPr/>
        <w:t>年</w:t>
      </w:r>
      <w:r>
        <w:rPr>
          <w:spacing w:val="-68"/>
        </w:rPr>
        <w:t> </w:t>
      </w:r>
      <w:r>
        <w:rPr>
          <w:rFonts w:ascii="宋体" w:hAnsi="宋体" w:cs="宋体" w:eastAsia="宋体" w:hint="default"/>
        </w:rPr>
        <w:t>3</w:t>
      </w:r>
      <w:r>
        <w:rPr>
          <w:rFonts w:ascii="宋体" w:hAnsi="宋体" w:cs="宋体" w:eastAsia="宋体" w:hint="default"/>
          <w:spacing w:val="-70"/>
        </w:rPr>
        <w:t> </w:t>
      </w:r>
      <w:r>
        <w:rPr>
          <w:spacing w:val="-20"/>
        </w:rPr>
        <w:t>月，公司发行</w:t>
      </w:r>
      <w:r>
        <w:rPr>
          <w:spacing w:val="-67"/>
        </w:rPr>
        <w:t> </w:t>
      </w:r>
      <w:r>
        <w:rPr>
          <w:rFonts w:ascii="宋体" w:hAnsi="宋体" w:cs="宋体" w:eastAsia="宋体" w:hint="default"/>
        </w:rPr>
        <w:t>2018</w:t>
      </w:r>
    </w:p>
    <w:p>
      <w:pPr>
        <w:pStyle w:val="BodyText"/>
        <w:spacing w:line="240" w:lineRule="auto" w:before="36"/>
        <w:ind w:right="0"/>
        <w:jc w:val="both"/>
      </w:pPr>
      <w:r>
        <w:rPr/>
        <w:t>年非公开发行公司债券（第一期），发行规模</w:t>
      </w:r>
      <w:r>
        <w:rPr>
          <w:spacing w:val="-60"/>
        </w:rPr>
        <w:t> </w:t>
      </w:r>
      <w:r>
        <w:rPr>
          <w:rFonts w:ascii="宋体" w:hAnsi="宋体" w:cs="宋体" w:eastAsia="宋体" w:hint="default"/>
        </w:rPr>
        <w:t>5</w:t>
      </w:r>
      <w:r>
        <w:rPr>
          <w:rFonts w:ascii="宋体" w:hAnsi="宋体" w:cs="宋体" w:eastAsia="宋体" w:hint="default"/>
          <w:spacing w:val="-60"/>
        </w:rPr>
        <w:t> </w:t>
      </w:r>
      <w:r>
        <w:rPr/>
        <w:t>亿元，期限</w:t>
      </w:r>
      <w:r>
        <w:rPr>
          <w:spacing w:val="-60"/>
        </w:rPr>
        <w:t> </w:t>
      </w:r>
      <w:r>
        <w:rPr>
          <w:rFonts w:ascii="宋体" w:hAnsi="宋体" w:cs="宋体" w:eastAsia="宋体" w:hint="default"/>
        </w:rPr>
        <w:t>4</w:t>
      </w:r>
      <w:r>
        <w:rPr>
          <w:rFonts w:ascii="宋体" w:hAnsi="宋体" w:cs="宋体" w:eastAsia="宋体" w:hint="default"/>
          <w:spacing w:val="-60"/>
        </w:rPr>
        <w:t> </w:t>
      </w:r>
      <w:r>
        <w:rPr/>
        <w:t>年，票面利率</w:t>
      </w:r>
      <w:r>
        <w:rPr>
          <w:spacing w:val="-60"/>
        </w:rPr>
        <w:t> </w:t>
      </w:r>
      <w:r>
        <w:rPr>
          <w:rFonts w:ascii="宋体" w:hAnsi="宋体" w:cs="宋体" w:eastAsia="宋体" w:hint="default"/>
        </w:rPr>
        <w:t>7.5%</w:t>
      </w:r>
      <w:r>
        <w:rPr/>
        <w:t>。</w:t>
      </w:r>
    </w:p>
    <w:p>
      <w:pPr>
        <w:pStyle w:val="BodyText"/>
        <w:spacing w:line="240" w:lineRule="auto" w:before="151"/>
        <w:ind w:left="618" w:right="0"/>
        <w:jc w:val="left"/>
      </w:pPr>
      <w:r>
        <w:rPr>
          <w:rFonts w:ascii="宋体" w:hAnsi="宋体" w:cs="宋体" w:eastAsia="宋体" w:hint="default"/>
        </w:rPr>
        <w:t>4. </w:t>
      </w:r>
      <w:r>
        <w:rPr/>
        <w:t>经公司第九届董事会第二十六次会议及公司</w:t>
      </w:r>
      <w:r>
        <w:rPr>
          <w:spacing w:val="-83"/>
        </w:rPr>
        <w:t> </w:t>
      </w:r>
      <w:r>
        <w:rPr>
          <w:rFonts w:ascii="宋体" w:hAnsi="宋体" w:cs="宋体" w:eastAsia="宋体" w:hint="default"/>
        </w:rPr>
        <w:t>2017</w:t>
      </w:r>
      <w:r>
        <w:rPr>
          <w:rFonts w:ascii="宋体" w:hAnsi="宋体" w:cs="宋体" w:eastAsia="宋体" w:hint="default"/>
          <w:spacing w:val="-84"/>
        </w:rPr>
        <w:t> </w:t>
      </w:r>
      <w:r>
        <w:rPr/>
        <w:t>年度第二次临时股东大会审</w:t>
      </w:r>
    </w:p>
    <w:p>
      <w:pPr>
        <w:pStyle w:val="BodyText"/>
        <w:spacing w:line="357" w:lineRule="auto" w:before="154"/>
        <w:ind w:left="618" w:right="0" w:hanging="480"/>
        <w:jc w:val="left"/>
      </w:pPr>
      <w:r>
        <w:rPr/>
        <w:t>议通过，股东大会授权公司可在不超过人民币</w:t>
      </w:r>
      <w:r>
        <w:rPr>
          <w:spacing w:val="-60"/>
        </w:rPr>
        <w:t> </w:t>
      </w:r>
      <w:r>
        <w:rPr>
          <w:rFonts w:ascii="宋体" w:hAnsi="宋体" w:cs="宋体" w:eastAsia="宋体" w:hint="default"/>
        </w:rPr>
        <w:t>90</w:t>
      </w:r>
      <w:r>
        <w:rPr>
          <w:rFonts w:ascii="宋体" w:hAnsi="宋体" w:cs="宋体" w:eastAsia="宋体" w:hint="default"/>
          <w:spacing w:val="-61"/>
        </w:rPr>
        <w:t> </w:t>
      </w:r>
      <w:r>
        <w:rPr/>
        <w:t>亿元的范围内发行债务融资工具。 </w:t>
      </w:r>
      <w:r>
        <w:rPr>
          <w:spacing w:val="-2"/>
        </w:rPr>
        <w:t>根据公司收到中国银行间市场交易商协会出具的《接受注册通知书》（中市协注</w:t>
      </w:r>
    </w:p>
    <w:p>
      <w:pPr>
        <w:pStyle w:val="BodyText"/>
        <w:spacing w:line="240" w:lineRule="auto" w:before="34"/>
        <w:ind w:right="0"/>
        <w:jc w:val="both"/>
        <w:rPr>
          <w:rFonts w:ascii="宋体" w:hAnsi="宋体" w:cs="宋体" w:eastAsia="宋体" w:hint="default"/>
        </w:rPr>
      </w:pPr>
      <w:r>
        <w:rPr/>
        <w:t>【</w:t>
      </w:r>
      <w:r>
        <w:rPr>
          <w:rFonts w:ascii="宋体" w:hAnsi="宋体" w:cs="宋体" w:eastAsia="宋体" w:hint="default"/>
        </w:rPr>
        <w:t>2016</w:t>
      </w:r>
      <w:r>
        <w:rPr/>
        <w:t>】</w:t>
      </w:r>
      <w:r>
        <w:rPr>
          <w:rFonts w:ascii="宋体" w:hAnsi="宋体" w:cs="宋体" w:eastAsia="宋体" w:hint="default"/>
        </w:rPr>
        <w:t>MTN173</w:t>
      </w:r>
      <w:r>
        <w:rPr>
          <w:rFonts w:ascii="宋体" w:hAnsi="宋体" w:cs="宋体" w:eastAsia="宋体" w:hint="default"/>
          <w:spacing w:val="-61"/>
        </w:rPr>
        <w:t> </w:t>
      </w:r>
      <w:r>
        <w:rPr/>
        <w:t>号），公司可在注册有效期内分期发行中期票据</w:t>
      </w:r>
      <w:r>
        <w:rPr>
          <w:spacing w:val="-60"/>
        </w:rPr>
        <w:t> </w:t>
      </w:r>
      <w:r>
        <w:rPr>
          <w:rFonts w:ascii="宋体" w:hAnsi="宋体" w:cs="宋体" w:eastAsia="宋体" w:hint="default"/>
        </w:rPr>
        <w:t>33</w:t>
      </w:r>
      <w:r>
        <w:rPr>
          <w:rFonts w:ascii="宋体" w:hAnsi="宋体" w:cs="宋体" w:eastAsia="宋体" w:hint="default"/>
          <w:spacing w:val="-61"/>
        </w:rPr>
        <w:t> </w:t>
      </w:r>
      <w:r>
        <w:rPr/>
        <w:t>亿元。</w:t>
      </w:r>
      <w:r>
        <w:rPr>
          <w:rFonts w:ascii="宋体" w:hAnsi="宋体" w:cs="宋体" w:eastAsia="宋体" w:hint="default"/>
        </w:rPr>
        <w:t>2018</w:t>
      </w:r>
      <w:r>
        <w:rPr>
          <w:rFonts w:ascii="宋体" w:hAnsi="宋体" w:cs="宋体" w:eastAsia="宋体" w:hint="default"/>
          <w:spacing w:val="-61"/>
        </w:rPr>
        <w:t> </w:t>
      </w:r>
      <w:r>
        <w:rPr/>
        <w:t>年</w:t>
      </w:r>
      <w:r>
        <w:rPr>
          <w:spacing w:val="-61"/>
        </w:rPr>
        <w:t> </w:t>
      </w:r>
      <w:r>
        <w:rPr>
          <w:rFonts w:ascii="宋体" w:hAnsi="宋体" w:cs="宋体" w:eastAsia="宋体" w:hint="default"/>
        </w:rPr>
        <w:t>3</w:t>
      </w:r>
    </w:p>
    <w:p>
      <w:pPr>
        <w:pStyle w:val="BodyText"/>
        <w:spacing w:line="240" w:lineRule="auto" w:before="154"/>
        <w:ind w:right="0"/>
        <w:jc w:val="both"/>
      </w:pPr>
      <w:r>
        <w:rPr/>
        <w:t>月，公司发行了“新湖中宝股份有限公司</w:t>
      </w:r>
      <w:r>
        <w:rPr>
          <w:spacing w:val="-61"/>
        </w:rPr>
        <w:t> </w:t>
      </w:r>
      <w:r>
        <w:rPr>
          <w:rFonts w:ascii="宋体" w:hAnsi="宋体" w:cs="宋体" w:eastAsia="宋体" w:hint="default"/>
        </w:rPr>
        <w:t>2018</w:t>
      </w:r>
      <w:r>
        <w:rPr>
          <w:rFonts w:ascii="宋体" w:hAnsi="宋体" w:cs="宋体" w:eastAsia="宋体" w:hint="default"/>
          <w:spacing w:val="-61"/>
        </w:rPr>
        <w:t> </w:t>
      </w:r>
      <w:r>
        <w:rPr/>
        <w:t>年度第一期中期票据”，实际发行总</w:t>
      </w:r>
    </w:p>
    <w:p>
      <w:pPr>
        <w:pStyle w:val="BodyText"/>
        <w:spacing w:line="240" w:lineRule="auto" w:before="151"/>
        <w:ind w:right="0"/>
        <w:jc w:val="both"/>
      </w:pPr>
      <w:r>
        <w:rPr/>
        <w:t>额</w:t>
      </w:r>
      <w:r>
        <w:rPr>
          <w:spacing w:val="-60"/>
        </w:rPr>
        <w:t> </w:t>
      </w:r>
      <w:r>
        <w:rPr>
          <w:rFonts w:ascii="宋体" w:hAnsi="宋体" w:cs="宋体" w:eastAsia="宋体" w:hint="default"/>
        </w:rPr>
        <w:t>10</w:t>
      </w:r>
      <w:r>
        <w:rPr>
          <w:rFonts w:ascii="宋体" w:hAnsi="宋体" w:cs="宋体" w:eastAsia="宋体" w:hint="default"/>
          <w:spacing w:val="-59"/>
        </w:rPr>
        <w:t> </w:t>
      </w:r>
      <w:r>
        <w:rPr>
          <w:spacing w:val="-12"/>
        </w:rPr>
        <w:t>亿元，期限</w:t>
      </w:r>
      <w:r>
        <w:rPr>
          <w:spacing w:val="-59"/>
        </w:rPr>
        <w:t> </w:t>
      </w:r>
      <w:r>
        <w:rPr>
          <w:rFonts w:ascii="宋体" w:hAnsi="宋体" w:cs="宋体" w:eastAsia="宋体" w:hint="default"/>
        </w:rPr>
        <w:t>3</w:t>
      </w:r>
      <w:r>
        <w:rPr>
          <w:rFonts w:ascii="宋体" w:hAnsi="宋体" w:cs="宋体" w:eastAsia="宋体" w:hint="default"/>
          <w:spacing w:val="-59"/>
        </w:rPr>
        <w:t> </w:t>
      </w:r>
      <w:r>
        <w:rPr>
          <w:spacing w:val="-10"/>
        </w:rPr>
        <w:t>年，起息日为</w:t>
      </w:r>
      <w:r>
        <w:rPr>
          <w:spacing w:val="-59"/>
        </w:rPr>
        <w:t> </w:t>
      </w:r>
      <w:r>
        <w:rPr>
          <w:rFonts w:ascii="宋体" w:hAnsi="宋体" w:cs="宋体" w:eastAsia="宋体" w:hint="default"/>
        </w:rPr>
        <w:t>2018</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29</w:t>
      </w:r>
      <w:r>
        <w:rPr>
          <w:rFonts w:ascii="宋体" w:hAnsi="宋体" w:cs="宋体" w:eastAsia="宋体" w:hint="default"/>
          <w:spacing w:val="-59"/>
        </w:rPr>
        <w:t> </w:t>
      </w:r>
      <w:r>
        <w:rPr>
          <w:spacing w:val="-12"/>
        </w:rPr>
        <w:t>日，利率为</w:t>
      </w:r>
      <w:r>
        <w:rPr>
          <w:spacing w:val="-59"/>
        </w:rPr>
        <w:t> </w:t>
      </w:r>
      <w:r>
        <w:rPr>
          <w:rFonts w:ascii="宋体" w:hAnsi="宋体" w:cs="宋体" w:eastAsia="宋体" w:hint="default"/>
          <w:spacing w:val="-7"/>
        </w:rPr>
        <w:t>6.8%</w:t>
      </w:r>
      <w:r>
        <w:rPr>
          <w:spacing w:val="-7"/>
        </w:rPr>
        <w:t>，发行价格</w:t>
      </w:r>
      <w:r>
        <w:rPr>
          <w:spacing w:val="-59"/>
        </w:rPr>
        <w:t> </w:t>
      </w:r>
      <w:r>
        <w:rPr>
          <w:rFonts w:ascii="宋体" w:hAnsi="宋体" w:cs="宋体" w:eastAsia="宋体" w:hint="default"/>
        </w:rPr>
        <w:t>100</w:t>
      </w:r>
      <w:r>
        <w:rPr>
          <w:rFonts w:ascii="宋体" w:hAnsi="宋体" w:cs="宋体" w:eastAsia="宋体" w:hint="default"/>
          <w:spacing w:val="-59"/>
        </w:rPr>
        <w:t> </w:t>
      </w:r>
      <w:r>
        <w:rPr/>
        <w:t>元。</w:t>
      </w:r>
    </w:p>
    <w:p>
      <w:pPr>
        <w:spacing w:line="240" w:lineRule="auto" w:before="0"/>
        <w:rPr>
          <w:rFonts w:ascii="宋体" w:hAnsi="宋体" w:cs="宋体" w:eastAsia="宋体" w:hint="default"/>
          <w:sz w:val="24"/>
          <w:szCs w:val="24"/>
        </w:rPr>
      </w:pPr>
    </w:p>
    <w:p>
      <w:pPr>
        <w:pStyle w:val="Heading2"/>
        <w:spacing w:line="283" w:lineRule="auto" w:before="209"/>
        <w:ind w:left="138" w:right="6595"/>
        <w:jc w:val="both"/>
        <w:rPr>
          <w:b w:val="0"/>
          <w:bCs w:val="0"/>
        </w:rPr>
      </w:pPr>
      <w:r>
        <w:rPr/>
        <w:t>十六、</w:t>
      </w:r>
      <w:r>
        <w:rPr>
          <w:spacing w:val="-6"/>
        </w:rPr>
        <w:t> </w:t>
      </w:r>
      <w:r>
        <w:rPr/>
        <w:t>其他重要事项</w:t>
      </w:r>
      <w:r>
        <w:rPr>
          <w:w w:val="99"/>
        </w:rPr>
        <w:t> </w:t>
      </w:r>
      <w:r>
        <w:rPr>
          <w:rFonts w:ascii="宋体" w:hAnsi="宋体" w:cs="宋体" w:eastAsia="宋体" w:hint="default"/>
        </w:rPr>
        <w:t>1</w:t>
      </w:r>
      <w:r>
        <w:rPr/>
        <w:t>、</w:t>
      </w:r>
      <w:r>
        <w:rPr>
          <w:spacing w:val="-61"/>
        </w:rPr>
        <w:t> </w:t>
      </w:r>
      <w:r>
        <w:rPr/>
        <w:t>前期会计差错更正</w:t>
      </w:r>
      <w:r>
        <w:rPr>
          <w:w w:val="99"/>
        </w:rPr>
        <w:t> </w:t>
      </w:r>
      <w:r>
        <w:rPr>
          <w:rFonts w:ascii="宋体" w:hAnsi="宋体" w:cs="宋体" w:eastAsia="宋体" w:hint="default"/>
        </w:rPr>
        <w:t>(1). </w:t>
      </w:r>
      <w:r>
        <w:rPr>
          <w:rFonts w:ascii="宋体" w:hAnsi="宋体" w:cs="宋体" w:eastAsia="宋体" w:hint="default"/>
          <w:spacing w:val="112"/>
        </w:rPr>
        <w:t> </w:t>
      </w:r>
      <w:r>
        <w:rPr/>
        <w:t>追溯重述法</w:t>
      </w:r>
      <w:r>
        <w:rPr>
          <w:b w:val="0"/>
          <w:bCs w:val="0"/>
        </w:rPr>
      </w:r>
    </w:p>
    <w:p>
      <w:pPr>
        <w:tabs>
          <w:tab w:pos="977" w:val="left" w:leader="none"/>
        </w:tabs>
        <w:spacing w:line="283" w:lineRule="auto" w:before="12"/>
        <w:ind w:left="138" w:right="6901"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(2).</w:t>
        <w:tab/>
      </w:r>
      <w:r>
        <w:rPr>
          <w:rFonts w:ascii="宋体" w:hAnsi="宋体" w:cs="宋体" w:eastAsia="宋体" w:hint="default"/>
          <w:b/>
          <w:bCs/>
          <w:sz w:val="24"/>
          <w:szCs w:val="24"/>
        </w:rPr>
        <w:t>未来适用法</w:t>
      </w:r>
      <w:r>
        <w:rPr>
          <w:rFonts w:ascii="宋体" w:hAnsi="宋体" w:cs="宋体" w:eastAsia="宋体" w:hint="default"/>
          <w:sz w:val="24"/>
          <w:szCs w:val="24"/>
        </w:rPr>
      </w:r>
    </w:p>
    <w:p>
      <w:pPr>
        <w:pStyle w:val="BodyText"/>
        <w:spacing w:line="240" w:lineRule="auto" w:before="15"/>
        <w:ind w:right="0"/>
        <w:jc w:val="both"/>
      </w:pPr>
      <w:r>
        <w:rPr/>
        <w:t>□适用</w:t>
      </w:r>
      <w:r>
        <w:rPr>
          <w:spacing w:val="-1"/>
        </w:rPr>
        <w:t> </w:t>
      </w:r>
      <w:r>
        <w:rPr/>
        <w:t>√不适用</w:t>
      </w:r>
    </w:p>
    <w:p>
      <w:pPr>
        <w:spacing w:after="0" w:line="240" w:lineRule="auto"/>
        <w:jc w:val="both"/>
        <w:sectPr>
          <w:pgSz w:w="11910" w:h="16840"/>
          <w:pgMar w:header="0" w:footer="1195" w:top="1120" w:bottom="1380" w:left="1660" w:right="1160"/>
        </w:sectPr>
      </w:pPr>
    </w:p>
    <w:p>
      <w:pPr>
        <w:spacing w:line="240" w:lineRule="auto" w:before="5"/>
        <w:rPr>
          <w:rFonts w:ascii="宋体" w:hAnsi="宋体" w:cs="宋体" w:eastAsia="宋体" w:hint="default"/>
          <w:sz w:val="25"/>
          <w:szCs w:val="25"/>
        </w:rPr>
      </w:pPr>
    </w:p>
    <w:p>
      <w:pPr>
        <w:pStyle w:val="Heading2"/>
        <w:spacing w:line="240" w:lineRule="auto"/>
        <w:ind w:left="438" w:right="0"/>
        <w:jc w:val="left"/>
        <w:rPr>
          <w:b w:val="0"/>
          <w:bCs w:val="0"/>
        </w:rPr>
      </w:pPr>
      <w:r>
        <w:rPr>
          <w:rFonts w:ascii="宋体" w:hAnsi="宋体" w:cs="宋体" w:eastAsia="宋体" w:hint="default"/>
        </w:rPr>
        <w:t>2</w:t>
      </w:r>
      <w:r>
        <w:rPr/>
        <w:t>、</w:t>
      </w:r>
      <w:r>
        <w:rPr>
          <w:spacing w:val="-59"/>
        </w:rPr>
        <w:t> </w:t>
      </w:r>
      <w:r>
        <w:rPr/>
        <w:t>债务重组</w:t>
      </w:r>
      <w:r>
        <w:rPr>
          <w:b w:val="0"/>
          <w:bCs w:val="0"/>
        </w:rPr>
      </w:r>
    </w:p>
    <w:p>
      <w:pPr>
        <w:pStyle w:val="BodyText"/>
        <w:spacing w:line="240" w:lineRule="auto" w:before="58"/>
        <w:ind w:left="438" w:right="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438" w:right="0"/>
        <w:jc w:val="left"/>
        <w:rPr>
          <w:b w:val="0"/>
          <w:bCs w:val="0"/>
        </w:rPr>
      </w:pPr>
      <w:r>
        <w:rPr>
          <w:rFonts w:ascii="宋体" w:hAnsi="宋体" w:cs="宋体" w:eastAsia="宋体" w:hint="default"/>
        </w:rPr>
        <w:t>3</w:t>
      </w:r>
      <w:r>
        <w:rPr/>
        <w:t>、</w:t>
      </w:r>
      <w:r>
        <w:rPr>
          <w:spacing w:val="-59"/>
        </w:rPr>
        <w:t> </w:t>
      </w:r>
      <w:r>
        <w:rPr/>
        <w:t>资产置换</w:t>
      </w:r>
      <w:r>
        <w:rPr>
          <w:b w:val="0"/>
          <w:bCs w:val="0"/>
        </w:rPr>
      </w:r>
    </w:p>
    <w:p>
      <w:pPr>
        <w:pStyle w:val="Heading2"/>
        <w:spacing w:line="240" w:lineRule="auto" w:before="58"/>
        <w:ind w:left="438" w:right="0"/>
        <w:jc w:val="left"/>
        <w:rPr>
          <w:b w:val="0"/>
          <w:bCs w:val="0"/>
        </w:rPr>
      </w:pPr>
      <w:r>
        <w:rPr>
          <w:rFonts w:ascii="宋体" w:hAnsi="宋体" w:cs="宋体" w:eastAsia="宋体" w:hint="default"/>
        </w:rPr>
        <w:t>(1).</w:t>
      </w:r>
      <w:r>
        <w:rPr>
          <w:rFonts w:ascii="宋体" w:hAnsi="宋体" w:cs="宋体" w:eastAsia="宋体" w:hint="default"/>
          <w:spacing w:val="35"/>
        </w:rPr>
        <w:t> </w:t>
      </w:r>
      <w:r>
        <w:rPr/>
        <w:t>非货币性资产交换</w:t>
      </w:r>
      <w:r>
        <w:rPr>
          <w:b w:val="0"/>
          <w:bCs w:val="0"/>
        </w:rPr>
      </w:r>
    </w:p>
    <w:p>
      <w:pPr>
        <w:pStyle w:val="BodyText"/>
        <w:tabs>
          <w:tab w:pos="1397" w:val="left" w:leader="none"/>
        </w:tabs>
        <w:spacing w:line="240" w:lineRule="auto" w:before="106"/>
        <w:ind w:left="438" w:right="0"/>
        <w:jc w:val="left"/>
      </w:pPr>
      <w:r>
        <w:rPr>
          <w:spacing w:val="-1"/>
        </w:rPr>
        <w:t>□适用</w:t>
        <w:tab/>
      </w:r>
      <w:r>
        <w:rPr/>
        <w:t>√不适用</w:t>
      </w:r>
    </w:p>
    <w:p>
      <w:pPr>
        <w:spacing w:line="240" w:lineRule="auto" w:before="4"/>
        <w:rPr>
          <w:rFonts w:ascii="宋体" w:hAnsi="宋体" w:cs="宋体" w:eastAsia="宋体" w:hint="default"/>
          <w:sz w:val="28"/>
          <w:szCs w:val="28"/>
        </w:rPr>
      </w:pPr>
    </w:p>
    <w:p>
      <w:pPr>
        <w:pStyle w:val="Heading2"/>
        <w:spacing w:line="240" w:lineRule="auto" w:before="0"/>
        <w:ind w:left="438" w:right="0"/>
        <w:jc w:val="left"/>
        <w:rPr>
          <w:b w:val="0"/>
          <w:bCs w:val="0"/>
        </w:rPr>
      </w:pPr>
      <w:r>
        <w:rPr>
          <w:rFonts w:ascii="宋体" w:hAnsi="宋体" w:cs="宋体" w:eastAsia="宋体" w:hint="default"/>
        </w:rPr>
        <w:t>(2).</w:t>
      </w:r>
      <w:r>
        <w:rPr>
          <w:rFonts w:ascii="宋体" w:hAnsi="宋体" w:cs="宋体" w:eastAsia="宋体" w:hint="default"/>
          <w:spacing w:val="35"/>
        </w:rPr>
        <w:t> </w:t>
      </w:r>
      <w:r>
        <w:rPr/>
        <w:t>其他资产置换</w:t>
      </w:r>
      <w:r>
        <w:rPr>
          <w:b w:val="0"/>
          <w:bCs w:val="0"/>
        </w:rPr>
      </w:r>
    </w:p>
    <w:p>
      <w:pPr>
        <w:pStyle w:val="BodyText"/>
        <w:tabs>
          <w:tab w:pos="1397" w:val="left" w:leader="none"/>
        </w:tabs>
        <w:spacing w:line="240" w:lineRule="auto" w:before="55"/>
        <w:ind w:left="438" w:right="0"/>
        <w:jc w:val="left"/>
      </w:pPr>
      <w:r>
        <w:rPr>
          <w:spacing w:val="-1"/>
        </w:rPr>
        <w:t>□适用</w:t>
        <w:tab/>
      </w:r>
      <w:r>
        <w:rPr/>
        <w:t>√不适用</w:t>
      </w:r>
    </w:p>
    <w:p>
      <w:pPr>
        <w:spacing w:line="240" w:lineRule="auto" w:before="4"/>
        <w:rPr>
          <w:rFonts w:ascii="宋体" w:hAnsi="宋体" w:cs="宋体" w:eastAsia="宋体" w:hint="default"/>
          <w:sz w:val="28"/>
          <w:szCs w:val="28"/>
        </w:rPr>
      </w:pPr>
    </w:p>
    <w:p>
      <w:pPr>
        <w:pStyle w:val="Heading2"/>
        <w:spacing w:line="240" w:lineRule="auto" w:before="0"/>
        <w:ind w:left="438" w:right="0"/>
        <w:jc w:val="left"/>
        <w:rPr>
          <w:b w:val="0"/>
          <w:bCs w:val="0"/>
        </w:rPr>
      </w:pPr>
      <w:r>
        <w:rPr>
          <w:rFonts w:ascii="宋体" w:hAnsi="宋体" w:cs="宋体" w:eastAsia="宋体" w:hint="default"/>
        </w:rPr>
        <w:t>4</w:t>
      </w:r>
      <w:r>
        <w:rPr/>
        <w:t>、</w:t>
      </w:r>
      <w:r>
        <w:rPr>
          <w:spacing w:val="-59"/>
        </w:rPr>
        <w:t> </w:t>
      </w:r>
      <w:r>
        <w:rPr/>
        <w:t>年金计划</w:t>
      </w:r>
      <w:r>
        <w:rPr>
          <w:b w:val="0"/>
          <w:bCs w:val="0"/>
        </w:rPr>
      </w:r>
    </w:p>
    <w:p>
      <w:pPr>
        <w:pStyle w:val="BodyText"/>
        <w:spacing w:line="240" w:lineRule="auto" w:before="55"/>
        <w:ind w:left="438" w:right="0"/>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5" w:top="1120" w:bottom="1380" w:left="1360" w:right="840"/>
        </w:sectPr>
      </w:pPr>
    </w:p>
    <w:p>
      <w:pPr>
        <w:pStyle w:val="Heading2"/>
        <w:spacing w:line="240" w:lineRule="auto"/>
        <w:ind w:left="438" w:right="-20"/>
        <w:jc w:val="left"/>
        <w:rPr>
          <w:b w:val="0"/>
          <w:bCs w:val="0"/>
        </w:rPr>
      </w:pPr>
      <w:r>
        <w:rPr>
          <w:rFonts w:ascii="宋体" w:hAnsi="宋体" w:cs="宋体" w:eastAsia="宋体" w:hint="default"/>
        </w:rPr>
        <w:t>5</w:t>
      </w:r>
      <w:r>
        <w:rPr/>
        <w:t>、</w:t>
      </w:r>
      <w:r>
        <w:rPr>
          <w:spacing w:val="-57"/>
        </w:rPr>
        <w:t> </w:t>
      </w:r>
      <w:r>
        <w:rPr/>
        <w:t>终止经营</w:t>
      </w:r>
      <w:r>
        <w:rPr>
          <w:b w:val="0"/>
          <w:bCs w:val="0"/>
        </w:rPr>
      </w:r>
    </w:p>
    <w:p>
      <w:pPr>
        <w:pStyle w:val="BodyText"/>
        <w:spacing w:line="240" w:lineRule="auto" w:before="55"/>
        <w:ind w:left="438" w:right="-20"/>
        <w:jc w:val="left"/>
      </w:pPr>
      <w:r>
        <w:rPr/>
        <w:t>（</w:t>
      </w:r>
      <w:r>
        <w:rPr>
          <w:rFonts w:ascii="宋体" w:hAnsi="宋体" w:cs="宋体" w:eastAsia="宋体" w:hint="default"/>
        </w:rPr>
        <w:t>1</w:t>
      </w:r>
      <w:r>
        <w:rPr/>
        <w:t>）终止经营损益</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638" w:val="left" w:leader="none"/>
        </w:tabs>
        <w:spacing w:line="240" w:lineRule="auto"/>
        <w:ind w:left="438" w:right="0"/>
        <w:jc w:val="left"/>
      </w:pPr>
      <w:r>
        <w:rPr/>
        <w:t>单位：元</w:t>
        <w:tab/>
        <w:t>币种：人民币</w:t>
      </w:r>
    </w:p>
    <w:p>
      <w:pPr>
        <w:spacing w:after="0" w:line="240" w:lineRule="auto"/>
        <w:jc w:val="left"/>
        <w:sectPr>
          <w:type w:val="continuous"/>
          <w:pgSz w:w="11910" w:h="16840"/>
          <w:pgMar w:top="1000" w:bottom="280" w:left="1360" w:right="840"/>
          <w:cols w:num="2" w:equalWidth="0">
            <w:col w:w="2479" w:space="3714"/>
            <w:col w:w="3517"/>
          </w:cols>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100"/>
        <w:gridCol w:w="2741"/>
        <w:gridCol w:w="2641"/>
      </w:tblGrid>
      <w:tr>
        <w:trPr>
          <w:trHeight w:val="43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项</w:t>
              <w:tab/>
              <w:t>目</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hAnsi="宋体" w:cs="宋体" w:eastAsia="宋体" w:hint="default"/>
                <w:sz w:val="24"/>
                <w:szCs w:val="24"/>
              </w:rPr>
              <w:t>本期数</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15" w:right="0"/>
              <w:jc w:val="left"/>
              <w:rPr>
                <w:rFonts w:ascii="宋体" w:hAnsi="宋体" w:cs="宋体" w:eastAsia="宋体" w:hint="default"/>
                <w:sz w:val="24"/>
                <w:szCs w:val="24"/>
              </w:rPr>
            </w:pPr>
            <w:r>
              <w:rPr>
                <w:rFonts w:ascii="宋体" w:hAnsi="宋体" w:cs="宋体" w:eastAsia="宋体" w:hint="default"/>
                <w:sz w:val="24"/>
                <w:szCs w:val="24"/>
              </w:rPr>
              <w:t>上年同期数</w:t>
            </w:r>
          </w:p>
        </w:tc>
      </w:tr>
      <w:tr>
        <w:trPr>
          <w:trHeight w:val="43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1,769,282,099.63</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689,401,598.73</w:t>
            </w:r>
          </w:p>
        </w:tc>
      </w:tr>
      <w:tr>
        <w:trPr>
          <w:trHeight w:val="43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83" w:right="0"/>
              <w:jc w:val="left"/>
              <w:rPr>
                <w:rFonts w:ascii="宋体" w:hAnsi="宋体" w:cs="宋体" w:eastAsia="宋体" w:hint="default"/>
                <w:sz w:val="24"/>
                <w:szCs w:val="24"/>
              </w:rPr>
            </w:pPr>
            <w:r>
              <w:rPr>
                <w:rFonts w:ascii="宋体" w:hAnsi="宋体" w:cs="宋体" w:eastAsia="宋体" w:hint="default"/>
                <w:sz w:val="24"/>
                <w:szCs w:val="24"/>
              </w:rPr>
              <w:t>减：营业成本</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1,654,663,481.85</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547,818,792.86</w:t>
            </w:r>
          </w:p>
        </w:tc>
      </w:tr>
      <w:tr>
        <w:trPr>
          <w:trHeight w:val="43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63" w:right="0"/>
              <w:jc w:val="left"/>
              <w:rPr>
                <w:rFonts w:ascii="宋体" w:hAnsi="宋体" w:cs="宋体" w:eastAsia="宋体" w:hint="default"/>
                <w:sz w:val="24"/>
                <w:szCs w:val="24"/>
              </w:rPr>
            </w:pPr>
            <w:r>
              <w:rPr>
                <w:rFonts w:ascii="宋体" w:hAnsi="宋体" w:cs="宋体" w:eastAsia="宋体" w:hint="default"/>
                <w:sz w:val="24"/>
                <w:szCs w:val="24"/>
              </w:rPr>
              <w:t>税金及附加</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622,799.61</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2,936,153.31</w:t>
            </w:r>
          </w:p>
        </w:tc>
      </w:tr>
      <w:tr>
        <w:trPr>
          <w:trHeight w:val="43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63"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175,364,187.07</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162,509,172.42</w:t>
            </w:r>
          </w:p>
        </w:tc>
      </w:tr>
      <w:tr>
        <w:trPr>
          <w:trHeight w:val="43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63"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4"/>
                <w:szCs w:val="24"/>
              </w:rPr>
            </w:pPr>
            <w:r>
              <w:rPr>
                <w:rFonts w:ascii="宋体"/>
                <w:sz w:val="24"/>
              </w:rPr>
              <w:t>9,635,591.89</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4"/>
                <w:szCs w:val="24"/>
              </w:rPr>
            </w:pPr>
            <w:r>
              <w:rPr>
                <w:rFonts w:ascii="宋体"/>
                <w:sz w:val="24"/>
              </w:rPr>
              <w:t>5,050,911.93</w:t>
            </w:r>
          </w:p>
        </w:tc>
      </w:tr>
      <w:tr>
        <w:trPr>
          <w:trHeight w:val="43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63"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-133,200,872.36</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-89,648,893.92</w:t>
            </w:r>
          </w:p>
        </w:tc>
      </w:tr>
      <w:tr>
        <w:trPr>
          <w:trHeight w:val="43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63" w:right="0"/>
              <w:jc w:val="left"/>
              <w:rPr>
                <w:rFonts w:ascii="宋体" w:hAnsi="宋体" w:cs="宋体" w:eastAsia="宋体" w:hint="default"/>
                <w:sz w:val="24"/>
                <w:szCs w:val="24"/>
              </w:rPr>
            </w:pPr>
            <w:r>
              <w:rPr>
                <w:rFonts w:ascii="宋体" w:hAnsi="宋体" w:cs="宋体" w:eastAsia="宋体" w:hint="default"/>
                <w:sz w:val="24"/>
                <w:szCs w:val="24"/>
              </w:rPr>
              <w:t>资产减值损失</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266,003.74</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-800,286.73</w:t>
            </w:r>
          </w:p>
        </w:tc>
      </w:tr>
      <w:tr>
        <w:trPr>
          <w:trHeight w:val="43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83" w:right="0"/>
              <w:jc w:val="left"/>
              <w:rPr>
                <w:rFonts w:ascii="宋体" w:hAnsi="宋体" w:cs="宋体" w:eastAsia="宋体" w:hint="default"/>
                <w:sz w:val="24"/>
                <w:szCs w:val="24"/>
              </w:rPr>
            </w:pPr>
            <w:r>
              <w:rPr>
                <w:rFonts w:ascii="宋体" w:hAnsi="宋体" w:cs="宋体" w:eastAsia="宋体" w:hint="default"/>
                <w:sz w:val="24"/>
                <w:szCs w:val="24"/>
              </w:rPr>
              <w:t>加：公允价值变动收益</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-7,725,866.66</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-1,081,648.24</w:t>
            </w:r>
          </w:p>
        </w:tc>
      </w:tr>
      <w:tr>
        <w:trPr>
          <w:trHeight w:val="43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63" w:right="0"/>
              <w:jc w:val="left"/>
              <w:rPr>
                <w:rFonts w:ascii="宋体" w:hAnsi="宋体" w:cs="宋体" w:eastAsia="宋体" w:hint="default"/>
                <w:sz w:val="24"/>
                <w:szCs w:val="24"/>
              </w:rPr>
            </w:pPr>
            <w:r>
              <w:rPr>
                <w:rFonts w:ascii="宋体" w:hAnsi="宋体" w:cs="宋体" w:eastAsia="宋体" w:hint="default"/>
                <w:sz w:val="24"/>
                <w:szCs w:val="24"/>
              </w:rPr>
              <w:t>净敞口套期损益</w:t>
            </w:r>
          </w:p>
        </w:tc>
        <w:tc>
          <w:tcPr>
            <w:tcW w:w="2741" w:type="dxa"/>
            <w:tcBorders>
              <w:top w:val="single" w:sz="4" w:space="0" w:color="000000"/>
              <w:left w:val="single" w:sz="4" w:space="0" w:color="000000"/>
              <w:bottom w:val="single" w:sz="4" w:space="0" w:color="000000"/>
              <w:right w:val="single" w:sz="4" w:space="0" w:color="000000"/>
            </w:tcBorders>
          </w:tcPr>
          <w:p>
            <w:pPr/>
          </w:p>
        </w:tc>
        <w:tc>
          <w:tcPr>
            <w:tcW w:w="2641"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63" w:right="0"/>
              <w:jc w:val="left"/>
              <w:rPr>
                <w:rFonts w:ascii="宋体" w:hAnsi="宋体" w:cs="宋体" w:eastAsia="宋体" w:hint="default"/>
                <w:sz w:val="24"/>
                <w:szCs w:val="24"/>
              </w:rPr>
            </w:pPr>
            <w:r>
              <w:rPr>
                <w:rFonts w:ascii="宋体" w:hAnsi="宋体" w:cs="宋体" w:eastAsia="宋体" w:hint="default"/>
                <w:sz w:val="24"/>
                <w:szCs w:val="24"/>
              </w:rPr>
              <w:t>投资收益</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31,187,897.05</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14,176,939.52</w:t>
            </w:r>
          </w:p>
        </w:tc>
      </w:tr>
      <w:tr>
        <w:trPr>
          <w:trHeight w:val="43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63" w:right="0"/>
              <w:jc w:val="left"/>
              <w:rPr>
                <w:rFonts w:ascii="宋体" w:hAnsi="宋体" w:cs="宋体" w:eastAsia="宋体" w:hint="default"/>
                <w:sz w:val="24"/>
                <w:szCs w:val="24"/>
              </w:rPr>
            </w:pPr>
            <w:r>
              <w:rPr>
                <w:rFonts w:ascii="宋体" w:hAnsi="宋体" w:cs="宋体" w:eastAsia="宋体" w:hint="default"/>
                <w:sz w:val="24"/>
                <w:szCs w:val="24"/>
              </w:rPr>
              <w:t>资产处置收益</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4"/>
                <w:szCs w:val="24"/>
              </w:rPr>
            </w:pPr>
            <w:r>
              <w:rPr>
                <w:rFonts w:ascii="宋体"/>
                <w:sz w:val="24"/>
              </w:rPr>
              <w:t>175,961.73</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4"/>
                <w:szCs w:val="24"/>
              </w:rPr>
            </w:pPr>
            <w:r>
              <w:rPr>
                <w:rFonts w:ascii="宋体"/>
                <w:sz w:val="24"/>
              </w:rPr>
              <w:t>-157,413.96</w:t>
            </w:r>
          </w:p>
        </w:tc>
      </w:tr>
      <w:tr>
        <w:trPr>
          <w:trHeight w:val="43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63" w:right="0"/>
              <w:jc w:val="left"/>
              <w:rPr>
                <w:rFonts w:ascii="宋体" w:hAnsi="宋体" w:cs="宋体" w:eastAsia="宋体" w:hint="default"/>
                <w:sz w:val="24"/>
                <w:szCs w:val="24"/>
              </w:rPr>
            </w:pPr>
            <w:r>
              <w:rPr>
                <w:rFonts w:ascii="宋体" w:hAnsi="宋体" w:cs="宋体" w:eastAsia="宋体" w:hint="default"/>
                <w:sz w:val="24"/>
                <w:szCs w:val="24"/>
              </w:rPr>
              <w:t>其他收益</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4,132,573.23</w:t>
            </w:r>
          </w:p>
        </w:tc>
        <w:tc>
          <w:tcPr>
            <w:tcW w:w="2641"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营业利润</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89,701,473.18</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74,473,626.18</w:t>
            </w:r>
          </w:p>
        </w:tc>
      </w:tr>
      <w:tr>
        <w:trPr>
          <w:trHeight w:val="43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83" w:right="0"/>
              <w:jc w:val="left"/>
              <w:rPr>
                <w:rFonts w:ascii="宋体" w:hAnsi="宋体" w:cs="宋体" w:eastAsia="宋体" w:hint="default"/>
                <w:sz w:val="24"/>
                <w:szCs w:val="24"/>
              </w:rPr>
            </w:pPr>
            <w:r>
              <w:rPr>
                <w:rFonts w:ascii="宋体" w:hAnsi="宋体" w:cs="宋体" w:eastAsia="宋体" w:hint="default"/>
                <w:sz w:val="24"/>
                <w:szCs w:val="24"/>
              </w:rPr>
              <w:t>加：营业外收入</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513,938.37</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2,676,806.89</w:t>
            </w:r>
          </w:p>
        </w:tc>
      </w:tr>
      <w:tr>
        <w:trPr>
          <w:trHeight w:val="43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83" w:right="0"/>
              <w:jc w:val="left"/>
              <w:rPr>
                <w:rFonts w:ascii="宋体" w:hAnsi="宋体" w:cs="宋体" w:eastAsia="宋体" w:hint="default"/>
                <w:sz w:val="24"/>
                <w:szCs w:val="24"/>
              </w:rPr>
            </w:pPr>
            <w:r>
              <w:rPr>
                <w:rFonts w:ascii="宋体" w:hAnsi="宋体" w:cs="宋体" w:eastAsia="宋体" w:hint="default"/>
                <w:sz w:val="24"/>
                <w:szCs w:val="24"/>
              </w:rPr>
              <w:t>减：营业外支出</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901,211.51</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45,242.93</w:t>
            </w:r>
          </w:p>
        </w:tc>
      </w:tr>
      <w:tr>
        <w:trPr>
          <w:trHeight w:val="43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终止经营业务利润总额</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89,314,200.04</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77,105,190.14</w:t>
            </w:r>
          </w:p>
        </w:tc>
      </w:tr>
      <w:tr>
        <w:trPr>
          <w:trHeight w:val="43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583" w:right="0"/>
              <w:jc w:val="left"/>
              <w:rPr>
                <w:rFonts w:ascii="宋体" w:hAnsi="宋体" w:cs="宋体" w:eastAsia="宋体" w:hint="default"/>
                <w:sz w:val="24"/>
                <w:szCs w:val="24"/>
              </w:rPr>
            </w:pPr>
            <w:r>
              <w:rPr>
                <w:rFonts w:ascii="宋体" w:hAnsi="宋体" w:cs="宋体" w:eastAsia="宋体" w:hint="default"/>
                <w:sz w:val="24"/>
                <w:szCs w:val="24"/>
              </w:rPr>
              <w:t>减：终止经营业务所得税费用</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24"/>
                <w:szCs w:val="24"/>
              </w:rPr>
            </w:pPr>
            <w:r>
              <w:rPr>
                <w:rFonts w:ascii="宋体"/>
                <w:sz w:val="24"/>
              </w:rPr>
              <w:t>17,770,418.94</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24"/>
                <w:szCs w:val="24"/>
              </w:rPr>
            </w:pPr>
            <w:r>
              <w:rPr>
                <w:rFonts w:ascii="宋体"/>
                <w:sz w:val="24"/>
              </w:rPr>
              <w:t>19,020,767.87</w:t>
            </w:r>
          </w:p>
        </w:tc>
      </w:tr>
      <w:tr>
        <w:trPr>
          <w:trHeight w:val="43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终止经营业务净利润</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71,543,781.10</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58,084,422.27</w:t>
            </w:r>
          </w:p>
        </w:tc>
      </w:tr>
    </w:tbl>
    <w:p>
      <w:pPr>
        <w:spacing w:after="0" w:line="240" w:lineRule="auto"/>
        <w:jc w:val="right"/>
        <w:rPr>
          <w:rFonts w:ascii="宋体" w:hAnsi="宋体" w:cs="宋体" w:eastAsia="宋体" w:hint="default"/>
          <w:sz w:val="24"/>
          <w:szCs w:val="24"/>
        </w:rPr>
        <w:sectPr>
          <w:type w:val="continuous"/>
          <w:pgSz w:w="11910" w:h="16840"/>
          <w:pgMar w:top="1000" w:bottom="280" w:left="1360" w:right="8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1209" w:type="dxa"/>
        <w:tblLayout w:type="fixed"/>
        <w:tblCellMar>
          <w:top w:w="0" w:type="dxa"/>
          <w:left w:w="0" w:type="dxa"/>
          <w:bottom w:w="0" w:type="dxa"/>
          <w:right w:w="0" w:type="dxa"/>
        </w:tblCellMar>
        <w:tblLook w:val="01E0"/>
      </w:tblPr>
      <w:tblGrid>
        <w:gridCol w:w="4100"/>
        <w:gridCol w:w="2741"/>
        <w:gridCol w:w="2641"/>
      </w:tblGrid>
      <w:tr>
        <w:trPr>
          <w:trHeight w:val="425" w:hRule="exact"/>
        </w:trPr>
        <w:tc>
          <w:tcPr>
            <w:tcW w:w="41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减</w:t>
            </w:r>
            <w:r>
              <w:rPr>
                <w:rFonts w:ascii="宋体" w:hAnsi="宋体" w:cs="宋体" w:eastAsia="宋体" w:hint="default"/>
                <w:sz w:val="24"/>
                <w:szCs w:val="24"/>
              </w:rPr>
              <w:t>:</w:t>
            </w:r>
            <w:r>
              <w:rPr>
                <w:rFonts w:ascii="宋体" w:hAnsi="宋体" w:cs="宋体" w:eastAsia="宋体" w:hint="default"/>
                <w:sz w:val="24"/>
                <w:szCs w:val="24"/>
              </w:rPr>
              <w:t>本期确认的资产减值损失</w:t>
            </w:r>
          </w:p>
        </w:tc>
        <w:tc>
          <w:tcPr>
            <w:tcW w:w="2741" w:type="dxa"/>
            <w:tcBorders>
              <w:top w:val="nil" w:sz="6" w:space="0" w:color="auto"/>
              <w:left w:val="single" w:sz="4" w:space="0" w:color="000000"/>
              <w:bottom w:val="single" w:sz="4" w:space="0" w:color="000000"/>
              <w:right w:val="single" w:sz="4" w:space="0" w:color="000000"/>
            </w:tcBorders>
          </w:tcPr>
          <w:p>
            <w:pPr/>
          </w:p>
        </w:tc>
        <w:tc>
          <w:tcPr>
            <w:tcW w:w="2641" w:type="dxa"/>
            <w:tcBorders>
              <w:top w:val="nil" w:sz="6" w:space="0" w:color="auto"/>
              <w:left w:val="single" w:sz="4" w:space="0" w:color="000000"/>
              <w:bottom w:val="single" w:sz="4" w:space="0" w:color="000000"/>
              <w:right w:val="single" w:sz="4" w:space="0" w:color="000000"/>
            </w:tcBorders>
          </w:tcPr>
          <w:p>
            <w:pPr/>
          </w:p>
        </w:tc>
      </w:tr>
      <w:tr>
        <w:trPr>
          <w:trHeight w:val="43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加</w:t>
            </w:r>
            <w:r>
              <w:rPr>
                <w:rFonts w:ascii="宋体" w:hAnsi="宋体" w:cs="宋体" w:eastAsia="宋体" w:hint="default"/>
                <w:sz w:val="24"/>
                <w:szCs w:val="24"/>
              </w:rPr>
              <w:t>:</w:t>
            </w:r>
            <w:r>
              <w:rPr>
                <w:rFonts w:ascii="宋体" w:hAnsi="宋体" w:cs="宋体" w:eastAsia="宋体" w:hint="default"/>
                <w:sz w:val="24"/>
                <w:szCs w:val="24"/>
              </w:rPr>
              <w:t>本期转回的资产减值损失</w:t>
            </w:r>
          </w:p>
        </w:tc>
        <w:tc>
          <w:tcPr>
            <w:tcW w:w="2741" w:type="dxa"/>
            <w:tcBorders>
              <w:top w:val="single" w:sz="4" w:space="0" w:color="000000"/>
              <w:left w:val="single" w:sz="4" w:space="0" w:color="000000"/>
              <w:bottom w:val="single" w:sz="4" w:space="0" w:color="000000"/>
              <w:right w:val="single" w:sz="4" w:space="0" w:color="000000"/>
            </w:tcBorders>
          </w:tcPr>
          <w:p>
            <w:pPr/>
          </w:p>
        </w:tc>
        <w:tc>
          <w:tcPr>
            <w:tcW w:w="2641"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17"/>
              <w:jc w:val="left"/>
              <w:rPr>
                <w:rFonts w:ascii="宋体" w:hAnsi="宋体" w:cs="宋体" w:eastAsia="宋体" w:hint="default"/>
                <w:sz w:val="24"/>
                <w:szCs w:val="24"/>
              </w:rPr>
            </w:pPr>
            <w:r>
              <w:rPr>
                <w:rFonts w:ascii="宋体" w:hAnsi="宋体" w:cs="宋体" w:eastAsia="宋体" w:hint="default"/>
                <w:spacing w:val="-5"/>
                <w:sz w:val="24"/>
                <w:szCs w:val="24"/>
              </w:rPr>
              <w:t>加：终止经营业务处置净收益（税后）</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4"/>
                <w:szCs w:val="24"/>
              </w:rPr>
            </w:pPr>
            <w:r>
              <w:rPr>
                <w:rFonts w:ascii="宋体"/>
                <w:sz w:val="24"/>
              </w:rPr>
              <w:t>257,309,748.20</w:t>
            </w:r>
          </w:p>
        </w:tc>
        <w:tc>
          <w:tcPr>
            <w:tcW w:w="2641"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63" w:right="0"/>
              <w:jc w:val="left"/>
              <w:rPr>
                <w:rFonts w:ascii="宋体" w:hAnsi="宋体" w:cs="宋体" w:eastAsia="宋体" w:hint="default"/>
                <w:sz w:val="24"/>
                <w:szCs w:val="24"/>
              </w:rPr>
            </w:pPr>
            <w:r>
              <w:rPr>
                <w:rFonts w:ascii="宋体" w:hAnsi="宋体" w:cs="宋体" w:eastAsia="宋体" w:hint="default"/>
                <w:sz w:val="24"/>
                <w:szCs w:val="24"/>
              </w:rPr>
              <w:t>其中：处置损益总额</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257,309,748.20</w:t>
            </w:r>
          </w:p>
        </w:tc>
        <w:tc>
          <w:tcPr>
            <w:tcW w:w="2641"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83" w:right="0"/>
              <w:jc w:val="left"/>
              <w:rPr>
                <w:rFonts w:ascii="宋体" w:hAnsi="宋体" w:cs="宋体" w:eastAsia="宋体" w:hint="default"/>
                <w:sz w:val="24"/>
                <w:szCs w:val="24"/>
              </w:rPr>
            </w:pPr>
            <w:r>
              <w:rPr>
                <w:rFonts w:ascii="宋体" w:hAnsi="宋体" w:cs="宋体" w:eastAsia="宋体" w:hint="default"/>
                <w:sz w:val="24"/>
                <w:szCs w:val="24"/>
              </w:rPr>
              <w:t>减：所得税费用（或</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收益）</w:t>
            </w:r>
          </w:p>
        </w:tc>
        <w:tc>
          <w:tcPr>
            <w:tcW w:w="2741" w:type="dxa"/>
            <w:tcBorders>
              <w:top w:val="single" w:sz="4" w:space="0" w:color="000000"/>
              <w:left w:val="single" w:sz="4" w:space="0" w:color="000000"/>
              <w:bottom w:val="single" w:sz="4" w:space="0" w:color="000000"/>
              <w:right w:val="single" w:sz="4" w:space="0" w:color="000000"/>
            </w:tcBorders>
          </w:tcPr>
          <w:p>
            <w:pPr/>
          </w:p>
        </w:tc>
        <w:tc>
          <w:tcPr>
            <w:tcW w:w="2641"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终止经营损益合计</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328,853,529.30</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4"/>
                <w:szCs w:val="24"/>
              </w:rPr>
            </w:pPr>
            <w:r>
              <w:rPr>
                <w:rFonts w:ascii="宋体"/>
                <w:sz w:val="24"/>
              </w:rPr>
              <w:t>58,084,422.27</w:t>
            </w:r>
          </w:p>
        </w:tc>
      </w:tr>
      <w:tr>
        <w:trPr>
          <w:trHeight w:val="73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146" w:firstLine="479"/>
              <w:jc w:val="left"/>
              <w:rPr>
                <w:rFonts w:ascii="宋体" w:hAnsi="宋体" w:cs="宋体" w:eastAsia="宋体" w:hint="default"/>
                <w:sz w:val="24"/>
                <w:szCs w:val="24"/>
              </w:rPr>
            </w:pPr>
            <w:r>
              <w:rPr>
                <w:rFonts w:ascii="宋体" w:hAnsi="宋体" w:cs="宋体" w:eastAsia="宋体" w:hint="default"/>
                <w:sz w:val="24"/>
                <w:szCs w:val="24"/>
              </w:rPr>
              <w:t>其中：归属于母公司所有者的终 止经营损益合计</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101"/>
              <w:jc w:val="right"/>
              <w:rPr>
                <w:rFonts w:ascii="宋体" w:hAnsi="宋体" w:cs="宋体" w:eastAsia="宋体" w:hint="default"/>
                <w:sz w:val="24"/>
                <w:szCs w:val="24"/>
              </w:rPr>
            </w:pPr>
            <w:r>
              <w:rPr>
                <w:rFonts w:ascii="宋体"/>
                <w:sz w:val="24"/>
              </w:rPr>
              <w:t>322,705,788.47</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101"/>
              <w:jc w:val="right"/>
              <w:rPr>
                <w:rFonts w:ascii="宋体" w:hAnsi="宋体" w:cs="宋体" w:eastAsia="宋体" w:hint="default"/>
                <w:sz w:val="24"/>
                <w:szCs w:val="24"/>
              </w:rPr>
            </w:pPr>
            <w:r>
              <w:rPr>
                <w:rFonts w:ascii="宋体"/>
                <w:sz w:val="24"/>
              </w:rPr>
              <w:t>53,194,556.22</w:t>
            </w:r>
          </w:p>
        </w:tc>
      </w:tr>
    </w:tbl>
    <w:p>
      <w:pPr>
        <w:spacing w:line="240" w:lineRule="auto" w:before="10"/>
        <w:rPr>
          <w:rFonts w:ascii="宋体" w:hAnsi="宋体" w:cs="宋体" w:eastAsia="宋体" w:hint="default"/>
          <w:sz w:val="18"/>
          <w:szCs w:val="18"/>
        </w:rPr>
      </w:pPr>
    </w:p>
    <w:p>
      <w:pPr>
        <w:pStyle w:val="BodyText"/>
        <w:spacing w:line="312" w:lineRule="exact" w:before="26"/>
        <w:ind w:left="1538" w:right="0"/>
        <w:jc w:val="left"/>
      </w:pPr>
      <w:r>
        <w:rPr/>
        <w:t>（</w:t>
      </w:r>
      <w:r>
        <w:rPr>
          <w:rFonts w:ascii="宋体" w:hAnsi="宋体" w:cs="宋体" w:eastAsia="宋体" w:hint="default"/>
        </w:rPr>
        <w:t>2</w:t>
      </w:r>
      <w:r>
        <w:rPr/>
        <w:t>）终止经营现金流量</w:t>
      </w:r>
    </w:p>
    <w:p>
      <w:pPr>
        <w:pStyle w:val="BodyText"/>
        <w:tabs>
          <w:tab w:pos="1200" w:val="left" w:leader="none"/>
        </w:tabs>
        <w:spacing w:line="312" w:lineRule="exact"/>
        <w:ind w:left="0" w:right="97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992"/>
        <w:gridCol w:w="1687"/>
        <w:gridCol w:w="1582"/>
        <w:gridCol w:w="1791"/>
        <w:gridCol w:w="1790"/>
        <w:gridCol w:w="1582"/>
        <w:gridCol w:w="1688"/>
      </w:tblGrid>
      <w:tr>
        <w:trPr>
          <w:trHeight w:val="413" w:hRule="exact"/>
        </w:trPr>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tabs>
                <w:tab w:pos="525" w:val="left" w:leader="none"/>
              </w:tabs>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5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5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0" w:hRule="exact"/>
        </w:trPr>
        <w:tc>
          <w:tcPr>
            <w:tcW w:w="992" w:type="dxa"/>
            <w:vMerge/>
            <w:tcBorders>
              <w:left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17" w:right="0"/>
              <w:jc w:val="left"/>
              <w:rPr>
                <w:rFonts w:ascii="宋体" w:hAnsi="宋体" w:cs="宋体" w:eastAsia="宋体" w:hint="default"/>
                <w:sz w:val="21"/>
                <w:szCs w:val="21"/>
              </w:rPr>
            </w:pPr>
            <w:r>
              <w:rPr>
                <w:rFonts w:ascii="宋体" w:hAnsi="宋体" w:cs="宋体" w:eastAsia="宋体" w:hint="default"/>
                <w:sz w:val="21"/>
                <w:szCs w:val="21"/>
              </w:rPr>
              <w:t>经营活动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投资活动</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筹资活动</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70" w:right="0"/>
              <w:jc w:val="left"/>
              <w:rPr>
                <w:rFonts w:ascii="宋体" w:hAnsi="宋体" w:cs="宋体" w:eastAsia="宋体" w:hint="default"/>
                <w:sz w:val="21"/>
                <w:szCs w:val="21"/>
              </w:rPr>
            </w:pPr>
            <w:r>
              <w:rPr>
                <w:rFonts w:ascii="宋体" w:hAnsi="宋体" w:cs="宋体" w:eastAsia="宋体" w:hint="default"/>
                <w:sz w:val="21"/>
                <w:szCs w:val="21"/>
              </w:rPr>
              <w:t>经营活动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投资活动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17" w:right="0"/>
              <w:jc w:val="left"/>
              <w:rPr>
                <w:rFonts w:ascii="宋体" w:hAnsi="宋体" w:cs="宋体" w:eastAsia="宋体" w:hint="default"/>
                <w:sz w:val="21"/>
                <w:szCs w:val="21"/>
              </w:rPr>
            </w:pPr>
            <w:r>
              <w:rPr>
                <w:rFonts w:ascii="宋体" w:hAnsi="宋体" w:cs="宋体" w:eastAsia="宋体" w:hint="default"/>
                <w:sz w:val="21"/>
                <w:szCs w:val="21"/>
              </w:rPr>
              <w:t>筹资活动</w:t>
            </w:r>
          </w:p>
        </w:tc>
      </w:tr>
      <w:tr>
        <w:trPr>
          <w:trHeight w:val="413" w:hRule="exact"/>
        </w:trPr>
        <w:tc>
          <w:tcPr>
            <w:tcW w:w="992"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08"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08" w:right="0"/>
              <w:jc w:val="left"/>
              <w:rPr>
                <w:rFonts w:ascii="宋体" w:hAnsi="宋体" w:cs="宋体" w:eastAsia="宋体" w:hint="default"/>
                <w:sz w:val="21"/>
                <w:szCs w:val="21"/>
              </w:rPr>
            </w:pPr>
            <w:r>
              <w:rPr>
                <w:rFonts w:ascii="宋体" w:hAnsi="宋体" w:cs="宋体" w:eastAsia="宋体" w:hint="default"/>
                <w:sz w:val="21"/>
                <w:szCs w:val="21"/>
              </w:rPr>
              <w:t>现金流量净额</w:t>
            </w:r>
          </w:p>
        </w:tc>
      </w:tr>
      <w:tr>
        <w:trPr>
          <w:trHeight w:val="110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7"/>
                <w:sz w:val="21"/>
                <w:szCs w:val="21"/>
              </w:rPr>
              <w:t>杭州兴</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7"/>
              <w:jc w:val="both"/>
              <w:rPr>
                <w:rFonts w:ascii="宋体" w:hAnsi="宋体" w:cs="宋体" w:eastAsia="宋体" w:hint="default"/>
                <w:sz w:val="21"/>
                <w:szCs w:val="21"/>
              </w:rPr>
            </w:pPr>
            <w:r>
              <w:rPr>
                <w:rFonts w:ascii="宋体" w:hAnsi="宋体" w:cs="宋体" w:eastAsia="宋体" w:hint="default"/>
                <w:spacing w:val="47"/>
                <w:sz w:val="21"/>
                <w:szCs w:val="21"/>
              </w:rPr>
              <w:t>和投资</w:t>
            </w:r>
            <w:r>
              <w:rPr>
                <w:rFonts w:ascii="宋体" w:hAnsi="宋体" w:cs="宋体" w:eastAsia="宋体" w:hint="default"/>
                <w:spacing w:val="-99"/>
                <w:sz w:val="21"/>
                <w:szCs w:val="21"/>
              </w:rPr>
              <w:t> </w:t>
            </w:r>
            <w:r>
              <w:rPr>
                <w:rFonts w:ascii="宋体" w:hAnsi="宋体" w:cs="宋体" w:eastAsia="宋体" w:hint="default"/>
                <w:spacing w:val="47"/>
                <w:sz w:val="21"/>
                <w:szCs w:val="21"/>
              </w:rPr>
              <w:t>发展有</w:t>
            </w:r>
            <w:r>
              <w:rPr>
                <w:rFonts w:ascii="宋体" w:hAnsi="宋体" w:cs="宋体" w:eastAsia="宋体" w:hint="default"/>
                <w:spacing w:val="-99"/>
                <w:sz w:val="21"/>
                <w:szCs w:val="21"/>
              </w:rPr>
              <w:t> </w:t>
            </w:r>
            <w:r>
              <w:rPr>
                <w:rFonts w:ascii="宋体" w:hAnsi="宋体" w:cs="宋体" w:eastAsia="宋体" w:hint="default"/>
                <w:sz w:val="21"/>
                <w:szCs w:val="21"/>
              </w:rPr>
              <w:t>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141,572.38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16,365,050.43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sz w:val="21"/>
              </w:rPr>
              <w:t>-33,000,000.00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2,713,498.92</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-856,265.93</w:t>
            </w:r>
          </w:p>
        </w:tc>
      </w:tr>
      <w:tr>
        <w:trPr>
          <w:trHeight w:val="82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7"/>
                <w:sz w:val="21"/>
                <w:szCs w:val="21"/>
              </w:rPr>
              <w:t>新湖期</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2" w:lineRule="exact" w:before="27"/>
              <w:ind w:left="103" w:right="27"/>
              <w:jc w:val="left"/>
              <w:rPr>
                <w:rFonts w:ascii="宋体" w:hAnsi="宋体" w:cs="宋体" w:eastAsia="宋体" w:hint="default"/>
                <w:sz w:val="21"/>
                <w:szCs w:val="21"/>
              </w:rPr>
            </w:pPr>
            <w:r>
              <w:rPr>
                <w:rFonts w:ascii="宋体" w:hAnsi="宋体" w:cs="宋体" w:eastAsia="宋体" w:hint="default"/>
                <w:spacing w:val="47"/>
                <w:sz w:val="21"/>
                <w:szCs w:val="21"/>
              </w:rPr>
              <w:t>货有限</w:t>
            </w:r>
            <w:r>
              <w:rPr>
                <w:rFonts w:ascii="宋体" w:hAnsi="宋体" w:cs="宋体" w:eastAsia="宋体" w:hint="default"/>
                <w:spacing w:val="-99"/>
                <w:sz w:val="21"/>
                <w:szCs w:val="21"/>
              </w:rPr>
              <w:t> </w:t>
            </w:r>
            <w:r>
              <w:rPr>
                <w:rFonts w:ascii="宋体" w:hAnsi="宋体" w:cs="宋体" w:eastAsia="宋体" w:hint="default"/>
                <w:sz w:val="21"/>
                <w:szCs w:val="21"/>
              </w:rPr>
              <w:t>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119,866,218.43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31,628,215.33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-222,106,666.67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-319,822,944.11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89,619,477.21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149,680,000.00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8"/>
        <w:ind w:left="1538" w:right="0"/>
        <w:jc w:val="left"/>
        <w:rPr>
          <w:b w:val="0"/>
          <w:bCs w:val="0"/>
        </w:rPr>
      </w:pPr>
      <w:r>
        <w:rPr>
          <w:rFonts w:ascii="宋体" w:hAnsi="宋体" w:cs="宋体" w:eastAsia="宋体" w:hint="default"/>
        </w:rPr>
        <w:t>6</w:t>
      </w:r>
      <w:r>
        <w:rPr/>
        <w:t>、</w:t>
      </w:r>
      <w:r>
        <w:rPr>
          <w:spacing w:val="-59"/>
        </w:rPr>
        <w:t> </w:t>
      </w:r>
      <w:r>
        <w:rPr/>
        <w:t>分部信息</w:t>
      </w:r>
      <w:r>
        <w:rPr>
          <w:b w:val="0"/>
          <w:bCs w:val="0"/>
        </w:rPr>
      </w:r>
    </w:p>
    <w:p>
      <w:pPr>
        <w:pStyle w:val="Heading2"/>
        <w:spacing w:line="240" w:lineRule="auto" w:before="58"/>
        <w:ind w:left="1538" w:right="0"/>
        <w:jc w:val="left"/>
        <w:rPr>
          <w:b w:val="0"/>
          <w:bCs w:val="0"/>
        </w:rPr>
      </w:pPr>
      <w:r>
        <w:rPr>
          <w:rFonts w:ascii="宋体" w:hAnsi="宋体" w:cs="宋体" w:eastAsia="宋体" w:hint="default"/>
        </w:rPr>
        <w:t>(1).</w:t>
      </w:r>
      <w:r>
        <w:rPr>
          <w:rFonts w:ascii="宋体" w:hAnsi="宋体" w:cs="宋体" w:eastAsia="宋体" w:hint="default"/>
          <w:spacing w:val="35"/>
        </w:rPr>
        <w:t> </w:t>
      </w:r>
      <w:r>
        <w:rPr/>
        <w:t>报告分部的确定依据与会计政策：</w:t>
      </w:r>
      <w:r>
        <w:rPr>
          <w:b w:val="0"/>
          <w:bCs w:val="0"/>
        </w:rPr>
      </w:r>
    </w:p>
    <w:p>
      <w:pPr>
        <w:pStyle w:val="BodyText"/>
        <w:tabs>
          <w:tab w:pos="2497" w:val="left" w:leader="none"/>
        </w:tabs>
        <w:spacing w:line="240" w:lineRule="auto" w:before="55"/>
        <w:ind w:left="2018" w:right="972" w:hanging="480"/>
        <w:jc w:val="left"/>
      </w:pPr>
      <w:r>
        <w:rPr>
          <w:spacing w:val="-1"/>
        </w:rPr>
        <w:t>√适用</w:t>
        <w:tab/>
      </w:r>
      <w:r>
        <w:rPr/>
        <w:t>□不适用</w:t>
      </w:r>
      <w:r>
        <w:rPr/>
        <w:t> </w:t>
      </w:r>
      <w:r>
        <w:rPr>
          <w:spacing w:val="-2"/>
        </w:rPr>
        <w:t>公司以内部组织结构、管理要求、内部报告制度等为依据确定报告分部，并以行</w:t>
      </w:r>
    </w:p>
    <w:p>
      <w:pPr>
        <w:pStyle w:val="BodyText"/>
        <w:spacing w:line="355" w:lineRule="auto" w:before="154"/>
        <w:ind w:left="1538" w:right="0"/>
        <w:jc w:val="left"/>
      </w:pPr>
      <w:r>
        <w:rPr>
          <w:spacing w:val="-2"/>
        </w:rPr>
        <w:t>业分部为基础确定报告分部。因各分部共同使用公司的资产和负债，无法按合理的方</w:t>
      </w:r>
      <w:r>
        <w:rPr>
          <w:spacing w:val="-95"/>
        </w:rPr>
        <w:t> </w:t>
      </w:r>
      <w:r>
        <w:rPr>
          <w:spacing w:val="-95"/>
        </w:rPr>
      </w:r>
      <w:r>
        <w:rPr/>
        <w:t>法在各分部间分配资产和负债，故不能披露各分部的资产总额和负债总额。</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195" w:top="1120" w:bottom="1380" w:left="260" w:right="300"/>
        </w:sectPr>
      </w:pPr>
    </w:p>
    <w:p>
      <w:pPr>
        <w:pStyle w:val="Heading2"/>
        <w:spacing w:line="240" w:lineRule="auto"/>
        <w:ind w:left="1538" w:right="-18"/>
        <w:jc w:val="left"/>
        <w:rPr>
          <w:b w:val="0"/>
          <w:bCs w:val="0"/>
        </w:rPr>
      </w:pPr>
      <w:r>
        <w:rPr>
          <w:rFonts w:ascii="宋体" w:hAnsi="宋体" w:cs="宋体" w:eastAsia="宋体" w:hint="default"/>
        </w:rPr>
        <w:t>(2).</w:t>
      </w:r>
      <w:r>
        <w:rPr>
          <w:rFonts w:ascii="宋体" w:hAnsi="宋体" w:cs="宋体" w:eastAsia="宋体" w:hint="default"/>
          <w:spacing w:val="36"/>
        </w:rPr>
        <w:t> </w:t>
      </w:r>
      <w:r>
        <w:rPr/>
        <w:t>报告分部的财务信息</w:t>
      </w:r>
      <w:r>
        <w:rPr>
          <w:b w:val="0"/>
          <w:bCs w:val="0"/>
        </w:rPr>
      </w:r>
    </w:p>
    <w:p>
      <w:pPr>
        <w:pStyle w:val="BodyText"/>
        <w:tabs>
          <w:tab w:pos="2497" w:val="left" w:leader="none"/>
        </w:tabs>
        <w:spacing w:line="240" w:lineRule="auto" w:before="58"/>
        <w:ind w:left="1538" w:right="-18"/>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2738" w:val="left" w:leader="none"/>
        </w:tabs>
        <w:spacing w:line="240" w:lineRule="auto"/>
        <w:ind w:left="1538" w:right="0"/>
        <w:jc w:val="left"/>
      </w:pPr>
      <w:r>
        <w:rPr/>
        <w:t>单位：元</w:t>
        <w:tab/>
        <w:t>币种：人民币</w:t>
      </w:r>
    </w:p>
    <w:p>
      <w:pPr>
        <w:spacing w:after="0" w:line="240" w:lineRule="auto"/>
        <w:jc w:val="left"/>
        <w:sectPr>
          <w:type w:val="continuous"/>
          <w:pgSz w:w="11910" w:h="16840"/>
          <w:pgMar w:top="1000" w:bottom="280" w:left="260" w:right="300"/>
          <w:cols w:num="2" w:equalWidth="0">
            <w:col w:w="4350" w:space="1843"/>
            <w:col w:w="5157"/>
          </w:cols>
        </w:sectPr>
      </w:pPr>
    </w:p>
    <w:p>
      <w:pPr>
        <w:spacing w:line="240" w:lineRule="auto" w:before="12"/>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403"/>
        <w:gridCol w:w="1589"/>
        <w:gridCol w:w="1508"/>
        <w:gridCol w:w="1268"/>
        <w:gridCol w:w="1346"/>
        <w:gridCol w:w="1347"/>
        <w:gridCol w:w="1589"/>
      </w:tblGrid>
      <w:tr>
        <w:trPr>
          <w:trHeight w:val="555" w:hRule="exact"/>
        </w:trPr>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9" w:right="0"/>
              <w:jc w:val="left"/>
              <w:rPr>
                <w:rFonts w:ascii="宋体" w:hAnsi="宋体" w:cs="宋体" w:eastAsia="宋体" w:hint="default"/>
                <w:sz w:val="21"/>
                <w:szCs w:val="21"/>
              </w:rPr>
            </w:pPr>
            <w:r>
              <w:rPr>
                <w:rFonts w:ascii="宋体" w:hAnsi="宋体" w:cs="宋体" w:eastAsia="宋体" w:hint="default"/>
                <w:sz w:val="21"/>
                <w:szCs w:val="21"/>
              </w:rPr>
              <w:t>商业贸易</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海涂开发</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710" w:hRule="exact"/>
        </w:trPr>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w:t>
            </w:r>
          </w:p>
          <w:p>
            <w:pPr>
              <w:pStyle w:val="TableParagraph"/>
              <w:spacing w:line="232" w:lineRule="exact" w:before="24"/>
              <w:ind w:left="103" w:right="108"/>
              <w:jc w:val="left"/>
              <w:rPr>
                <w:rFonts w:ascii="宋体" w:hAnsi="宋体" w:cs="宋体" w:eastAsia="宋体" w:hint="default"/>
                <w:sz w:val="18"/>
                <w:szCs w:val="18"/>
              </w:rPr>
            </w:pPr>
            <w:r>
              <w:rPr>
                <w:rFonts w:ascii="宋体" w:hAnsi="宋体" w:cs="宋体" w:eastAsia="宋体" w:hint="default"/>
                <w:sz w:val="18"/>
                <w:szCs w:val="18"/>
              </w:rPr>
              <w:t>营 业</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101"/>
              <w:jc w:val="right"/>
              <w:rPr>
                <w:rFonts w:ascii="宋体" w:hAnsi="宋体" w:cs="宋体" w:eastAsia="宋体" w:hint="default"/>
                <w:sz w:val="18"/>
                <w:szCs w:val="18"/>
              </w:rPr>
            </w:pPr>
            <w:r>
              <w:rPr>
                <w:rFonts w:ascii="宋体"/>
                <w:spacing w:val="-1"/>
                <w:sz w:val="18"/>
              </w:rPr>
              <w:t>12,755,257,749.</w:t>
            </w:r>
          </w:p>
          <w:p>
            <w:pPr>
              <w:pStyle w:val="TableParagraph"/>
              <w:spacing w:line="234" w:lineRule="exact"/>
              <w:ind w:right="98"/>
              <w:jc w:val="right"/>
              <w:rPr>
                <w:rFonts w:ascii="宋体" w:hAnsi="宋体" w:cs="宋体" w:eastAsia="宋体" w:hint="default"/>
                <w:sz w:val="18"/>
                <w:szCs w:val="18"/>
              </w:rPr>
            </w:pPr>
            <w:r>
              <w:rPr>
                <w:rFonts w:ascii="宋体"/>
                <w:sz w:val="18"/>
              </w:rPr>
              <w:t>45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101"/>
              <w:jc w:val="right"/>
              <w:rPr>
                <w:rFonts w:ascii="宋体" w:hAnsi="宋体" w:cs="宋体" w:eastAsia="宋体" w:hint="default"/>
                <w:sz w:val="18"/>
                <w:szCs w:val="18"/>
              </w:rPr>
            </w:pPr>
            <w:r>
              <w:rPr>
                <w:rFonts w:ascii="宋体"/>
                <w:spacing w:val="-1"/>
                <w:sz w:val="18"/>
              </w:rPr>
              <w:t>4,835,515,029.</w:t>
            </w:r>
          </w:p>
          <w:p>
            <w:pPr>
              <w:pStyle w:val="TableParagraph"/>
              <w:spacing w:line="234" w:lineRule="exact"/>
              <w:ind w:right="98"/>
              <w:jc w:val="right"/>
              <w:rPr>
                <w:rFonts w:ascii="宋体" w:hAnsi="宋体" w:cs="宋体" w:eastAsia="宋体" w:hint="default"/>
                <w:sz w:val="18"/>
                <w:szCs w:val="18"/>
              </w:rPr>
            </w:pPr>
            <w:r>
              <w:rPr>
                <w:rFonts w:ascii="宋体"/>
                <w:sz w:val="18"/>
              </w:rPr>
              <w:t>76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101"/>
              <w:jc w:val="right"/>
              <w:rPr>
                <w:rFonts w:ascii="宋体" w:hAnsi="宋体" w:cs="宋体" w:eastAsia="宋体" w:hint="default"/>
                <w:sz w:val="18"/>
                <w:szCs w:val="18"/>
              </w:rPr>
            </w:pPr>
            <w:r>
              <w:rPr>
                <w:rFonts w:ascii="宋体"/>
                <w:spacing w:val="-1"/>
                <w:sz w:val="18"/>
              </w:rPr>
              <w:t>69,259,103.</w:t>
            </w:r>
          </w:p>
          <w:p>
            <w:pPr>
              <w:pStyle w:val="TableParagraph"/>
              <w:spacing w:line="234" w:lineRule="exact"/>
              <w:ind w:right="99"/>
              <w:jc w:val="right"/>
              <w:rPr>
                <w:rFonts w:ascii="宋体" w:hAnsi="宋体" w:cs="宋体" w:eastAsia="宋体" w:hint="default"/>
                <w:sz w:val="18"/>
                <w:szCs w:val="18"/>
              </w:rPr>
            </w:pPr>
            <w:r>
              <w:rPr>
                <w:rFonts w:ascii="宋体"/>
                <w:sz w:val="18"/>
              </w:rPr>
              <w:t>83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101"/>
              <w:jc w:val="right"/>
              <w:rPr>
                <w:rFonts w:ascii="宋体" w:hAnsi="宋体" w:cs="宋体" w:eastAsia="宋体" w:hint="default"/>
                <w:sz w:val="18"/>
                <w:szCs w:val="18"/>
              </w:rPr>
            </w:pPr>
            <w:r>
              <w:rPr>
                <w:rFonts w:ascii="宋体"/>
                <w:spacing w:val="-1"/>
                <w:sz w:val="18"/>
              </w:rPr>
              <w:t>307,265,908.</w:t>
            </w:r>
          </w:p>
          <w:p>
            <w:pPr>
              <w:pStyle w:val="TableParagraph"/>
              <w:spacing w:line="234" w:lineRule="exact"/>
              <w:ind w:right="98"/>
              <w:jc w:val="right"/>
              <w:rPr>
                <w:rFonts w:ascii="宋体" w:hAnsi="宋体" w:cs="宋体" w:eastAsia="宋体" w:hint="default"/>
                <w:sz w:val="18"/>
                <w:szCs w:val="18"/>
              </w:rPr>
            </w:pPr>
            <w:r>
              <w:rPr>
                <w:rFonts w:ascii="宋体"/>
                <w:sz w:val="18"/>
              </w:rPr>
              <w:t>78</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101"/>
              <w:jc w:val="right"/>
              <w:rPr>
                <w:rFonts w:ascii="宋体" w:hAnsi="宋体" w:cs="宋体" w:eastAsia="宋体" w:hint="default"/>
                <w:sz w:val="18"/>
                <w:szCs w:val="18"/>
              </w:rPr>
            </w:pPr>
            <w:r>
              <w:rPr>
                <w:rFonts w:ascii="宋体"/>
                <w:spacing w:val="-1"/>
                <w:sz w:val="18"/>
              </w:rPr>
              <w:t>510,099,088.</w:t>
            </w:r>
          </w:p>
          <w:p>
            <w:pPr>
              <w:pStyle w:val="TableParagraph"/>
              <w:spacing w:line="234" w:lineRule="exact"/>
              <w:ind w:right="99"/>
              <w:jc w:val="right"/>
              <w:rPr>
                <w:rFonts w:ascii="宋体" w:hAnsi="宋体" w:cs="宋体" w:eastAsia="宋体" w:hint="default"/>
                <w:sz w:val="18"/>
                <w:szCs w:val="18"/>
              </w:rPr>
            </w:pPr>
            <w:r>
              <w:rPr>
                <w:rFonts w:ascii="宋体"/>
                <w:sz w:val="18"/>
              </w:rPr>
              <w:t>57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101"/>
              <w:jc w:val="right"/>
              <w:rPr>
                <w:rFonts w:ascii="宋体" w:hAnsi="宋体" w:cs="宋体" w:eastAsia="宋体" w:hint="default"/>
                <w:sz w:val="18"/>
                <w:szCs w:val="18"/>
              </w:rPr>
            </w:pPr>
            <w:r>
              <w:rPr>
                <w:rFonts w:ascii="宋体"/>
                <w:spacing w:val="-1"/>
                <w:sz w:val="18"/>
              </w:rPr>
              <w:t>17,457,198,703.</w:t>
            </w:r>
          </w:p>
          <w:p>
            <w:pPr>
              <w:pStyle w:val="TableParagraph"/>
              <w:spacing w:line="234" w:lineRule="exact"/>
              <w:ind w:right="98"/>
              <w:jc w:val="right"/>
              <w:rPr>
                <w:rFonts w:ascii="宋体" w:hAnsi="宋体" w:cs="宋体" w:eastAsia="宋体" w:hint="default"/>
                <w:sz w:val="18"/>
                <w:szCs w:val="18"/>
              </w:rPr>
            </w:pPr>
            <w:r>
              <w:rPr>
                <w:rFonts w:ascii="宋体"/>
                <w:sz w:val="18"/>
              </w:rPr>
              <w:t>25</w:t>
            </w:r>
          </w:p>
        </w:tc>
      </w:tr>
    </w:tbl>
    <w:p>
      <w:pPr>
        <w:spacing w:after="0" w:line="234" w:lineRule="exact"/>
        <w:jc w:val="right"/>
        <w:rPr>
          <w:rFonts w:ascii="宋体" w:hAnsi="宋体" w:cs="宋体" w:eastAsia="宋体" w:hint="default"/>
          <w:sz w:val="18"/>
          <w:szCs w:val="18"/>
        </w:rPr>
        <w:sectPr>
          <w:type w:val="continuous"/>
          <w:pgSz w:w="11910" w:h="16840"/>
          <w:pgMar w:top="1000" w:bottom="280" w:left="260" w:right="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3"/>
        <w:gridCol w:w="1589"/>
        <w:gridCol w:w="1508"/>
        <w:gridCol w:w="1268"/>
        <w:gridCol w:w="1346"/>
        <w:gridCol w:w="1347"/>
        <w:gridCol w:w="1589"/>
      </w:tblGrid>
      <w:tr>
        <w:trPr>
          <w:trHeight w:val="711" w:hRule="exact"/>
        </w:trPr>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p>
            <w:pPr>
              <w:pStyle w:val="TableParagraph"/>
              <w:spacing w:line="232" w:lineRule="exact" w:before="23"/>
              <w:ind w:left="103" w:right="108"/>
              <w:jc w:val="left"/>
              <w:rPr>
                <w:rFonts w:ascii="宋体" w:hAnsi="宋体" w:cs="宋体" w:eastAsia="宋体" w:hint="default"/>
                <w:sz w:val="18"/>
                <w:szCs w:val="18"/>
              </w:rPr>
            </w:pPr>
            <w:r>
              <w:rPr>
                <w:rFonts w:ascii="宋体" w:hAnsi="宋体" w:cs="宋体" w:eastAsia="宋体" w:hint="default"/>
                <w:sz w:val="18"/>
                <w:szCs w:val="18"/>
              </w:rPr>
              <w:t>收 入</w:t>
            </w:r>
          </w:p>
        </w:tc>
        <w:tc>
          <w:tcPr>
            <w:tcW w:w="1589"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1411" w:hRule="exact"/>
        </w:trPr>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主</w:t>
            </w:r>
          </w:p>
          <w:p>
            <w:pPr>
              <w:pStyle w:val="TableParagraph"/>
              <w:spacing w:line="237" w:lineRule="auto"/>
              <w:ind w:left="103" w:right="108"/>
              <w:jc w:val="both"/>
              <w:rPr>
                <w:rFonts w:ascii="宋体" w:hAnsi="宋体" w:cs="宋体" w:eastAsia="宋体" w:hint="default"/>
                <w:sz w:val="18"/>
                <w:szCs w:val="18"/>
              </w:rPr>
            </w:pPr>
            <w:r>
              <w:rPr>
                <w:rFonts w:ascii="宋体" w:hAnsi="宋体" w:cs="宋体" w:eastAsia="宋体" w:hint="default"/>
                <w:sz w:val="18"/>
                <w:szCs w:val="18"/>
              </w:rPr>
              <w:t>营 业 务 成 本</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right="101"/>
              <w:jc w:val="right"/>
              <w:rPr>
                <w:rFonts w:ascii="宋体" w:hAnsi="宋体" w:cs="宋体" w:eastAsia="宋体" w:hint="default"/>
                <w:sz w:val="18"/>
                <w:szCs w:val="18"/>
              </w:rPr>
            </w:pPr>
            <w:r>
              <w:rPr>
                <w:rFonts w:ascii="宋体"/>
                <w:spacing w:val="-1"/>
                <w:sz w:val="18"/>
              </w:rPr>
              <w:t>8,132,699,434.1</w:t>
            </w:r>
          </w:p>
          <w:p>
            <w:pPr>
              <w:pStyle w:val="TableParagraph"/>
              <w:spacing w:line="234" w:lineRule="exact"/>
              <w:ind w:right="102"/>
              <w:jc w:val="right"/>
              <w:rPr>
                <w:rFonts w:ascii="宋体" w:hAnsi="宋体" w:cs="宋体" w:eastAsia="宋体" w:hint="default"/>
                <w:sz w:val="18"/>
                <w:szCs w:val="18"/>
              </w:rPr>
            </w:pPr>
            <w:r>
              <w:rPr>
                <w:rFonts w:ascii="宋体"/>
                <w:sz w:val="18"/>
              </w:rPr>
              <w:t>3</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right="101"/>
              <w:jc w:val="right"/>
              <w:rPr>
                <w:rFonts w:ascii="宋体" w:hAnsi="宋体" w:cs="宋体" w:eastAsia="宋体" w:hint="default"/>
                <w:sz w:val="18"/>
                <w:szCs w:val="18"/>
              </w:rPr>
            </w:pPr>
            <w:r>
              <w:rPr>
                <w:rFonts w:ascii="宋体"/>
                <w:spacing w:val="-1"/>
                <w:sz w:val="18"/>
              </w:rPr>
              <w:t>4,832,049,999.</w:t>
            </w:r>
          </w:p>
          <w:p>
            <w:pPr>
              <w:pStyle w:val="TableParagraph"/>
              <w:spacing w:line="234" w:lineRule="exact"/>
              <w:ind w:right="98"/>
              <w:jc w:val="right"/>
              <w:rPr>
                <w:rFonts w:ascii="宋体" w:hAnsi="宋体" w:cs="宋体" w:eastAsia="宋体" w:hint="default"/>
                <w:sz w:val="18"/>
                <w:szCs w:val="18"/>
              </w:rPr>
            </w:pPr>
            <w:r>
              <w:rPr>
                <w:rFonts w:ascii="宋体"/>
                <w:sz w:val="18"/>
              </w:rPr>
              <w:t>49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right="101"/>
              <w:jc w:val="right"/>
              <w:rPr>
                <w:rFonts w:ascii="宋体" w:hAnsi="宋体" w:cs="宋体" w:eastAsia="宋体" w:hint="default"/>
                <w:sz w:val="18"/>
                <w:szCs w:val="18"/>
              </w:rPr>
            </w:pPr>
            <w:r>
              <w:rPr>
                <w:rFonts w:ascii="宋体"/>
                <w:spacing w:val="-1"/>
                <w:sz w:val="18"/>
              </w:rPr>
              <w:t>56,135,556.</w:t>
            </w:r>
          </w:p>
          <w:p>
            <w:pPr>
              <w:pStyle w:val="TableParagraph"/>
              <w:spacing w:line="234" w:lineRule="exact"/>
              <w:ind w:right="99"/>
              <w:jc w:val="right"/>
              <w:rPr>
                <w:rFonts w:ascii="宋体" w:hAnsi="宋体" w:cs="宋体" w:eastAsia="宋体" w:hint="default"/>
                <w:sz w:val="18"/>
                <w:szCs w:val="18"/>
              </w:rPr>
            </w:pPr>
            <w:r>
              <w:rPr>
                <w:rFonts w:ascii="宋体"/>
                <w:sz w:val="18"/>
              </w:rPr>
              <w:t>82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right="101"/>
              <w:jc w:val="right"/>
              <w:rPr>
                <w:rFonts w:ascii="宋体" w:hAnsi="宋体" w:cs="宋体" w:eastAsia="宋体" w:hint="default"/>
                <w:sz w:val="18"/>
                <w:szCs w:val="18"/>
              </w:rPr>
            </w:pPr>
            <w:r>
              <w:rPr>
                <w:rFonts w:ascii="宋体"/>
                <w:spacing w:val="-1"/>
                <w:sz w:val="18"/>
              </w:rPr>
              <w:t>40,378,198.0</w:t>
            </w:r>
          </w:p>
          <w:p>
            <w:pPr>
              <w:pStyle w:val="TableParagraph"/>
              <w:spacing w:line="234" w:lineRule="exact"/>
              <w:ind w:right="102"/>
              <w:jc w:val="right"/>
              <w:rPr>
                <w:rFonts w:ascii="宋体" w:hAnsi="宋体" w:cs="宋体" w:eastAsia="宋体" w:hint="default"/>
                <w:sz w:val="18"/>
                <w:szCs w:val="18"/>
              </w:rPr>
            </w:pPr>
            <w:r>
              <w:rPr>
                <w:rFonts w:ascii="宋体"/>
                <w:sz w:val="18"/>
              </w:rPr>
              <w:t>1</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right="101"/>
              <w:jc w:val="right"/>
              <w:rPr>
                <w:rFonts w:ascii="宋体" w:hAnsi="宋体" w:cs="宋体" w:eastAsia="宋体" w:hint="default"/>
                <w:sz w:val="18"/>
                <w:szCs w:val="18"/>
              </w:rPr>
            </w:pPr>
            <w:r>
              <w:rPr>
                <w:rFonts w:ascii="宋体"/>
                <w:spacing w:val="-1"/>
                <w:sz w:val="18"/>
              </w:rPr>
              <w:t>516,989,251.</w:t>
            </w:r>
          </w:p>
          <w:p>
            <w:pPr>
              <w:pStyle w:val="TableParagraph"/>
              <w:spacing w:line="234" w:lineRule="exact"/>
              <w:ind w:right="99"/>
              <w:jc w:val="right"/>
              <w:rPr>
                <w:rFonts w:ascii="宋体" w:hAnsi="宋体" w:cs="宋体" w:eastAsia="宋体" w:hint="default"/>
                <w:sz w:val="18"/>
                <w:szCs w:val="18"/>
              </w:rPr>
            </w:pPr>
            <w:r>
              <w:rPr>
                <w:rFonts w:ascii="宋体"/>
                <w:sz w:val="18"/>
              </w:rPr>
              <w:t>64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right="101"/>
              <w:jc w:val="right"/>
              <w:rPr>
                <w:rFonts w:ascii="宋体" w:hAnsi="宋体" w:cs="宋体" w:eastAsia="宋体" w:hint="default"/>
                <w:sz w:val="18"/>
                <w:szCs w:val="18"/>
              </w:rPr>
            </w:pPr>
            <w:r>
              <w:rPr>
                <w:rFonts w:ascii="宋体"/>
                <w:spacing w:val="-1"/>
                <w:sz w:val="18"/>
              </w:rPr>
              <w:t>12,544,273,936.</w:t>
            </w:r>
          </w:p>
          <w:p>
            <w:pPr>
              <w:pStyle w:val="TableParagraph"/>
              <w:spacing w:line="234" w:lineRule="exact"/>
              <w:ind w:right="98"/>
              <w:jc w:val="right"/>
              <w:rPr>
                <w:rFonts w:ascii="宋体" w:hAnsi="宋体" w:cs="宋体" w:eastAsia="宋体" w:hint="default"/>
                <w:sz w:val="18"/>
                <w:szCs w:val="18"/>
              </w:rPr>
            </w:pPr>
            <w:r>
              <w:rPr>
                <w:rFonts w:ascii="宋体"/>
                <w:sz w:val="18"/>
              </w:rPr>
              <w:t>81</w:t>
            </w:r>
          </w:p>
        </w:tc>
      </w:tr>
    </w:tbl>
    <w:p>
      <w:pPr>
        <w:spacing w:line="240" w:lineRule="auto" w:before="5"/>
        <w:rPr>
          <w:rFonts w:ascii="宋体" w:hAnsi="宋体" w:cs="宋体" w:eastAsia="宋体" w:hint="default"/>
          <w:sz w:val="23"/>
          <w:szCs w:val="23"/>
        </w:rPr>
      </w:pPr>
    </w:p>
    <w:p>
      <w:pPr>
        <w:pStyle w:val="Heading2"/>
        <w:spacing w:line="312" w:lineRule="exact" w:before="56"/>
        <w:ind w:left="638" w:right="343" w:hanging="420"/>
        <w:jc w:val="left"/>
        <w:rPr>
          <w:b w:val="0"/>
          <w:bCs w:val="0"/>
        </w:rPr>
      </w:pPr>
      <w:r>
        <w:rPr>
          <w:rFonts w:ascii="宋体" w:hAnsi="宋体" w:cs="宋体" w:eastAsia="宋体" w:hint="default"/>
        </w:rPr>
        <w:t>(3).</w:t>
      </w:r>
      <w:r>
        <w:rPr>
          <w:rFonts w:ascii="宋体" w:hAnsi="宋体" w:cs="宋体" w:eastAsia="宋体" w:hint="default"/>
          <w:spacing w:val="28"/>
        </w:rPr>
        <w:t> </w:t>
      </w:r>
      <w:r>
        <w:rPr/>
        <w:t>公司无报告分部的，或者不能披露各报告分部的资产总额和负债总额的，应说</w:t>
      </w:r>
      <w:r>
        <w:rPr>
          <w:w w:val="99"/>
        </w:rPr>
        <w:t> </w:t>
      </w:r>
      <w:r>
        <w:rPr/>
        <w:t>明原因</w:t>
      </w:r>
      <w:r>
        <w:rPr>
          <w:b w:val="0"/>
          <w:bCs w:val="0"/>
        </w:rPr>
      </w:r>
    </w:p>
    <w:p>
      <w:pPr>
        <w:pStyle w:val="BodyText"/>
        <w:spacing w:line="240" w:lineRule="auto" w:before="27"/>
        <w:ind w:left="218" w:right="0"/>
        <w:jc w:val="both"/>
      </w:pPr>
      <w:r>
        <w:rPr/>
        <w:t>□适用</w:t>
      </w:r>
      <w:r>
        <w:rPr>
          <w:spacing w:val="119"/>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right="0"/>
        <w:jc w:val="both"/>
        <w:rPr>
          <w:b w:val="0"/>
          <w:bCs w:val="0"/>
        </w:rPr>
      </w:pPr>
      <w:r>
        <w:rPr>
          <w:rFonts w:ascii="宋体" w:hAnsi="宋体" w:cs="宋体" w:eastAsia="宋体" w:hint="default"/>
        </w:rPr>
        <w:t>7</w:t>
      </w:r>
      <w:r>
        <w:rPr/>
        <w:t>、</w:t>
      </w:r>
      <w:r>
        <w:rPr>
          <w:spacing w:val="-60"/>
        </w:rPr>
        <w:t> </w:t>
      </w:r>
      <w:r>
        <w:rPr/>
        <w:t>其他对投资者决策有影响的重要交易和事项</w:t>
      </w:r>
      <w:r>
        <w:rPr>
          <w:b w:val="0"/>
          <w:bCs w:val="0"/>
        </w:rPr>
      </w:r>
    </w:p>
    <w:p>
      <w:pPr>
        <w:pStyle w:val="BodyText"/>
        <w:spacing w:line="313" w:lineRule="exact" w:before="103"/>
        <w:ind w:left="218" w:right="0"/>
        <w:jc w:val="both"/>
      </w:pPr>
      <w:r>
        <w:rPr/>
        <w:t>√适用</w:t>
      </w:r>
      <w:r>
        <w:rPr>
          <w:spacing w:val="119"/>
        </w:rPr>
        <w:t> </w:t>
      </w:r>
      <w:r>
        <w:rPr/>
        <w:t>□不适用</w:t>
      </w:r>
    </w:p>
    <w:p>
      <w:pPr>
        <w:pStyle w:val="BodyText"/>
        <w:spacing w:line="357" w:lineRule="auto"/>
        <w:ind w:left="218" w:right="97" w:firstLine="479"/>
        <w:jc w:val="left"/>
      </w:pPr>
      <w:r>
        <w:rPr>
          <w:rFonts w:ascii="宋体" w:hAnsi="宋体" w:cs="宋体" w:eastAsia="宋体" w:hint="default"/>
        </w:rPr>
        <w:t>1. 2017</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月，公司子公司海南满天星以总计</w:t>
      </w:r>
      <w:r>
        <w:rPr>
          <w:spacing w:val="-60"/>
        </w:rPr>
        <w:t> </w:t>
      </w:r>
      <w:r>
        <w:rPr>
          <w:rFonts w:ascii="宋体" w:hAnsi="宋体" w:cs="宋体" w:eastAsia="宋体" w:hint="default"/>
        </w:rPr>
        <w:t>64,820</w:t>
      </w:r>
      <w:r>
        <w:rPr>
          <w:rFonts w:ascii="宋体" w:hAnsi="宋体" w:cs="宋体" w:eastAsia="宋体" w:hint="default"/>
          <w:spacing w:val="-60"/>
        </w:rPr>
        <w:t> </w:t>
      </w:r>
      <w:r>
        <w:rPr/>
        <w:t>万元竞得海棠湾</w:t>
      </w:r>
      <w:r>
        <w:rPr>
          <w:spacing w:val="-60"/>
        </w:rPr>
        <w:t> </w:t>
      </w:r>
      <w:r>
        <w:rPr>
          <w:rFonts w:ascii="宋体" w:hAnsi="宋体" w:cs="宋体" w:eastAsia="宋体" w:hint="default"/>
        </w:rPr>
        <w:t>C7</w:t>
      </w:r>
      <w:r>
        <w:rPr>
          <w:rFonts w:ascii="宋体" w:hAnsi="宋体" w:cs="宋体" w:eastAsia="宋体" w:hint="default"/>
          <w:spacing w:val="-60"/>
        </w:rPr>
        <w:t> </w:t>
      </w:r>
      <w:r>
        <w:rPr/>
        <w:t>片区 控规</w:t>
      </w:r>
      <w:r>
        <w:rPr>
          <w:spacing w:val="-61"/>
        </w:rPr>
        <w:t> </w:t>
      </w:r>
      <w:r>
        <w:rPr>
          <w:rFonts w:ascii="宋体" w:hAnsi="宋体" w:cs="宋体" w:eastAsia="宋体" w:hint="default"/>
        </w:rPr>
        <w:t>C7-02-01</w:t>
      </w:r>
      <w:r>
        <w:rPr/>
        <w:t>、</w:t>
      </w:r>
      <w:r>
        <w:rPr>
          <w:rFonts w:ascii="宋体" w:hAnsi="宋体" w:cs="宋体" w:eastAsia="宋体" w:hint="default"/>
        </w:rPr>
        <w:t>C7-02-02-a</w:t>
      </w:r>
      <w:r>
        <w:rPr/>
        <w:t>、</w:t>
      </w:r>
      <w:r>
        <w:rPr>
          <w:rFonts w:ascii="宋体" w:hAnsi="宋体" w:cs="宋体" w:eastAsia="宋体" w:hint="default"/>
        </w:rPr>
        <w:t>C7-02-04</w:t>
      </w:r>
      <w:r>
        <w:rPr>
          <w:rFonts w:ascii="宋体" w:hAnsi="宋体" w:cs="宋体" w:eastAsia="宋体" w:hint="default"/>
          <w:spacing w:val="-61"/>
        </w:rPr>
        <w:t> </w:t>
      </w:r>
      <w:r>
        <w:rPr/>
        <w:t>地块的土地使用权。该批地块土地总面积为 </w:t>
      </w:r>
      <w:r>
        <w:rPr>
          <w:rFonts w:ascii="宋体" w:hAnsi="宋体" w:cs="宋体" w:eastAsia="宋体" w:hint="default"/>
        </w:rPr>
        <w:t>160,639.61</w:t>
      </w:r>
      <w:r>
        <w:rPr>
          <w:rFonts w:ascii="宋体" w:hAnsi="宋体" w:cs="宋体" w:eastAsia="宋体" w:hint="default"/>
          <w:spacing w:val="-81"/>
        </w:rPr>
        <w:t> </w:t>
      </w:r>
      <w:r>
        <w:rPr>
          <w:spacing w:val="-8"/>
        </w:rPr>
        <w:t>平方米，规划用地性质为住宿餐饮用地</w:t>
      </w:r>
      <w:r>
        <w:rPr>
          <w:rFonts w:ascii="宋体" w:hAnsi="宋体" w:cs="宋体" w:eastAsia="宋体" w:hint="default"/>
          <w:spacing w:val="-8"/>
        </w:rPr>
        <w:t>/</w:t>
      </w:r>
      <w:r>
        <w:rPr>
          <w:spacing w:val="-8"/>
        </w:rPr>
        <w:t>医疗慈善用地，容积率不高于</w:t>
      </w:r>
      <w:r>
        <w:rPr>
          <w:spacing w:val="-80"/>
        </w:rPr>
        <w:t> </w:t>
      </w:r>
      <w:r>
        <w:rPr>
          <w:rFonts w:ascii="宋体" w:hAnsi="宋体" w:cs="宋体" w:eastAsia="宋体" w:hint="default"/>
        </w:rPr>
        <w:t>0.48</w:t>
      </w:r>
      <w:r>
        <w:rPr/>
        <w:t>， 地块建筑密度不高于</w:t>
      </w:r>
      <w:r>
        <w:rPr>
          <w:spacing w:val="-60"/>
        </w:rPr>
        <w:t> </w:t>
      </w:r>
      <w:r>
        <w:rPr>
          <w:rFonts w:ascii="宋体" w:hAnsi="宋体" w:cs="宋体" w:eastAsia="宋体" w:hint="default"/>
        </w:rPr>
        <w:t>20%</w:t>
      </w:r>
      <w:r>
        <w:rPr/>
        <w:t>，绿地率不低于</w:t>
      </w:r>
      <w:r>
        <w:rPr>
          <w:spacing w:val="-60"/>
        </w:rPr>
        <w:t> </w:t>
      </w:r>
      <w:r>
        <w:rPr>
          <w:rFonts w:ascii="宋体" w:hAnsi="宋体" w:cs="宋体" w:eastAsia="宋体" w:hint="default"/>
        </w:rPr>
        <w:t>30%</w:t>
      </w:r>
      <w:r>
        <w:rPr/>
        <w:t>。</w:t>
      </w:r>
    </w:p>
    <w:p>
      <w:pPr>
        <w:pStyle w:val="BodyText"/>
        <w:spacing w:line="240" w:lineRule="auto" w:before="36"/>
        <w:ind w:left="698" w:right="97"/>
        <w:jc w:val="left"/>
      </w:pPr>
      <w:r>
        <w:rPr>
          <w:rFonts w:ascii="宋体" w:hAnsi="宋体" w:cs="宋体" w:eastAsia="宋体" w:hint="default"/>
        </w:rPr>
        <w:t>2. 2017</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月，公司子公司平阳宝瑞置业有限公司以总价</w:t>
      </w:r>
      <w:r>
        <w:rPr>
          <w:spacing w:val="-60"/>
        </w:rPr>
        <w:t> </w:t>
      </w:r>
      <w:r>
        <w:rPr>
          <w:rFonts w:ascii="宋体" w:hAnsi="宋体" w:cs="宋体" w:eastAsia="宋体" w:hint="default"/>
        </w:rPr>
        <w:t>60,061</w:t>
      </w:r>
      <w:r>
        <w:rPr>
          <w:rFonts w:ascii="宋体" w:hAnsi="宋体" w:cs="宋体" w:eastAsia="宋体" w:hint="default"/>
          <w:spacing w:val="-60"/>
        </w:rPr>
        <w:t> </w:t>
      </w:r>
      <w:r>
        <w:rPr/>
        <w:t>万元竞得平</w:t>
      </w:r>
    </w:p>
    <w:p>
      <w:pPr>
        <w:pStyle w:val="BodyText"/>
        <w:spacing w:line="240" w:lineRule="auto" w:before="151"/>
        <w:ind w:left="218" w:right="0"/>
        <w:jc w:val="both"/>
      </w:pPr>
      <w:r>
        <w:rPr/>
        <w:t>阳县西湾围涂区</w:t>
      </w:r>
      <w:r>
        <w:rPr>
          <w:spacing w:val="-73"/>
        </w:rPr>
        <w:t> </w:t>
      </w:r>
      <w:r>
        <w:rPr>
          <w:rFonts w:ascii="宋体" w:hAnsi="宋体" w:cs="宋体" w:eastAsia="宋体" w:hint="default"/>
        </w:rPr>
        <w:t>4</w:t>
      </w:r>
      <w:r>
        <w:rPr>
          <w:rFonts w:ascii="宋体" w:hAnsi="宋体" w:cs="宋体" w:eastAsia="宋体" w:hint="default"/>
          <w:spacing w:val="-72"/>
        </w:rPr>
        <w:t> </w:t>
      </w:r>
      <w:r>
        <w:rPr/>
        <w:t>个地块的土地使用权</w:t>
      </w:r>
      <w:r>
        <w:rPr>
          <w:spacing w:val="-120"/>
        </w:rPr>
        <w:t>。</w:t>
      </w:r>
      <w:r>
        <w:rPr/>
        <w:t>该批地块土地总面积为</w:t>
      </w:r>
      <w:r>
        <w:rPr>
          <w:spacing w:val="-71"/>
        </w:rPr>
        <w:t> </w:t>
      </w:r>
      <w:r>
        <w:rPr>
          <w:rFonts w:ascii="宋体" w:hAnsi="宋体" w:cs="宋体" w:eastAsia="宋体" w:hint="default"/>
        </w:rPr>
        <w:t>133,465.00</w:t>
      </w:r>
      <w:r>
        <w:rPr>
          <w:rFonts w:ascii="宋体" w:hAnsi="宋体" w:cs="宋体" w:eastAsia="宋体" w:hint="default"/>
          <w:spacing w:val="-72"/>
        </w:rPr>
        <w:t> </w:t>
      </w:r>
      <w:r>
        <w:rPr/>
        <w:t>平方米，</w:t>
      </w:r>
    </w:p>
    <w:p>
      <w:pPr>
        <w:pStyle w:val="BodyText"/>
        <w:spacing w:line="355" w:lineRule="auto" w:before="154"/>
        <w:ind w:left="218" w:right="425"/>
        <w:jc w:val="both"/>
      </w:pPr>
      <w:r>
        <w:rPr/>
        <w:t>计容建筑面积合计</w:t>
      </w:r>
      <w:r>
        <w:rPr>
          <w:spacing w:val="-61"/>
        </w:rPr>
        <w:t> </w:t>
      </w:r>
      <w:r>
        <w:rPr>
          <w:rFonts w:ascii="宋体" w:hAnsi="宋体" w:cs="宋体" w:eastAsia="宋体" w:hint="default"/>
        </w:rPr>
        <w:t>186,117</w:t>
      </w:r>
      <w:r>
        <w:rPr>
          <w:rFonts w:ascii="宋体" w:hAnsi="宋体" w:cs="宋体" w:eastAsia="宋体" w:hint="default"/>
          <w:spacing w:val="-61"/>
        </w:rPr>
        <w:t> </w:t>
      </w:r>
      <w:r>
        <w:rPr/>
        <w:t>平方米，规划用地性质为城镇住宅用地</w:t>
      </w:r>
      <w:r>
        <w:rPr>
          <w:rFonts w:ascii="宋体" w:hAnsi="宋体" w:cs="宋体" w:eastAsia="宋体" w:hint="default"/>
        </w:rPr>
        <w:t>/</w:t>
      </w:r>
      <w:r>
        <w:rPr/>
        <w:t>批发零售用地， 容积率</w:t>
      </w:r>
      <w:r>
        <w:rPr>
          <w:spacing w:val="-61"/>
        </w:rPr>
        <w:t> </w:t>
      </w:r>
      <w:r>
        <w:rPr>
          <w:rFonts w:ascii="宋体" w:hAnsi="宋体" w:cs="宋体" w:eastAsia="宋体" w:hint="default"/>
        </w:rPr>
        <w:t>1.0-2.0</w:t>
      </w:r>
      <w:r>
        <w:rPr/>
        <w:t>，地块建筑密度不超过</w:t>
      </w:r>
      <w:r>
        <w:rPr>
          <w:spacing w:val="-60"/>
        </w:rPr>
        <w:t> </w:t>
      </w:r>
      <w:r>
        <w:rPr>
          <w:rFonts w:ascii="宋体" w:hAnsi="宋体" w:cs="宋体" w:eastAsia="宋体" w:hint="default"/>
        </w:rPr>
        <w:t>35%-30%</w:t>
      </w:r>
      <w:r>
        <w:rPr/>
        <w:t>。</w:t>
      </w:r>
    </w:p>
    <w:p>
      <w:pPr>
        <w:pStyle w:val="BodyText"/>
        <w:spacing w:line="240" w:lineRule="auto" w:before="38"/>
        <w:ind w:left="698" w:right="97"/>
        <w:jc w:val="left"/>
      </w:pP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月，公司子公司平阳宝瑞置业有限公司以总价</w:t>
      </w:r>
      <w:r>
        <w:rPr>
          <w:spacing w:val="-60"/>
        </w:rPr>
        <w:t> </w:t>
      </w:r>
      <w:r>
        <w:rPr>
          <w:rFonts w:ascii="宋体" w:hAnsi="宋体" w:cs="宋体" w:eastAsia="宋体" w:hint="default"/>
        </w:rPr>
        <w:t>61,855.00</w:t>
      </w:r>
      <w:r>
        <w:rPr>
          <w:rFonts w:ascii="宋体" w:hAnsi="宋体" w:cs="宋体" w:eastAsia="宋体" w:hint="default"/>
          <w:spacing w:val="-60"/>
        </w:rPr>
        <w:t> </w:t>
      </w:r>
      <w:r>
        <w:rPr/>
        <w:t>万元竞得平</w:t>
      </w:r>
    </w:p>
    <w:p>
      <w:pPr>
        <w:pStyle w:val="BodyText"/>
        <w:spacing w:line="240" w:lineRule="auto" w:before="151"/>
        <w:ind w:left="218" w:right="0"/>
        <w:jc w:val="both"/>
      </w:pPr>
      <w:r>
        <w:rPr/>
        <w:t>阳县西湾围涂区共</w:t>
      </w:r>
      <w:r>
        <w:rPr>
          <w:spacing w:val="-61"/>
        </w:rPr>
        <w:t> </w:t>
      </w:r>
      <w:r>
        <w:rPr>
          <w:rFonts w:ascii="宋体" w:hAnsi="宋体" w:cs="宋体" w:eastAsia="宋体" w:hint="default"/>
        </w:rPr>
        <w:t>7</w:t>
      </w:r>
      <w:r>
        <w:rPr>
          <w:rFonts w:ascii="宋体" w:hAnsi="宋体" w:cs="宋体" w:eastAsia="宋体" w:hint="default"/>
          <w:spacing w:val="-60"/>
        </w:rPr>
        <w:t> </w:t>
      </w:r>
      <w:r>
        <w:rPr/>
        <w:t>块地块的土地使用权。该批地块土地总面积为</w:t>
      </w:r>
      <w:r>
        <w:rPr>
          <w:spacing w:val="-60"/>
        </w:rPr>
        <w:t> </w:t>
      </w:r>
      <w:r>
        <w:rPr>
          <w:rFonts w:ascii="宋体" w:hAnsi="宋体" w:cs="宋体" w:eastAsia="宋体" w:hint="default"/>
        </w:rPr>
        <w:t>137,446.00</w:t>
      </w:r>
      <w:r>
        <w:rPr>
          <w:rFonts w:ascii="宋体" w:hAnsi="宋体" w:cs="宋体" w:eastAsia="宋体" w:hint="default"/>
          <w:spacing w:val="-60"/>
        </w:rPr>
        <w:t> </w:t>
      </w:r>
      <w:r>
        <w:rPr/>
        <w:t>平方</w:t>
      </w:r>
    </w:p>
    <w:p>
      <w:pPr>
        <w:pStyle w:val="BodyText"/>
        <w:spacing w:line="357" w:lineRule="auto" w:before="154"/>
        <w:ind w:left="218" w:right="364"/>
        <w:jc w:val="both"/>
      </w:pPr>
      <w:r>
        <w:rPr/>
        <w:t>米，计容建筑面积合计</w:t>
      </w:r>
      <w:r>
        <w:rPr>
          <w:spacing w:val="-60"/>
        </w:rPr>
        <w:t> </w:t>
      </w:r>
      <w:r>
        <w:rPr>
          <w:rFonts w:ascii="宋体" w:hAnsi="宋体" w:cs="宋体" w:eastAsia="宋体" w:hint="default"/>
        </w:rPr>
        <w:t>392,448</w:t>
      </w:r>
      <w:r>
        <w:rPr>
          <w:rFonts w:ascii="宋体" w:hAnsi="宋体" w:cs="宋体" w:eastAsia="宋体" w:hint="default"/>
          <w:spacing w:val="-60"/>
        </w:rPr>
        <w:t> </w:t>
      </w:r>
      <w:r>
        <w:rPr/>
        <w:t>平方米，规划用地性质分别为城镇住宅用地</w:t>
      </w:r>
      <w:r>
        <w:rPr>
          <w:rFonts w:ascii="宋体" w:hAnsi="宋体" w:cs="宋体" w:eastAsia="宋体" w:hint="default"/>
        </w:rPr>
        <w:t>/</w:t>
      </w:r>
      <w:r>
        <w:rPr/>
        <w:t>批发零 售用地（容积率</w:t>
      </w:r>
      <w:r>
        <w:rPr>
          <w:spacing w:val="-60"/>
        </w:rPr>
        <w:t> </w:t>
      </w:r>
      <w:r>
        <w:rPr>
          <w:rFonts w:ascii="宋体" w:hAnsi="宋体" w:cs="宋体" w:eastAsia="宋体" w:hint="default"/>
        </w:rPr>
        <w:t>1.0-4.0</w:t>
      </w:r>
      <w:r>
        <w:rPr/>
        <w:t>，建筑密度不超过</w:t>
      </w:r>
      <w:r>
        <w:rPr>
          <w:spacing w:val="-59"/>
        </w:rPr>
        <w:t> </w:t>
      </w:r>
      <w:r>
        <w:rPr>
          <w:rFonts w:ascii="宋体" w:hAnsi="宋体" w:cs="宋体" w:eastAsia="宋体" w:hint="default"/>
          <w:spacing w:val="-7"/>
        </w:rPr>
        <w:t>45%</w:t>
      </w:r>
      <w:r>
        <w:rPr>
          <w:spacing w:val="-7"/>
        </w:rPr>
        <w:t>），文体娱乐用地（容积率不高于</w:t>
      </w:r>
      <w:r>
        <w:rPr>
          <w:spacing w:val="-59"/>
        </w:rPr>
        <w:t> </w:t>
      </w:r>
      <w:r>
        <w:rPr>
          <w:rFonts w:ascii="宋体" w:hAnsi="宋体" w:cs="宋体" w:eastAsia="宋体" w:hint="default"/>
        </w:rPr>
        <w:t>2</w:t>
      </w:r>
      <w:r>
        <w:rPr/>
        <w:t>， 建筑密度不超过</w:t>
      </w:r>
      <w:r>
        <w:rPr>
          <w:spacing w:val="-59"/>
        </w:rPr>
        <w:t> </w:t>
      </w:r>
      <w:r>
        <w:rPr>
          <w:rFonts w:ascii="宋体" w:hAnsi="宋体" w:cs="宋体" w:eastAsia="宋体" w:hint="default"/>
          <w:spacing w:val="-8"/>
        </w:rPr>
        <w:t>50%</w:t>
      </w:r>
      <w:r>
        <w:rPr>
          <w:spacing w:val="-8"/>
        </w:rPr>
        <w:t>），科教用地（容积率不高于</w:t>
      </w:r>
      <w:r>
        <w:rPr>
          <w:spacing w:val="-58"/>
        </w:rPr>
        <w:t> </w:t>
      </w:r>
      <w:r>
        <w:rPr>
          <w:rFonts w:ascii="宋体" w:hAnsi="宋体" w:cs="宋体" w:eastAsia="宋体" w:hint="default"/>
        </w:rPr>
        <w:t>0.7</w:t>
      </w:r>
      <w:r>
        <w:rPr/>
        <w:t>，建筑密度不超过</w:t>
      </w:r>
      <w:r>
        <w:rPr>
          <w:spacing w:val="-58"/>
        </w:rPr>
        <w:t> </w:t>
      </w:r>
      <w:r>
        <w:rPr>
          <w:rFonts w:ascii="宋体" w:hAnsi="宋体" w:cs="宋体" w:eastAsia="宋体" w:hint="default"/>
          <w:spacing w:val="-48"/>
        </w:rPr>
        <w:t>30%</w:t>
      </w:r>
      <w:r>
        <w:rPr>
          <w:spacing w:val="-48"/>
        </w:rPr>
        <w:t>）。</w:t>
      </w:r>
      <w:r>
        <w:rPr/>
      </w:r>
    </w:p>
    <w:p>
      <w:pPr>
        <w:pStyle w:val="BodyText"/>
        <w:spacing w:line="357" w:lineRule="auto" w:before="34"/>
        <w:ind w:left="218" w:right="223" w:firstLine="479"/>
        <w:jc w:val="left"/>
      </w:pPr>
      <w:r>
        <w:rPr>
          <w:rFonts w:ascii="宋体" w:hAnsi="宋体" w:cs="宋体" w:eastAsia="宋体" w:hint="default"/>
        </w:rPr>
        <w:t>3. </w:t>
      </w:r>
      <w:r>
        <w:rPr/>
        <w:t>经公司第九届董事会第十七次会议及 </w:t>
      </w:r>
      <w:r>
        <w:rPr>
          <w:rFonts w:ascii="宋体" w:hAnsi="宋体" w:cs="宋体" w:eastAsia="宋体" w:hint="default"/>
        </w:rPr>
        <w:t>2016</w:t>
      </w:r>
      <w:r>
        <w:rPr>
          <w:rFonts w:ascii="宋体" w:hAnsi="宋体" w:cs="宋体" w:eastAsia="宋体" w:hint="default"/>
          <w:spacing w:val="-88"/>
        </w:rPr>
        <w:t> </w:t>
      </w:r>
      <w:r>
        <w:rPr>
          <w:spacing w:val="2"/>
        </w:rPr>
        <w:t>年第五次临时股东大会审议通过， </w:t>
      </w:r>
      <w:r>
        <w:rPr/>
        <w:t>全资子公司香港新湖投资有限公司通过其在英属维尔京群岛注册成立的新湖（</w:t>
      </w:r>
      <w:r>
        <w:rPr>
          <w:rFonts w:ascii="宋体" w:hAnsi="宋体" w:cs="宋体" w:eastAsia="宋体" w:hint="default"/>
        </w:rPr>
        <w:t>BVI</w:t>
      </w:r>
      <w:r>
        <w:rPr/>
        <w:t>） 控股有限公司（</w:t>
      </w:r>
      <w:r>
        <w:rPr>
          <w:rFonts w:ascii="宋体" w:hAnsi="宋体" w:cs="宋体" w:eastAsia="宋体" w:hint="default"/>
        </w:rPr>
        <w:t>Xinhu</w:t>
      </w:r>
      <w:r>
        <w:rPr>
          <w:rFonts w:ascii="宋体" w:hAnsi="宋体" w:cs="宋体" w:eastAsia="宋体" w:hint="default"/>
          <w:spacing w:val="-41"/>
        </w:rPr>
        <w:t> </w:t>
      </w:r>
      <w:r>
        <w:rPr>
          <w:rFonts w:ascii="宋体" w:hAnsi="宋体" w:cs="宋体" w:eastAsia="宋体" w:hint="default"/>
        </w:rPr>
        <w:t>(BVI)</w:t>
      </w:r>
      <w:r>
        <w:rPr>
          <w:rFonts w:ascii="宋体" w:hAnsi="宋体" w:cs="宋体" w:eastAsia="宋体" w:hint="default"/>
          <w:spacing w:val="-41"/>
        </w:rPr>
        <w:t> </w:t>
      </w:r>
      <w:r>
        <w:rPr>
          <w:rFonts w:ascii="宋体" w:hAnsi="宋体" w:cs="宋体" w:eastAsia="宋体" w:hint="default"/>
        </w:rPr>
        <w:t>Holding</w:t>
      </w:r>
      <w:r>
        <w:rPr>
          <w:rFonts w:ascii="宋体" w:hAnsi="宋体" w:cs="宋体" w:eastAsia="宋体" w:hint="default"/>
          <w:spacing w:val="-41"/>
        </w:rPr>
        <w:t> </w:t>
      </w:r>
      <w:r>
        <w:rPr>
          <w:rFonts w:ascii="宋体" w:hAnsi="宋体" w:cs="宋体" w:eastAsia="宋体" w:hint="default"/>
        </w:rPr>
        <w:t>Company</w:t>
      </w:r>
      <w:r>
        <w:rPr>
          <w:rFonts w:ascii="宋体" w:hAnsi="宋体" w:cs="宋体" w:eastAsia="宋体" w:hint="default"/>
          <w:spacing w:val="-44"/>
        </w:rPr>
        <w:t> </w:t>
      </w:r>
      <w:r>
        <w:rPr>
          <w:rFonts w:ascii="宋体" w:hAnsi="宋体" w:cs="宋体" w:eastAsia="宋体" w:hint="default"/>
        </w:rPr>
        <w:t>Limited</w:t>
      </w:r>
      <w:r>
        <w:rPr/>
        <w:t>）在境外公开发行美元债券。 </w:t>
      </w:r>
      <w:r>
        <w:rPr>
          <w:rFonts w:ascii="宋体" w:hAnsi="宋体" w:cs="宋体" w:eastAsia="宋体" w:hint="default"/>
        </w:rPr>
        <w:t>2017</w:t>
      </w:r>
      <w:r>
        <w:rPr>
          <w:rFonts w:ascii="宋体" w:hAnsi="宋体" w:cs="宋体" w:eastAsia="宋体" w:hint="default"/>
          <w:spacing w:val="-59"/>
        </w:rPr>
        <w:t> </w:t>
      </w:r>
      <w:r>
        <w:rPr/>
        <w:t>年</w:t>
      </w:r>
      <w:r>
        <w:rPr>
          <w:spacing w:val="-58"/>
        </w:rPr>
        <w:t> </w:t>
      </w:r>
      <w:r>
        <w:rPr>
          <w:rFonts w:ascii="宋体" w:hAnsi="宋体" w:cs="宋体" w:eastAsia="宋体" w:hint="default"/>
        </w:rPr>
        <w:t>1</w:t>
      </w:r>
      <w:r>
        <w:rPr>
          <w:rFonts w:ascii="宋体" w:hAnsi="宋体" w:cs="宋体" w:eastAsia="宋体" w:hint="default"/>
          <w:spacing w:val="-58"/>
        </w:rPr>
        <w:t> </w:t>
      </w:r>
      <w:r>
        <w:rPr/>
        <w:t>月，公司收到国家发展和改革委员会下发的《企业借用外债规模登记证明》</w:t>
      </w:r>
    </w:p>
    <w:p>
      <w:pPr>
        <w:pStyle w:val="BodyText"/>
        <w:spacing w:line="357" w:lineRule="auto" w:before="34"/>
        <w:ind w:left="218" w:right="353"/>
        <w:jc w:val="both"/>
      </w:pPr>
      <w:r>
        <w:rPr/>
        <w:t>（发改办外资备</w:t>
      </w:r>
      <w:r>
        <w:rPr>
          <w:rFonts w:ascii="宋体" w:hAnsi="宋体" w:cs="宋体" w:eastAsia="宋体" w:hint="default"/>
        </w:rPr>
        <w:t>[2017]18</w:t>
      </w:r>
      <w:r>
        <w:rPr>
          <w:rFonts w:ascii="宋体" w:hAnsi="宋体" w:cs="宋体" w:eastAsia="宋体" w:hint="default"/>
          <w:spacing w:val="2"/>
        </w:rPr>
        <w:t> </w:t>
      </w:r>
      <w:r>
        <w:rPr>
          <w:spacing w:val="-7"/>
        </w:rPr>
        <w:t>号）。</w:t>
      </w:r>
      <w:r>
        <w:rPr>
          <w:rFonts w:ascii="宋体" w:hAnsi="宋体" w:cs="宋体" w:eastAsia="宋体" w:hint="default"/>
          <w:spacing w:val="-7"/>
        </w:rPr>
        <w:t>2017</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1</w:t>
      </w:r>
      <w:r>
        <w:rPr>
          <w:rFonts w:ascii="宋体" w:hAnsi="宋体" w:cs="宋体" w:eastAsia="宋体" w:hint="default"/>
          <w:spacing w:val="-59"/>
        </w:rPr>
        <w:t> </w:t>
      </w:r>
      <w:r>
        <w:rPr>
          <w:spacing w:val="-4"/>
        </w:rPr>
        <w:t>日，新湖（</w:t>
      </w:r>
      <w:r>
        <w:rPr>
          <w:rFonts w:ascii="宋体" w:hAnsi="宋体" w:cs="宋体" w:eastAsia="宋体" w:hint="default"/>
          <w:spacing w:val="-4"/>
        </w:rPr>
        <w:t>BVI</w:t>
      </w:r>
      <w:r>
        <w:rPr>
          <w:spacing w:val="-4"/>
        </w:rPr>
        <w:t>）控股有限公司完成在</w:t>
      </w:r>
      <w:r>
        <w:rPr/>
        <w:t> 境外发行总额</w:t>
      </w:r>
      <w:r>
        <w:rPr>
          <w:spacing w:val="-84"/>
        </w:rPr>
        <w:t> </w:t>
      </w:r>
      <w:r>
        <w:rPr>
          <w:rFonts w:ascii="宋体" w:hAnsi="宋体" w:cs="宋体" w:eastAsia="宋体" w:hint="default"/>
        </w:rPr>
        <w:t>7</w:t>
      </w:r>
      <w:r>
        <w:rPr>
          <w:rFonts w:ascii="宋体" w:hAnsi="宋体" w:cs="宋体" w:eastAsia="宋体" w:hint="default"/>
          <w:spacing w:val="-83"/>
        </w:rPr>
        <w:t> </w:t>
      </w:r>
      <w:r>
        <w:rPr/>
        <w:t>亿美元的债券。债券由本公司提供无条件及不可撤销的跨境担保，票 面年利率为</w:t>
      </w:r>
      <w:r>
        <w:rPr>
          <w:spacing w:val="-57"/>
        </w:rPr>
        <w:t> </w:t>
      </w:r>
      <w:r>
        <w:rPr>
          <w:rFonts w:ascii="宋体" w:hAnsi="宋体" w:cs="宋体" w:eastAsia="宋体" w:hint="default"/>
          <w:spacing w:val="-6"/>
        </w:rPr>
        <w:t>6%</w:t>
      </w:r>
      <w:r>
        <w:rPr>
          <w:spacing w:val="-6"/>
        </w:rPr>
        <w:t>，发行价格为债券票面值的</w:t>
      </w:r>
      <w:r>
        <w:rPr>
          <w:spacing w:val="-57"/>
        </w:rPr>
        <w:t> </w:t>
      </w:r>
      <w:r>
        <w:rPr>
          <w:rFonts w:ascii="宋体" w:hAnsi="宋体" w:cs="宋体" w:eastAsia="宋体" w:hint="default"/>
          <w:spacing w:val="-6"/>
        </w:rPr>
        <w:t>99.595%</w:t>
      </w:r>
      <w:r>
        <w:rPr>
          <w:spacing w:val="-6"/>
        </w:rPr>
        <w:t>，实际利率为</w:t>
      </w:r>
      <w:r>
        <w:rPr>
          <w:spacing w:val="-57"/>
        </w:rPr>
        <w:t> </w:t>
      </w:r>
      <w:r>
        <w:rPr>
          <w:rFonts w:ascii="宋体" w:hAnsi="宋体" w:cs="宋体" w:eastAsia="宋体" w:hint="default"/>
          <w:spacing w:val="-9"/>
        </w:rPr>
        <w:t>6.15%</w:t>
      </w:r>
      <w:r>
        <w:rPr>
          <w:spacing w:val="-9"/>
        </w:rPr>
        <w:t>，期限为</w:t>
      </w:r>
      <w:r>
        <w:rPr>
          <w:spacing w:val="-57"/>
        </w:rPr>
        <w:t> </w:t>
      </w:r>
      <w:r>
        <w:rPr>
          <w:rFonts w:ascii="宋体" w:hAnsi="宋体" w:cs="宋体" w:eastAsia="宋体" w:hint="default"/>
        </w:rPr>
        <w:t>3</w:t>
      </w:r>
      <w:r>
        <w:rPr>
          <w:rFonts w:ascii="宋体" w:hAnsi="宋体" w:cs="宋体" w:eastAsia="宋体" w:hint="default"/>
          <w:spacing w:val="-57"/>
        </w:rPr>
        <w:t> </w:t>
      </w:r>
      <w:r>
        <w:rPr>
          <w:spacing w:val="-3"/>
        </w:rPr>
        <w:t>年。</w:t>
      </w:r>
      <w:r>
        <w:rPr/>
      </w:r>
    </w:p>
    <w:p>
      <w:pPr>
        <w:spacing w:after="0" w:line="357" w:lineRule="auto"/>
        <w:jc w:val="both"/>
        <w:sectPr>
          <w:pgSz w:w="11910" w:h="16840"/>
          <w:pgMar w:header="0" w:footer="1195" w:top="1120" w:bottom="1380" w:left="1580" w:right="920"/>
        </w:sectPr>
      </w:pPr>
    </w:p>
    <w:p>
      <w:pPr>
        <w:spacing w:line="240" w:lineRule="auto" w:before="5"/>
        <w:rPr>
          <w:rFonts w:ascii="宋体" w:hAnsi="宋体" w:cs="宋体" w:eastAsia="宋体" w:hint="default"/>
          <w:sz w:val="25"/>
          <w:szCs w:val="25"/>
        </w:rPr>
      </w:pPr>
    </w:p>
    <w:p>
      <w:pPr>
        <w:pStyle w:val="BodyText"/>
        <w:spacing w:line="357" w:lineRule="auto" w:before="26"/>
        <w:ind w:right="339"/>
        <w:jc w:val="left"/>
      </w:pPr>
      <w:r>
        <w:rPr/>
        <w:t>本次债券发行依据美国证券法</w:t>
      </w:r>
      <w:r>
        <w:rPr>
          <w:spacing w:val="-51"/>
        </w:rPr>
        <w:t> </w:t>
      </w:r>
      <w:r>
        <w:rPr>
          <w:rFonts w:ascii="宋体" w:hAnsi="宋体" w:cs="宋体" w:eastAsia="宋体" w:hint="default"/>
        </w:rPr>
        <w:t>S</w:t>
      </w:r>
      <w:r>
        <w:rPr>
          <w:rFonts w:ascii="宋体" w:hAnsi="宋体" w:cs="宋体" w:eastAsia="宋体" w:hint="default"/>
          <w:spacing w:val="-51"/>
        </w:rPr>
        <w:t> </w:t>
      </w:r>
      <w:r>
        <w:rPr>
          <w:spacing w:val="-3"/>
        </w:rPr>
        <w:t>规则向境外机构投资者发售，并在香港联合交易所上</w:t>
      </w:r>
      <w:r>
        <w:rPr/>
        <w:t> 市，上市日期为</w:t>
      </w:r>
      <w:r>
        <w:rPr>
          <w:spacing w:val="-61"/>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w:t>
      </w:r>
      <w:r>
        <w:rPr>
          <w:rFonts w:ascii="宋体" w:hAnsi="宋体" w:cs="宋体" w:eastAsia="宋体" w:hint="default"/>
          <w:spacing w:val="-60"/>
        </w:rPr>
        <w:t> </w:t>
      </w:r>
      <w:r>
        <w:rPr/>
        <w:t>日。</w:t>
      </w:r>
    </w:p>
    <w:p>
      <w:pPr>
        <w:pStyle w:val="BodyText"/>
        <w:spacing w:line="240" w:lineRule="auto" w:before="34"/>
        <w:ind w:left="618" w:right="102"/>
        <w:jc w:val="left"/>
      </w:pPr>
      <w:r>
        <w:rPr>
          <w:rFonts w:ascii="宋体" w:hAnsi="宋体" w:cs="宋体" w:eastAsia="宋体" w:hint="default"/>
        </w:rPr>
        <w:t>4. </w:t>
      </w:r>
      <w:r>
        <w:rPr/>
        <w:t>经公司第九届董事会第二十六次会议及公司</w:t>
      </w:r>
      <w:r>
        <w:rPr>
          <w:spacing w:val="-83"/>
        </w:rPr>
        <w:t> </w:t>
      </w:r>
      <w:r>
        <w:rPr>
          <w:rFonts w:ascii="宋体" w:hAnsi="宋体" w:cs="宋体" w:eastAsia="宋体" w:hint="default"/>
        </w:rPr>
        <w:t>2017</w:t>
      </w:r>
      <w:r>
        <w:rPr>
          <w:rFonts w:ascii="宋体" w:hAnsi="宋体" w:cs="宋体" w:eastAsia="宋体" w:hint="default"/>
          <w:spacing w:val="-84"/>
        </w:rPr>
        <w:t> </w:t>
      </w:r>
      <w:r>
        <w:rPr/>
        <w:t>年度第二次临时股东大会审</w:t>
      </w:r>
    </w:p>
    <w:p>
      <w:pPr>
        <w:pStyle w:val="BodyText"/>
        <w:spacing w:line="357" w:lineRule="auto" w:before="154"/>
        <w:ind w:left="618" w:right="102" w:hanging="480"/>
        <w:jc w:val="left"/>
      </w:pPr>
      <w:r>
        <w:rPr/>
        <w:t>议通过，股东大会授权公司可在不超过人民币</w:t>
      </w:r>
      <w:r>
        <w:rPr>
          <w:spacing w:val="-60"/>
        </w:rPr>
        <w:t> </w:t>
      </w:r>
      <w:r>
        <w:rPr>
          <w:rFonts w:ascii="宋体" w:hAnsi="宋体" w:cs="宋体" w:eastAsia="宋体" w:hint="default"/>
        </w:rPr>
        <w:t>90</w:t>
      </w:r>
      <w:r>
        <w:rPr>
          <w:rFonts w:ascii="宋体" w:hAnsi="宋体" w:cs="宋体" w:eastAsia="宋体" w:hint="default"/>
          <w:spacing w:val="-61"/>
        </w:rPr>
        <w:t> </w:t>
      </w:r>
      <w:r>
        <w:rPr/>
        <w:t>亿元的范围内发行债务融资工具。 </w:t>
      </w:r>
      <w:r>
        <w:rPr>
          <w:spacing w:val="-2"/>
        </w:rPr>
        <w:t>根据公司收到中国银行间市场交易商协会出具的《接受注册通知书》（中市协注</w:t>
      </w:r>
    </w:p>
    <w:p>
      <w:pPr>
        <w:pStyle w:val="BodyText"/>
        <w:spacing w:line="240" w:lineRule="auto" w:before="34"/>
        <w:ind w:right="102"/>
        <w:jc w:val="left"/>
        <w:rPr>
          <w:rFonts w:ascii="宋体" w:hAnsi="宋体" w:cs="宋体" w:eastAsia="宋体" w:hint="default"/>
        </w:rPr>
      </w:pPr>
      <w:r>
        <w:rPr>
          <w:spacing w:val="-3"/>
        </w:rPr>
        <w:t>【</w:t>
      </w:r>
      <w:r>
        <w:rPr>
          <w:rFonts w:ascii="宋体" w:hAnsi="宋体" w:cs="宋体" w:eastAsia="宋体" w:hint="default"/>
          <w:spacing w:val="-3"/>
        </w:rPr>
        <w:t>2016</w:t>
      </w:r>
      <w:r>
        <w:rPr>
          <w:spacing w:val="-3"/>
        </w:rPr>
        <w:t>】</w:t>
      </w:r>
      <w:r>
        <w:rPr>
          <w:rFonts w:ascii="宋体" w:hAnsi="宋体" w:cs="宋体" w:eastAsia="宋体" w:hint="default"/>
          <w:spacing w:val="-3"/>
        </w:rPr>
        <w:t>MTN173</w:t>
      </w:r>
      <w:r>
        <w:rPr>
          <w:rFonts w:ascii="宋体" w:hAnsi="宋体" w:cs="宋体" w:eastAsia="宋体" w:hint="default"/>
          <w:spacing w:val="-57"/>
        </w:rPr>
        <w:t> </w:t>
      </w:r>
      <w:r>
        <w:rPr>
          <w:spacing w:val="-3"/>
        </w:rPr>
        <w:t>号），公司可在注册有效期内分期发行中期票据</w:t>
      </w:r>
      <w:r>
        <w:rPr>
          <w:spacing w:val="-56"/>
        </w:rPr>
        <w:t> </w:t>
      </w:r>
      <w:r>
        <w:rPr>
          <w:rFonts w:ascii="宋体" w:hAnsi="宋体" w:cs="宋体" w:eastAsia="宋体" w:hint="default"/>
        </w:rPr>
        <w:t>33</w:t>
      </w:r>
      <w:r>
        <w:rPr>
          <w:rFonts w:ascii="宋体" w:hAnsi="宋体" w:cs="宋体" w:eastAsia="宋体" w:hint="default"/>
          <w:spacing w:val="-57"/>
        </w:rPr>
        <w:t> </w:t>
      </w:r>
      <w:r>
        <w:rPr>
          <w:spacing w:val="-4"/>
        </w:rPr>
        <w:t>亿元。</w:t>
      </w:r>
      <w:r>
        <w:rPr>
          <w:rFonts w:ascii="宋体" w:hAnsi="宋体" w:cs="宋体" w:eastAsia="宋体" w:hint="default"/>
          <w:spacing w:val="-4"/>
        </w:rPr>
        <w:t>2017</w:t>
      </w:r>
      <w:r>
        <w:rPr>
          <w:rFonts w:ascii="宋体" w:hAnsi="宋体" w:cs="宋体" w:eastAsia="宋体" w:hint="default"/>
          <w:spacing w:val="-57"/>
        </w:rPr>
        <w:t> </w:t>
      </w:r>
      <w:r>
        <w:rPr/>
        <w:t>年</w:t>
      </w:r>
      <w:r>
        <w:rPr>
          <w:spacing w:val="-57"/>
        </w:rPr>
        <w:t> </w:t>
      </w:r>
      <w:r>
        <w:rPr>
          <w:rFonts w:ascii="宋体" w:hAnsi="宋体" w:cs="宋体" w:eastAsia="宋体" w:hint="default"/>
        </w:rPr>
        <w:t>11</w:t>
      </w:r>
    </w:p>
    <w:p>
      <w:pPr>
        <w:pStyle w:val="BodyText"/>
        <w:spacing w:line="240" w:lineRule="auto" w:before="154"/>
        <w:ind w:right="102"/>
        <w:jc w:val="left"/>
      </w:pPr>
      <w:r>
        <w:rPr/>
        <w:t>月，公司发行了“新湖中宝股份有限公司</w:t>
      </w:r>
      <w:r>
        <w:rPr>
          <w:spacing w:val="-61"/>
        </w:rPr>
        <w:t> </w:t>
      </w:r>
      <w:r>
        <w:rPr>
          <w:rFonts w:ascii="宋体" w:hAnsi="宋体" w:cs="宋体" w:eastAsia="宋体" w:hint="default"/>
        </w:rPr>
        <w:t>2017</w:t>
      </w:r>
      <w:r>
        <w:rPr>
          <w:rFonts w:ascii="宋体" w:hAnsi="宋体" w:cs="宋体" w:eastAsia="宋体" w:hint="default"/>
          <w:spacing w:val="-61"/>
        </w:rPr>
        <w:t> </w:t>
      </w:r>
      <w:r>
        <w:rPr/>
        <w:t>年度第一期中期票据”，实际发行总</w:t>
      </w:r>
    </w:p>
    <w:p>
      <w:pPr>
        <w:pStyle w:val="BodyText"/>
        <w:spacing w:line="240" w:lineRule="auto" w:before="152"/>
        <w:ind w:right="102"/>
        <w:jc w:val="left"/>
      </w:pPr>
      <w:r>
        <w:rPr/>
        <w:t>额</w:t>
      </w:r>
      <w:r>
        <w:rPr>
          <w:spacing w:val="-61"/>
        </w:rPr>
        <w:t> </w:t>
      </w:r>
      <w:r>
        <w:rPr>
          <w:rFonts w:ascii="宋体" w:hAnsi="宋体" w:cs="宋体" w:eastAsia="宋体" w:hint="default"/>
        </w:rPr>
        <w:t>10</w:t>
      </w:r>
      <w:r>
        <w:rPr>
          <w:rFonts w:ascii="宋体" w:hAnsi="宋体" w:cs="宋体" w:eastAsia="宋体" w:hint="default"/>
          <w:spacing w:val="-60"/>
        </w:rPr>
        <w:t> </w:t>
      </w:r>
      <w:r>
        <w:rPr/>
        <w:t>亿元，期限</w:t>
      </w:r>
      <w:r>
        <w:rPr>
          <w:spacing w:val="-60"/>
        </w:rPr>
        <w:t> </w:t>
      </w:r>
      <w:r>
        <w:rPr>
          <w:rFonts w:ascii="宋体" w:hAnsi="宋体" w:cs="宋体" w:eastAsia="宋体" w:hint="default"/>
        </w:rPr>
        <w:t>3</w:t>
      </w:r>
      <w:r>
        <w:rPr>
          <w:rFonts w:ascii="宋体" w:hAnsi="宋体" w:cs="宋体" w:eastAsia="宋体" w:hint="default"/>
          <w:spacing w:val="-60"/>
        </w:rPr>
        <w:t> </w:t>
      </w:r>
      <w:r>
        <w:rPr/>
        <w:t>年，起息日为</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7</w:t>
      </w:r>
      <w:r>
        <w:rPr>
          <w:rFonts w:ascii="宋体" w:hAnsi="宋体" w:cs="宋体" w:eastAsia="宋体" w:hint="default"/>
          <w:spacing w:val="-60"/>
        </w:rPr>
        <w:t> </w:t>
      </w:r>
      <w:r>
        <w:rPr/>
        <w:t>日，发行利率为</w:t>
      </w:r>
      <w:r>
        <w:rPr>
          <w:spacing w:val="-60"/>
        </w:rPr>
        <w:t> </w:t>
      </w:r>
      <w:r>
        <w:rPr>
          <w:rFonts w:ascii="宋体" w:hAnsi="宋体" w:cs="宋体" w:eastAsia="宋体" w:hint="default"/>
        </w:rPr>
        <w:t>6.8%</w:t>
      </w:r>
      <w:r>
        <w:rPr/>
        <w:t>，发行价格为</w:t>
      </w:r>
    </w:p>
    <w:p>
      <w:pPr>
        <w:pStyle w:val="BodyText"/>
        <w:spacing w:line="240" w:lineRule="auto" w:before="154"/>
        <w:ind w:right="102"/>
        <w:jc w:val="left"/>
      </w:pPr>
      <w:r>
        <w:rPr>
          <w:rFonts w:ascii="宋体" w:hAnsi="宋体" w:cs="宋体" w:eastAsia="宋体" w:hint="default"/>
        </w:rPr>
        <w:t>100</w:t>
      </w:r>
      <w:r>
        <w:rPr>
          <w:rFonts w:ascii="宋体" w:hAnsi="宋体" w:cs="宋体" w:eastAsia="宋体" w:hint="default"/>
          <w:spacing w:val="-61"/>
        </w:rPr>
        <w:t> </w:t>
      </w:r>
      <w:r>
        <w:rPr/>
        <w:t>元。</w:t>
      </w:r>
    </w:p>
    <w:p>
      <w:pPr>
        <w:pStyle w:val="BodyText"/>
        <w:spacing w:line="357" w:lineRule="auto" w:before="151"/>
        <w:ind w:right="352" w:firstLine="479"/>
        <w:jc w:val="both"/>
      </w:pP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月，公司收到上海证券交易所《关于对平安</w:t>
      </w:r>
      <w:r>
        <w:rPr>
          <w:rFonts w:ascii="宋体" w:hAnsi="宋体" w:cs="宋体" w:eastAsia="宋体" w:hint="default"/>
        </w:rPr>
        <w:t>-</w:t>
      </w:r>
      <w:r>
        <w:rPr/>
        <w:t>新湖中宝购房尾款资产支 持证券挂牌转让无异议的函》（上证函</w:t>
      </w:r>
      <w:r>
        <w:rPr>
          <w:rFonts w:ascii="宋体" w:hAnsi="宋体" w:cs="宋体" w:eastAsia="宋体" w:hint="default"/>
        </w:rPr>
        <w:t>[2017]679 </w:t>
      </w:r>
      <w:r>
        <w:rPr/>
        <w:t>号）。</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月，公司通过平 安证券发起设立的“平安</w:t>
      </w:r>
      <w:r>
        <w:rPr>
          <w:rFonts w:ascii="宋体" w:hAnsi="宋体" w:cs="宋体" w:eastAsia="宋体" w:hint="default"/>
        </w:rPr>
        <w:t>-</w:t>
      </w:r>
      <w:r>
        <w:rPr/>
        <w:t>新湖中宝购房尾款资产支持专项计划”获得认购并正式成 立，发行规模</w:t>
      </w:r>
      <w:r>
        <w:rPr>
          <w:spacing w:val="-63"/>
        </w:rPr>
        <w:t> </w:t>
      </w:r>
      <w:r>
        <w:rPr>
          <w:rFonts w:ascii="宋体" w:hAnsi="宋体" w:cs="宋体" w:eastAsia="宋体" w:hint="default"/>
        </w:rPr>
        <w:t>15</w:t>
      </w:r>
      <w:r>
        <w:rPr>
          <w:rFonts w:ascii="宋体" w:hAnsi="宋体" w:cs="宋体" w:eastAsia="宋体" w:hint="default"/>
          <w:spacing w:val="-62"/>
        </w:rPr>
        <w:t> </w:t>
      </w:r>
      <w:r>
        <w:rPr>
          <w:spacing w:val="-3"/>
        </w:rPr>
        <w:t>亿，期限</w:t>
      </w:r>
      <w:r>
        <w:rPr>
          <w:spacing w:val="-62"/>
        </w:rPr>
        <w:t> </w:t>
      </w:r>
      <w:r>
        <w:rPr>
          <w:rFonts w:ascii="宋体" w:hAnsi="宋体" w:cs="宋体" w:eastAsia="宋体" w:hint="default"/>
        </w:rPr>
        <w:t>2+1</w:t>
      </w:r>
      <w:r>
        <w:rPr>
          <w:rFonts w:ascii="宋体" w:hAnsi="宋体" w:cs="宋体" w:eastAsia="宋体" w:hint="default"/>
          <w:spacing w:val="-62"/>
        </w:rPr>
        <w:t> </w:t>
      </w:r>
      <w:r>
        <w:rPr/>
        <w:t>年，起息日为</w:t>
      </w:r>
      <w:r>
        <w:rPr>
          <w:spacing w:val="-62"/>
        </w:rPr>
        <w:t> </w:t>
      </w:r>
      <w:r>
        <w:rPr>
          <w:rFonts w:ascii="宋体" w:hAnsi="宋体" w:cs="宋体" w:eastAsia="宋体" w:hint="default"/>
        </w:rPr>
        <w:t>2017</w:t>
      </w:r>
      <w:r>
        <w:rPr>
          <w:rFonts w:ascii="宋体" w:hAnsi="宋体" w:cs="宋体" w:eastAsia="宋体" w:hint="default"/>
          <w:spacing w:val="-62"/>
        </w:rPr>
        <w:t> </w:t>
      </w:r>
      <w:r>
        <w:rPr/>
        <w:t>年</w:t>
      </w:r>
      <w:r>
        <w:rPr>
          <w:spacing w:val="-62"/>
        </w:rPr>
        <w:t> </w:t>
      </w:r>
      <w:r>
        <w:rPr>
          <w:rFonts w:ascii="宋体" w:hAnsi="宋体" w:cs="宋体" w:eastAsia="宋体" w:hint="default"/>
        </w:rPr>
        <w:t>11</w:t>
      </w:r>
      <w:r>
        <w:rPr>
          <w:rFonts w:ascii="宋体" w:hAnsi="宋体" w:cs="宋体" w:eastAsia="宋体" w:hint="default"/>
          <w:spacing w:val="-62"/>
        </w:rPr>
        <w:t> </w:t>
      </w:r>
      <w:r>
        <w:rPr/>
        <w:t>月</w:t>
      </w:r>
      <w:r>
        <w:rPr>
          <w:spacing w:val="-62"/>
        </w:rPr>
        <w:t> </w:t>
      </w:r>
      <w:r>
        <w:rPr>
          <w:rFonts w:ascii="宋体" w:hAnsi="宋体" w:cs="宋体" w:eastAsia="宋体" w:hint="default"/>
        </w:rPr>
        <w:t>29</w:t>
      </w:r>
      <w:r>
        <w:rPr>
          <w:rFonts w:ascii="宋体" w:hAnsi="宋体" w:cs="宋体" w:eastAsia="宋体" w:hint="default"/>
          <w:spacing w:val="-62"/>
        </w:rPr>
        <w:t> </w:t>
      </w:r>
      <w:r>
        <w:rPr>
          <w:spacing w:val="-3"/>
        </w:rPr>
        <w:t>日。其中：优先</w:t>
      </w:r>
      <w:r>
        <w:rPr>
          <w:spacing w:val="-62"/>
        </w:rPr>
        <w:t> </w:t>
      </w:r>
      <w:r>
        <w:rPr>
          <w:rFonts w:ascii="宋体" w:hAnsi="宋体" w:cs="宋体" w:eastAsia="宋体" w:hint="default"/>
        </w:rPr>
        <w:t>A</w:t>
      </w:r>
      <w:r>
        <w:rPr>
          <w:rFonts w:ascii="宋体" w:hAnsi="宋体" w:cs="宋体" w:eastAsia="宋体" w:hint="default"/>
          <w:spacing w:val="-62"/>
        </w:rPr>
        <w:t> </w:t>
      </w:r>
      <w:r>
        <w:rPr/>
        <w:t>级资 产支持证券</w:t>
      </w:r>
      <w:r>
        <w:rPr>
          <w:spacing w:val="-65"/>
        </w:rPr>
        <w:t> </w:t>
      </w:r>
      <w:r>
        <w:rPr>
          <w:rFonts w:ascii="宋体" w:hAnsi="宋体" w:cs="宋体" w:eastAsia="宋体" w:hint="default"/>
        </w:rPr>
        <w:t>9.75</w:t>
      </w:r>
      <w:r>
        <w:rPr>
          <w:rFonts w:ascii="宋体" w:hAnsi="宋体" w:cs="宋体" w:eastAsia="宋体" w:hint="default"/>
          <w:spacing w:val="-64"/>
        </w:rPr>
        <w:t> </w:t>
      </w:r>
      <w:r>
        <w:rPr/>
        <w:t>亿元，预期收益率为</w:t>
      </w:r>
      <w:r>
        <w:rPr>
          <w:spacing w:val="-64"/>
        </w:rPr>
        <w:t> </w:t>
      </w:r>
      <w:r>
        <w:rPr>
          <w:rFonts w:ascii="宋体" w:hAnsi="宋体" w:cs="宋体" w:eastAsia="宋体" w:hint="default"/>
        </w:rPr>
        <w:t>6.1%</w:t>
      </w:r>
      <w:r>
        <w:rPr/>
        <w:t>；优先</w:t>
      </w:r>
      <w:r>
        <w:rPr>
          <w:spacing w:val="-7"/>
        </w:rPr>
        <w:t> </w:t>
      </w:r>
      <w:r>
        <w:rPr>
          <w:rFonts w:ascii="宋体" w:hAnsi="宋体" w:cs="宋体" w:eastAsia="宋体" w:hint="default"/>
        </w:rPr>
        <w:t>B</w:t>
      </w:r>
      <w:r>
        <w:rPr>
          <w:rFonts w:ascii="宋体" w:hAnsi="宋体" w:cs="宋体" w:eastAsia="宋体" w:hint="default"/>
          <w:spacing w:val="-64"/>
        </w:rPr>
        <w:t> </w:t>
      </w:r>
      <w:r>
        <w:rPr/>
        <w:t>级资产支持证券</w:t>
      </w:r>
      <w:r>
        <w:rPr>
          <w:spacing w:val="-64"/>
        </w:rPr>
        <w:t> </w:t>
      </w:r>
      <w:r>
        <w:rPr>
          <w:rFonts w:ascii="宋体" w:hAnsi="宋体" w:cs="宋体" w:eastAsia="宋体" w:hint="default"/>
        </w:rPr>
        <w:t>4.5</w:t>
      </w:r>
      <w:r>
        <w:rPr>
          <w:rFonts w:ascii="宋体" w:hAnsi="宋体" w:cs="宋体" w:eastAsia="宋体" w:hint="default"/>
          <w:spacing w:val="-64"/>
        </w:rPr>
        <w:t> </w:t>
      </w:r>
      <w:r>
        <w:rPr>
          <w:spacing w:val="-4"/>
        </w:rPr>
        <w:t>亿元，预期</w:t>
      </w:r>
      <w:r>
        <w:rPr/>
        <w:t> 收益率为</w:t>
      </w:r>
      <w:r>
        <w:rPr>
          <w:spacing w:val="-61"/>
        </w:rPr>
        <w:t> </w:t>
      </w:r>
      <w:r>
        <w:rPr>
          <w:rFonts w:ascii="宋体" w:hAnsi="宋体" w:cs="宋体" w:eastAsia="宋体" w:hint="default"/>
        </w:rPr>
        <w:t>6.6%</w:t>
      </w:r>
      <w:r>
        <w:rPr/>
        <w:t>；次级资产支持证券</w:t>
      </w:r>
      <w:r>
        <w:rPr>
          <w:spacing w:val="-60"/>
        </w:rPr>
        <w:t> </w:t>
      </w:r>
      <w:r>
        <w:rPr>
          <w:rFonts w:ascii="宋体" w:hAnsi="宋体" w:cs="宋体" w:eastAsia="宋体" w:hint="default"/>
        </w:rPr>
        <w:t>0.75</w:t>
      </w:r>
      <w:r>
        <w:rPr>
          <w:rFonts w:ascii="宋体" w:hAnsi="宋体" w:cs="宋体" w:eastAsia="宋体" w:hint="default"/>
          <w:spacing w:val="-60"/>
        </w:rPr>
        <w:t> </w:t>
      </w:r>
      <w:r>
        <w:rPr/>
        <w:t>亿元。</w:t>
      </w:r>
    </w:p>
    <w:p>
      <w:pPr>
        <w:pStyle w:val="BodyText"/>
        <w:spacing w:line="357" w:lineRule="auto" w:before="34"/>
        <w:ind w:right="352" w:firstLine="479"/>
        <w:jc w:val="both"/>
      </w:pPr>
      <w:r>
        <w:rPr>
          <w:rFonts w:ascii="宋体" w:hAnsi="宋体" w:cs="宋体" w:eastAsia="宋体" w:hint="default"/>
        </w:rPr>
        <w:t>5. </w:t>
      </w:r>
      <w:r>
        <w:rPr/>
        <w:t>经公司第九届董事会第二十三次会议及公司</w:t>
      </w:r>
      <w:r>
        <w:rPr>
          <w:spacing w:val="-83"/>
        </w:rPr>
        <w:t> </w:t>
      </w:r>
      <w:r>
        <w:rPr>
          <w:rFonts w:ascii="宋体" w:hAnsi="宋体" w:cs="宋体" w:eastAsia="宋体" w:hint="default"/>
        </w:rPr>
        <w:t>2016</w:t>
      </w:r>
      <w:r>
        <w:rPr>
          <w:rFonts w:ascii="宋体" w:hAnsi="宋体" w:cs="宋体" w:eastAsia="宋体" w:hint="default"/>
          <w:spacing w:val="-84"/>
        </w:rPr>
        <w:t> </w:t>
      </w:r>
      <w:r>
        <w:rPr/>
        <w:t>年第七次临时股东大会审议 </w:t>
      </w:r>
      <w:r>
        <w:rPr>
          <w:spacing w:val="-2"/>
        </w:rPr>
        <w:t>通过，且经中国银监会浙江银监局的《中国银监会浙江银监局关于温州银行股东资格</w:t>
      </w:r>
      <w:r>
        <w:rPr>
          <w:spacing w:val="-94"/>
        </w:rPr>
        <w:t> </w:t>
      </w:r>
      <w:r>
        <w:rPr>
          <w:spacing w:val="-94"/>
        </w:rPr>
      </w:r>
      <w:r>
        <w:rPr/>
        <w:t>的批复》（浙银监复</w:t>
      </w:r>
      <w:r>
        <w:rPr>
          <w:rFonts w:ascii="宋体" w:hAnsi="宋体" w:cs="宋体" w:eastAsia="宋体" w:hint="default"/>
        </w:rPr>
        <w:t>[2017]160</w:t>
      </w:r>
      <w:r>
        <w:rPr>
          <w:rFonts w:ascii="宋体" w:hAnsi="宋体" w:cs="宋体" w:eastAsia="宋体" w:hint="default"/>
          <w:spacing w:val="-60"/>
        </w:rPr>
        <w:t> </w:t>
      </w:r>
      <w:r>
        <w:rPr/>
        <w:t>号）批复同意，本公司入股温州银行</w:t>
      </w:r>
      <w:r>
        <w:rPr>
          <w:spacing w:val="-59"/>
        </w:rPr>
        <w:t> </w:t>
      </w:r>
      <w:r>
        <w:rPr>
          <w:rFonts w:ascii="宋体" w:hAnsi="宋体" w:cs="宋体" w:eastAsia="宋体" w:hint="default"/>
        </w:rPr>
        <w:t>187,793,597</w:t>
      </w:r>
      <w:r>
        <w:rPr>
          <w:rFonts w:ascii="宋体" w:hAnsi="宋体" w:cs="宋体" w:eastAsia="宋体" w:hint="default"/>
          <w:spacing w:val="-60"/>
        </w:rPr>
        <w:t> </w:t>
      </w:r>
      <w:r>
        <w:rPr/>
        <w:t>股 股份，入股后合计持有温州银行</w:t>
      </w:r>
      <w:r>
        <w:rPr>
          <w:spacing w:val="-84"/>
        </w:rPr>
        <w:t> </w:t>
      </w:r>
      <w:r>
        <w:rPr>
          <w:rFonts w:ascii="宋体" w:hAnsi="宋体" w:cs="宋体" w:eastAsia="宋体" w:hint="default"/>
        </w:rPr>
        <w:t>537,793,597</w:t>
      </w:r>
      <w:r>
        <w:rPr>
          <w:rFonts w:ascii="宋体" w:hAnsi="宋体" w:cs="宋体" w:eastAsia="宋体" w:hint="default"/>
          <w:spacing w:val="-84"/>
        </w:rPr>
        <w:t> </w:t>
      </w:r>
      <w:r>
        <w:rPr/>
        <w:t>股股份，占温州银行增资扩股后总股本</w:t>
      </w:r>
    </w:p>
    <w:p>
      <w:pPr>
        <w:pStyle w:val="BodyText"/>
        <w:spacing w:line="355" w:lineRule="auto" w:before="36"/>
        <w:ind w:right="409"/>
        <w:jc w:val="left"/>
      </w:pPr>
      <w:r>
        <w:rPr/>
        <w:t>的</w:t>
      </w:r>
      <w:r>
        <w:rPr>
          <w:spacing w:val="-61"/>
        </w:rPr>
        <w:t> </w:t>
      </w:r>
      <w:r>
        <w:rPr>
          <w:rFonts w:ascii="宋体" w:hAnsi="宋体" w:cs="宋体" w:eastAsia="宋体" w:hint="default"/>
        </w:rPr>
        <w:t>18.15%</w:t>
      </w:r>
      <w:r>
        <w:rPr/>
        <w:t>。本期公司已支付投资款</w:t>
      </w:r>
      <w:r>
        <w:rPr>
          <w:spacing w:val="-60"/>
        </w:rPr>
        <w:t> </w:t>
      </w:r>
      <w:r>
        <w:rPr>
          <w:rFonts w:ascii="宋体" w:hAnsi="宋体" w:cs="宋体" w:eastAsia="宋体" w:hint="default"/>
        </w:rPr>
        <w:t>743,662,644.12</w:t>
      </w:r>
      <w:r>
        <w:rPr>
          <w:rFonts w:ascii="宋体" w:hAnsi="宋体" w:cs="宋体" w:eastAsia="宋体" w:hint="default"/>
          <w:spacing w:val="-60"/>
        </w:rPr>
        <w:t> </w:t>
      </w:r>
      <w:r>
        <w:rPr/>
        <w:t>元，</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11</w:t>
      </w:r>
      <w:r>
        <w:rPr>
          <w:rFonts w:ascii="宋体" w:hAnsi="宋体" w:cs="宋体" w:eastAsia="宋体" w:hint="default"/>
          <w:spacing w:val="-60"/>
        </w:rPr>
        <w:t> </w:t>
      </w:r>
      <w:r>
        <w:rPr/>
        <w:t>日，相关工 商变更登记手续已完成。</w:t>
      </w:r>
    </w:p>
    <w:p>
      <w:pPr>
        <w:pStyle w:val="BodyText"/>
        <w:spacing w:line="240" w:lineRule="auto" w:before="39"/>
        <w:ind w:left="618" w:right="102"/>
        <w:jc w:val="left"/>
      </w:pPr>
      <w:r>
        <w:rPr>
          <w:rFonts w:ascii="宋体" w:hAnsi="宋体" w:cs="宋体" w:eastAsia="宋体" w:hint="default"/>
        </w:rPr>
        <w:t>6.</w:t>
      </w:r>
      <w:r>
        <w:rPr>
          <w:rFonts w:ascii="宋体" w:hAnsi="宋体" w:cs="宋体" w:eastAsia="宋体" w:hint="default"/>
          <w:spacing w:val="1"/>
        </w:rPr>
        <w:t> </w:t>
      </w:r>
      <w:r>
        <w:rPr/>
        <w:t>经公司第九届董事会第二十五次会议审议通过，公司参股设立宁波钱潮涌鑫</w:t>
      </w:r>
    </w:p>
    <w:p>
      <w:pPr>
        <w:pStyle w:val="BodyText"/>
        <w:spacing w:line="240" w:lineRule="auto" w:before="151"/>
        <w:ind w:right="102"/>
        <w:jc w:val="left"/>
      </w:pPr>
      <w:r>
        <w:rPr/>
        <w:t>投资管理合伙企业（有限合伙），同时认缴出资额</w:t>
      </w:r>
      <w:r>
        <w:rPr>
          <w:spacing w:val="-60"/>
        </w:rPr>
        <w:t> </w:t>
      </w:r>
      <w:r>
        <w:rPr>
          <w:rFonts w:ascii="宋体" w:hAnsi="宋体" w:cs="宋体" w:eastAsia="宋体" w:hint="default"/>
        </w:rPr>
        <w:t>20</w:t>
      </w:r>
      <w:r>
        <w:rPr>
          <w:rFonts w:ascii="宋体" w:hAnsi="宋体" w:cs="宋体" w:eastAsia="宋体" w:hint="default"/>
          <w:spacing w:val="-60"/>
        </w:rPr>
        <w:t> </w:t>
      </w:r>
      <w:r>
        <w:rPr/>
        <w:t>亿元人民币联合发起设立浙江</w:t>
      </w:r>
    </w:p>
    <w:p>
      <w:pPr>
        <w:pStyle w:val="BodyText"/>
        <w:spacing w:line="240" w:lineRule="auto" w:before="154"/>
        <w:ind w:right="102"/>
        <w:jc w:val="left"/>
      </w:pPr>
      <w:r>
        <w:rPr/>
        <w:t>浙商产融投资合伙企业（有限合伙）。本公司已完成出资</w:t>
      </w:r>
      <w:r>
        <w:rPr>
          <w:spacing w:val="-60"/>
        </w:rPr>
        <w:t> </w:t>
      </w:r>
      <w:r>
        <w:rPr>
          <w:rFonts w:ascii="宋体" w:hAnsi="宋体" w:cs="宋体" w:eastAsia="宋体" w:hint="default"/>
        </w:rPr>
        <w:t>20</w:t>
      </w:r>
      <w:r>
        <w:rPr>
          <w:rFonts w:ascii="宋体" w:hAnsi="宋体" w:cs="宋体" w:eastAsia="宋体" w:hint="default"/>
          <w:spacing w:val="-60"/>
        </w:rPr>
        <w:t> </w:t>
      </w:r>
      <w:r>
        <w:rPr/>
        <w:t>亿元。</w:t>
      </w:r>
    </w:p>
    <w:p>
      <w:pPr>
        <w:pStyle w:val="BodyText"/>
        <w:spacing w:line="240" w:lineRule="auto" w:before="151"/>
        <w:ind w:left="618" w:right="0"/>
        <w:jc w:val="left"/>
      </w:pPr>
      <w:r>
        <w:rPr>
          <w:rFonts w:ascii="宋体" w:hAnsi="宋体" w:cs="宋体" w:eastAsia="宋体" w:hint="default"/>
        </w:rPr>
        <w:t>7. </w:t>
      </w:r>
      <w:r>
        <w:rPr/>
        <w:t>经公司第九届董事会第三十二次会议和</w:t>
      </w:r>
      <w:r>
        <w:rPr>
          <w:spacing w:val="-83"/>
        </w:rPr>
        <w:t> </w:t>
      </w:r>
      <w:r>
        <w:rPr>
          <w:rFonts w:ascii="宋体" w:hAnsi="宋体" w:cs="宋体" w:eastAsia="宋体" w:hint="default"/>
        </w:rPr>
        <w:t>2017</w:t>
      </w:r>
      <w:r>
        <w:rPr>
          <w:rFonts w:ascii="宋体" w:hAnsi="宋体" w:cs="宋体" w:eastAsia="宋体" w:hint="default"/>
          <w:spacing w:val="-84"/>
        </w:rPr>
        <w:t> </w:t>
      </w:r>
      <w:r>
        <w:rPr/>
        <w:t>年第四次临时股东大会审议通过，</w:t>
      </w:r>
    </w:p>
    <w:p>
      <w:pPr>
        <w:pStyle w:val="BodyText"/>
        <w:spacing w:line="240" w:lineRule="auto" w:before="154"/>
        <w:ind w:right="102"/>
        <w:jc w:val="left"/>
        <w:rPr>
          <w:rFonts w:ascii="宋体" w:hAnsi="宋体" w:cs="宋体" w:eastAsia="宋体" w:hint="default"/>
        </w:rPr>
      </w:pPr>
      <w:r>
        <w:rPr/>
        <w:t>公司通过境外全资子公司香港冠盛参与信银国际的增资扩股，以</w:t>
      </w:r>
      <w:r>
        <w:rPr>
          <w:spacing w:val="-60"/>
        </w:rPr>
        <w:t> </w:t>
      </w:r>
      <w:r>
        <w:rPr>
          <w:rFonts w:ascii="宋体" w:hAnsi="宋体" w:cs="宋体" w:eastAsia="宋体" w:hint="default"/>
        </w:rPr>
        <w:t>2,172,735,209.06</w:t>
      </w:r>
    </w:p>
    <w:p>
      <w:pPr>
        <w:pStyle w:val="BodyText"/>
        <w:spacing w:line="357" w:lineRule="auto" w:before="151"/>
        <w:ind w:right="341"/>
        <w:jc w:val="left"/>
      </w:pPr>
      <w:r>
        <w:rPr/>
        <w:t>港元认购信银国际新增股份</w:t>
      </w:r>
      <w:r>
        <w:rPr>
          <w:spacing w:val="-59"/>
        </w:rPr>
        <w:t> </w:t>
      </w:r>
      <w:r>
        <w:rPr>
          <w:rFonts w:ascii="宋体" w:hAnsi="宋体" w:cs="宋体" w:eastAsia="宋体" w:hint="default"/>
        </w:rPr>
        <w:t>726,667,294</w:t>
      </w:r>
      <w:r>
        <w:rPr>
          <w:rFonts w:ascii="宋体" w:hAnsi="宋体" w:cs="宋体" w:eastAsia="宋体" w:hint="default"/>
          <w:spacing w:val="-59"/>
        </w:rPr>
        <w:t> </w:t>
      </w:r>
      <w:r>
        <w:rPr>
          <w:spacing w:val="-4"/>
        </w:rPr>
        <w:t>股，认购价格</w:t>
      </w:r>
      <w:r>
        <w:rPr>
          <w:spacing w:val="-59"/>
        </w:rPr>
        <w:t> </w:t>
      </w:r>
      <w:r>
        <w:rPr>
          <w:rFonts w:ascii="宋体" w:hAnsi="宋体" w:cs="宋体" w:eastAsia="宋体" w:hint="default"/>
        </w:rPr>
        <w:t>2.99</w:t>
      </w:r>
      <w:r>
        <w:rPr>
          <w:rFonts w:ascii="宋体" w:hAnsi="宋体" w:cs="宋体" w:eastAsia="宋体" w:hint="default"/>
          <w:spacing w:val="-59"/>
        </w:rPr>
        <w:t> </w:t>
      </w:r>
      <w:r>
        <w:rPr>
          <w:spacing w:val="-3"/>
        </w:rPr>
        <w:t>港元</w:t>
      </w:r>
      <w:r>
        <w:rPr>
          <w:rFonts w:ascii="宋体" w:hAnsi="宋体" w:cs="宋体" w:eastAsia="宋体" w:hint="default"/>
          <w:spacing w:val="-3"/>
        </w:rPr>
        <w:t>/</w:t>
      </w:r>
      <w:r>
        <w:rPr>
          <w:spacing w:val="-3"/>
        </w:rPr>
        <w:t>股，占其本轮增资</w:t>
      </w:r>
      <w:r>
        <w:rPr/>
        <w:t> 完成后总股本的</w:t>
      </w:r>
      <w:r>
        <w:rPr>
          <w:spacing w:val="-61"/>
        </w:rPr>
        <w:t> </w:t>
      </w:r>
      <w:r>
        <w:rPr>
          <w:rFonts w:ascii="宋体" w:hAnsi="宋体" w:cs="宋体" w:eastAsia="宋体" w:hint="default"/>
        </w:rPr>
        <w:t>6%</w:t>
      </w:r>
      <w:r>
        <w:rPr/>
        <w:t>。期内，该增资事项已完成。</w:t>
      </w:r>
    </w:p>
    <w:p>
      <w:pPr>
        <w:pStyle w:val="BodyText"/>
        <w:spacing w:line="240" w:lineRule="auto" w:before="34"/>
        <w:ind w:left="618" w:right="102"/>
        <w:jc w:val="left"/>
      </w:pPr>
      <w:r>
        <w:rPr>
          <w:rFonts w:ascii="宋体" w:hAnsi="宋体" w:cs="宋体" w:eastAsia="宋体" w:hint="default"/>
        </w:rPr>
        <w:t>8. 2017 </w:t>
      </w:r>
      <w:r>
        <w:rPr/>
        <w:t>年 </w:t>
      </w:r>
      <w:r>
        <w:rPr>
          <w:rFonts w:ascii="宋体" w:hAnsi="宋体" w:cs="宋体" w:eastAsia="宋体" w:hint="default"/>
        </w:rPr>
        <w:t>3 </w:t>
      </w:r>
      <w:r>
        <w:rPr/>
        <w:t>月 </w:t>
      </w:r>
      <w:r>
        <w:rPr>
          <w:rFonts w:ascii="宋体" w:hAnsi="宋体" w:cs="宋体" w:eastAsia="宋体" w:hint="default"/>
        </w:rPr>
        <w:t>9</w:t>
      </w:r>
      <w:r>
        <w:rPr>
          <w:rFonts w:ascii="宋体" w:hAnsi="宋体" w:cs="宋体" w:eastAsia="宋体" w:hint="default"/>
          <w:spacing w:val="-48"/>
        </w:rPr>
        <w:t> </w:t>
      </w:r>
      <w:r>
        <w:rPr/>
        <w:t>日，公司接到公司实际控制人黄伟先生通知，黄伟先生通过</w:t>
      </w:r>
    </w:p>
    <w:p>
      <w:pPr>
        <w:pStyle w:val="BodyText"/>
        <w:spacing w:line="240" w:lineRule="auto" w:before="154"/>
        <w:ind w:right="0"/>
        <w:jc w:val="left"/>
      </w:pPr>
      <w:r>
        <w:rPr/>
        <w:t>上海证券交易所交易系统增持了公司部分股份。基于对公司未来持续稳定发展的信心，</w:t>
      </w:r>
    </w:p>
    <w:p>
      <w:pPr>
        <w:spacing w:after="0" w:line="240" w:lineRule="auto"/>
        <w:jc w:val="left"/>
        <w:sectPr>
          <w:footerReference w:type="default" r:id="rId105"/>
          <w:pgSz w:w="11910" w:h="16840"/>
          <w:pgMar w:footer="1195" w:header="0" w:top="1120" w:bottom="1380" w:left="1660" w:right="920"/>
          <w:pgNumType w:start="207"/>
        </w:sectPr>
      </w:pPr>
    </w:p>
    <w:p>
      <w:pPr>
        <w:spacing w:line="240" w:lineRule="auto" w:before="5"/>
        <w:rPr>
          <w:rFonts w:ascii="宋体" w:hAnsi="宋体" w:cs="宋体" w:eastAsia="宋体" w:hint="default"/>
          <w:sz w:val="25"/>
          <w:szCs w:val="25"/>
        </w:rPr>
      </w:pPr>
    </w:p>
    <w:p>
      <w:pPr>
        <w:pStyle w:val="BodyText"/>
        <w:spacing w:line="240" w:lineRule="auto" w:before="26"/>
        <w:ind w:left="578" w:right="574"/>
        <w:jc w:val="left"/>
      </w:pPr>
      <w:r>
        <w:rPr/>
        <w:t>黄伟先生拟自本次增持之日起 </w:t>
      </w:r>
      <w:r>
        <w:rPr>
          <w:rFonts w:ascii="宋体" w:hAnsi="宋体" w:cs="宋体" w:eastAsia="宋体" w:hint="default"/>
        </w:rPr>
        <w:t>6 </w:t>
      </w:r>
      <w:r>
        <w:rPr/>
        <w:t>个月内以自身名义继续通过上海证券交易所交易系</w:t>
      </w:r>
    </w:p>
    <w:p>
      <w:pPr>
        <w:pStyle w:val="BodyText"/>
        <w:spacing w:line="240" w:lineRule="auto" w:before="154"/>
        <w:ind w:left="578" w:right="574"/>
        <w:jc w:val="left"/>
      </w:pPr>
      <w:r>
        <w:rPr/>
        <w:t>统增持公司股份。截至</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日，本次增持股份计划已实施完毕，黄伟先生</w:t>
      </w:r>
    </w:p>
    <w:p>
      <w:pPr>
        <w:pStyle w:val="BodyText"/>
        <w:spacing w:line="357" w:lineRule="auto" w:before="151"/>
        <w:ind w:left="578" w:right="574"/>
        <w:jc w:val="left"/>
      </w:pPr>
      <w:r>
        <w:rPr/>
        <w:t>通过上海证券交易所集中竞价系统累计增持新湖中宝股份</w:t>
      </w:r>
      <w:r>
        <w:rPr>
          <w:spacing w:val="-60"/>
        </w:rPr>
        <w:t> </w:t>
      </w:r>
      <w:r>
        <w:rPr>
          <w:rFonts w:ascii="宋体" w:hAnsi="宋体" w:cs="宋体" w:eastAsia="宋体" w:hint="default"/>
        </w:rPr>
        <w:t>429,967,233</w:t>
      </w:r>
      <w:r>
        <w:rPr>
          <w:rFonts w:ascii="宋体" w:hAnsi="宋体" w:cs="宋体" w:eastAsia="宋体" w:hint="default"/>
          <w:spacing w:val="-60"/>
        </w:rPr>
        <w:t> </w:t>
      </w:r>
      <w:r>
        <w:rPr>
          <w:spacing w:val="-8"/>
        </w:rPr>
        <w:t>股，占新湖中</w:t>
      </w:r>
      <w:r>
        <w:rPr/>
        <w:t> 宝总股本的</w:t>
      </w:r>
      <w:r>
        <w:rPr>
          <w:spacing w:val="-61"/>
        </w:rPr>
        <w:t> </w:t>
      </w:r>
      <w:r>
        <w:rPr>
          <w:rFonts w:ascii="宋体" w:hAnsi="宋体" w:cs="宋体" w:eastAsia="宋体" w:hint="default"/>
        </w:rPr>
        <w:t>5%</w:t>
      </w:r>
      <w:r>
        <w:rPr/>
        <w:t>，累计成交金额</w:t>
      </w:r>
      <w:r>
        <w:rPr>
          <w:spacing w:val="-60"/>
        </w:rPr>
        <w:t> </w:t>
      </w:r>
      <w:r>
        <w:rPr>
          <w:rFonts w:ascii="宋体" w:hAnsi="宋体" w:cs="宋体" w:eastAsia="宋体" w:hint="default"/>
        </w:rPr>
        <w:t>21.23</w:t>
      </w:r>
      <w:r>
        <w:rPr>
          <w:rFonts w:ascii="宋体" w:hAnsi="宋体" w:cs="宋体" w:eastAsia="宋体" w:hint="default"/>
          <w:spacing w:val="-60"/>
        </w:rPr>
        <w:t> </w:t>
      </w:r>
      <w:r>
        <w:rPr/>
        <w:t>亿元。增持后，黄伟先生直接持有新湖中宝 </w:t>
      </w:r>
      <w:r>
        <w:rPr>
          <w:rFonts w:ascii="宋体" w:hAnsi="宋体" w:cs="宋体" w:eastAsia="宋体" w:hint="default"/>
        </w:rPr>
        <w:t>1,449,967,233</w:t>
      </w:r>
      <w:r>
        <w:rPr>
          <w:rFonts w:ascii="宋体" w:hAnsi="宋体" w:cs="宋体" w:eastAsia="宋体" w:hint="default"/>
          <w:spacing w:val="-83"/>
        </w:rPr>
        <w:t> </w:t>
      </w:r>
      <w:r>
        <w:rPr/>
        <w:t>股股份，占新湖中宝总股本的</w:t>
      </w:r>
      <w:r>
        <w:rPr>
          <w:spacing w:val="-83"/>
        </w:rPr>
        <w:t> </w:t>
      </w:r>
      <w:r>
        <w:rPr>
          <w:rFonts w:ascii="宋体" w:hAnsi="宋体" w:cs="宋体" w:eastAsia="宋体" w:hint="default"/>
        </w:rPr>
        <w:t>16.86%</w:t>
      </w:r>
      <w:r>
        <w:rPr/>
        <w:t>，在新湖中宝拥有权益的股份比 例为</w:t>
      </w:r>
      <w:r>
        <w:rPr>
          <w:spacing w:val="-61"/>
        </w:rPr>
        <w:t> </w:t>
      </w:r>
      <w:r>
        <w:rPr>
          <w:rFonts w:ascii="宋体" w:hAnsi="宋体" w:cs="宋体" w:eastAsia="宋体" w:hint="default"/>
        </w:rPr>
        <w:t>57.09%</w:t>
      </w:r>
      <w:r>
        <w:rPr/>
        <w:t>。</w:t>
      </w:r>
    </w:p>
    <w:p>
      <w:pPr>
        <w:pStyle w:val="BodyText"/>
        <w:spacing w:line="240" w:lineRule="auto" w:before="36"/>
        <w:ind w:left="1058" w:right="574"/>
        <w:jc w:val="left"/>
      </w:pPr>
      <w:r>
        <w:rPr>
          <w:rFonts w:ascii="宋体" w:hAnsi="宋体" w:cs="宋体" w:eastAsia="宋体" w:hint="default"/>
        </w:rPr>
        <w:t>9. </w:t>
      </w:r>
      <w:r>
        <w:rPr/>
        <w:t>截至资产负债表日，本公司第一大股东新湖集团股份有限公司已将持有的本</w:t>
      </w:r>
    </w:p>
    <w:p>
      <w:pPr>
        <w:pStyle w:val="BodyText"/>
        <w:spacing w:line="240" w:lineRule="auto" w:before="152"/>
        <w:ind w:left="578" w:right="0"/>
        <w:jc w:val="left"/>
      </w:pPr>
      <w:r>
        <w:rPr/>
        <w:t>公司股份</w:t>
      </w:r>
      <w:r>
        <w:rPr>
          <w:spacing w:val="-85"/>
        </w:rPr>
        <w:t> </w:t>
      </w:r>
      <w:r>
        <w:rPr>
          <w:rFonts w:ascii="宋体" w:hAnsi="宋体" w:cs="宋体" w:eastAsia="宋体" w:hint="default"/>
        </w:rPr>
        <w:t>1,713,908,414</w:t>
      </w:r>
      <w:r>
        <w:rPr>
          <w:rFonts w:ascii="宋体" w:hAnsi="宋体" w:cs="宋体" w:eastAsia="宋体" w:hint="default"/>
          <w:spacing w:val="-85"/>
        </w:rPr>
        <w:t> </w:t>
      </w:r>
      <w:r>
        <w:rPr/>
        <w:t>股用于质押，本公司第二大股东黄伟已将持有的本公司股份</w:t>
      </w:r>
    </w:p>
    <w:p>
      <w:pPr>
        <w:pStyle w:val="BodyText"/>
        <w:spacing w:line="240" w:lineRule="auto" w:before="154"/>
        <w:ind w:left="578" w:right="0"/>
        <w:jc w:val="left"/>
      </w:pPr>
      <w:r>
        <w:rPr>
          <w:rFonts w:ascii="宋体" w:hAnsi="宋体" w:cs="宋体" w:eastAsia="宋体" w:hint="default"/>
        </w:rPr>
        <w:t>1,449,967,233</w:t>
      </w:r>
      <w:r>
        <w:rPr>
          <w:rFonts w:ascii="宋体" w:hAnsi="宋体" w:cs="宋体" w:eastAsia="宋体" w:hint="default"/>
          <w:spacing w:val="-61"/>
        </w:rPr>
        <w:t> </w:t>
      </w:r>
      <w:r>
        <w:rPr/>
        <w:t>境内自然人股用于质押，本公司第三大股东宁波嘉源实业发展有限公</w:t>
      </w:r>
    </w:p>
    <w:p>
      <w:pPr>
        <w:pStyle w:val="BodyText"/>
        <w:spacing w:line="240" w:lineRule="auto" w:before="151"/>
        <w:ind w:left="578" w:right="0"/>
        <w:jc w:val="left"/>
      </w:pPr>
      <w:r>
        <w:rPr/>
        <w:t>司已将持有的本公司股份</w:t>
      </w:r>
      <w:r>
        <w:rPr>
          <w:spacing w:val="-54"/>
        </w:rPr>
        <w:t> </w:t>
      </w:r>
      <w:r>
        <w:rPr>
          <w:rFonts w:ascii="宋体" w:hAnsi="宋体" w:cs="宋体" w:eastAsia="宋体" w:hint="default"/>
        </w:rPr>
        <w:t>192,500,000</w:t>
      </w:r>
      <w:r>
        <w:rPr>
          <w:rFonts w:ascii="宋体" w:hAnsi="宋体" w:cs="宋体" w:eastAsia="宋体" w:hint="default"/>
          <w:spacing w:val="-54"/>
        </w:rPr>
        <w:t> </w:t>
      </w:r>
      <w:r>
        <w:rPr>
          <w:spacing w:val="-3"/>
        </w:rPr>
        <w:t>股用于质押，本公司第五大股东浙江恒兴力控</w:t>
      </w:r>
    </w:p>
    <w:p>
      <w:pPr>
        <w:pStyle w:val="BodyText"/>
        <w:spacing w:line="240" w:lineRule="auto" w:before="154"/>
        <w:ind w:left="578" w:right="574"/>
        <w:jc w:val="left"/>
      </w:pPr>
      <w:r>
        <w:rPr/>
        <w:t>股集团有限公司已将持有的本公司股份</w:t>
      </w:r>
      <w:r>
        <w:rPr>
          <w:spacing w:val="-60"/>
        </w:rPr>
        <w:t> </w:t>
      </w:r>
      <w:r>
        <w:rPr>
          <w:rFonts w:ascii="宋体" w:hAnsi="宋体" w:cs="宋体" w:eastAsia="宋体" w:hint="default"/>
        </w:rPr>
        <w:t>83,460,000</w:t>
      </w:r>
      <w:r>
        <w:rPr>
          <w:rFonts w:ascii="宋体" w:hAnsi="宋体" w:cs="宋体" w:eastAsia="宋体" w:hint="default"/>
          <w:spacing w:val="-60"/>
        </w:rPr>
        <w:t> </w:t>
      </w:r>
      <w:r>
        <w:rPr/>
        <w:t>股用于质押。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06"/>
          <w:pgSz w:w="11910" w:h="16840"/>
          <w:pgMar w:footer="1847" w:header="0" w:top="1120" w:bottom="2040" w:left="1220" w:right="680"/>
          <w:pgNumType w:start="208"/>
        </w:sectPr>
      </w:pPr>
    </w:p>
    <w:p>
      <w:pPr>
        <w:pStyle w:val="Heading2"/>
        <w:spacing w:line="240" w:lineRule="auto"/>
        <w:ind w:left="578" w:right="-18"/>
        <w:jc w:val="left"/>
        <w:rPr>
          <w:b w:val="0"/>
          <w:bCs w:val="0"/>
        </w:rPr>
      </w:pPr>
      <w:r>
        <w:rPr/>
        <w:t>十七、</w:t>
      </w:r>
      <w:r>
        <w:rPr>
          <w:spacing w:val="-8"/>
        </w:rPr>
        <w:t> </w:t>
      </w:r>
      <w:r>
        <w:rPr/>
        <w:t>母公司财务报表主要项目注释</w:t>
      </w:r>
      <w:r>
        <w:rPr>
          <w:b w:val="0"/>
          <w:bCs w:val="0"/>
        </w:rPr>
      </w:r>
    </w:p>
    <w:p>
      <w:pPr>
        <w:spacing w:before="58"/>
        <w:ind w:left="578" w:right="-18" w:firstLine="0"/>
        <w:jc w:val="left"/>
        <w:rPr>
          <w:rFonts w:ascii="宋体" w:hAnsi="宋体" w:cs="宋体" w:eastAsia="宋体" w:hint="default"/>
          <w:sz w:val="24"/>
          <w:szCs w:val="24"/>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4"/>
          <w:szCs w:val="24"/>
        </w:rPr>
        <w:t>应收账款</w:t>
      </w:r>
      <w:r>
        <w:rPr>
          <w:rFonts w:ascii="宋体" w:hAnsi="宋体" w:cs="宋体" w:eastAsia="宋体" w:hint="default"/>
          <w:sz w:val="24"/>
          <w:szCs w:val="24"/>
        </w:rPr>
      </w:r>
    </w:p>
    <w:p>
      <w:pPr>
        <w:pStyle w:val="Heading2"/>
        <w:tabs>
          <w:tab w:pos="1417" w:val="left" w:leader="none"/>
        </w:tabs>
        <w:spacing w:line="240" w:lineRule="auto" w:before="56"/>
        <w:ind w:left="719" w:right="-18"/>
        <w:jc w:val="left"/>
        <w:rPr>
          <w:b w:val="0"/>
          <w:bCs w:val="0"/>
        </w:rPr>
      </w:pPr>
      <w:r>
        <w:rPr>
          <w:rFonts w:ascii="宋体" w:hAnsi="宋体" w:cs="宋体" w:eastAsia="宋体" w:hint="default"/>
        </w:rPr>
        <w:t>(1).</w:t>
        <w:tab/>
      </w:r>
      <w:r>
        <w:rPr/>
        <w:t>应收账款分类披露：</w:t>
      </w:r>
      <w:r>
        <w:rPr>
          <w:b w:val="0"/>
          <w:bCs w:val="0"/>
        </w:rPr>
      </w:r>
    </w:p>
    <w:p>
      <w:pPr>
        <w:pStyle w:val="BodyText"/>
        <w:tabs>
          <w:tab w:pos="1537" w:val="left" w:leader="none"/>
        </w:tabs>
        <w:spacing w:line="240" w:lineRule="auto" w:before="58"/>
        <w:ind w:left="578" w:right="-18"/>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778" w:val="left" w:leader="none"/>
        </w:tabs>
        <w:spacing w:line="240" w:lineRule="auto" w:before="195"/>
        <w:ind w:left="578" w:right="0"/>
        <w:jc w:val="left"/>
      </w:pPr>
      <w:r>
        <w:rPr/>
        <w:t>单位：元</w:t>
        <w:tab/>
        <w:t>币种：人民币</w:t>
      </w:r>
    </w:p>
    <w:p>
      <w:pPr>
        <w:spacing w:after="0" w:line="240" w:lineRule="auto"/>
        <w:jc w:val="left"/>
        <w:sectPr>
          <w:type w:val="continuous"/>
          <w:pgSz w:w="11910" w:h="16840"/>
          <w:pgMar w:top="1000" w:bottom="280" w:left="1220" w:right="680"/>
          <w:cols w:num="2" w:equalWidth="0">
            <w:col w:w="4549" w:space="1644"/>
            <w:col w:w="381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89"/>
        <w:gridCol w:w="1323"/>
        <w:gridCol w:w="691"/>
        <w:gridCol w:w="274"/>
        <w:gridCol w:w="377"/>
        <w:gridCol w:w="1323"/>
        <w:gridCol w:w="1426"/>
        <w:gridCol w:w="692"/>
        <w:gridCol w:w="274"/>
        <w:gridCol w:w="377"/>
        <w:gridCol w:w="1426"/>
      </w:tblGrid>
      <w:tr>
        <w:trPr>
          <w:trHeight w:val="283" w:hRule="exact"/>
        </w:trPr>
        <w:tc>
          <w:tcPr>
            <w:tcW w:w="15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9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589" w:type="dxa"/>
            <w:vMerge/>
            <w:tcBorders>
              <w:left w:val="single" w:sz="4" w:space="0" w:color="000000"/>
              <w:right w:val="single" w:sz="4" w:space="0" w:color="000000"/>
            </w:tcBorders>
          </w:tcPr>
          <w:p>
            <w:pPr/>
          </w:p>
        </w:tc>
        <w:tc>
          <w:tcPr>
            <w:tcW w:w="20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3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444" w:right="444"/>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499"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1373" w:hRule="exact"/>
        </w:trPr>
        <w:tc>
          <w:tcPr>
            <w:tcW w:w="1589" w:type="dxa"/>
            <w:vMerge/>
            <w:tcBorders>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84" w:right="12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6" w:right="24"/>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24" w:right="24"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323"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84" w:right="12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6" w:right="24"/>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23" w:right="24"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426" w:type="dxa"/>
            <w:vMerge/>
            <w:tcBorders>
              <w:left w:val="single" w:sz="4" w:space="0" w:color="000000"/>
              <w:bottom w:val="single" w:sz="4" w:space="0" w:color="000000"/>
              <w:right w:val="single" w:sz="4" w:space="0" w:color="000000"/>
            </w:tcBorders>
          </w:tcPr>
          <w:p>
            <w:pPr/>
          </w:p>
        </w:tc>
      </w:tr>
      <w:tr>
        <w:trPr>
          <w:trHeight w:val="826"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40" w:lineRule="auto"/>
              <w:ind w:left="24" w:right="79"/>
              <w:jc w:val="left"/>
              <w:rPr>
                <w:rFonts w:ascii="宋体" w:hAnsi="宋体" w:cs="宋体" w:eastAsia="宋体" w:hint="default"/>
                <w:sz w:val="21"/>
                <w:szCs w:val="21"/>
              </w:rPr>
            </w:pPr>
            <w:r>
              <w:rPr>
                <w:rFonts w:ascii="宋体" w:hAnsi="宋体" w:cs="宋体" w:eastAsia="宋体" w:hint="default"/>
                <w:sz w:val="21"/>
                <w:szCs w:val="21"/>
              </w:rPr>
              <w:t>单独计提坏账准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备的应收账款</w:t>
            </w:r>
          </w:p>
        </w:tc>
        <w:tc>
          <w:tcPr>
            <w:tcW w:w="132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72" w:lineRule="exact" w:before="27"/>
              <w:ind w:left="24" w:right="79"/>
              <w:jc w:val="left"/>
              <w:rPr>
                <w:rFonts w:ascii="宋体" w:hAnsi="宋体" w:cs="宋体" w:eastAsia="宋体" w:hint="default"/>
                <w:sz w:val="21"/>
                <w:szCs w:val="21"/>
              </w:rPr>
            </w:pP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备的应收账款</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2,236,723.00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sz w:val="21"/>
              </w:rPr>
              <w:t>100.00</w:t>
            </w:r>
          </w:p>
        </w:tc>
        <w:tc>
          <w:tcPr>
            <w:tcW w:w="274"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2,236,723.00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32,844,190.80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100.00</w:t>
            </w:r>
          </w:p>
        </w:tc>
        <w:tc>
          <w:tcPr>
            <w:tcW w:w="274"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sz w:val="21"/>
              </w:rPr>
              <w:t>32,844,190.80</w:t>
            </w:r>
          </w:p>
        </w:tc>
      </w:tr>
      <w:tr>
        <w:trPr>
          <w:trHeight w:val="826"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72" w:lineRule="exact" w:before="27"/>
              <w:ind w:left="24" w:right="79"/>
              <w:jc w:val="left"/>
              <w:rPr>
                <w:rFonts w:ascii="宋体" w:hAnsi="宋体" w:cs="宋体" w:eastAsia="宋体" w:hint="default"/>
                <w:sz w:val="21"/>
                <w:szCs w:val="21"/>
              </w:rPr>
            </w:pPr>
            <w:r>
              <w:rPr>
                <w:rFonts w:ascii="宋体" w:hAnsi="宋体" w:cs="宋体" w:eastAsia="宋体" w:hint="default"/>
                <w:sz w:val="21"/>
                <w:szCs w:val="21"/>
              </w:rPr>
              <w:t>但单独计提坏账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准备的应收账款</w:t>
            </w:r>
          </w:p>
        </w:tc>
        <w:tc>
          <w:tcPr>
            <w:tcW w:w="132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2,236,723.00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100.00</w:t>
            </w:r>
          </w:p>
        </w:tc>
        <w:tc>
          <w:tcPr>
            <w:tcW w:w="274"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2,236,723.00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32,844,190.80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100.00</w:t>
            </w:r>
          </w:p>
        </w:tc>
        <w:tc>
          <w:tcPr>
            <w:tcW w:w="274"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32,844,190.80</w:t>
            </w:r>
          </w:p>
        </w:tc>
      </w:tr>
    </w:tbl>
    <w:p>
      <w:pPr>
        <w:spacing w:line="240" w:lineRule="auto" w:before="5"/>
        <w:rPr>
          <w:rFonts w:ascii="宋体" w:hAnsi="宋体" w:cs="宋体" w:eastAsia="宋体" w:hint="default"/>
          <w:sz w:val="23"/>
          <w:szCs w:val="23"/>
        </w:rPr>
      </w:pPr>
    </w:p>
    <w:p>
      <w:pPr>
        <w:pStyle w:val="BodyText"/>
        <w:spacing w:line="240" w:lineRule="auto" w:before="26"/>
        <w:ind w:left="578" w:right="574"/>
        <w:jc w:val="left"/>
      </w:pPr>
      <w:r>
        <w:rPr/>
        <w:t>期末单项金额重大并单项计提坏账准备的应收账款：</w:t>
      </w:r>
    </w:p>
    <w:p>
      <w:pPr>
        <w:spacing w:after="0" w:line="240" w:lineRule="auto"/>
        <w:jc w:val="left"/>
        <w:sectPr>
          <w:type w:val="continuous"/>
          <w:pgSz w:w="11910" w:h="16840"/>
          <w:pgMar w:top="1000" w:bottom="280" w:left="1220" w:right="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26"/>
        <w:ind w:left="218" w:right="233"/>
        <w:jc w:val="left"/>
      </w:pPr>
      <w:r>
        <w:rPr/>
        <w:t>组合中，按账龄分析法计提坏账准备的应收账款：</w:t>
      </w:r>
    </w:p>
    <w:p>
      <w:pPr>
        <w:pStyle w:val="BodyText"/>
        <w:spacing w:line="240" w:lineRule="auto" w:before="58"/>
        <w:ind w:left="218" w:right="233"/>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BodyText"/>
        <w:spacing w:line="240" w:lineRule="auto"/>
        <w:ind w:left="218" w:right="233"/>
        <w:jc w:val="left"/>
      </w:pPr>
      <w:r>
        <w:rPr/>
        <w:t>组合中，采用余额百分比法计提坏账准备的应收账款：</w:t>
      </w:r>
    </w:p>
    <w:p>
      <w:pPr>
        <w:pStyle w:val="BodyText"/>
        <w:spacing w:line="240" w:lineRule="auto" w:before="58"/>
        <w:ind w:left="218" w:right="233"/>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BodyText"/>
        <w:spacing w:line="240" w:lineRule="auto"/>
        <w:ind w:left="218" w:right="233"/>
        <w:jc w:val="left"/>
      </w:pPr>
      <w:r>
        <w:rPr/>
        <w:t>组合中，采用其他方法计提坏账准备的应收账款：</w:t>
      </w:r>
    </w:p>
    <w:p>
      <w:pPr>
        <w:pStyle w:val="BodyText"/>
        <w:spacing w:line="240" w:lineRule="auto" w:before="58"/>
        <w:ind w:left="218" w:right="23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518"/>
        <w:gridCol w:w="2244"/>
        <w:gridCol w:w="2268"/>
        <w:gridCol w:w="2019"/>
      </w:tblGrid>
      <w:tr>
        <w:trPr>
          <w:trHeight w:val="350" w:hRule="exact"/>
        </w:trPr>
        <w:tc>
          <w:tcPr>
            <w:tcW w:w="2518" w:type="dxa"/>
            <w:vMerge w:val="restart"/>
            <w:tcBorders>
              <w:top w:val="single" w:sz="4" w:space="0" w:color="000000"/>
              <w:left w:val="single" w:sz="4" w:space="0" w:color="000000"/>
              <w:right w:val="single" w:sz="4" w:space="0" w:color="000000"/>
            </w:tcBorders>
          </w:tcPr>
          <w:p>
            <w:pPr>
              <w:pStyle w:val="TableParagraph"/>
              <w:spacing w:line="240" w:lineRule="auto" w:before="149"/>
              <w:ind w:left="343" w:right="0"/>
              <w:jc w:val="left"/>
              <w:rPr>
                <w:rFonts w:ascii="宋体" w:hAnsi="宋体" w:cs="宋体" w:eastAsia="宋体" w:hint="default"/>
                <w:sz w:val="24"/>
                <w:szCs w:val="24"/>
              </w:rPr>
            </w:pPr>
            <w:r>
              <w:rPr>
                <w:rFonts w:ascii="宋体" w:hAnsi="宋体" w:cs="宋体" w:eastAsia="宋体" w:hint="default"/>
                <w:sz w:val="24"/>
                <w:szCs w:val="24"/>
              </w:rPr>
              <w:t>组合名称</w:t>
            </w:r>
          </w:p>
        </w:tc>
        <w:tc>
          <w:tcPr>
            <w:tcW w:w="65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9"/>
              <w:jc w:val="center"/>
              <w:rPr>
                <w:rFonts w:ascii="宋体" w:hAnsi="宋体" w:cs="宋体" w:eastAsia="宋体" w:hint="default"/>
                <w:sz w:val="24"/>
                <w:szCs w:val="24"/>
              </w:rPr>
            </w:pPr>
            <w:r>
              <w:rPr>
                <w:rFonts w:ascii="宋体" w:hAnsi="宋体" w:cs="宋体" w:eastAsia="宋体" w:hint="default"/>
                <w:sz w:val="24"/>
                <w:szCs w:val="24"/>
              </w:rPr>
              <w:t>期末数</w:t>
            </w:r>
          </w:p>
        </w:tc>
      </w:tr>
      <w:tr>
        <w:trPr>
          <w:trHeight w:val="350" w:hRule="exact"/>
        </w:trPr>
        <w:tc>
          <w:tcPr>
            <w:tcW w:w="2518" w:type="dxa"/>
            <w:vMerge/>
            <w:tcBorders>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633"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645"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358" w:right="0"/>
              <w:jc w:val="lef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合并范围内关联方</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88" w:right="0"/>
              <w:jc w:val="left"/>
              <w:rPr>
                <w:rFonts w:ascii="宋体" w:hAnsi="宋体" w:cs="宋体" w:eastAsia="宋体" w:hint="default"/>
                <w:sz w:val="24"/>
                <w:szCs w:val="24"/>
              </w:rPr>
            </w:pPr>
            <w:r>
              <w:rPr>
                <w:rFonts w:ascii="宋体"/>
                <w:sz w:val="24"/>
              </w:rPr>
              <w:t>2,236,723.00</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1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tabs>
                <w:tab w:pos="823" w:val="left" w:leader="none"/>
              </w:tabs>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小</w:t>
              <w:tab/>
              <w:t>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88" w:right="0"/>
              <w:jc w:val="left"/>
              <w:rPr>
                <w:rFonts w:ascii="宋体" w:hAnsi="宋体" w:cs="宋体" w:eastAsia="宋体" w:hint="default"/>
                <w:sz w:val="24"/>
                <w:szCs w:val="24"/>
              </w:rPr>
            </w:pPr>
            <w:r>
              <w:rPr>
                <w:rFonts w:ascii="宋体"/>
                <w:sz w:val="24"/>
              </w:rPr>
              <w:t>2,236,723.00</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2"/>
        <w:tabs>
          <w:tab w:pos="1057" w:val="left" w:leader="none"/>
        </w:tabs>
        <w:spacing w:line="240" w:lineRule="auto"/>
        <w:ind w:left="359" w:right="233"/>
        <w:jc w:val="left"/>
        <w:rPr>
          <w:b w:val="0"/>
          <w:bCs w:val="0"/>
        </w:rPr>
      </w:pPr>
      <w:r>
        <w:rPr>
          <w:rFonts w:ascii="宋体" w:hAnsi="宋体" w:cs="宋体" w:eastAsia="宋体" w:hint="default"/>
        </w:rPr>
        <w:t>(2).</w:t>
        <w:tab/>
      </w:r>
      <w:r>
        <w:rPr/>
        <w:t>本期计提、收回或转回的坏账准备情况：</w:t>
      </w:r>
      <w:r>
        <w:rPr>
          <w:b w:val="0"/>
          <w:bCs w:val="0"/>
        </w:rPr>
      </w:r>
    </w:p>
    <w:p>
      <w:pPr>
        <w:pStyle w:val="BodyText"/>
        <w:spacing w:line="240" w:lineRule="auto" w:before="58"/>
        <w:ind w:left="218" w:right="233"/>
        <w:jc w:val="left"/>
      </w:pPr>
      <w:r>
        <w:rPr/>
        <w:t>本期计提坏账准备金额</w:t>
      </w:r>
      <w:r>
        <w:rPr>
          <w:spacing w:val="-60"/>
        </w:rPr>
        <w:t> </w:t>
      </w:r>
      <w:r>
        <w:rPr>
          <w:rFonts w:ascii="宋体" w:hAnsi="宋体" w:cs="宋体" w:eastAsia="宋体" w:hint="default"/>
        </w:rPr>
        <w:t>0.00</w:t>
      </w:r>
      <w:r>
        <w:rPr>
          <w:rFonts w:ascii="宋体" w:hAnsi="宋体" w:cs="宋体" w:eastAsia="宋体" w:hint="default"/>
          <w:spacing w:val="-60"/>
        </w:rPr>
        <w:t> </w:t>
      </w:r>
      <w:r>
        <w:rPr/>
        <w:t>元；本期收回或转回坏账准备金额</w:t>
      </w:r>
      <w:r>
        <w:rPr>
          <w:spacing w:val="-60"/>
        </w:rPr>
        <w:t> </w:t>
      </w:r>
      <w:r>
        <w:rPr>
          <w:rFonts w:ascii="宋体" w:hAnsi="宋体" w:cs="宋体" w:eastAsia="宋体" w:hint="default"/>
        </w:rPr>
        <w:t>0.00</w:t>
      </w:r>
      <w:r>
        <w:rPr>
          <w:rFonts w:ascii="宋体" w:hAnsi="宋体" w:cs="宋体" w:eastAsia="宋体" w:hint="default"/>
          <w:spacing w:val="-60"/>
        </w:rPr>
        <w:t> </w:t>
      </w:r>
      <w:r>
        <w:rPr/>
        <w:t>元。</w:t>
      </w:r>
    </w:p>
    <w:p>
      <w:pPr>
        <w:spacing w:line="240" w:lineRule="auto" w:before="7"/>
        <w:rPr>
          <w:rFonts w:ascii="宋体" w:hAnsi="宋体" w:cs="宋体" w:eastAsia="宋体" w:hint="default"/>
          <w:sz w:val="23"/>
          <w:szCs w:val="23"/>
        </w:rPr>
      </w:pPr>
    </w:p>
    <w:p>
      <w:pPr>
        <w:pStyle w:val="BodyText"/>
        <w:spacing w:line="313" w:lineRule="exact"/>
        <w:ind w:left="218" w:right="233"/>
        <w:jc w:val="left"/>
      </w:pPr>
      <w:r>
        <w:rPr/>
        <w:t>其中本期坏账准备收回或转回金额重要的：</w:t>
      </w:r>
    </w:p>
    <w:p>
      <w:pPr>
        <w:pStyle w:val="BodyText"/>
        <w:spacing w:line="313" w:lineRule="exact"/>
        <w:ind w:left="218" w:right="233"/>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tabs>
          <w:tab w:pos="1057" w:val="left" w:leader="none"/>
        </w:tabs>
        <w:spacing w:line="240" w:lineRule="auto" w:before="0"/>
        <w:ind w:left="359" w:right="233"/>
        <w:jc w:val="left"/>
        <w:rPr>
          <w:b w:val="0"/>
          <w:bCs w:val="0"/>
        </w:rPr>
      </w:pPr>
      <w:r>
        <w:rPr>
          <w:rFonts w:ascii="宋体" w:hAnsi="宋体" w:cs="宋体" w:eastAsia="宋体" w:hint="default"/>
        </w:rPr>
        <w:t>(3).</w:t>
        <w:tab/>
      </w:r>
      <w:r>
        <w:rPr/>
        <w:t>本期实际核销的应收账款情况</w:t>
      </w:r>
      <w:r>
        <w:rPr>
          <w:b w:val="0"/>
          <w:bCs w:val="0"/>
        </w:rPr>
      </w:r>
    </w:p>
    <w:p>
      <w:pPr>
        <w:pStyle w:val="BodyText"/>
        <w:spacing w:line="240" w:lineRule="auto" w:before="58"/>
        <w:ind w:left="218" w:right="233"/>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313" w:lineRule="exact"/>
        <w:ind w:left="218" w:right="233"/>
        <w:jc w:val="left"/>
      </w:pPr>
      <w:r>
        <w:rPr/>
        <w:t>其中重要的应收账款核销情况</w:t>
      </w:r>
    </w:p>
    <w:p>
      <w:pPr>
        <w:pStyle w:val="BodyText"/>
        <w:spacing w:line="313" w:lineRule="exact"/>
        <w:ind w:left="218" w:right="233"/>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2"/>
        <w:tabs>
          <w:tab w:pos="1057" w:val="left" w:leader="none"/>
        </w:tabs>
        <w:spacing w:line="240" w:lineRule="auto" w:before="0"/>
        <w:ind w:left="359" w:right="233"/>
        <w:jc w:val="left"/>
        <w:rPr>
          <w:b w:val="0"/>
          <w:bCs w:val="0"/>
        </w:rPr>
      </w:pPr>
      <w:r>
        <w:rPr>
          <w:rFonts w:ascii="宋体" w:hAnsi="宋体" w:cs="宋体" w:eastAsia="宋体" w:hint="default"/>
        </w:rPr>
        <w:t>(4).</w:t>
        <w:tab/>
      </w:r>
      <w:r>
        <w:rPr/>
        <w:t>按欠款方归集的期末余额前五名的应收账款情况：</w:t>
      </w:r>
      <w:r>
        <w:rPr>
          <w:b w:val="0"/>
          <w:bCs w:val="0"/>
        </w:rPr>
      </w:r>
    </w:p>
    <w:p>
      <w:pPr>
        <w:pStyle w:val="BodyText"/>
        <w:tabs>
          <w:tab w:pos="1177" w:val="left" w:leader="none"/>
        </w:tabs>
        <w:spacing w:line="313" w:lineRule="exact" w:before="58"/>
        <w:ind w:left="218" w:right="233"/>
        <w:jc w:val="left"/>
      </w:pPr>
      <w:r>
        <w:rPr>
          <w:spacing w:val="-1"/>
        </w:rPr>
        <w:t>√适用</w:t>
        <w:tab/>
      </w:r>
      <w:r>
        <w:rPr/>
        <w:t>□不适用</w:t>
      </w:r>
    </w:p>
    <w:p>
      <w:pPr>
        <w:pStyle w:val="BodyText"/>
        <w:spacing w:line="355" w:lineRule="auto"/>
        <w:ind w:left="218" w:right="289" w:firstLine="479"/>
        <w:jc w:val="left"/>
      </w:pPr>
      <w:r>
        <w:rPr/>
        <w:t>期末余额前</w:t>
      </w:r>
      <w:r>
        <w:rPr>
          <w:spacing w:val="-60"/>
        </w:rPr>
        <w:t> </w:t>
      </w:r>
      <w:r>
        <w:rPr>
          <w:rFonts w:ascii="宋体" w:hAnsi="宋体" w:cs="宋体" w:eastAsia="宋体" w:hint="default"/>
        </w:rPr>
        <w:t>5</w:t>
      </w:r>
      <w:r>
        <w:rPr>
          <w:rFonts w:ascii="宋体" w:hAnsi="宋体" w:cs="宋体" w:eastAsia="宋体" w:hint="default"/>
          <w:spacing w:val="-60"/>
        </w:rPr>
        <w:t> </w:t>
      </w:r>
      <w:r>
        <w:rPr/>
        <w:t>名的应收账款合计数为</w:t>
      </w:r>
      <w:r>
        <w:rPr>
          <w:spacing w:val="-60"/>
        </w:rPr>
        <w:t> </w:t>
      </w:r>
      <w:r>
        <w:rPr>
          <w:rFonts w:ascii="宋体" w:hAnsi="宋体" w:cs="宋体" w:eastAsia="宋体" w:hint="default"/>
        </w:rPr>
        <w:t>2,236,723.00</w:t>
      </w:r>
      <w:r>
        <w:rPr>
          <w:rFonts w:ascii="宋体" w:hAnsi="宋体" w:cs="宋体" w:eastAsia="宋体" w:hint="default"/>
          <w:spacing w:val="-60"/>
        </w:rPr>
        <w:t> </w:t>
      </w:r>
      <w:r>
        <w:rPr/>
        <w:t>元，占应收账款期末余额合 计数的比例为</w:t>
      </w:r>
      <w:r>
        <w:rPr>
          <w:spacing w:val="-61"/>
        </w:rPr>
        <w:t> </w:t>
      </w:r>
      <w:r>
        <w:rPr>
          <w:rFonts w:ascii="宋体" w:hAnsi="宋体" w:cs="宋体" w:eastAsia="宋体" w:hint="default"/>
        </w:rPr>
        <w:t>100.00%</w:t>
      </w:r>
      <w:r>
        <w:rPr/>
        <w:t>，不计提坏账准备。</w:t>
      </w:r>
    </w:p>
    <w:p>
      <w:pPr>
        <w:spacing w:line="240" w:lineRule="auto" w:before="3"/>
        <w:rPr>
          <w:rFonts w:ascii="宋体" w:hAnsi="宋体" w:cs="宋体" w:eastAsia="宋体" w:hint="default"/>
          <w:sz w:val="31"/>
          <w:szCs w:val="31"/>
        </w:rPr>
      </w:pPr>
    </w:p>
    <w:p>
      <w:pPr>
        <w:pStyle w:val="Heading2"/>
        <w:tabs>
          <w:tab w:pos="1057" w:val="left" w:leader="none"/>
        </w:tabs>
        <w:spacing w:line="240" w:lineRule="auto" w:before="0"/>
        <w:ind w:left="359" w:right="233"/>
        <w:jc w:val="left"/>
        <w:rPr>
          <w:b w:val="0"/>
          <w:bCs w:val="0"/>
        </w:rPr>
      </w:pPr>
      <w:r>
        <w:rPr>
          <w:rFonts w:ascii="宋体" w:hAnsi="宋体" w:cs="宋体" w:eastAsia="宋体" w:hint="default"/>
        </w:rPr>
        <w:t>(5).</w:t>
        <w:tab/>
      </w:r>
      <w:r>
        <w:rPr/>
        <w:t>因金融资产转移而终止确认的应收账款：</w:t>
      </w:r>
      <w:r>
        <w:rPr>
          <w:b w:val="0"/>
          <w:bCs w:val="0"/>
        </w:rPr>
      </w:r>
    </w:p>
    <w:p>
      <w:pPr>
        <w:pStyle w:val="BodyText"/>
        <w:tabs>
          <w:tab w:pos="1177" w:val="left" w:leader="none"/>
        </w:tabs>
        <w:spacing w:line="240" w:lineRule="auto" w:before="58"/>
        <w:ind w:left="218" w:right="233"/>
        <w:jc w:val="left"/>
      </w:pPr>
      <w:r>
        <w:rPr>
          <w:spacing w:val="-1"/>
        </w:rPr>
        <w:t>□适用</w:t>
        <w:tab/>
      </w:r>
      <w:r>
        <w:rPr/>
        <w:t>√不适用</w:t>
      </w:r>
    </w:p>
    <w:p>
      <w:pPr>
        <w:spacing w:line="240" w:lineRule="auto" w:before="7"/>
        <w:rPr>
          <w:rFonts w:ascii="宋体" w:hAnsi="宋体" w:cs="宋体" w:eastAsia="宋体" w:hint="default"/>
          <w:sz w:val="25"/>
          <w:szCs w:val="25"/>
        </w:rPr>
      </w:pPr>
    </w:p>
    <w:p>
      <w:pPr>
        <w:pStyle w:val="Heading2"/>
        <w:tabs>
          <w:tab w:pos="1057" w:val="left" w:leader="none"/>
        </w:tabs>
        <w:spacing w:line="240" w:lineRule="auto" w:before="0"/>
        <w:ind w:left="359" w:right="233"/>
        <w:jc w:val="left"/>
        <w:rPr>
          <w:b w:val="0"/>
          <w:bCs w:val="0"/>
        </w:rPr>
      </w:pPr>
      <w:r>
        <w:rPr>
          <w:rFonts w:ascii="宋体" w:hAnsi="宋体" w:cs="宋体" w:eastAsia="宋体" w:hint="default"/>
        </w:rPr>
        <w:t>(6).</w:t>
        <w:tab/>
      </w:r>
      <w:r>
        <w:rPr/>
        <w:t>转移应收账款且继续涉入形成的资产、负债金额：</w:t>
      </w:r>
      <w:r>
        <w:rPr>
          <w:b w:val="0"/>
          <w:bCs w:val="0"/>
        </w:rPr>
      </w:r>
    </w:p>
    <w:p>
      <w:pPr>
        <w:spacing w:after="0" w:line="240" w:lineRule="auto"/>
        <w:jc w:val="left"/>
        <w:sectPr>
          <w:pgSz w:w="11910" w:h="16840"/>
          <w:pgMar w:header="0" w:footer="1847" w:top="1120" w:bottom="2040" w:left="1580" w:right="1040"/>
        </w:sectPr>
      </w:pPr>
    </w:p>
    <w:p>
      <w:pPr>
        <w:spacing w:before="20"/>
        <w:ind w:left="6392" w:right="6418"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107"/>
          <w:footerReference w:type="default" r:id="rId108"/>
          <w:pgSz w:w="16840" w:h="11910" w:orient="landscape"/>
          <w:pgMar w:header="0" w:footer="0" w:top="800" w:bottom="280" w:left="1300" w:right="1380"/>
        </w:sectPr>
      </w:pPr>
    </w:p>
    <w:p>
      <w:pPr>
        <w:spacing w:before="26"/>
        <w:ind w:left="140" w:right="-17" w:firstLine="0"/>
        <w:jc w:val="left"/>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其他应收款</w:t>
      </w:r>
      <w:r>
        <w:rPr>
          <w:rFonts w:ascii="宋体" w:hAnsi="宋体" w:cs="宋体" w:eastAsia="宋体" w:hint="default"/>
          <w:sz w:val="24"/>
          <w:szCs w:val="24"/>
        </w:rPr>
      </w:r>
    </w:p>
    <w:p>
      <w:pPr>
        <w:pStyle w:val="Heading2"/>
        <w:spacing w:line="240" w:lineRule="auto" w:before="58"/>
        <w:ind w:left="140" w:right="-17"/>
        <w:jc w:val="left"/>
        <w:rPr>
          <w:b w:val="0"/>
          <w:bCs w:val="0"/>
        </w:rPr>
      </w:pPr>
      <w:r>
        <w:rPr>
          <w:rFonts w:ascii="宋体" w:hAnsi="宋体" w:cs="宋体" w:eastAsia="宋体" w:hint="default"/>
        </w:rPr>
        <w:t>(1).</w:t>
      </w:r>
      <w:r>
        <w:rPr>
          <w:rFonts w:ascii="宋体" w:hAnsi="宋体" w:cs="宋体" w:eastAsia="宋体" w:hint="default"/>
          <w:spacing w:val="-3"/>
        </w:rPr>
        <w:t> </w:t>
      </w:r>
      <w:r>
        <w:rPr/>
        <w:t>其他应收款分类披露：</w:t>
      </w:r>
      <w:r>
        <w:rPr>
          <w:b w:val="0"/>
          <w:bCs w:val="0"/>
        </w:rPr>
      </w:r>
    </w:p>
    <w:p>
      <w:pPr>
        <w:pStyle w:val="BodyText"/>
        <w:tabs>
          <w:tab w:pos="1100" w:val="left" w:leader="none"/>
        </w:tabs>
        <w:spacing w:line="240" w:lineRule="auto" w:before="58"/>
        <w:ind w:left="140" w:right="-17"/>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4"/>
          <w:szCs w:val="34"/>
        </w:rPr>
      </w:pPr>
    </w:p>
    <w:p>
      <w:pPr>
        <w:pStyle w:val="BodyText"/>
        <w:tabs>
          <w:tab w:pos="1339" w:val="left" w:leader="none"/>
        </w:tabs>
        <w:spacing w:line="240" w:lineRule="auto"/>
        <w:ind w:left="140" w:right="0"/>
        <w:jc w:val="left"/>
      </w:pPr>
      <w:r>
        <w:rPr/>
        <w:t>单位：元</w:t>
        <w:tab/>
        <w:t>币种：人民币</w:t>
      </w:r>
    </w:p>
    <w:p>
      <w:pPr>
        <w:spacing w:after="0" w:line="240" w:lineRule="auto"/>
        <w:jc w:val="left"/>
        <w:sectPr>
          <w:type w:val="continuous"/>
          <w:pgSz w:w="16840" w:h="11910" w:orient="landscape"/>
          <w:pgMar w:top="1000" w:bottom="280" w:left="1300" w:right="1380"/>
          <w:cols w:num="2" w:equalWidth="0">
            <w:col w:w="3155" w:space="8079"/>
            <w:col w:w="2926"/>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50"/>
        <w:gridCol w:w="1848"/>
        <w:gridCol w:w="692"/>
        <w:gridCol w:w="1322"/>
        <w:gridCol w:w="482"/>
        <w:gridCol w:w="1846"/>
        <w:gridCol w:w="1848"/>
        <w:gridCol w:w="692"/>
        <w:gridCol w:w="1428"/>
        <w:gridCol w:w="482"/>
        <w:gridCol w:w="1846"/>
      </w:tblGrid>
      <w:tr>
        <w:trPr>
          <w:trHeight w:val="293" w:hRule="exact"/>
        </w:trPr>
        <w:tc>
          <w:tcPr>
            <w:tcW w:w="14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2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50" w:type="dxa"/>
            <w:vMerge/>
            <w:tcBorders>
              <w:left w:val="single" w:sz="4" w:space="0" w:color="000000"/>
              <w:right w:val="single" w:sz="4" w:space="0" w:color="000000"/>
            </w:tcBorders>
          </w:tcPr>
          <w:p>
            <w:pPr/>
          </w:p>
        </w:tc>
        <w:tc>
          <w:tcPr>
            <w:tcW w:w="25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4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708" w:right="70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5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4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708" w:right="70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828" w:hRule="exact"/>
        </w:trPr>
        <w:tc>
          <w:tcPr>
            <w:tcW w:w="1450" w:type="dxa"/>
            <w:vMerge/>
            <w:tcBorders>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85" w:right="125" w:hanging="54"/>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79" w:right="2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846" w:type="dxa"/>
            <w:vMerge/>
            <w:tcBorders>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84" w:right="12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79" w:right="2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846" w:type="dxa"/>
            <w:vMerge/>
            <w:tcBorders>
              <w:left w:val="single" w:sz="4" w:space="0" w:color="000000"/>
              <w:bottom w:val="single" w:sz="4" w:space="0" w:color="000000"/>
              <w:right w:val="single" w:sz="4" w:space="0" w:color="000000"/>
            </w:tcBorders>
          </w:tcPr>
          <w:p>
            <w:pPr/>
          </w:p>
        </w:tc>
      </w:tr>
      <w:tr>
        <w:trPr>
          <w:trHeight w:val="1099"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单项金额重大</w:t>
            </w:r>
          </w:p>
          <w:p>
            <w:pPr>
              <w:pStyle w:val="TableParagraph"/>
              <w:spacing w:line="237" w:lineRule="auto"/>
              <w:ind w:left="26" w:right="149"/>
              <w:jc w:val="both"/>
              <w:rPr>
                <w:rFonts w:ascii="宋体" w:hAnsi="宋体" w:cs="宋体" w:eastAsia="宋体" w:hint="default"/>
                <w:sz w:val="21"/>
                <w:szCs w:val="21"/>
              </w:rPr>
            </w:pPr>
            <w:r>
              <w:rPr>
                <w:rFonts w:ascii="宋体" w:hAnsi="宋体" w:cs="宋体" w:eastAsia="宋体" w:hint="default"/>
                <w:sz w:val="21"/>
                <w:szCs w:val="21"/>
              </w:rPr>
              <w:t>并单独计提坏</w:t>
            </w:r>
            <w:r>
              <w:rPr>
                <w:rFonts w:ascii="宋体" w:hAnsi="宋体" w:cs="宋体" w:eastAsia="宋体" w:hint="default"/>
                <w:w w:val="100"/>
                <w:sz w:val="21"/>
                <w:szCs w:val="21"/>
              </w:rPr>
              <w:t> </w:t>
            </w:r>
            <w:r>
              <w:rPr>
                <w:rFonts w:ascii="宋体" w:hAnsi="宋体" w:cs="宋体" w:eastAsia="宋体" w:hint="default"/>
                <w:sz w:val="21"/>
                <w:szCs w:val="21"/>
              </w:rPr>
              <w:t>账准备的其他</w:t>
            </w:r>
            <w:r>
              <w:rPr>
                <w:rFonts w:ascii="宋体" w:hAnsi="宋体" w:cs="宋体" w:eastAsia="宋体" w:hint="default"/>
                <w:w w:val="100"/>
                <w:sz w:val="21"/>
                <w:szCs w:val="21"/>
              </w:rPr>
              <w:t> </w:t>
            </w:r>
            <w:r>
              <w:rPr>
                <w:rFonts w:ascii="宋体" w:hAnsi="宋体" w:cs="宋体" w:eastAsia="宋体" w:hint="default"/>
                <w:sz w:val="21"/>
                <w:szCs w:val="21"/>
              </w:rPr>
              <w:t>应收款</w:t>
            </w:r>
          </w:p>
        </w:tc>
        <w:tc>
          <w:tcPr>
            <w:tcW w:w="1848"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按信用风险特</w:t>
            </w:r>
          </w:p>
          <w:p>
            <w:pPr>
              <w:pStyle w:val="TableParagraph"/>
              <w:spacing w:line="237" w:lineRule="auto" w:before="1"/>
              <w:ind w:left="26" w:right="149"/>
              <w:jc w:val="both"/>
              <w:rPr>
                <w:rFonts w:ascii="宋体" w:hAnsi="宋体" w:cs="宋体" w:eastAsia="宋体" w:hint="default"/>
                <w:sz w:val="21"/>
                <w:szCs w:val="21"/>
              </w:rPr>
            </w:pPr>
            <w:r>
              <w:rPr>
                <w:rFonts w:ascii="宋体" w:hAnsi="宋体" w:cs="宋体" w:eastAsia="宋体" w:hint="default"/>
                <w:sz w:val="21"/>
                <w:szCs w:val="21"/>
              </w:rPr>
              <w:t>征组合计提坏</w:t>
            </w:r>
            <w:r>
              <w:rPr>
                <w:rFonts w:ascii="宋体" w:hAnsi="宋体" w:cs="宋体" w:eastAsia="宋体" w:hint="default"/>
                <w:w w:val="100"/>
                <w:sz w:val="21"/>
                <w:szCs w:val="21"/>
              </w:rPr>
              <w:t> </w:t>
            </w:r>
            <w:r>
              <w:rPr>
                <w:rFonts w:ascii="宋体" w:hAnsi="宋体" w:cs="宋体" w:eastAsia="宋体" w:hint="default"/>
                <w:sz w:val="21"/>
                <w:szCs w:val="21"/>
              </w:rPr>
              <w:t>账准备的其他</w:t>
            </w:r>
            <w:r>
              <w:rPr>
                <w:rFonts w:ascii="宋体" w:hAnsi="宋体" w:cs="宋体" w:eastAsia="宋体" w:hint="default"/>
                <w:w w:val="100"/>
                <w:sz w:val="21"/>
                <w:szCs w:val="21"/>
              </w:rPr>
              <w:t> </w:t>
            </w:r>
            <w:r>
              <w:rPr>
                <w:rFonts w:ascii="宋体" w:hAnsi="宋体" w:cs="宋体" w:eastAsia="宋体" w:hint="default"/>
                <w:sz w:val="21"/>
                <w:szCs w:val="21"/>
              </w:rPr>
              <w:t>应收款</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11,692,180,889.40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sz w:val="21"/>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8,346,464.62</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0.07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sz w:val="21"/>
              </w:rPr>
              <w:t>11,683,834,424.78</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14,207,400,779.82</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0"/>
              <w:jc w:val="right"/>
              <w:rPr>
                <w:rFonts w:ascii="宋体" w:hAnsi="宋体" w:cs="宋体" w:eastAsia="宋体" w:hint="default"/>
                <w:sz w:val="21"/>
                <w:szCs w:val="21"/>
              </w:rPr>
            </w:pPr>
            <w:r>
              <w:rPr>
                <w:rFonts w:ascii="宋体"/>
                <w:sz w:val="21"/>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24,887,874.49</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 w:right="0"/>
              <w:jc w:val="left"/>
              <w:rPr>
                <w:rFonts w:ascii="宋体" w:hAnsi="宋体" w:cs="宋体" w:eastAsia="宋体" w:hint="default"/>
                <w:sz w:val="21"/>
                <w:szCs w:val="21"/>
              </w:rPr>
            </w:pPr>
            <w:r>
              <w:rPr>
                <w:rFonts w:ascii="宋体"/>
                <w:sz w:val="21"/>
              </w:rPr>
              <w:t>0.18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 w:right="0"/>
              <w:jc w:val="left"/>
              <w:rPr>
                <w:rFonts w:ascii="宋体" w:hAnsi="宋体" w:cs="宋体" w:eastAsia="宋体" w:hint="default"/>
                <w:sz w:val="21"/>
                <w:szCs w:val="21"/>
              </w:rPr>
            </w:pPr>
            <w:r>
              <w:rPr>
                <w:rFonts w:ascii="宋体"/>
                <w:sz w:val="21"/>
              </w:rPr>
              <w:t>14,182,512,905.33</w:t>
            </w:r>
          </w:p>
        </w:tc>
      </w:tr>
      <w:tr>
        <w:trPr>
          <w:trHeight w:val="1099"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w:t>
            </w:r>
          </w:p>
          <w:p>
            <w:pPr>
              <w:pStyle w:val="TableParagraph"/>
              <w:spacing w:line="237" w:lineRule="auto"/>
              <w:ind w:left="26" w:right="149"/>
              <w:jc w:val="both"/>
              <w:rPr>
                <w:rFonts w:ascii="宋体" w:hAnsi="宋体" w:cs="宋体" w:eastAsia="宋体" w:hint="default"/>
                <w:sz w:val="21"/>
                <w:szCs w:val="21"/>
              </w:rPr>
            </w:pPr>
            <w:r>
              <w:rPr>
                <w:rFonts w:ascii="宋体" w:hAnsi="宋体" w:cs="宋体" w:eastAsia="宋体" w:hint="default"/>
                <w:sz w:val="21"/>
                <w:szCs w:val="21"/>
              </w:rPr>
              <w:t>大但单独计提</w:t>
            </w:r>
            <w:r>
              <w:rPr>
                <w:rFonts w:ascii="宋体" w:hAnsi="宋体" w:cs="宋体" w:eastAsia="宋体" w:hint="default"/>
                <w:w w:val="100"/>
                <w:sz w:val="21"/>
                <w:szCs w:val="21"/>
              </w:rPr>
              <w:t> </w:t>
            </w:r>
            <w:r>
              <w:rPr>
                <w:rFonts w:ascii="宋体" w:hAnsi="宋体" w:cs="宋体" w:eastAsia="宋体" w:hint="default"/>
                <w:sz w:val="21"/>
                <w:szCs w:val="21"/>
              </w:rPr>
              <w:t>坏账准备的其</w:t>
            </w:r>
            <w:r>
              <w:rPr>
                <w:rFonts w:ascii="宋体" w:hAnsi="宋体" w:cs="宋体" w:eastAsia="宋体" w:hint="default"/>
                <w:w w:val="100"/>
                <w:sz w:val="21"/>
                <w:szCs w:val="21"/>
              </w:rPr>
              <w:t> </w:t>
            </w:r>
            <w:r>
              <w:rPr>
                <w:rFonts w:ascii="宋体" w:hAnsi="宋体" w:cs="宋体" w:eastAsia="宋体" w:hint="default"/>
                <w:sz w:val="21"/>
                <w:szCs w:val="21"/>
              </w:rPr>
              <w:t>他应收款</w:t>
            </w:r>
          </w:p>
        </w:tc>
        <w:tc>
          <w:tcPr>
            <w:tcW w:w="1848"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11,692,180,889.40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8,346,464.62</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0.07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11,683,834,424.78</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14,207,400,779.82</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24,887,874.49</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0.18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14,182,512,905.33</w:t>
            </w:r>
          </w:p>
        </w:tc>
      </w:tr>
    </w:tbl>
    <w:p>
      <w:pPr>
        <w:spacing w:line="240" w:lineRule="auto" w:before="3"/>
        <w:rPr>
          <w:rFonts w:ascii="宋体" w:hAnsi="宋体" w:cs="宋体" w:eastAsia="宋体" w:hint="default"/>
          <w:sz w:val="23"/>
          <w:szCs w:val="23"/>
        </w:rPr>
      </w:pPr>
    </w:p>
    <w:p>
      <w:pPr>
        <w:pStyle w:val="BodyText"/>
        <w:spacing w:line="240" w:lineRule="auto" w:before="26"/>
        <w:ind w:left="140" w:right="0"/>
        <w:jc w:val="left"/>
      </w:pPr>
      <w:r>
        <w:rPr/>
        <w:t>期末单项金额重大并单项计提坏账准备的其他应收款：</w:t>
      </w:r>
    </w:p>
    <w:p>
      <w:pPr>
        <w:pStyle w:val="BodyText"/>
        <w:spacing w:line="240" w:lineRule="auto" w:before="58"/>
        <w:ind w:left="140"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before="63"/>
        <w:ind w:left="6392" w:right="6396" w:firstLine="0"/>
        <w:jc w:val="center"/>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221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000" w:bottom="280" w:left="1300" w:right="1380"/>
        </w:sectPr>
      </w:pPr>
    </w:p>
    <w:p>
      <w:pPr>
        <w:spacing w:line="240" w:lineRule="auto" w:before="3"/>
        <w:rPr>
          <w:rFonts w:ascii="Calibri" w:hAnsi="Calibri" w:cs="Calibri" w:eastAsia="Calibri" w:hint="default"/>
          <w:b/>
          <w:bCs/>
          <w:sz w:val="27"/>
          <w:szCs w:val="27"/>
        </w:rPr>
      </w:pPr>
    </w:p>
    <w:p>
      <w:pPr>
        <w:spacing w:after="0" w:line="240" w:lineRule="auto"/>
        <w:rPr>
          <w:rFonts w:ascii="Calibri" w:hAnsi="Calibri" w:cs="Calibri" w:eastAsia="Calibri" w:hint="default"/>
          <w:sz w:val="27"/>
          <w:szCs w:val="27"/>
        </w:rPr>
        <w:sectPr>
          <w:footerReference w:type="default" r:id="rId109"/>
          <w:pgSz w:w="11910" w:h="16840"/>
          <w:pgMar w:footer="1195" w:header="0" w:top="1120" w:bottom="1380" w:left="1580" w:right="1040"/>
          <w:pgNumType w:start="211"/>
        </w:sectPr>
      </w:pPr>
    </w:p>
    <w:p>
      <w:pPr>
        <w:pStyle w:val="BodyText"/>
        <w:spacing w:line="240" w:lineRule="auto" w:before="26"/>
        <w:ind w:left="218" w:right="-20"/>
        <w:jc w:val="left"/>
      </w:pPr>
      <w:r>
        <w:rPr/>
        <w:t>组合中，按账龄分析法计提坏账准备的其他应收款：</w:t>
      </w:r>
    </w:p>
    <w:p>
      <w:pPr>
        <w:pStyle w:val="BodyText"/>
        <w:tabs>
          <w:tab w:pos="1177" w:val="left" w:leader="none"/>
        </w:tabs>
        <w:spacing w:line="240" w:lineRule="auto" w:before="58"/>
        <w:ind w:left="218" w:right="-20"/>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000" w:bottom="280" w:left="1580" w:right="1040"/>
          <w:cols w:num="2" w:equalWidth="0">
            <w:col w:w="5739" w:space="454"/>
            <w:col w:w="309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322"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4"/>
                <w:szCs w:val="24"/>
              </w:rPr>
            </w:pPr>
            <w:r>
              <w:rPr>
                <w:rFonts w:ascii="宋体" w:hAnsi="宋体" w:cs="宋体" w:eastAsia="宋体" w:hint="default"/>
                <w:sz w:val="24"/>
                <w:szCs w:val="24"/>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04"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24"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1"/>
              <w:jc w:val="righ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w:t>
            </w:r>
            <w:r>
              <w:rPr>
                <w:rFonts w:ascii="宋体" w:hAnsi="宋体" w:cs="宋体" w:eastAsia="宋体" w:hint="default"/>
                <w:sz w:val="24"/>
                <w:szCs w:val="24"/>
              </w:rPr>
              <w:t>）</w:t>
            </w:r>
          </w:p>
        </w:tc>
      </w:tr>
      <w:tr>
        <w:trPr>
          <w:trHeight w:val="32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1"/>
                <w:sz w:val="24"/>
                <w:szCs w:val="24"/>
              </w:rPr>
              <w:t> </w:t>
            </w:r>
            <w:r>
              <w:rPr>
                <w:rFonts w:ascii="宋体" w:hAnsi="宋体" w:cs="宋体" w:eastAsia="宋体" w:hint="default"/>
                <w:sz w:val="24"/>
                <w:szCs w:val="24"/>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50,756,866.36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2,030,274.66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4.00</w:t>
            </w:r>
          </w:p>
        </w:tc>
      </w:tr>
      <w:tr>
        <w:trPr>
          <w:trHeight w:val="32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50,756,866.36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2,030,274.66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4.00</w:t>
            </w:r>
          </w:p>
        </w:tc>
      </w:tr>
      <w:tr>
        <w:trPr>
          <w:trHeight w:val="319"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2,800.34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224.03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8.00</w:t>
            </w:r>
          </w:p>
        </w:tc>
      </w:tr>
      <w:tr>
        <w:trPr>
          <w:trHeight w:val="32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622,538.94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124,507.79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20.00</w:t>
            </w:r>
          </w:p>
        </w:tc>
      </w:tr>
      <w:tr>
        <w:trPr>
          <w:trHeight w:val="32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1,054,383.96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527,191.98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50.00</w:t>
            </w:r>
          </w:p>
        </w:tc>
      </w:tr>
      <w:tr>
        <w:trPr>
          <w:trHeight w:val="32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5,664,266.16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5,664,266.16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100.00</w:t>
            </w:r>
          </w:p>
        </w:tc>
      </w:tr>
      <w:tr>
        <w:trPr>
          <w:trHeight w:val="32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58,100,855.76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8,346,464.62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14.37</w:t>
            </w:r>
          </w:p>
        </w:tc>
      </w:tr>
    </w:tbl>
    <w:p>
      <w:pPr>
        <w:spacing w:line="240" w:lineRule="auto" w:before="2"/>
        <w:rPr>
          <w:rFonts w:ascii="宋体" w:hAnsi="宋体" w:cs="宋体" w:eastAsia="宋体" w:hint="default"/>
          <w:sz w:val="23"/>
          <w:szCs w:val="23"/>
        </w:rPr>
      </w:pPr>
    </w:p>
    <w:p>
      <w:pPr>
        <w:pStyle w:val="BodyText"/>
        <w:spacing w:line="240" w:lineRule="auto" w:before="26"/>
        <w:ind w:left="218" w:right="233"/>
        <w:jc w:val="left"/>
      </w:pPr>
      <w:r>
        <w:rPr/>
        <w:t>组合中，采用余额百分比法计提坏账准备的其他应收款：</w:t>
      </w:r>
    </w:p>
    <w:p>
      <w:pPr>
        <w:pStyle w:val="BodyText"/>
        <w:spacing w:line="240" w:lineRule="auto" w:before="58"/>
        <w:ind w:left="218" w:right="233"/>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BodyText"/>
        <w:spacing w:line="240" w:lineRule="auto"/>
        <w:ind w:left="218" w:right="233"/>
        <w:jc w:val="left"/>
      </w:pPr>
      <w:r>
        <w:rPr/>
        <w:t>组合中，采用其他方法计提坏账准备的其他应收款：</w:t>
      </w:r>
    </w:p>
    <w:p>
      <w:pPr>
        <w:pStyle w:val="BodyText"/>
        <w:tabs>
          <w:tab w:pos="1177" w:val="left" w:leader="none"/>
        </w:tabs>
        <w:spacing w:line="240" w:lineRule="auto" w:before="55"/>
        <w:ind w:left="218" w:right="233"/>
        <w:jc w:val="left"/>
      </w:pPr>
      <w:r>
        <w:rPr>
          <w:spacing w:val="-1"/>
        </w:rPr>
        <w:t>√适用</w:t>
        <w:tab/>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3"/>
        <w:gridCol w:w="3118"/>
        <w:gridCol w:w="1417"/>
        <w:gridCol w:w="1562"/>
      </w:tblGrid>
      <w:tr>
        <w:trPr>
          <w:trHeight w:val="322" w:hRule="exact"/>
        </w:trPr>
        <w:tc>
          <w:tcPr>
            <w:tcW w:w="2943" w:type="dxa"/>
            <w:vMerge w:val="restart"/>
            <w:tcBorders>
              <w:top w:val="single" w:sz="4" w:space="0" w:color="000000"/>
              <w:left w:val="single" w:sz="4" w:space="0" w:color="000000"/>
              <w:right w:val="single" w:sz="4" w:space="0" w:color="000000"/>
            </w:tcBorders>
          </w:tcPr>
          <w:p>
            <w:pPr>
              <w:pStyle w:val="TableParagraph"/>
              <w:spacing w:line="240" w:lineRule="auto" w:before="120"/>
              <w:ind w:left="343" w:right="0"/>
              <w:jc w:val="left"/>
              <w:rPr>
                <w:rFonts w:ascii="宋体" w:hAnsi="宋体" w:cs="宋体" w:eastAsia="宋体" w:hint="default"/>
                <w:sz w:val="24"/>
                <w:szCs w:val="24"/>
              </w:rPr>
            </w:pPr>
            <w:r>
              <w:rPr>
                <w:rFonts w:ascii="宋体" w:hAnsi="宋体" w:cs="宋体" w:eastAsia="宋体" w:hint="default"/>
                <w:sz w:val="24"/>
                <w:szCs w:val="24"/>
              </w:rPr>
              <w:t>组合名称</w:t>
            </w:r>
          </w:p>
        </w:tc>
        <w:tc>
          <w:tcPr>
            <w:tcW w:w="60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center"/>
              <w:rPr>
                <w:rFonts w:ascii="宋体" w:hAnsi="宋体" w:cs="宋体" w:eastAsia="宋体" w:hint="default"/>
                <w:sz w:val="24"/>
                <w:szCs w:val="24"/>
              </w:rPr>
            </w:pPr>
            <w:r>
              <w:rPr>
                <w:rFonts w:ascii="宋体" w:hAnsi="宋体" w:cs="宋体" w:eastAsia="宋体" w:hint="default"/>
                <w:sz w:val="24"/>
                <w:szCs w:val="24"/>
              </w:rPr>
              <w:t>期末数</w:t>
            </w:r>
          </w:p>
        </w:tc>
      </w:tr>
      <w:tr>
        <w:trPr>
          <w:trHeight w:val="322" w:hRule="exact"/>
        </w:trPr>
        <w:tc>
          <w:tcPr>
            <w:tcW w:w="2943" w:type="dxa"/>
            <w:vMerge/>
            <w:tcBorders>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账面余额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0"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0"/>
              <w:jc w:val="lef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w:t>
            </w:r>
          </w:p>
        </w:tc>
      </w:tr>
      <w:tr>
        <w:trPr>
          <w:trHeight w:val="47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合并范围内关联方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11,634,080,033.64</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tabs>
                <w:tab w:pos="823" w:val="left" w:leader="none"/>
              </w:tabs>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小</w:t>
              <w:tab/>
              <w:t>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11,634,080,033.64</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3"/>
          <w:szCs w:val="23"/>
        </w:rPr>
      </w:pPr>
    </w:p>
    <w:p>
      <w:pPr>
        <w:pStyle w:val="Heading2"/>
        <w:spacing w:line="240" w:lineRule="auto"/>
        <w:ind w:right="233"/>
        <w:jc w:val="left"/>
        <w:rPr>
          <w:b w:val="0"/>
          <w:bCs w:val="0"/>
        </w:rPr>
      </w:pPr>
      <w:r>
        <w:rPr>
          <w:rFonts w:ascii="宋体" w:hAnsi="宋体" w:cs="宋体" w:eastAsia="宋体" w:hint="default"/>
        </w:rPr>
        <w:t>(2).</w:t>
      </w:r>
      <w:r>
        <w:rPr>
          <w:rFonts w:ascii="宋体" w:hAnsi="宋体" w:cs="宋体" w:eastAsia="宋体" w:hint="default"/>
          <w:spacing w:val="-4"/>
        </w:rPr>
        <w:t> </w:t>
      </w:r>
      <w:r>
        <w:rPr/>
        <w:t>本期计提、收回或转回的坏账准备情况：</w:t>
      </w:r>
      <w:r>
        <w:rPr>
          <w:b w:val="0"/>
          <w:bCs w:val="0"/>
        </w:rPr>
      </w:r>
    </w:p>
    <w:p>
      <w:pPr>
        <w:pStyle w:val="BodyText"/>
        <w:spacing w:line="355" w:lineRule="auto" w:before="58"/>
        <w:ind w:left="218" w:right="289" w:firstLine="479"/>
        <w:jc w:val="left"/>
      </w:pPr>
      <w:r>
        <w:rPr/>
        <w:t>本期计提坏账准备金额</w:t>
      </w:r>
      <w:r>
        <w:rPr>
          <w:rFonts w:ascii="宋体" w:hAnsi="宋体" w:cs="宋体" w:eastAsia="宋体" w:hint="default"/>
        </w:rPr>
        <w:t>-16,541,409.87</w:t>
      </w:r>
      <w:r>
        <w:rPr>
          <w:rFonts w:ascii="宋体" w:hAnsi="宋体" w:cs="宋体" w:eastAsia="宋体" w:hint="default"/>
          <w:spacing w:val="-60"/>
        </w:rPr>
        <w:t> </w:t>
      </w:r>
      <w:r>
        <w:rPr/>
        <w:t>元；本期收回或转回坏账准备金额</w:t>
      </w:r>
      <w:r>
        <w:rPr>
          <w:spacing w:val="-60"/>
        </w:rPr>
        <w:t> </w:t>
      </w:r>
      <w:r>
        <w:rPr>
          <w:rFonts w:ascii="宋体" w:hAnsi="宋体" w:cs="宋体" w:eastAsia="宋体" w:hint="default"/>
        </w:rPr>
        <w:t>0.00 </w:t>
      </w:r>
      <w:r>
        <w:rPr/>
        <w:t>元。</w:t>
      </w:r>
    </w:p>
    <w:p>
      <w:pPr>
        <w:pStyle w:val="BodyText"/>
        <w:spacing w:line="240" w:lineRule="auto" w:before="38"/>
        <w:ind w:left="218" w:right="233"/>
        <w:jc w:val="left"/>
      </w:pPr>
      <w:r>
        <w:rPr/>
        <w:t>其中本期坏账准备转回或收回金额重要的：</w:t>
      </w:r>
    </w:p>
    <w:p>
      <w:pPr>
        <w:pStyle w:val="BodyText"/>
        <w:spacing w:line="240" w:lineRule="auto" w:before="151"/>
        <w:ind w:left="218" w:right="233"/>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right="233"/>
        <w:jc w:val="left"/>
        <w:rPr>
          <w:b w:val="0"/>
          <w:bCs w:val="0"/>
        </w:rPr>
      </w:pPr>
      <w:r>
        <w:rPr>
          <w:rFonts w:ascii="宋体" w:hAnsi="宋体" w:cs="宋体" w:eastAsia="宋体" w:hint="default"/>
        </w:rPr>
        <w:t>(3).</w:t>
      </w:r>
      <w:r>
        <w:rPr>
          <w:rFonts w:ascii="宋体" w:hAnsi="宋体" w:cs="宋体" w:eastAsia="宋体" w:hint="default"/>
          <w:spacing w:val="-2"/>
        </w:rPr>
        <w:t> </w:t>
      </w:r>
      <w:r>
        <w:rPr/>
        <w:t>本期实际核销的其他应收款情况</w:t>
      </w:r>
      <w:r>
        <w:rPr>
          <w:b w:val="0"/>
          <w:bCs w:val="0"/>
        </w:rPr>
      </w:r>
    </w:p>
    <w:p>
      <w:pPr>
        <w:pStyle w:val="BodyText"/>
        <w:spacing w:line="240" w:lineRule="auto" w:before="58"/>
        <w:ind w:left="218" w:right="233"/>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000" w:bottom="280" w:left="1580" w:right="1040"/>
        </w:sectPr>
      </w:pPr>
    </w:p>
    <w:p>
      <w:pPr>
        <w:pStyle w:val="Heading2"/>
        <w:spacing w:line="240" w:lineRule="auto"/>
        <w:ind w:right="-19"/>
        <w:jc w:val="left"/>
        <w:rPr>
          <w:b w:val="0"/>
          <w:bCs w:val="0"/>
        </w:rPr>
      </w:pPr>
      <w:r>
        <w:rPr>
          <w:rFonts w:ascii="宋体" w:hAnsi="宋体" w:cs="宋体" w:eastAsia="宋体" w:hint="default"/>
        </w:rPr>
        <w:t>(4).</w:t>
      </w:r>
      <w:r>
        <w:rPr>
          <w:rFonts w:ascii="宋体" w:hAnsi="宋体" w:cs="宋体" w:eastAsia="宋体" w:hint="default"/>
          <w:spacing w:val="-2"/>
        </w:rPr>
        <w:t> </w:t>
      </w:r>
      <w:r>
        <w:rPr/>
        <w:t>其他应收款按款项性质分类情况</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000" w:bottom="280" w:left="1580" w:right="1040"/>
          <w:cols w:num="2" w:equalWidth="0">
            <w:col w:w="4196" w:space="1997"/>
            <w:col w:w="309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425" w:type="dxa"/>
        <w:tblLayout w:type="fixed"/>
        <w:tblCellMar>
          <w:top w:w="0" w:type="dxa"/>
          <w:left w:w="0" w:type="dxa"/>
          <w:bottom w:w="0" w:type="dxa"/>
          <w:right w:w="0" w:type="dxa"/>
        </w:tblCellMar>
        <w:tblLook w:val="01E0"/>
      </w:tblPr>
      <w:tblGrid>
        <w:gridCol w:w="3077"/>
        <w:gridCol w:w="2981"/>
        <w:gridCol w:w="2991"/>
      </w:tblGrid>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763" w:right="0"/>
              <w:jc w:val="left"/>
              <w:rPr>
                <w:rFonts w:ascii="宋体" w:hAnsi="宋体" w:cs="宋体" w:eastAsia="宋体" w:hint="default"/>
                <w:sz w:val="24"/>
                <w:szCs w:val="24"/>
              </w:rPr>
            </w:pPr>
            <w:r>
              <w:rPr>
                <w:rFonts w:ascii="宋体" w:hAnsi="宋体" w:cs="宋体" w:eastAsia="宋体" w:hint="default"/>
                <w:sz w:val="24"/>
                <w:szCs w:val="24"/>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768" w:right="0"/>
              <w:jc w:val="left"/>
              <w:rPr>
                <w:rFonts w:ascii="宋体" w:hAnsi="宋体" w:cs="宋体" w:eastAsia="宋体" w:hint="default"/>
                <w:sz w:val="24"/>
                <w:szCs w:val="24"/>
              </w:rPr>
            </w:pPr>
            <w:r>
              <w:rPr>
                <w:rFonts w:ascii="宋体" w:hAnsi="宋体" w:cs="宋体" w:eastAsia="宋体" w:hint="default"/>
                <w:sz w:val="24"/>
                <w:szCs w:val="24"/>
              </w:rPr>
              <w:t>期初账面余额</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11,684,640,272.88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13,764,034,226.21</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股权转让款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436,000,000.00</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应收暂付款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20,009.00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22,764.21</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7,520,607.52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7,343,789.40</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11,692,180,889.40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14,207,400,779.82</w:t>
            </w:r>
          </w:p>
        </w:tc>
      </w:tr>
    </w:tbl>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120" w:bottom="1380" w:left="1260" w:right="720"/>
        </w:sectPr>
      </w:pPr>
    </w:p>
    <w:p>
      <w:pPr>
        <w:pStyle w:val="Heading2"/>
        <w:spacing w:line="240" w:lineRule="auto"/>
        <w:ind w:left="538" w:right="-17"/>
        <w:jc w:val="left"/>
        <w:rPr>
          <w:b w:val="0"/>
          <w:bCs w:val="0"/>
        </w:rPr>
      </w:pPr>
      <w:r>
        <w:rPr>
          <w:rFonts w:ascii="宋体" w:hAnsi="宋体" w:cs="宋体" w:eastAsia="宋体" w:hint="default"/>
        </w:rPr>
        <w:t>(5).</w:t>
      </w:r>
      <w:r>
        <w:rPr>
          <w:rFonts w:ascii="宋体" w:hAnsi="宋体" w:cs="宋体" w:eastAsia="宋体" w:hint="default"/>
          <w:spacing w:val="-5"/>
        </w:rPr>
        <w:t> </w:t>
      </w:r>
      <w:r>
        <w:rPr/>
        <w:t>按欠款方归集的期末余额前五名的其他应收款情况：</w:t>
      </w:r>
      <w:r>
        <w:rPr>
          <w:b w:val="0"/>
          <w:bCs w:val="0"/>
        </w:rPr>
      </w:r>
    </w:p>
    <w:p>
      <w:pPr>
        <w:pStyle w:val="BodyText"/>
        <w:spacing w:line="240" w:lineRule="auto" w:before="58"/>
        <w:ind w:left="538"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209" w:val="left" w:leader="none"/>
        </w:tabs>
        <w:spacing w:line="240" w:lineRule="auto"/>
        <w:ind w:left="8" w:right="0"/>
        <w:jc w:val="left"/>
      </w:pPr>
      <w:r>
        <w:rPr/>
        <w:t>单位：元</w:t>
        <w:tab/>
        <w:t>币种：人民币</w:t>
      </w:r>
    </w:p>
    <w:p>
      <w:pPr>
        <w:spacing w:after="0" w:line="240" w:lineRule="auto"/>
        <w:jc w:val="left"/>
        <w:sectPr>
          <w:type w:val="continuous"/>
          <w:pgSz w:w="11910" w:h="16840"/>
          <w:pgMar w:top="1000" w:bottom="280" w:left="1260" w:right="720"/>
          <w:cols w:num="2" w:equalWidth="0">
            <w:col w:w="6683" w:space="40"/>
            <w:col w:w="3207"/>
          </w:cols>
        </w:sectPr>
      </w:pPr>
    </w:p>
    <w:p>
      <w:pPr>
        <w:spacing w:line="240" w:lineRule="auto" w:before="10"/>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837"/>
        <w:gridCol w:w="922"/>
        <w:gridCol w:w="2055"/>
        <w:gridCol w:w="1418"/>
        <w:gridCol w:w="1558"/>
        <w:gridCol w:w="898"/>
      </w:tblGrid>
      <w:tr>
        <w:trPr>
          <w:trHeight w:val="946"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880" w:right="0"/>
              <w:jc w:val="left"/>
              <w:rPr>
                <w:rFonts w:ascii="宋体" w:hAnsi="宋体" w:cs="宋体" w:eastAsia="宋体" w:hint="default"/>
                <w:sz w:val="24"/>
                <w:szCs w:val="24"/>
              </w:rPr>
            </w:pPr>
            <w:r>
              <w:rPr>
                <w:rFonts w:ascii="宋体" w:hAnsi="宋体" w:cs="宋体" w:eastAsia="宋体" w:hint="default"/>
                <w:sz w:val="24"/>
                <w:szCs w:val="24"/>
              </w:rPr>
              <w:t>单位名称</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177" w:right="132" w:hanging="120"/>
              <w:jc w:val="left"/>
              <w:rPr>
                <w:rFonts w:ascii="宋体" w:hAnsi="宋体" w:cs="宋体" w:eastAsia="宋体" w:hint="default"/>
                <w:sz w:val="24"/>
                <w:szCs w:val="24"/>
              </w:rPr>
            </w:pPr>
            <w:r>
              <w:rPr>
                <w:rFonts w:ascii="宋体" w:hAnsi="宋体" w:cs="宋体" w:eastAsia="宋体" w:hint="default"/>
                <w:sz w:val="24"/>
                <w:szCs w:val="24"/>
              </w:rPr>
              <w:t>款项的 性质</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504"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24" w:right="0"/>
              <w:jc w:val="left"/>
              <w:rPr>
                <w:rFonts w:ascii="宋体" w:hAnsi="宋体" w:cs="宋体" w:eastAsia="宋体" w:hint="default"/>
                <w:sz w:val="24"/>
                <w:szCs w:val="24"/>
              </w:rPr>
            </w:pPr>
            <w:r>
              <w:rPr>
                <w:rFonts w:ascii="宋体" w:hAnsi="宋体" w:cs="宋体" w:eastAsia="宋体" w:hint="default"/>
                <w:sz w:val="24"/>
                <w:szCs w:val="24"/>
              </w:rPr>
              <w:t>账龄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2" w:right="0"/>
              <w:jc w:val="left"/>
              <w:rPr>
                <w:rFonts w:ascii="宋体" w:hAnsi="宋体" w:cs="宋体" w:eastAsia="宋体" w:hint="default"/>
                <w:sz w:val="24"/>
                <w:szCs w:val="24"/>
              </w:rPr>
            </w:pPr>
            <w:r>
              <w:rPr>
                <w:rFonts w:ascii="宋体" w:hAnsi="宋体" w:cs="宋体" w:eastAsia="宋体" w:hint="default"/>
                <w:sz w:val="24"/>
                <w:szCs w:val="24"/>
              </w:rPr>
              <w:t>占其他应收款</w:t>
            </w:r>
          </w:p>
          <w:p>
            <w:pPr>
              <w:pStyle w:val="TableParagraph"/>
              <w:spacing w:line="312" w:lineRule="exact" w:before="28"/>
              <w:ind w:left="112" w:right="53" w:hanging="60"/>
              <w:jc w:val="left"/>
              <w:rPr>
                <w:rFonts w:ascii="宋体" w:hAnsi="宋体" w:cs="宋体" w:eastAsia="宋体" w:hint="default"/>
                <w:sz w:val="24"/>
                <w:szCs w:val="24"/>
              </w:rPr>
            </w:pPr>
            <w:r>
              <w:rPr>
                <w:rFonts w:ascii="宋体" w:hAnsi="宋体" w:cs="宋体" w:eastAsia="宋体" w:hint="default"/>
                <w:sz w:val="24"/>
                <w:szCs w:val="24"/>
              </w:rPr>
              <w:t>期末余额合计 数的比例</w:t>
            </w:r>
            <w:r>
              <w:rPr>
                <w:rFonts w:ascii="宋体" w:hAnsi="宋体" w:cs="宋体" w:eastAsia="宋体" w:hint="default"/>
                <w:sz w:val="24"/>
                <w:szCs w:val="24"/>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84" w:right="0"/>
              <w:jc w:val="left"/>
              <w:rPr>
                <w:rFonts w:ascii="宋体" w:hAnsi="宋体" w:cs="宋体" w:eastAsia="宋体" w:hint="default"/>
                <w:sz w:val="24"/>
                <w:szCs w:val="24"/>
              </w:rPr>
            </w:pPr>
            <w:r>
              <w:rPr>
                <w:rFonts w:ascii="宋体" w:hAnsi="宋体" w:cs="宋体" w:eastAsia="宋体" w:hint="default"/>
                <w:sz w:val="24"/>
                <w:szCs w:val="24"/>
              </w:rPr>
              <w:t>坏账准</w:t>
            </w:r>
          </w:p>
          <w:p>
            <w:pPr>
              <w:pStyle w:val="TableParagraph"/>
              <w:spacing w:line="312" w:lineRule="exact" w:before="28"/>
              <w:ind w:left="204" w:right="83" w:hanging="120"/>
              <w:jc w:val="left"/>
              <w:rPr>
                <w:rFonts w:ascii="宋体" w:hAnsi="宋体" w:cs="宋体" w:eastAsia="宋体" w:hint="default"/>
                <w:sz w:val="24"/>
                <w:szCs w:val="24"/>
              </w:rPr>
            </w:pPr>
            <w:r>
              <w:rPr>
                <w:rFonts w:ascii="宋体" w:hAnsi="宋体" w:cs="宋体" w:eastAsia="宋体" w:hint="default"/>
                <w:sz w:val="24"/>
                <w:szCs w:val="24"/>
              </w:rPr>
              <w:t>备期末 余额</w:t>
            </w:r>
          </w:p>
        </w:tc>
      </w:tr>
      <w:tr>
        <w:trPr>
          <w:trHeight w:val="631"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上海玛宝房地产开发有限</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4" w:right="0"/>
              <w:jc w:val="left"/>
              <w:rPr>
                <w:rFonts w:ascii="宋体" w:hAnsi="宋体" w:cs="宋体" w:eastAsia="宋体" w:hint="default"/>
                <w:sz w:val="24"/>
                <w:szCs w:val="24"/>
              </w:rPr>
            </w:pPr>
            <w:r>
              <w:rPr>
                <w:rFonts w:ascii="宋体" w:hAnsi="宋体" w:cs="宋体" w:eastAsia="宋体" w:hint="default"/>
                <w:sz w:val="24"/>
                <w:szCs w:val="24"/>
              </w:rPr>
              <w:t>往来款</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9"/>
              <w:jc w:val="right"/>
              <w:rPr>
                <w:rFonts w:ascii="宋体" w:hAnsi="宋体" w:cs="宋体" w:eastAsia="宋体" w:hint="default"/>
                <w:sz w:val="24"/>
                <w:szCs w:val="24"/>
              </w:rPr>
            </w:pPr>
            <w:r>
              <w:rPr>
                <w:rFonts w:ascii="宋体"/>
                <w:sz w:val="24"/>
              </w:rPr>
              <w:t>1,372,535,087.85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
              <w:jc w:val="right"/>
              <w:rPr>
                <w:rFonts w:ascii="宋体" w:hAnsi="宋体" w:cs="宋体" w:eastAsia="宋体" w:hint="default"/>
                <w:sz w:val="24"/>
                <w:szCs w:val="24"/>
              </w:rPr>
            </w:pPr>
            <w:r>
              <w:rPr>
                <w:rFonts w:ascii="宋体"/>
                <w:sz w:val="24"/>
              </w:rPr>
              <w:t>11.74</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新湖地产集团有限公司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往来款</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1,311,528,520.90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11.22</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平阳伟成置业有限公司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往来款</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959,493,194.44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8.21</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香港新湖投资有限公司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往来款</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920,523,536.69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1-5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7.87</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贵州新湖能源有限公司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往来款</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867,943,522.62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7.42</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center"/>
              <w:rPr>
                <w:rFonts w:ascii="宋体" w:hAnsi="宋体" w:cs="宋体" w:eastAsia="宋体" w:hint="default"/>
                <w:sz w:val="24"/>
                <w:szCs w:val="24"/>
              </w:rPr>
            </w:pPr>
            <w:r>
              <w:rPr>
                <w:rFonts w:ascii="宋体" w:hAnsi="宋体" w:cs="宋体" w:eastAsia="宋体" w:hint="default"/>
                <w:sz w:val="24"/>
                <w:szCs w:val="24"/>
              </w:rPr>
              <w:t>合计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5,432,023,862.50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46.46</w:t>
            </w:r>
          </w:p>
        </w:tc>
        <w:tc>
          <w:tcPr>
            <w:tcW w:w="8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3"/>
          <w:szCs w:val="23"/>
        </w:rPr>
      </w:pPr>
    </w:p>
    <w:p>
      <w:pPr>
        <w:pStyle w:val="Heading2"/>
        <w:spacing w:line="240" w:lineRule="auto"/>
        <w:ind w:left="538" w:right="0"/>
        <w:jc w:val="left"/>
        <w:rPr>
          <w:b w:val="0"/>
          <w:bCs w:val="0"/>
        </w:rPr>
      </w:pPr>
      <w:r>
        <w:rPr>
          <w:rFonts w:ascii="宋体" w:hAnsi="宋体" w:cs="宋体" w:eastAsia="宋体" w:hint="default"/>
        </w:rPr>
        <w:t>(6).</w:t>
      </w:r>
      <w:r>
        <w:rPr>
          <w:rFonts w:ascii="宋体" w:hAnsi="宋体" w:cs="宋体" w:eastAsia="宋体" w:hint="default"/>
          <w:spacing w:val="-4"/>
        </w:rPr>
        <w:t> </w:t>
      </w:r>
      <w:r>
        <w:rPr/>
        <w:t>涉及政府补助的应收款项</w:t>
      </w:r>
      <w:r>
        <w:rPr>
          <w:b w:val="0"/>
          <w:bCs w:val="0"/>
        </w:rPr>
      </w:r>
    </w:p>
    <w:p>
      <w:pPr>
        <w:pStyle w:val="BodyText"/>
        <w:spacing w:line="240" w:lineRule="auto" w:before="58"/>
        <w:ind w:left="538" w:right="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538" w:right="0"/>
        <w:jc w:val="left"/>
        <w:rPr>
          <w:b w:val="0"/>
          <w:bCs w:val="0"/>
        </w:rPr>
      </w:pPr>
      <w:r>
        <w:rPr>
          <w:rFonts w:ascii="宋体" w:hAnsi="宋体" w:cs="宋体" w:eastAsia="宋体" w:hint="default"/>
        </w:rPr>
        <w:t>(7).</w:t>
      </w:r>
      <w:r>
        <w:rPr>
          <w:rFonts w:ascii="宋体" w:hAnsi="宋体" w:cs="宋体" w:eastAsia="宋体" w:hint="default"/>
          <w:spacing w:val="-3"/>
        </w:rPr>
        <w:t> </w:t>
      </w:r>
      <w:r>
        <w:rPr/>
        <w:t>因金融资产转移而终止确认的其他应收款：</w:t>
      </w:r>
      <w:r>
        <w:rPr>
          <w:b w:val="0"/>
          <w:bCs w:val="0"/>
        </w:rPr>
      </w:r>
    </w:p>
    <w:p>
      <w:pPr>
        <w:pStyle w:val="BodyText"/>
        <w:tabs>
          <w:tab w:pos="1497" w:val="left" w:leader="none"/>
        </w:tabs>
        <w:spacing w:line="240" w:lineRule="auto" w:before="58"/>
        <w:ind w:left="538" w:right="0"/>
        <w:jc w:val="left"/>
      </w:pPr>
      <w:r>
        <w:rPr>
          <w:spacing w:val="-1"/>
        </w:rPr>
        <w:t>□适用</w:t>
        <w:tab/>
      </w:r>
      <w:r>
        <w:rPr/>
        <w:t>√不适用</w:t>
      </w:r>
    </w:p>
    <w:p>
      <w:pPr>
        <w:spacing w:line="240" w:lineRule="auto" w:before="1"/>
        <w:rPr>
          <w:rFonts w:ascii="宋体" w:hAnsi="宋体" w:cs="宋体" w:eastAsia="宋体" w:hint="default"/>
          <w:sz w:val="28"/>
          <w:szCs w:val="28"/>
        </w:rPr>
      </w:pPr>
    </w:p>
    <w:p>
      <w:pPr>
        <w:pStyle w:val="Heading2"/>
        <w:spacing w:line="240" w:lineRule="auto" w:before="0"/>
        <w:ind w:left="538" w:right="0"/>
        <w:jc w:val="left"/>
        <w:rPr>
          <w:b w:val="0"/>
          <w:bCs w:val="0"/>
        </w:rPr>
      </w:pPr>
      <w:r>
        <w:rPr>
          <w:rFonts w:ascii="宋体" w:hAnsi="宋体" w:cs="宋体" w:eastAsia="宋体" w:hint="default"/>
        </w:rPr>
        <w:t>(8).</w:t>
      </w:r>
      <w:r>
        <w:rPr>
          <w:rFonts w:ascii="宋体" w:hAnsi="宋体" w:cs="宋体" w:eastAsia="宋体" w:hint="default"/>
          <w:spacing w:val="-5"/>
        </w:rPr>
        <w:t> </w:t>
      </w:r>
      <w:r>
        <w:rPr/>
        <w:t>转移其他应收款且继续涉入形成的资产、负债金额：</w:t>
      </w:r>
      <w:r>
        <w:rPr>
          <w:b w:val="0"/>
          <w:bCs w:val="0"/>
        </w:rPr>
      </w:r>
    </w:p>
    <w:p>
      <w:pPr>
        <w:pStyle w:val="BodyText"/>
        <w:tabs>
          <w:tab w:pos="1497" w:val="left" w:leader="none"/>
        </w:tabs>
        <w:spacing w:line="240" w:lineRule="auto" w:before="58"/>
        <w:ind w:left="538" w:right="0"/>
        <w:jc w:val="left"/>
      </w:pPr>
      <w:r>
        <w:rPr>
          <w:spacing w:val="-1"/>
        </w:rPr>
        <w:t>□适用</w:t>
        <w:tab/>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000" w:bottom="280" w:left="1260" w:right="720"/>
        </w:sectPr>
      </w:pPr>
    </w:p>
    <w:p>
      <w:pPr>
        <w:spacing w:before="26"/>
        <w:ind w:left="538" w:right="-19" w:firstLine="0"/>
        <w:jc w:val="left"/>
        <w:rPr>
          <w:rFonts w:ascii="宋体" w:hAnsi="宋体" w:cs="宋体" w:eastAsia="宋体" w:hint="default"/>
          <w:sz w:val="24"/>
          <w:szCs w:val="24"/>
        </w:rPr>
      </w:pPr>
      <w:r>
        <w:rPr>
          <w:rFonts w:ascii="宋体" w:hAnsi="宋体" w:cs="宋体" w:eastAsia="宋体" w:hint="default"/>
          <w:b/>
          <w:bCs/>
          <w:sz w:val="21"/>
          <w:szCs w:val="21"/>
        </w:rPr>
        <w:t>3</w:t>
      </w:r>
      <w:r>
        <w:rPr>
          <w:rFonts w:ascii="宋体" w:hAnsi="宋体" w:cs="宋体" w:eastAsia="宋体" w:hint="default"/>
          <w:b/>
          <w:bCs/>
          <w:sz w:val="21"/>
          <w:szCs w:val="21"/>
        </w:rPr>
        <w:t>、 </w:t>
      </w:r>
      <w:r>
        <w:rPr>
          <w:rFonts w:ascii="宋体" w:hAnsi="宋体" w:cs="宋体" w:eastAsia="宋体" w:hint="default"/>
          <w:b/>
          <w:bCs/>
          <w:sz w:val="24"/>
          <w:szCs w:val="24"/>
        </w:rPr>
        <w:t>长期股权投资</w:t>
      </w:r>
      <w:r>
        <w:rPr>
          <w:rFonts w:ascii="宋体" w:hAnsi="宋体" w:cs="宋体" w:eastAsia="宋体" w:hint="default"/>
          <w:sz w:val="24"/>
          <w:szCs w:val="24"/>
        </w:rPr>
      </w:r>
    </w:p>
    <w:p>
      <w:pPr>
        <w:pStyle w:val="BodyText"/>
        <w:spacing w:line="240" w:lineRule="auto" w:before="55"/>
        <w:ind w:left="53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738" w:val="left" w:leader="none"/>
        </w:tabs>
        <w:spacing w:line="240" w:lineRule="auto"/>
        <w:ind w:left="538" w:right="0"/>
        <w:jc w:val="left"/>
      </w:pPr>
      <w:r>
        <w:rPr/>
        <w:t>单位：元</w:t>
        <w:tab/>
        <w:t>币种：人民币</w:t>
      </w:r>
    </w:p>
    <w:p>
      <w:pPr>
        <w:spacing w:after="0" w:line="240" w:lineRule="auto"/>
        <w:jc w:val="left"/>
        <w:sectPr>
          <w:type w:val="continuous"/>
          <w:pgSz w:w="11910" w:h="16840"/>
          <w:pgMar w:top="1000" w:bottom="280" w:left="1260" w:right="720"/>
          <w:cols w:num="2" w:equalWidth="0">
            <w:col w:w="2408" w:space="3785"/>
            <w:col w:w="3737"/>
          </w:cols>
        </w:sectPr>
      </w:pPr>
    </w:p>
    <w:p>
      <w:pPr>
        <w:spacing w:line="240" w:lineRule="auto" w:before="12"/>
        <w:rPr>
          <w:rFonts w:ascii="宋体" w:hAnsi="宋体" w:cs="宋体" w:eastAsia="宋体" w:hint="default"/>
          <w:sz w:val="2"/>
          <w:szCs w:val="2"/>
        </w:rPr>
      </w:pPr>
    </w:p>
    <w:tbl>
      <w:tblPr>
        <w:tblW w:w="0" w:type="auto"/>
        <w:jc w:val="left"/>
        <w:tblInd w:w="502" w:type="dxa"/>
        <w:tblLayout w:type="fixed"/>
        <w:tblCellMar>
          <w:top w:w="0" w:type="dxa"/>
          <w:left w:w="0" w:type="dxa"/>
          <w:bottom w:w="0" w:type="dxa"/>
          <w:right w:w="0" w:type="dxa"/>
        </w:tblCellMar>
        <w:tblLook w:val="01E0"/>
      </w:tblPr>
      <w:tblGrid>
        <w:gridCol w:w="845"/>
        <w:gridCol w:w="1868"/>
        <w:gridCol w:w="293"/>
        <w:gridCol w:w="1868"/>
        <w:gridCol w:w="1867"/>
        <w:gridCol w:w="290"/>
        <w:gridCol w:w="1865"/>
      </w:tblGrid>
      <w:tr>
        <w:trPr>
          <w:trHeight w:val="281" w:hRule="exact"/>
        </w:trPr>
        <w:tc>
          <w:tcPr>
            <w:tcW w:w="8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0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099" w:hRule="exact"/>
        </w:trPr>
        <w:tc>
          <w:tcPr>
            <w:tcW w:w="845" w:type="dxa"/>
            <w:vMerge/>
            <w:tcBorders>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33" w:right="36"/>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0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33" w:right="35"/>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司投资</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4,449,310,901.30</w:t>
            </w:r>
          </w:p>
        </w:tc>
        <w:tc>
          <w:tcPr>
            <w:tcW w:w="293"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4,449,310,901.30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2" w:right="0"/>
              <w:jc w:val="center"/>
              <w:rPr>
                <w:rFonts w:ascii="宋体" w:hAnsi="宋体" w:cs="宋体" w:eastAsia="宋体" w:hint="default"/>
                <w:sz w:val="21"/>
                <w:szCs w:val="21"/>
              </w:rPr>
            </w:pPr>
            <w:r>
              <w:rPr>
                <w:rFonts w:ascii="宋体"/>
                <w:sz w:val="21"/>
              </w:rPr>
              <w:t>3,468,192,002.83</w:t>
            </w:r>
          </w:p>
        </w:tc>
        <w:tc>
          <w:tcPr>
            <w:tcW w:w="2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5" w:right="0"/>
              <w:jc w:val="center"/>
              <w:rPr>
                <w:rFonts w:ascii="宋体" w:hAnsi="宋体" w:cs="宋体" w:eastAsia="宋体" w:hint="default"/>
                <w:sz w:val="21"/>
                <w:szCs w:val="21"/>
              </w:rPr>
            </w:pPr>
            <w:r>
              <w:rPr>
                <w:rFonts w:ascii="宋体"/>
                <w:sz w:val="21"/>
              </w:rPr>
              <w:t>3,468,192,002.83</w:t>
            </w:r>
          </w:p>
        </w:tc>
      </w:tr>
      <w:tr>
        <w:trPr>
          <w:trHeight w:val="828"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34"/>
              <w:jc w:val="left"/>
              <w:rPr>
                <w:rFonts w:ascii="宋体" w:hAnsi="宋体" w:cs="宋体" w:eastAsia="宋体" w:hint="default"/>
                <w:sz w:val="21"/>
                <w:szCs w:val="21"/>
              </w:rPr>
            </w:pPr>
            <w:r>
              <w:rPr>
                <w:rFonts w:ascii="宋体" w:hAnsi="宋体" w:cs="宋体" w:eastAsia="宋体" w:hint="default"/>
                <w:sz w:val="21"/>
                <w:szCs w:val="21"/>
              </w:rPr>
              <w:t>对联营、</w:t>
            </w:r>
          </w:p>
          <w:p>
            <w:pPr>
              <w:pStyle w:val="TableParagraph"/>
              <w:spacing w:line="240" w:lineRule="auto"/>
              <w:ind w:left="26" w:right="173"/>
              <w:jc w:val="left"/>
              <w:rPr>
                <w:rFonts w:ascii="宋体" w:hAnsi="宋体" w:cs="宋体" w:eastAsia="宋体" w:hint="default"/>
                <w:sz w:val="21"/>
                <w:szCs w:val="21"/>
              </w:rPr>
            </w:pPr>
            <w:r>
              <w:rPr>
                <w:rFonts w:ascii="宋体" w:hAnsi="宋体" w:cs="宋体" w:eastAsia="宋体" w:hint="default"/>
                <w:sz w:val="21"/>
                <w:szCs w:val="21"/>
              </w:rPr>
              <w:t>合营企</w:t>
            </w:r>
            <w:r>
              <w:rPr>
                <w:rFonts w:ascii="宋体" w:hAnsi="宋体" w:cs="宋体" w:eastAsia="宋体" w:hint="default"/>
                <w:spacing w:val="-102"/>
                <w:sz w:val="21"/>
                <w:szCs w:val="21"/>
              </w:rPr>
              <w:t> </w:t>
            </w:r>
            <w:r>
              <w:rPr>
                <w:rFonts w:ascii="宋体" w:hAnsi="宋体" w:cs="宋体" w:eastAsia="宋体" w:hint="default"/>
                <w:sz w:val="21"/>
                <w:szCs w:val="21"/>
              </w:rPr>
              <w:t>业投资</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8,780,525,988.93</w:t>
            </w:r>
          </w:p>
        </w:tc>
        <w:tc>
          <w:tcPr>
            <w:tcW w:w="293"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8,780,525,988.93</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2" w:right="0"/>
              <w:jc w:val="center"/>
              <w:rPr>
                <w:rFonts w:ascii="宋体" w:hAnsi="宋体" w:cs="宋体" w:eastAsia="宋体" w:hint="default"/>
                <w:sz w:val="21"/>
                <w:szCs w:val="21"/>
              </w:rPr>
            </w:pPr>
            <w:r>
              <w:rPr>
                <w:rFonts w:ascii="宋体"/>
                <w:sz w:val="21"/>
              </w:rPr>
              <w:t>7,718,249,392.82</w:t>
            </w:r>
          </w:p>
        </w:tc>
        <w:tc>
          <w:tcPr>
            <w:tcW w:w="2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5" w:right="0"/>
              <w:jc w:val="center"/>
              <w:rPr>
                <w:rFonts w:ascii="宋体" w:hAnsi="宋体" w:cs="宋体" w:eastAsia="宋体" w:hint="default"/>
                <w:sz w:val="21"/>
                <w:szCs w:val="21"/>
              </w:rPr>
            </w:pPr>
            <w:r>
              <w:rPr>
                <w:rFonts w:ascii="宋体"/>
                <w:sz w:val="21"/>
              </w:rPr>
              <w:t>7,718,249,392.82</w:t>
            </w:r>
          </w:p>
        </w:tc>
      </w:tr>
    </w:tbl>
    <w:p>
      <w:pPr>
        <w:spacing w:after="0" w:line="240" w:lineRule="auto"/>
        <w:jc w:val="center"/>
        <w:rPr>
          <w:rFonts w:ascii="宋体" w:hAnsi="宋体" w:cs="宋体" w:eastAsia="宋体" w:hint="default"/>
          <w:sz w:val="21"/>
          <w:szCs w:val="21"/>
        </w:rPr>
        <w:sectPr>
          <w:type w:val="continuous"/>
          <w:pgSz w:w="11910" w:h="16840"/>
          <w:pgMar w:top="1000" w:bottom="280" w:left="1260" w:right="7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845"/>
        <w:gridCol w:w="1868"/>
        <w:gridCol w:w="293"/>
        <w:gridCol w:w="1868"/>
        <w:gridCol w:w="1867"/>
        <w:gridCol w:w="290"/>
        <w:gridCol w:w="1865"/>
      </w:tblGrid>
      <w:tr>
        <w:trPr>
          <w:trHeight w:val="2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0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3" w:right="0"/>
              <w:jc w:val="left"/>
              <w:rPr>
                <w:rFonts w:ascii="宋体" w:hAnsi="宋体" w:cs="宋体" w:eastAsia="宋体" w:hint="default"/>
                <w:sz w:val="21"/>
                <w:szCs w:val="21"/>
              </w:rPr>
            </w:pPr>
            <w:r>
              <w:rPr>
                <w:rFonts w:ascii="宋体"/>
                <w:sz w:val="21"/>
              </w:rPr>
              <w:t>13,229,836,890.23</w:t>
            </w:r>
          </w:p>
        </w:tc>
        <w:tc>
          <w:tcPr>
            <w:tcW w:w="293"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3" w:right="0"/>
              <w:jc w:val="left"/>
              <w:rPr>
                <w:rFonts w:ascii="宋体" w:hAnsi="宋体" w:cs="宋体" w:eastAsia="宋体" w:hint="default"/>
                <w:sz w:val="21"/>
                <w:szCs w:val="21"/>
              </w:rPr>
            </w:pPr>
            <w:r>
              <w:rPr>
                <w:rFonts w:ascii="宋体"/>
                <w:sz w:val="21"/>
              </w:rPr>
              <w:t>13,229,836,890.23</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3" w:right="0"/>
              <w:jc w:val="left"/>
              <w:rPr>
                <w:rFonts w:ascii="宋体" w:hAnsi="宋体" w:cs="宋体" w:eastAsia="宋体" w:hint="default"/>
                <w:sz w:val="21"/>
                <w:szCs w:val="21"/>
              </w:rPr>
            </w:pPr>
            <w:r>
              <w:rPr>
                <w:rFonts w:ascii="宋体"/>
                <w:sz w:val="21"/>
              </w:rPr>
              <w:t>11,186,441,395.65</w:t>
            </w:r>
          </w:p>
        </w:tc>
        <w:tc>
          <w:tcPr>
            <w:tcW w:w="2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3" w:right="0"/>
              <w:jc w:val="left"/>
              <w:rPr>
                <w:rFonts w:ascii="宋体" w:hAnsi="宋体" w:cs="宋体" w:eastAsia="宋体" w:hint="default"/>
                <w:sz w:val="21"/>
                <w:szCs w:val="21"/>
              </w:rPr>
            </w:pPr>
            <w:r>
              <w:rPr>
                <w:rFonts w:ascii="宋体"/>
                <w:sz w:val="21"/>
              </w:rPr>
              <w:t>11,186,441,395.65</w:t>
            </w:r>
          </w:p>
        </w:tc>
      </w:tr>
    </w:tbl>
    <w:p>
      <w:pPr>
        <w:spacing w:after="0" w:line="244" w:lineRule="exact"/>
        <w:jc w:val="left"/>
        <w:rPr>
          <w:rFonts w:ascii="宋体" w:hAnsi="宋体" w:cs="宋体" w:eastAsia="宋体" w:hint="default"/>
          <w:sz w:val="21"/>
          <w:szCs w:val="21"/>
        </w:rPr>
        <w:sectPr>
          <w:pgSz w:w="11910" w:h="16840"/>
          <w:pgMar w:header="0"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4"/>
          <w:szCs w:val="24"/>
        </w:rPr>
      </w:pPr>
    </w:p>
    <w:p>
      <w:pPr>
        <w:spacing w:after="0" w:line="240" w:lineRule="auto"/>
        <w:rPr>
          <w:rFonts w:ascii="Times New Roman" w:hAnsi="Times New Roman" w:cs="Times New Roman" w:eastAsia="Times New Roman" w:hint="default"/>
          <w:sz w:val="24"/>
          <w:szCs w:val="24"/>
        </w:rPr>
        <w:sectPr>
          <w:headerReference w:type="default" r:id="rId110"/>
          <w:footerReference w:type="default" r:id="rId111"/>
          <w:pgSz w:w="16840" w:h="11910" w:orient="landscape"/>
          <w:pgMar w:header="882" w:footer="1195" w:top="1120" w:bottom="1380" w:left="960" w:right="1040"/>
          <w:pgNumType w:start="214"/>
        </w:sectPr>
      </w:pPr>
    </w:p>
    <w:p>
      <w:pPr>
        <w:pStyle w:val="Heading2"/>
        <w:spacing w:line="240" w:lineRule="auto"/>
        <w:ind w:left="480" w:right="-19"/>
        <w:jc w:val="left"/>
        <w:rPr>
          <w:b w:val="0"/>
          <w:bCs w:val="0"/>
        </w:rPr>
      </w:pPr>
      <w:r>
        <w:rPr>
          <w:rFonts w:ascii="宋体" w:hAnsi="宋体" w:cs="宋体" w:eastAsia="宋体" w:hint="default"/>
        </w:rPr>
        <w:t>(1)</w:t>
      </w:r>
      <w:r>
        <w:rPr>
          <w:rFonts w:ascii="宋体" w:hAnsi="宋体" w:cs="宋体" w:eastAsia="宋体" w:hint="default"/>
          <w:spacing w:val="-61"/>
        </w:rPr>
        <w:t> </w:t>
      </w:r>
      <w:r>
        <w:rPr/>
        <w:t>对子公司投资</w:t>
      </w:r>
      <w:r>
        <w:rPr>
          <w:b w:val="0"/>
          <w:bCs w:val="0"/>
        </w:rPr>
      </w:r>
    </w:p>
    <w:p>
      <w:pPr>
        <w:pStyle w:val="BodyText"/>
        <w:spacing w:line="240" w:lineRule="auto" w:before="58"/>
        <w:ind w:left="480"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679" w:val="left" w:leader="none"/>
        </w:tabs>
        <w:spacing w:line="240" w:lineRule="auto"/>
        <w:ind w:left="480" w:right="0"/>
        <w:jc w:val="left"/>
      </w:pPr>
      <w:r>
        <w:rPr/>
        <w:t>单位：元</w:t>
        <w:tab/>
        <w:t>币种：人民币</w:t>
      </w:r>
    </w:p>
    <w:p>
      <w:pPr>
        <w:spacing w:after="0" w:line="240" w:lineRule="auto"/>
        <w:jc w:val="left"/>
        <w:sectPr>
          <w:type w:val="continuous"/>
          <w:pgSz w:w="16840" w:h="11910" w:orient="landscape"/>
          <w:pgMar w:top="1000" w:bottom="280" w:left="960" w:right="1040"/>
          <w:cols w:num="2" w:equalWidth="0">
            <w:col w:w="2350" w:space="8884"/>
            <w:col w:w="3606"/>
          </w:cols>
        </w:sectPr>
      </w:pPr>
    </w:p>
    <w:p>
      <w:pPr>
        <w:spacing w:line="240" w:lineRule="auto" w:before="12"/>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347"/>
        <w:gridCol w:w="2136"/>
        <w:gridCol w:w="2136"/>
        <w:gridCol w:w="1897"/>
        <w:gridCol w:w="2136"/>
        <w:gridCol w:w="927"/>
        <w:gridCol w:w="1030"/>
      </w:tblGrid>
      <w:tr>
        <w:trPr>
          <w:trHeight w:val="1253"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被投资单位</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583"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本期增加</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463"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583"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8" w:right="0"/>
              <w:jc w:val="both"/>
              <w:rPr>
                <w:rFonts w:ascii="宋体" w:hAnsi="宋体" w:cs="宋体" w:eastAsia="宋体" w:hint="default"/>
                <w:sz w:val="24"/>
                <w:szCs w:val="24"/>
              </w:rPr>
            </w:pPr>
            <w:r>
              <w:rPr>
                <w:rFonts w:ascii="宋体" w:hAnsi="宋体" w:cs="宋体" w:eastAsia="宋体" w:hint="default"/>
                <w:sz w:val="24"/>
                <w:szCs w:val="24"/>
              </w:rPr>
              <w:t>本期</w:t>
            </w:r>
          </w:p>
          <w:p>
            <w:pPr>
              <w:pStyle w:val="TableParagraph"/>
              <w:spacing w:line="237" w:lineRule="auto"/>
              <w:ind w:left="218" w:right="216"/>
              <w:jc w:val="both"/>
              <w:rPr>
                <w:rFonts w:ascii="宋体" w:hAnsi="宋体" w:cs="宋体" w:eastAsia="宋体" w:hint="default"/>
                <w:sz w:val="24"/>
                <w:szCs w:val="24"/>
              </w:rPr>
            </w:pPr>
            <w:r>
              <w:rPr>
                <w:rFonts w:ascii="宋体" w:hAnsi="宋体" w:cs="宋体" w:eastAsia="宋体" w:hint="default"/>
                <w:sz w:val="24"/>
                <w:szCs w:val="24"/>
              </w:rPr>
              <w:t>计提 减值 准备</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148" w:right="149"/>
              <w:jc w:val="both"/>
              <w:rPr>
                <w:rFonts w:ascii="宋体" w:hAnsi="宋体" w:cs="宋体" w:eastAsia="宋体" w:hint="default"/>
                <w:sz w:val="24"/>
                <w:szCs w:val="24"/>
              </w:rPr>
            </w:pPr>
            <w:r>
              <w:rPr>
                <w:rFonts w:ascii="宋体" w:hAnsi="宋体" w:cs="宋体" w:eastAsia="宋体" w:hint="default"/>
                <w:sz w:val="24"/>
                <w:szCs w:val="24"/>
              </w:rPr>
              <w:t>减值准 备期末 余额</w:t>
            </w: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沈阳新湖房地产开发有限公司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275,099,791.26</w:t>
            </w: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275,099,791.26</w:t>
            </w:r>
          </w:p>
        </w:tc>
        <w:tc>
          <w:tcPr>
            <w:tcW w:w="2136"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苏州新湖置业有限公司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327,281,310.27</w:t>
            </w: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327,281,310.27</w:t>
            </w:r>
          </w:p>
        </w:tc>
        <w:tc>
          <w:tcPr>
            <w:tcW w:w="2136"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上海中瀚置业有限公司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256,676,000.00</w:t>
            </w: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256,676,000.00</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新湖地产集团有限公司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270,792,733.83</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1,750,000,000.00</w:t>
            </w:r>
          </w:p>
        </w:tc>
        <w:tc>
          <w:tcPr>
            <w:tcW w:w="1897"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2,020,792,733.83</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九江新湖远洲置业有限公司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86,556,921.45</w:t>
            </w: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86,556,921.45</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滨州新湖房地产开发有限公司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30,000,000.00</w:t>
            </w: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30,000,000.00</w:t>
            </w:r>
          </w:p>
        </w:tc>
        <w:tc>
          <w:tcPr>
            <w:tcW w:w="2136"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浙江允升投资集团有限公司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401,473,476.79</w:t>
            </w: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401,473,476.79</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新湖期货有限公司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46,500,000.00</w:t>
            </w: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46,500,000.00</w:t>
            </w:r>
          </w:p>
        </w:tc>
        <w:tc>
          <w:tcPr>
            <w:tcW w:w="2136"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丰宁承龙矿业有限公司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130,000,000.00</w:t>
            </w: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130,000,000.00</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绍兴百大房地产有限责任公司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4,500,000.00</w:t>
            </w: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4,500,000.00</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绍兴市红太阳物业管理有限公司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50,000.00</w:t>
            </w: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50,000.00</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温州新湖房地产开发有限公司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46,142,313.13</w:t>
            </w: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46,142,313.13</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启东新湖投资开发有限公司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75,000,000.00</w:t>
            </w: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75,000,000.00</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嘉兴新湖中房置业有限公司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76,500,000.00</w:t>
            </w: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76,500,000.00</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天津新湖中宝投资有限公司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30,000,000.00</w:t>
            </w: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30,000,000.00</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5"/>
                <w:sz w:val="24"/>
                <w:szCs w:val="24"/>
              </w:rPr>
              <w:t>义乌北方（天津）国际商贸城有限公司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30,000,000.00</w:t>
            </w: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30,000,000.00</w:t>
            </w:r>
          </w:p>
        </w:tc>
        <w:tc>
          <w:tcPr>
            <w:tcW w:w="2136"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平阳县利得海涂围垦开发有限公司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1,110,000,000.00</w:t>
            </w: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1,110,000,000.00</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香港新湖投资有限公司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73,519,454.10</w:t>
            </w: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73,519,454.10</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00" w:bottom="280" w:left="96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4347"/>
        <w:gridCol w:w="2136"/>
        <w:gridCol w:w="2136"/>
        <w:gridCol w:w="1897"/>
        <w:gridCol w:w="2136"/>
        <w:gridCol w:w="927"/>
        <w:gridCol w:w="1030"/>
      </w:tblGrid>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新湖影视传播有限公司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49,000,002.00</w:t>
            </w: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49,000,002.00</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贵州新湖能源有限公司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50,000,000.00</w:t>
            </w: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50,000,000.00</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平阳伟成置业有限公司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5,100,000.00</w:t>
            </w: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5,100,000.00</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上海融喆投资发展有限公司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60,000,000.00</w:t>
            </w: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60,000,000.00</w:t>
            </w:r>
          </w:p>
        </w:tc>
        <w:tc>
          <w:tcPr>
            <w:tcW w:w="2136"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舟山新湖置业有限公司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34,000,000.00</w:t>
            </w: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34,000,000.00</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平阳隆恒置业有限公司</w:t>
            </w:r>
          </w:p>
        </w:tc>
        <w:tc>
          <w:tcPr>
            <w:tcW w:w="213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平阳安瑞置业有限公司</w:t>
            </w:r>
          </w:p>
        </w:tc>
        <w:tc>
          <w:tcPr>
            <w:tcW w:w="213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平阳宝瑞置业有限公司</w:t>
            </w:r>
          </w:p>
        </w:tc>
        <w:tc>
          <w:tcPr>
            <w:tcW w:w="213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上海拓驿投资管理有限公司</w:t>
            </w:r>
          </w:p>
        </w:tc>
        <w:tc>
          <w:tcPr>
            <w:tcW w:w="213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新湖中宝投资管理有限公司</w:t>
            </w:r>
          </w:p>
        </w:tc>
        <w:tc>
          <w:tcPr>
            <w:tcW w:w="213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浙江新湖金融信息服务有限公司</w:t>
            </w:r>
          </w:p>
        </w:tc>
        <w:tc>
          <w:tcPr>
            <w:tcW w:w="213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香港新澳投资有限公司</w:t>
            </w:r>
          </w:p>
        </w:tc>
        <w:tc>
          <w:tcPr>
            <w:tcW w:w="213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浙江新湖智脑投资管理合伙企业（有限</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合伙）</w:t>
            </w:r>
          </w:p>
        </w:tc>
        <w:tc>
          <w:tcPr>
            <w:tcW w:w="213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3,468,192,002.83</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1,750,000,000.00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768,881,101.53</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4,449,310,901.30</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2"/>
        <w:spacing w:line="240" w:lineRule="auto"/>
        <w:ind w:left="480" w:right="0"/>
        <w:jc w:val="left"/>
        <w:rPr>
          <w:b w:val="0"/>
          <w:bCs w:val="0"/>
        </w:rPr>
      </w:pPr>
      <w:r>
        <w:rPr>
          <w:rFonts w:ascii="宋体" w:hAnsi="宋体" w:cs="宋体" w:eastAsia="宋体" w:hint="default"/>
        </w:rPr>
        <w:t>(2)</w:t>
      </w:r>
      <w:r>
        <w:rPr>
          <w:rFonts w:ascii="宋体" w:hAnsi="宋体" w:cs="宋体" w:eastAsia="宋体" w:hint="default"/>
          <w:spacing w:val="-61"/>
        </w:rPr>
        <w:t> </w:t>
      </w:r>
      <w:r>
        <w:rPr/>
        <w:t>对联营、合营企业投资</w:t>
      </w:r>
      <w:r>
        <w:rPr>
          <w:b w:val="0"/>
          <w:bCs w:val="0"/>
        </w:rPr>
      </w:r>
    </w:p>
    <w:p>
      <w:pPr>
        <w:pStyle w:val="BodyText"/>
        <w:spacing w:line="240" w:lineRule="auto" w:before="58"/>
        <w:ind w:left="480" w:right="0"/>
        <w:jc w:val="left"/>
      </w:pPr>
      <w:r>
        <w:rPr/>
        <w:t>√适用</w:t>
      </w:r>
      <w:r>
        <w:rPr>
          <w:spacing w:val="-1"/>
        </w:rPr>
        <w:t> </w:t>
      </w:r>
      <w:r>
        <w:rPr/>
        <w:t>□不适用</w:t>
      </w:r>
    </w:p>
    <w:p>
      <w:pPr>
        <w:spacing w:after="0" w:line="240" w:lineRule="auto"/>
        <w:jc w:val="left"/>
        <w:sectPr>
          <w:pgSz w:w="16840" w:h="11910" w:orient="landscape"/>
          <w:pgMar w:header="882" w:footer="1195" w:top="1120" w:bottom="1380" w:left="96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tabs>
          <w:tab w:pos="1199" w:val="left" w:leader="none"/>
        </w:tabs>
        <w:spacing w:line="240" w:lineRule="auto" w:before="26"/>
        <w:ind w:left="0" w:right="1142"/>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42"/>
        <w:gridCol w:w="1656"/>
        <w:gridCol w:w="1476"/>
        <w:gridCol w:w="1476"/>
        <w:gridCol w:w="1476"/>
        <w:gridCol w:w="1476"/>
        <w:gridCol w:w="1387"/>
        <w:gridCol w:w="1477"/>
        <w:gridCol w:w="396"/>
        <w:gridCol w:w="1483"/>
        <w:gridCol w:w="1656"/>
        <w:gridCol w:w="636"/>
      </w:tblGrid>
      <w:tr>
        <w:trPr>
          <w:trHeight w:val="245" w:hRule="exact"/>
        </w:trPr>
        <w:tc>
          <w:tcPr>
            <w:tcW w:w="13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484" w:right="485"/>
              <w:jc w:val="center"/>
              <w:rPr>
                <w:rFonts w:ascii="宋体" w:hAnsi="宋体" w:cs="宋体" w:eastAsia="宋体" w:hint="default"/>
                <w:sz w:val="18"/>
                <w:szCs w:val="18"/>
              </w:rPr>
            </w:pPr>
            <w:r>
              <w:rPr>
                <w:rFonts w:ascii="宋体" w:hAnsi="宋体" w:cs="宋体" w:eastAsia="宋体" w:hint="default"/>
                <w:sz w:val="18"/>
                <w:szCs w:val="18"/>
              </w:rPr>
              <w:t>投资 单位</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643" w:right="641"/>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106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643" w:right="641"/>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6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32" w:lineRule="exact"/>
              <w:ind w:left="132" w:right="132"/>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411" w:hRule="exact"/>
        </w:trPr>
        <w:tc>
          <w:tcPr>
            <w:tcW w:w="1342"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371" w:right="101" w:hanging="269"/>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643" w:right="101" w:hanging="541"/>
              <w:jc w:val="left"/>
              <w:rPr>
                <w:rFonts w:ascii="宋体" w:hAnsi="宋体" w:cs="宋体" w:eastAsia="宋体" w:hint="default"/>
                <w:sz w:val="18"/>
                <w:szCs w:val="18"/>
              </w:rPr>
            </w:pPr>
            <w:r>
              <w:rPr>
                <w:rFonts w:ascii="宋体" w:hAnsi="宋体" w:cs="宋体" w:eastAsia="宋体" w:hint="default"/>
                <w:sz w:val="18"/>
                <w:szCs w:val="18"/>
              </w:rPr>
              <w:t>其他综合收益调 整</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其他权益变动</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372" w:right="101" w:hanging="269"/>
              <w:jc w:val="left"/>
              <w:rPr>
                <w:rFonts w:ascii="宋体" w:hAnsi="宋体" w:cs="宋体" w:eastAsia="宋体" w:hint="default"/>
                <w:sz w:val="18"/>
                <w:szCs w:val="18"/>
              </w:rPr>
            </w:pPr>
            <w:r>
              <w:rPr>
                <w:rFonts w:ascii="宋体" w:hAnsi="宋体" w:cs="宋体" w:eastAsia="宋体" w:hint="default"/>
                <w:sz w:val="18"/>
                <w:szCs w:val="18"/>
              </w:rPr>
              <w:t>宣告发放现金股 利或利润</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计</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提 减 值 准 备</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656"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r>
        <w:trPr>
          <w:trHeight w:val="243" w:hRule="exact"/>
        </w:trPr>
        <w:tc>
          <w:tcPr>
            <w:tcW w:w="1593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78"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杭州湖新投资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93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75"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新湖控股有限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2,723,357,878.04</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-76,284,947.41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69,962,910.33</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2,717,035,840.96</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内蒙古合和置</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盛京银行股份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2,419,478,636.30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392,296,355.25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-12,624,760.63</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75,000,000.00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2,724,150,230.92</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甘肃西北矿业</w:t>
            </w:r>
          </w:p>
          <w:p>
            <w:pPr>
              <w:pStyle w:val="TableParagraph"/>
              <w:spacing w:line="232" w:lineRule="exact" w:before="23"/>
              <w:ind w:left="103" w:right="327"/>
              <w:jc w:val="left"/>
              <w:rPr>
                <w:rFonts w:ascii="宋体" w:hAnsi="宋体" w:cs="宋体" w:eastAsia="宋体" w:hint="default"/>
                <w:sz w:val="18"/>
                <w:szCs w:val="18"/>
              </w:rPr>
            </w:pPr>
            <w:r>
              <w:rPr>
                <w:rFonts w:ascii="宋体" w:hAnsi="宋体" w:cs="宋体" w:eastAsia="宋体" w:hint="default"/>
                <w:sz w:val="18"/>
                <w:szCs w:val="18"/>
              </w:rPr>
              <w:t>集团有限公 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715,424,012.76</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-5,627,572.09</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-6,880,000.00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702,916,440.67</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温州银行股份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1,550,437,475.12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743,662,644.12</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127,709,080.02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-3,232,092.40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35,000,000.00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2,383,577,106.86</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浩韵控股集团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107,908,668.23</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105,451,119.99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-2,457,548.24</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江苏新湖宝华</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置业有限公司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201,642,722.37</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-12,745,516.46</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82,008,282.13</w:t>
            </w:r>
          </w:p>
        </w:tc>
        <w:tc>
          <w:tcPr>
            <w:tcW w:w="39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106,888,923.78</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通卡联城网络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35,000,000.00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-4,100,128.05</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30,899,871.95</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新湖期货有限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11,564,837.78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-71,644.21</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23,505,000.00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 w:right="0"/>
              <w:jc w:val="center"/>
              <w:rPr>
                <w:rFonts w:ascii="宋体" w:hAnsi="宋体" w:cs="宋体" w:eastAsia="宋体" w:hint="default"/>
                <w:sz w:val="18"/>
                <w:szCs w:val="18"/>
              </w:rPr>
            </w:pPr>
            <w:r>
              <w:rPr>
                <w:rFonts w:ascii="宋体"/>
                <w:sz w:val="18"/>
              </w:rPr>
              <w:t>127,069,380.22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115,057,573.79</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7,718,249,392.82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778,662,644.12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105,451,119.99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430,354,560.80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54,034,413.09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-6,880,000.00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215,513,282.13</w:t>
            </w:r>
          </w:p>
        </w:tc>
        <w:tc>
          <w:tcPr>
            <w:tcW w:w="39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 w:right="0"/>
              <w:jc w:val="center"/>
              <w:rPr>
                <w:rFonts w:ascii="宋体" w:hAnsi="宋体" w:cs="宋体" w:eastAsia="宋体" w:hint="default"/>
                <w:sz w:val="18"/>
                <w:szCs w:val="18"/>
              </w:rPr>
            </w:pPr>
            <w:r>
              <w:rPr>
                <w:rFonts w:ascii="宋体"/>
                <w:sz w:val="18"/>
              </w:rPr>
              <w:t>127,069,380.22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8,780,525,988.93</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7,718,249,392.82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778,662,644.12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105,451,119.99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430,354,560.80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54,034,413.09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-6,880,000.00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215,513,282.13</w:t>
            </w:r>
          </w:p>
        </w:tc>
        <w:tc>
          <w:tcPr>
            <w:tcW w:w="39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 w:right="0"/>
              <w:jc w:val="center"/>
              <w:rPr>
                <w:rFonts w:ascii="宋体" w:hAnsi="宋体" w:cs="宋体" w:eastAsia="宋体" w:hint="default"/>
                <w:sz w:val="18"/>
                <w:szCs w:val="18"/>
              </w:rPr>
            </w:pPr>
            <w:r>
              <w:rPr>
                <w:rFonts w:ascii="宋体"/>
                <w:sz w:val="18"/>
              </w:rPr>
              <w:t>127,069,380.22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8,780,525,988.93</w:t>
            </w:r>
          </w:p>
        </w:tc>
        <w:tc>
          <w:tcPr>
            <w:tcW w:w="6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300" w:right="380"/>
        </w:sectPr>
      </w:pPr>
    </w:p>
    <w:p>
      <w:pPr>
        <w:spacing w:line="240" w:lineRule="auto" w:before="1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112"/>
          <w:footerReference w:type="default" r:id="rId113"/>
          <w:pgSz w:w="11910" w:h="16840"/>
          <w:pgMar w:header="882" w:footer="1195" w:top="1120" w:bottom="1380" w:left="1140" w:right="600"/>
          <w:pgNumType w:start="217"/>
        </w:sectPr>
      </w:pPr>
    </w:p>
    <w:p>
      <w:pPr>
        <w:spacing w:before="26"/>
        <w:ind w:left="658" w:right="-19" w:firstLine="0"/>
        <w:jc w:val="left"/>
        <w:rPr>
          <w:rFonts w:ascii="宋体" w:hAnsi="宋体" w:cs="宋体" w:eastAsia="宋体" w:hint="default"/>
          <w:sz w:val="24"/>
          <w:szCs w:val="24"/>
        </w:rPr>
      </w:pPr>
      <w:r>
        <w:rPr>
          <w:rFonts w:ascii="宋体" w:hAnsi="宋体" w:cs="宋体" w:eastAsia="宋体" w:hint="default"/>
          <w:b/>
          <w:bCs/>
          <w:sz w:val="21"/>
          <w:szCs w:val="21"/>
        </w:rPr>
        <w:t>4</w:t>
      </w:r>
      <w:r>
        <w:rPr>
          <w:rFonts w:ascii="宋体" w:hAnsi="宋体" w:cs="宋体" w:eastAsia="宋体" w:hint="default"/>
          <w:b/>
          <w:bCs/>
          <w:sz w:val="21"/>
          <w:szCs w:val="21"/>
        </w:rPr>
        <w:t>、 </w:t>
      </w:r>
      <w:r>
        <w:rPr>
          <w:rFonts w:ascii="宋体" w:hAnsi="宋体" w:cs="宋体" w:eastAsia="宋体" w:hint="default"/>
          <w:b/>
          <w:bCs/>
          <w:sz w:val="24"/>
          <w:szCs w:val="24"/>
        </w:rPr>
        <w:t>营业收入和营业成本：</w:t>
      </w:r>
      <w:r>
        <w:rPr>
          <w:rFonts w:ascii="宋体" w:hAnsi="宋体" w:cs="宋体" w:eastAsia="宋体" w:hint="default"/>
          <w:sz w:val="24"/>
          <w:szCs w:val="24"/>
        </w:rPr>
      </w:r>
    </w:p>
    <w:p>
      <w:pPr>
        <w:pStyle w:val="BodyText"/>
        <w:tabs>
          <w:tab w:pos="1617" w:val="left" w:leader="none"/>
        </w:tabs>
        <w:spacing w:line="240" w:lineRule="auto" w:before="58"/>
        <w:ind w:left="658" w:right="-19"/>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858" w:val="left" w:leader="none"/>
        </w:tabs>
        <w:spacing w:line="240" w:lineRule="auto"/>
        <w:ind w:left="658" w:right="0"/>
        <w:jc w:val="left"/>
      </w:pPr>
      <w:r>
        <w:rPr/>
        <w:t>单位：元</w:t>
        <w:tab/>
        <w:t>币种：人民币</w:t>
      </w:r>
    </w:p>
    <w:p>
      <w:pPr>
        <w:spacing w:after="0" w:line="240" w:lineRule="auto"/>
        <w:jc w:val="left"/>
        <w:sectPr>
          <w:type w:val="continuous"/>
          <w:pgSz w:w="11910" w:h="16840"/>
          <w:pgMar w:top="1000" w:bottom="280" w:left="1140" w:right="600"/>
          <w:cols w:num="2" w:equalWidth="0">
            <w:col w:w="3492" w:space="2701"/>
            <w:col w:w="3977"/>
          </w:cols>
        </w:sectPr>
      </w:pP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88"/>
        <w:gridCol w:w="2137"/>
        <w:gridCol w:w="2141"/>
        <w:gridCol w:w="2137"/>
        <w:gridCol w:w="2136"/>
      </w:tblGrid>
      <w:tr>
        <w:trPr>
          <w:trHeight w:val="322" w:hRule="exact"/>
        </w:trPr>
        <w:tc>
          <w:tcPr>
            <w:tcW w:w="1388" w:type="dxa"/>
            <w:vMerge w:val="restart"/>
            <w:tcBorders>
              <w:top w:val="single" w:sz="4" w:space="0" w:color="000000"/>
              <w:left w:val="single" w:sz="4" w:space="0" w:color="000000"/>
              <w:right w:val="single" w:sz="4" w:space="0" w:color="000000"/>
            </w:tcBorders>
          </w:tcPr>
          <w:p>
            <w:pPr>
              <w:pStyle w:val="TableParagraph"/>
              <w:spacing w:line="240" w:lineRule="auto" w:before="123"/>
              <w:ind w:left="449"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4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本期发生额</w:t>
            </w:r>
          </w:p>
        </w:tc>
        <w:tc>
          <w:tcPr>
            <w:tcW w:w="4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1388" w:type="dxa"/>
            <w:vMerge/>
            <w:tcBorders>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收入</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成本</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收入</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成本</w:t>
            </w:r>
          </w:p>
        </w:tc>
      </w:tr>
      <w:tr>
        <w:trPr>
          <w:trHeight w:val="322"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主营业务</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2,297,386,496.63</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2,177,051,592.78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1,828,269,566.07</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1,663,013,102.26</w:t>
            </w:r>
          </w:p>
        </w:tc>
      </w:tr>
      <w:tr>
        <w:trPr>
          <w:trHeight w:val="322"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其他业务</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4,558,156.19</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2,374,130.20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4,873,496.41</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2,374,130.20</w:t>
            </w:r>
          </w:p>
        </w:tc>
      </w:tr>
      <w:tr>
        <w:trPr>
          <w:trHeight w:val="322"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9"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2,301,944,652.82</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2,179,425,722.98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1,833,143,062.48</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1,665,387,232.46</w:t>
            </w:r>
          </w:p>
        </w:tc>
      </w:tr>
    </w:tbl>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00" w:bottom="280" w:left="1140" w:right="600"/>
        </w:sectPr>
      </w:pPr>
    </w:p>
    <w:p>
      <w:pPr>
        <w:spacing w:before="26"/>
        <w:ind w:left="658" w:right="-19" w:firstLine="0"/>
        <w:jc w:val="left"/>
        <w:rPr>
          <w:rFonts w:ascii="宋体" w:hAnsi="宋体" w:cs="宋体" w:eastAsia="宋体" w:hint="default"/>
          <w:sz w:val="24"/>
          <w:szCs w:val="24"/>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4"/>
          <w:szCs w:val="24"/>
        </w:rPr>
        <w:t>投资收益</w:t>
      </w:r>
      <w:r>
        <w:rPr>
          <w:rFonts w:ascii="宋体" w:hAnsi="宋体" w:cs="宋体" w:eastAsia="宋体" w:hint="default"/>
          <w:sz w:val="24"/>
          <w:szCs w:val="24"/>
        </w:rPr>
      </w:r>
    </w:p>
    <w:p>
      <w:pPr>
        <w:pStyle w:val="BodyText"/>
        <w:spacing w:line="240" w:lineRule="auto" w:before="56"/>
        <w:ind w:left="65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858" w:val="left" w:leader="none"/>
        </w:tabs>
        <w:spacing w:line="240" w:lineRule="auto"/>
        <w:ind w:left="658" w:right="0"/>
        <w:jc w:val="left"/>
      </w:pPr>
      <w:r>
        <w:rPr/>
        <w:t>单位：元</w:t>
        <w:tab/>
        <w:t>币种：人民币</w:t>
      </w:r>
    </w:p>
    <w:p>
      <w:pPr>
        <w:spacing w:after="0" w:line="240" w:lineRule="auto"/>
        <w:jc w:val="left"/>
        <w:sectPr>
          <w:type w:val="continuous"/>
          <w:pgSz w:w="11910" w:h="16840"/>
          <w:pgMar w:top="1000" w:bottom="280" w:left="1140" w:right="600"/>
          <w:cols w:num="2" w:equalWidth="0">
            <w:col w:w="2459" w:space="3734"/>
            <w:col w:w="3977"/>
          </w:cols>
        </w:sectPr>
      </w:pPr>
    </w:p>
    <w:p>
      <w:pPr>
        <w:spacing w:line="240" w:lineRule="auto" w:before="12"/>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4890"/>
        <w:gridCol w:w="2136"/>
        <w:gridCol w:w="2137"/>
      </w:tblGrid>
      <w:tr>
        <w:trPr>
          <w:trHeight w:val="322" w:hRule="exact"/>
        </w:trPr>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19" w:hRule="exact"/>
        </w:trPr>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成本法核算的长期股权投资收益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1,123,835,000.00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540,000,000.00</w:t>
            </w:r>
          </w:p>
        </w:tc>
      </w:tr>
      <w:tr>
        <w:trPr>
          <w:trHeight w:val="322" w:hRule="exact"/>
        </w:trPr>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权益法核算的长期股权投资收益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430,354,560.80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527,254,740.97</w:t>
            </w:r>
          </w:p>
        </w:tc>
      </w:tr>
      <w:tr>
        <w:trPr>
          <w:trHeight w:val="322" w:hRule="exact"/>
        </w:trPr>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处置长期股权投资产生的投资收益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1,044,519,519.02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923,862,086.52</w:t>
            </w:r>
          </w:p>
        </w:tc>
      </w:tr>
      <w:tr>
        <w:trPr>
          <w:trHeight w:val="634" w:hRule="exact"/>
        </w:trPr>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以公允价值计量且其变动计入当期损益的金</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融资产在持有期间的投资收益</w:t>
            </w: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106,714.06</w:t>
            </w:r>
          </w:p>
        </w:tc>
      </w:tr>
      <w:tr>
        <w:trPr>
          <w:trHeight w:val="632" w:hRule="exact"/>
        </w:trPr>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处置以公允价值计量且其变动计入当期损益</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的金融资产取得的投资收益</w:t>
            </w: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持有至到期投资在持有期间的投资收益</w:t>
            </w: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可供出售金融资产在持有期间的投资收益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33,610,659.56</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35,155,756.36</w:t>
            </w:r>
          </w:p>
        </w:tc>
      </w:tr>
      <w:tr>
        <w:trPr>
          <w:trHeight w:val="322" w:hRule="exact"/>
        </w:trPr>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处置可供出售金融资产取得的投资收益</w:t>
            </w: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-236,589,672.22</w:t>
            </w:r>
          </w:p>
        </w:tc>
      </w:tr>
      <w:tr>
        <w:trPr>
          <w:trHeight w:val="631" w:hRule="exact"/>
        </w:trPr>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丧失控制权后，剩余股权按公允价值重新计</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量产生的利得</w:t>
            </w: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理财产品委托理财投资收益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120,480,762.50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87,461,025.81</w:t>
            </w:r>
          </w:p>
        </w:tc>
      </w:tr>
      <w:tr>
        <w:trPr>
          <w:trHeight w:val="322" w:hRule="exact"/>
        </w:trPr>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2,752,800,501.88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1,877,250,651.50</w:t>
            </w:r>
          </w:p>
        </w:tc>
      </w:tr>
    </w:tbl>
    <w:p>
      <w:pPr>
        <w:spacing w:line="240" w:lineRule="auto" w:before="5"/>
        <w:rPr>
          <w:rFonts w:ascii="宋体" w:hAnsi="宋体" w:cs="宋体" w:eastAsia="宋体" w:hint="default"/>
          <w:sz w:val="23"/>
          <w:szCs w:val="23"/>
        </w:rPr>
      </w:pPr>
    </w:p>
    <w:p>
      <w:pPr>
        <w:spacing w:before="26"/>
        <w:ind w:left="658" w:right="416" w:firstLine="0"/>
        <w:jc w:val="left"/>
        <w:rPr>
          <w:rFonts w:ascii="宋体" w:hAnsi="宋体" w:cs="宋体" w:eastAsia="宋体" w:hint="default"/>
          <w:sz w:val="24"/>
          <w:szCs w:val="24"/>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tabs>
          <w:tab w:pos="1617" w:val="left" w:leader="none"/>
        </w:tabs>
        <w:spacing w:line="240" w:lineRule="auto" w:before="58"/>
        <w:ind w:left="658" w:right="416"/>
        <w:jc w:val="left"/>
      </w:pPr>
      <w:r>
        <w:rPr>
          <w:spacing w:val="-1"/>
        </w:rPr>
        <w:t>□适用</w:t>
        <w:tab/>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000" w:bottom="280" w:left="1140" w:right="600"/>
        </w:sectPr>
      </w:pPr>
    </w:p>
    <w:p>
      <w:pPr>
        <w:pStyle w:val="Heading2"/>
        <w:spacing w:line="240" w:lineRule="auto"/>
        <w:ind w:left="658" w:right="-19"/>
        <w:jc w:val="left"/>
        <w:rPr>
          <w:b w:val="0"/>
          <w:bCs w:val="0"/>
        </w:rPr>
      </w:pPr>
      <w:r>
        <w:rPr/>
        <w:t>十八、</w:t>
      </w:r>
      <w:r>
        <w:rPr>
          <w:spacing w:val="-5"/>
        </w:rPr>
        <w:t> </w:t>
      </w:r>
      <w:r>
        <w:rPr/>
        <w:t>补充资料</w:t>
      </w:r>
      <w:r>
        <w:rPr>
          <w:b w:val="0"/>
          <w:bCs w:val="0"/>
        </w:rPr>
      </w:r>
    </w:p>
    <w:p>
      <w:pPr>
        <w:pStyle w:val="Heading2"/>
        <w:spacing w:line="240" w:lineRule="auto" w:before="58"/>
        <w:ind w:left="658" w:right="-19"/>
        <w:jc w:val="left"/>
        <w:rPr>
          <w:b w:val="0"/>
          <w:bCs w:val="0"/>
        </w:rPr>
      </w:pPr>
      <w:r>
        <w:rPr>
          <w:rFonts w:ascii="宋体" w:hAnsi="宋体" w:cs="宋体" w:eastAsia="宋体" w:hint="default"/>
        </w:rPr>
        <w:t>1</w:t>
      </w:r>
      <w:r>
        <w:rPr/>
        <w:t>、</w:t>
      </w:r>
      <w:r>
        <w:rPr>
          <w:spacing w:val="-4"/>
        </w:rPr>
        <w:t> </w:t>
      </w:r>
      <w:r>
        <w:rPr/>
        <w:t>当期非经常性损益明细表</w:t>
      </w:r>
      <w:r>
        <w:rPr>
          <w:b w:val="0"/>
          <w:bCs w:val="0"/>
        </w:rPr>
      </w:r>
    </w:p>
    <w:p>
      <w:pPr>
        <w:pStyle w:val="BodyText"/>
        <w:tabs>
          <w:tab w:pos="1617" w:val="left" w:leader="none"/>
        </w:tabs>
        <w:spacing w:line="240" w:lineRule="auto" w:before="55"/>
        <w:ind w:left="658" w:right="-19"/>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tabs>
          <w:tab w:pos="1858" w:val="left" w:leader="none"/>
        </w:tabs>
        <w:spacing w:line="240" w:lineRule="auto"/>
        <w:ind w:left="658" w:right="0"/>
        <w:jc w:val="left"/>
      </w:pPr>
      <w:r>
        <w:rPr/>
        <w:t>单位：元</w:t>
        <w:tab/>
        <w:t>币种：人民币</w:t>
      </w:r>
    </w:p>
    <w:p>
      <w:pPr>
        <w:spacing w:after="0" w:line="240" w:lineRule="auto"/>
        <w:jc w:val="left"/>
        <w:sectPr>
          <w:type w:val="continuous"/>
          <w:pgSz w:w="11910" w:h="16840"/>
          <w:pgMar w:top="1000" w:bottom="280" w:left="1140" w:right="600"/>
          <w:cols w:num="2" w:equalWidth="0">
            <w:col w:w="3790" w:space="2403"/>
            <w:col w:w="3977"/>
          </w:cols>
        </w:sectPr>
      </w:pPr>
    </w:p>
    <w:p>
      <w:pPr>
        <w:spacing w:line="240" w:lineRule="auto" w:before="12"/>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6620"/>
        <w:gridCol w:w="2017"/>
        <w:gridCol w:w="526"/>
      </w:tblGrid>
      <w:tr>
        <w:trPr>
          <w:trHeight w:val="631" w:hRule="exact"/>
        </w:trPr>
        <w:tc>
          <w:tcPr>
            <w:tcW w:w="6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6" w:right="0"/>
              <w:jc w:val="left"/>
              <w:rPr>
                <w:rFonts w:ascii="宋体" w:hAnsi="宋体" w:cs="宋体" w:eastAsia="宋体" w:hint="default"/>
                <w:sz w:val="24"/>
                <w:szCs w:val="24"/>
              </w:rPr>
            </w:pPr>
            <w:r>
              <w:rPr>
                <w:rFonts w:ascii="宋体" w:hAnsi="宋体" w:cs="宋体" w:eastAsia="宋体" w:hint="default"/>
                <w:sz w:val="24"/>
                <w:szCs w:val="24"/>
              </w:rPr>
              <w:t>说</w:t>
            </w:r>
          </w:p>
          <w:p>
            <w:pPr>
              <w:pStyle w:val="TableParagraph"/>
              <w:spacing w:line="313" w:lineRule="exact"/>
              <w:ind w:left="136" w:right="0"/>
              <w:jc w:val="left"/>
              <w:rPr>
                <w:rFonts w:ascii="宋体" w:hAnsi="宋体" w:cs="宋体" w:eastAsia="宋体" w:hint="default"/>
                <w:sz w:val="24"/>
                <w:szCs w:val="24"/>
              </w:rPr>
            </w:pPr>
            <w:r>
              <w:rPr>
                <w:rFonts w:ascii="宋体" w:hAnsi="宋体" w:cs="宋体" w:eastAsia="宋体" w:hint="default"/>
                <w:sz w:val="24"/>
                <w:szCs w:val="24"/>
              </w:rPr>
              <w:t>明</w:t>
            </w:r>
          </w:p>
        </w:tc>
      </w:tr>
      <w:tr>
        <w:trPr>
          <w:trHeight w:val="322" w:hRule="exact"/>
        </w:trPr>
        <w:tc>
          <w:tcPr>
            <w:tcW w:w="6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非流动资产处置损益</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252,208,491.61</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6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计入当期损益的政府补助（与企业业务密切相关，按照国家统</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一标准定额或定量享受的政府补助除外）</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7,383,879.83</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计入当期损益的对非金融企业收取的资金占用费</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13,534,921.86</w:t>
            </w:r>
          </w:p>
        </w:tc>
        <w:tc>
          <w:tcPr>
            <w:tcW w:w="52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00" w:bottom="280" w:left="1140" w:right="6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32" w:type="dxa"/>
        <w:tblLayout w:type="fixed"/>
        <w:tblCellMar>
          <w:top w:w="0" w:type="dxa"/>
          <w:left w:w="0" w:type="dxa"/>
          <w:bottom w:w="0" w:type="dxa"/>
          <w:right w:w="0" w:type="dxa"/>
        </w:tblCellMar>
        <w:tblLook w:val="01E0"/>
      </w:tblPr>
      <w:tblGrid>
        <w:gridCol w:w="6620"/>
        <w:gridCol w:w="2017"/>
        <w:gridCol w:w="526"/>
      </w:tblGrid>
      <w:tr>
        <w:trPr>
          <w:trHeight w:val="634" w:hRule="exact"/>
        </w:trPr>
        <w:tc>
          <w:tcPr>
            <w:tcW w:w="6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企业取得子公司、联营企业及合营企业的投资成本小于取得投</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资时应享有被投资单位可辨认净资产公允价值产生的收益</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24"/>
                <w:szCs w:val="24"/>
              </w:rPr>
            </w:pPr>
            <w:r>
              <w:rPr>
                <w:rFonts w:ascii="宋体"/>
                <w:sz w:val="24"/>
              </w:rPr>
              <w:t>563,788,272.67</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委托他人投资或管理资产的损益</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136,087,428.23</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255" w:hRule="exact"/>
        </w:trPr>
        <w:tc>
          <w:tcPr>
            <w:tcW w:w="66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pacing w:val="-3"/>
                <w:sz w:val="24"/>
                <w:szCs w:val="24"/>
              </w:rPr>
              <w:t>除同公司正常经营业务相关的有效套期保值业务外，持有交易</w:t>
            </w:r>
          </w:p>
          <w:p>
            <w:pPr>
              <w:pStyle w:val="TableParagraph"/>
              <w:spacing w:line="237" w:lineRule="auto" w:before="1"/>
              <w:ind w:left="103" w:right="102"/>
              <w:jc w:val="both"/>
              <w:rPr>
                <w:rFonts w:ascii="宋体" w:hAnsi="宋体" w:cs="宋体" w:eastAsia="宋体" w:hint="default"/>
                <w:sz w:val="24"/>
                <w:szCs w:val="24"/>
              </w:rPr>
            </w:pPr>
            <w:r>
              <w:rPr>
                <w:rFonts w:ascii="宋体" w:hAnsi="宋体" w:cs="宋体" w:eastAsia="宋体" w:hint="default"/>
                <w:spacing w:val="-3"/>
                <w:sz w:val="24"/>
                <w:szCs w:val="24"/>
              </w:rPr>
              <w:t>性金融资产、交易性金融负债产生的公允价值变动损益，以及</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3"/>
                <w:sz w:val="24"/>
                <w:szCs w:val="24"/>
              </w:rPr>
              <w:t>处置交易性金融资产、交易性金融负债和可供出售金融资产取</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得的投资收益</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01"/>
              <w:jc w:val="right"/>
              <w:rPr>
                <w:rFonts w:ascii="宋体" w:hAnsi="宋体" w:cs="宋体" w:eastAsia="宋体" w:hint="default"/>
                <w:sz w:val="24"/>
                <w:szCs w:val="24"/>
              </w:rPr>
            </w:pPr>
            <w:r>
              <w:rPr>
                <w:rFonts w:ascii="宋体"/>
                <w:sz w:val="24"/>
              </w:rPr>
              <w:t>91,469,746.17</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除上述各项之外的其他营业外收入和支出</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-18,083,202.91</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6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所得税影响额</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-152,201,067.02</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少数股东权益影响额</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-1,268,314.61</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892,920,155.83</w:t>
            </w:r>
          </w:p>
        </w:tc>
        <w:tc>
          <w:tcPr>
            <w:tcW w:w="5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8"/>
          <w:szCs w:val="18"/>
        </w:rPr>
      </w:pPr>
    </w:p>
    <w:p>
      <w:pPr>
        <w:pStyle w:val="BodyText"/>
        <w:spacing w:line="313" w:lineRule="exact" w:before="26"/>
        <w:ind w:left="458" w:right="0"/>
        <w:jc w:val="both"/>
      </w:pPr>
      <w:r>
        <w:rPr/>
        <w:t>对公司根据《公开发行证券的公司信息披露解释性公告第</w:t>
      </w:r>
      <w:r>
        <w:rPr>
          <w:spacing w:val="-68"/>
        </w:rPr>
        <w:t> </w:t>
      </w:r>
      <w:r>
        <w:rPr>
          <w:rFonts w:ascii="宋体" w:hAnsi="宋体" w:cs="宋体" w:eastAsia="宋体" w:hint="default"/>
        </w:rPr>
        <w:t>1</w:t>
      </w:r>
      <w:r>
        <w:rPr>
          <w:rFonts w:ascii="宋体" w:hAnsi="宋体" w:cs="宋体" w:eastAsia="宋体" w:hint="default"/>
          <w:spacing w:val="-68"/>
        </w:rPr>
        <w:t> </w:t>
      </w:r>
      <w:r>
        <w:rPr>
          <w:spacing w:val="-3"/>
        </w:rPr>
        <w:t>号——非经常性损益》定</w:t>
      </w:r>
    </w:p>
    <w:p>
      <w:pPr>
        <w:pStyle w:val="BodyText"/>
        <w:spacing w:line="237" w:lineRule="auto" w:before="1"/>
        <w:ind w:left="458" w:right="454"/>
        <w:jc w:val="both"/>
      </w:pPr>
      <w:r>
        <w:rPr/>
        <w:t>义界定的非经常性损益项目，以及把《公开发行证券的公司信息披露解释性公告第</w:t>
      </w:r>
      <w:r>
        <w:rPr>
          <w:spacing w:val="-59"/>
        </w:rPr>
        <w:t> </w:t>
      </w:r>
      <w:r>
        <w:rPr>
          <w:rFonts w:ascii="宋体" w:hAnsi="宋体" w:cs="宋体" w:eastAsia="宋体" w:hint="default"/>
        </w:rPr>
        <w:t>1 </w:t>
      </w:r>
      <w:r>
        <w:rPr>
          <w:spacing w:val="-2"/>
        </w:rPr>
        <w:t>号——非经常性损益》中列举的非经常性损益项目界定为经常性损益的项目，应说明</w:t>
      </w:r>
      <w:r>
        <w:rPr>
          <w:spacing w:val="-95"/>
        </w:rPr>
        <w:t> </w:t>
      </w:r>
      <w:r>
        <w:rPr>
          <w:spacing w:val="-95"/>
        </w:rPr>
      </w:r>
      <w:r>
        <w:rPr/>
        <w:t>原因。</w:t>
      </w:r>
    </w:p>
    <w:p>
      <w:pPr>
        <w:pStyle w:val="BodyText"/>
        <w:spacing w:line="312" w:lineRule="exact"/>
        <w:ind w:left="458" w:right="0"/>
        <w:jc w:val="both"/>
      </w:pPr>
      <w:r>
        <w:rPr/>
        <w:t>□适用</w:t>
      </w:r>
      <w:r>
        <w:rPr>
          <w:spacing w:val="-1"/>
        </w:rPr>
        <w:t> </w:t>
      </w:r>
      <w:r>
        <w:rPr/>
        <w:t>√不适用</w:t>
      </w:r>
    </w:p>
    <w:p>
      <w:pPr>
        <w:pStyle w:val="Heading2"/>
        <w:spacing w:line="240" w:lineRule="auto" w:before="55"/>
        <w:ind w:left="458" w:right="0"/>
        <w:jc w:val="both"/>
        <w:rPr>
          <w:b w:val="0"/>
          <w:bCs w:val="0"/>
        </w:rPr>
      </w:pPr>
      <w:r>
        <w:rPr>
          <w:rFonts w:ascii="宋体" w:hAnsi="宋体" w:cs="宋体" w:eastAsia="宋体" w:hint="default"/>
        </w:rPr>
        <w:t>2</w:t>
      </w:r>
      <w:r>
        <w:rPr/>
        <w:t>、</w:t>
      </w:r>
      <w:r>
        <w:rPr>
          <w:spacing w:val="-4"/>
        </w:rPr>
        <w:t> </w:t>
      </w:r>
      <w:r>
        <w:rPr/>
        <w:t>净资产收益率及每股收益</w:t>
      </w:r>
      <w:r>
        <w:rPr>
          <w:b w:val="0"/>
          <w:bCs w:val="0"/>
        </w:rPr>
      </w:r>
    </w:p>
    <w:p>
      <w:pPr>
        <w:pStyle w:val="BodyText"/>
        <w:spacing w:line="240" w:lineRule="auto" w:before="58"/>
        <w:ind w:left="458" w:right="0"/>
        <w:jc w:val="both"/>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232" w:type="dxa"/>
        <w:tblLayout w:type="fixed"/>
        <w:tblCellMar>
          <w:top w:w="0" w:type="dxa"/>
          <w:left w:w="0" w:type="dxa"/>
          <w:bottom w:w="0" w:type="dxa"/>
          <w:right w:w="0" w:type="dxa"/>
        </w:tblCellMar>
        <w:tblLook w:val="01E0"/>
      </w:tblPr>
      <w:tblGrid>
        <w:gridCol w:w="4030"/>
        <w:gridCol w:w="2441"/>
        <w:gridCol w:w="1347"/>
        <w:gridCol w:w="1344"/>
      </w:tblGrid>
      <w:tr>
        <w:trPr>
          <w:trHeight w:val="322" w:hRule="exact"/>
        </w:trPr>
        <w:tc>
          <w:tcPr>
            <w:tcW w:w="403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报告期利润</w:t>
            </w:r>
          </w:p>
        </w:tc>
        <w:tc>
          <w:tcPr>
            <w:tcW w:w="2441" w:type="dxa"/>
            <w:vMerge w:val="restart"/>
            <w:tcBorders>
              <w:top w:val="single" w:sz="4" w:space="0" w:color="000000"/>
              <w:left w:val="single" w:sz="4" w:space="0" w:color="000000"/>
              <w:right w:val="single" w:sz="4" w:space="0" w:color="000000"/>
            </w:tcBorders>
          </w:tcPr>
          <w:p>
            <w:pPr>
              <w:pStyle w:val="TableParagraph"/>
              <w:spacing w:line="240" w:lineRule="auto" w:before="120"/>
              <w:ind w:left="794" w:right="135" w:hanging="661"/>
              <w:jc w:val="left"/>
              <w:rPr>
                <w:rFonts w:ascii="宋体" w:hAnsi="宋体" w:cs="宋体" w:eastAsia="宋体" w:hint="default"/>
                <w:sz w:val="24"/>
                <w:szCs w:val="24"/>
              </w:rPr>
            </w:pPr>
            <w:r>
              <w:rPr>
                <w:rFonts w:ascii="宋体" w:hAnsi="宋体" w:cs="宋体" w:eastAsia="宋体" w:hint="default"/>
                <w:sz w:val="24"/>
                <w:szCs w:val="24"/>
              </w:rPr>
              <w:t>加权平均净资产收益 率（</w:t>
            </w:r>
            <w:r>
              <w:rPr>
                <w:rFonts w:ascii="宋体" w:hAnsi="宋体" w:cs="宋体" w:eastAsia="宋体" w:hint="default"/>
                <w:sz w:val="24"/>
                <w:szCs w:val="24"/>
              </w:rPr>
              <w:t>%</w:t>
            </w:r>
            <w:r>
              <w:rPr>
                <w:rFonts w:ascii="宋体" w:hAnsi="宋体" w:cs="宋体" w:eastAsia="宋体" w:hint="default"/>
                <w:sz w:val="24"/>
                <w:szCs w:val="24"/>
              </w:rPr>
              <w:t>）</w:t>
            </w:r>
          </w:p>
        </w:tc>
        <w:tc>
          <w:tcPr>
            <w:tcW w:w="2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59" w:right="0"/>
              <w:jc w:val="left"/>
              <w:rPr>
                <w:rFonts w:ascii="宋体" w:hAnsi="宋体" w:cs="宋体" w:eastAsia="宋体" w:hint="default"/>
                <w:sz w:val="24"/>
                <w:szCs w:val="24"/>
              </w:rPr>
            </w:pPr>
            <w:r>
              <w:rPr>
                <w:rFonts w:ascii="宋体" w:hAnsi="宋体" w:cs="宋体" w:eastAsia="宋体" w:hint="default"/>
                <w:sz w:val="24"/>
                <w:szCs w:val="24"/>
              </w:rPr>
              <w:t>每股收益</w:t>
            </w:r>
          </w:p>
        </w:tc>
      </w:tr>
      <w:tr>
        <w:trPr>
          <w:trHeight w:val="632" w:hRule="exact"/>
        </w:trPr>
        <w:tc>
          <w:tcPr>
            <w:tcW w:w="4030" w:type="dxa"/>
            <w:vMerge/>
            <w:tcBorders>
              <w:left w:val="single" w:sz="4" w:space="0" w:color="000000"/>
              <w:bottom w:val="single" w:sz="4" w:space="0" w:color="000000"/>
              <w:right w:val="single" w:sz="4" w:space="0" w:color="000000"/>
            </w:tcBorders>
          </w:tcPr>
          <w:p>
            <w:pPr/>
          </w:p>
        </w:tc>
        <w:tc>
          <w:tcPr>
            <w:tcW w:w="2441" w:type="dxa"/>
            <w:vMerge/>
            <w:tcBorders>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5"/>
              <w:jc w:val="center"/>
              <w:rPr>
                <w:rFonts w:ascii="宋体" w:hAnsi="宋体" w:cs="宋体" w:eastAsia="宋体" w:hint="default"/>
                <w:sz w:val="24"/>
                <w:szCs w:val="24"/>
              </w:rPr>
            </w:pPr>
            <w:r>
              <w:rPr>
                <w:rFonts w:ascii="宋体" w:hAnsi="宋体" w:cs="宋体" w:eastAsia="宋体" w:hint="default"/>
                <w:sz w:val="24"/>
                <w:szCs w:val="24"/>
              </w:rPr>
              <w:t>基本每股</w:t>
            </w:r>
          </w:p>
          <w:p>
            <w:pPr>
              <w:pStyle w:val="TableParagraph"/>
              <w:spacing w:line="313" w:lineRule="exact"/>
              <w:ind w:right="5"/>
              <w:jc w:val="center"/>
              <w:rPr>
                <w:rFonts w:ascii="宋体" w:hAnsi="宋体" w:cs="宋体" w:eastAsia="宋体" w:hint="default"/>
                <w:sz w:val="24"/>
                <w:szCs w:val="24"/>
              </w:rPr>
            </w:pPr>
            <w:r>
              <w:rPr>
                <w:rFonts w:ascii="宋体" w:hAnsi="宋体" w:cs="宋体" w:eastAsia="宋体" w:hint="default"/>
                <w:sz w:val="24"/>
                <w:szCs w:val="24"/>
              </w:rPr>
              <w:t>收益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稀释每股</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收益</w:t>
            </w:r>
          </w:p>
        </w:tc>
      </w:tr>
      <w:tr>
        <w:trPr>
          <w:trHeight w:val="3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归属于公司普通股股东的净利润</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10.84</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4"/>
              <w:jc w:val="right"/>
              <w:rPr>
                <w:rFonts w:ascii="宋体" w:hAnsi="宋体" w:cs="宋体" w:eastAsia="宋体" w:hint="default"/>
                <w:sz w:val="24"/>
                <w:szCs w:val="24"/>
              </w:rPr>
            </w:pPr>
            <w:r>
              <w:rPr>
                <w:rFonts w:ascii="宋体"/>
                <w:sz w:val="24"/>
              </w:rPr>
              <w:t>0.39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0.39</w:t>
            </w:r>
          </w:p>
        </w:tc>
      </w:tr>
      <w:tr>
        <w:trPr>
          <w:trHeight w:val="634"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扣除非经常性损益后归属于公司普</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通股股东的净利润</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7.92</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4"/>
              <w:jc w:val="right"/>
              <w:rPr>
                <w:rFonts w:ascii="宋体" w:hAnsi="宋体" w:cs="宋体" w:eastAsia="宋体" w:hint="default"/>
                <w:sz w:val="24"/>
                <w:szCs w:val="24"/>
              </w:rPr>
            </w:pPr>
            <w:r>
              <w:rPr>
                <w:rFonts w:ascii="宋体"/>
                <w:sz w:val="24"/>
              </w:rPr>
              <w:t>0.28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0.28</w:t>
            </w:r>
          </w:p>
        </w:tc>
      </w:tr>
    </w:tbl>
    <w:p>
      <w:pPr>
        <w:spacing w:line="240" w:lineRule="auto" w:before="10"/>
        <w:rPr>
          <w:rFonts w:ascii="宋体" w:hAnsi="宋体" w:cs="宋体" w:eastAsia="宋体" w:hint="default"/>
          <w:sz w:val="18"/>
          <w:szCs w:val="18"/>
        </w:rPr>
      </w:pPr>
    </w:p>
    <w:p>
      <w:pPr>
        <w:pStyle w:val="BodyText"/>
        <w:spacing w:line="240" w:lineRule="auto" w:before="26"/>
        <w:ind w:left="458" w:right="3028"/>
        <w:jc w:val="left"/>
      </w:pPr>
      <w:r>
        <w:rPr/>
        <w:t>（</w:t>
      </w:r>
      <w:r>
        <w:rPr>
          <w:rFonts w:ascii="宋体" w:hAnsi="宋体" w:cs="宋体" w:eastAsia="宋体" w:hint="default"/>
        </w:rPr>
        <w:t>1</w:t>
      </w:r>
      <w:r>
        <w:rPr/>
        <w:t>）加权平均净资产收益率的计算过程</w:t>
      </w:r>
    </w:p>
    <w:p>
      <w:pPr>
        <w:spacing w:line="240" w:lineRule="auto" w:before="10"/>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5389"/>
        <w:gridCol w:w="1702"/>
        <w:gridCol w:w="2420"/>
      </w:tblGrid>
      <w:tr>
        <w:trPr>
          <w:trHeight w:val="45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40" w:lineRule="auto" w:before="24"/>
              <w:ind w:left="103" w:right="0"/>
              <w:jc w:val="left"/>
              <w:rPr>
                <w:rFonts w:ascii="宋体" w:hAnsi="宋体" w:cs="宋体" w:eastAsia="宋体" w:hint="default"/>
                <w:sz w:val="24"/>
                <w:szCs w:val="24"/>
              </w:rPr>
            </w:pPr>
            <w:r>
              <w:rPr>
                <w:rFonts w:ascii="宋体" w:hAnsi="宋体" w:cs="宋体" w:eastAsia="宋体" w:hint="default"/>
                <w:sz w:val="24"/>
                <w:szCs w:val="24"/>
              </w:rPr>
              <w:t>项</w:t>
              <w:tab/>
              <w:t>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07"/>
              <w:jc w:val="right"/>
              <w:rPr>
                <w:rFonts w:ascii="宋体" w:hAnsi="宋体" w:cs="宋体" w:eastAsia="宋体" w:hint="default"/>
                <w:sz w:val="24"/>
                <w:szCs w:val="24"/>
              </w:rPr>
            </w:pPr>
            <w:r>
              <w:rPr>
                <w:rFonts w:ascii="宋体" w:hAnsi="宋体" w:cs="宋体" w:eastAsia="宋体" w:hint="default"/>
                <w:sz w:val="24"/>
                <w:szCs w:val="24"/>
              </w:rPr>
              <w:t>序号</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center"/>
              <w:rPr>
                <w:rFonts w:ascii="宋体" w:hAnsi="宋体" w:cs="宋体" w:eastAsia="宋体" w:hint="default"/>
                <w:sz w:val="24"/>
                <w:szCs w:val="24"/>
              </w:rPr>
            </w:pPr>
            <w:r>
              <w:rPr>
                <w:rFonts w:ascii="宋体" w:hAnsi="宋体" w:cs="宋体" w:eastAsia="宋体" w:hint="default"/>
                <w:sz w:val="24"/>
                <w:szCs w:val="24"/>
              </w:rPr>
              <w:t>本期数</w:t>
            </w:r>
          </w:p>
        </w:tc>
      </w:tr>
      <w:tr>
        <w:trPr>
          <w:trHeight w:val="449"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z w:val="24"/>
                <w:szCs w:val="24"/>
              </w:rPr>
              <w:t>归属于公司普通股股东的净利润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24"/>
                <w:szCs w:val="24"/>
              </w:rPr>
            </w:pPr>
            <w:r>
              <w:rPr>
                <w:rFonts w:ascii="宋体"/>
                <w:sz w:val="24"/>
              </w:rPr>
              <w:t>A</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24"/>
                <w:szCs w:val="24"/>
              </w:rPr>
            </w:pPr>
            <w:r>
              <w:rPr>
                <w:rFonts w:ascii="宋体"/>
                <w:sz w:val="24"/>
              </w:rPr>
              <w:t>3,321,865,217.75</w:t>
            </w:r>
          </w:p>
        </w:tc>
      </w:tr>
      <w:tr>
        <w:trPr>
          <w:trHeight w:val="449"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z w:val="24"/>
                <w:szCs w:val="24"/>
              </w:rPr>
              <w:t>非经常性损益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24"/>
                <w:szCs w:val="24"/>
              </w:rPr>
            </w:pPr>
            <w:r>
              <w:rPr>
                <w:rFonts w:ascii="宋体"/>
                <w:sz w:val="24"/>
              </w:rPr>
              <w:t>B</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24"/>
                <w:szCs w:val="24"/>
              </w:rPr>
            </w:pPr>
            <w:r>
              <w:rPr>
                <w:rFonts w:ascii="宋体"/>
                <w:sz w:val="24"/>
              </w:rPr>
              <w:t>892,920,155.83</w:t>
            </w:r>
          </w:p>
        </w:tc>
      </w:tr>
      <w:tr>
        <w:trPr>
          <w:trHeight w:val="63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5"/>
                <w:sz w:val="24"/>
                <w:szCs w:val="24"/>
              </w:rPr>
              <w:t>扣除非经常性损益后的归属于公司普通股股东的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47"/>
              <w:jc w:val="right"/>
              <w:rPr>
                <w:rFonts w:ascii="宋体" w:hAnsi="宋体" w:cs="宋体" w:eastAsia="宋体" w:hint="default"/>
                <w:sz w:val="24"/>
                <w:szCs w:val="24"/>
              </w:rPr>
            </w:pPr>
            <w:r>
              <w:rPr>
                <w:rFonts w:ascii="宋体"/>
                <w:sz w:val="24"/>
              </w:rPr>
              <w:t>C=A-B</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宋体" w:hAnsi="宋体" w:cs="宋体" w:eastAsia="宋体" w:hint="default"/>
                <w:sz w:val="24"/>
                <w:szCs w:val="24"/>
              </w:rPr>
            </w:pPr>
            <w:r>
              <w:rPr>
                <w:rFonts w:ascii="宋体"/>
                <w:sz w:val="24"/>
              </w:rPr>
              <w:t>2,428,945,061.92</w:t>
            </w:r>
          </w:p>
        </w:tc>
      </w:tr>
      <w:tr>
        <w:trPr>
          <w:trHeight w:val="449"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4"/>
                <w:szCs w:val="24"/>
              </w:rPr>
            </w:pPr>
            <w:r>
              <w:rPr>
                <w:rFonts w:ascii="宋体" w:hAnsi="宋体" w:cs="宋体" w:eastAsia="宋体" w:hint="default"/>
                <w:sz w:val="24"/>
                <w:szCs w:val="24"/>
              </w:rPr>
              <w:t>归属于公司普通股股东的期初净资产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5"/>
              <w:jc w:val="center"/>
              <w:rPr>
                <w:rFonts w:ascii="宋体" w:hAnsi="宋体" w:cs="宋体" w:eastAsia="宋体" w:hint="default"/>
                <w:sz w:val="24"/>
                <w:szCs w:val="24"/>
              </w:rPr>
            </w:pPr>
            <w:r>
              <w:rPr>
                <w:rFonts w:ascii="宋体"/>
                <w:sz w:val="24"/>
              </w:rPr>
              <w:t>D</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宋体" w:hAnsi="宋体" w:cs="宋体" w:eastAsia="宋体" w:hint="default"/>
                <w:sz w:val="24"/>
                <w:szCs w:val="24"/>
              </w:rPr>
            </w:pPr>
            <w:r>
              <w:rPr>
                <w:rFonts w:ascii="宋体"/>
                <w:sz w:val="24"/>
              </w:rPr>
              <w:t>29,053,701,444.73</w:t>
            </w:r>
          </w:p>
        </w:tc>
      </w:tr>
      <w:tr>
        <w:trPr>
          <w:trHeight w:val="634"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发行新股或债转股等新增的</w:t>
            </w:r>
            <w:r>
              <w:rPr>
                <w:rFonts w:ascii="宋体" w:hAnsi="宋体" w:cs="宋体" w:eastAsia="宋体" w:hint="default"/>
                <w:spacing w:val="-108"/>
                <w:sz w:val="24"/>
                <w:szCs w:val="24"/>
              </w:rPr>
              <w:t>、</w:t>
            </w:r>
            <w:r>
              <w:rPr>
                <w:rFonts w:ascii="宋体" w:hAnsi="宋体" w:cs="宋体" w:eastAsia="宋体" w:hint="default"/>
                <w:sz w:val="24"/>
                <w:szCs w:val="24"/>
              </w:rPr>
              <w:t>归属于公司普通股股</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东的净资产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
              <w:jc w:val="center"/>
              <w:rPr>
                <w:rFonts w:ascii="宋体" w:hAnsi="宋体" w:cs="宋体" w:eastAsia="宋体" w:hint="default"/>
                <w:sz w:val="24"/>
                <w:szCs w:val="24"/>
              </w:rPr>
            </w:pPr>
            <w:r>
              <w:rPr>
                <w:rFonts w:ascii="宋体"/>
                <w:sz w:val="24"/>
              </w:rPr>
              <w:t>E</w:t>
            </w: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4"/>
                <w:szCs w:val="24"/>
              </w:rPr>
            </w:pPr>
            <w:r>
              <w:rPr>
                <w:rFonts w:ascii="宋体" w:hAnsi="宋体" w:cs="宋体" w:eastAsia="宋体" w:hint="default"/>
                <w:sz w:val="24"/>
                <w:szCs w:val="24"/>
              </w:rPr>
              <w:t>新增净资产次月起至报告期期末的累计月数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5"/>
              <w:jc w:val="center"/>
              <w:rPr>
                <w:rFonts w:ascii="宋体" w:hAnsi="宋体" w:cs="宋体" w:eastAsia="宋体" w:hint="default"/>
                <w:sz w:val="24"/>
                <w:szCs w:val="24"/>
              </w:rPr>
            </w:pPr>
            <w:r>
              <w:rPr>
                <w:rFonts w:ascii="宋体"/>
                <w:sz w:val="24"/>
              </w:rPr>
              <w:t>F</w:t>
            </w: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回购或现金分红等减少的</w:t>
            </w:r>
            <w:r>
              <w:rPr>
                <w:rFonts w:ascii="宋体" w:hAnsi="宋体" w:cs="宋体" w:eastAsia="宋体" w:hint="default"/>
                <w:spacing w:val="-108"/>
                <w:sz w:val="24"/>
                <w:szCs w:val="24"/>
              </w:rPr>
              <w:t>、</w:t>
            </w:r>
            <w:r>
              <w:rPr>
                <w:rFonts w:ascii="宋体" w:hAnsi="宋体" w:cs="宋体" w:eastAsia="宋体" w:hint="default"/>
                <w:sz w:val="24"/>
                <w:szCs w:val="24"/>
              </w:rPr>
              <w:t>归属于公司普通股股东</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的净资产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
              <w:jc w:val="center"/>
              <w:rPr>
                <w:rFonts w:ascii="宋体" w:hAnsi="宋体" w:cs="宋体" w:eastAsia="宋体" w:hint="default"/>
                <w:sz w:val="24"/>
                <w:szCs w:val="24"/>
              </w:rPr>
            </w:pPr>
            <w:r>
              <w:rPr>
                <w:rFonts w:ascii="宋体"/>
                <w:sz w:val="24"/>
              </w:rPr>
              <w:t>G</w:t>
            </w: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452"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4"/>
                <w:szCs w:val="24"/>
              </w:rPr>
            </w:pPr>
            <w:r>
              <w:rPr>
                <w:rFonts w:ascii="宋体" w:hAnsi="宋体" w:cs="宋体" w:eastAsia="宋体" w:hint="default"/>
                <w:sz w:val="24"/>
                <w:szCs w:val="24"/>
              </w:rPr>
              <w:t>减少净资产次月起至报告期期末的累计月数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24"/>
                <w:szCs w:val="24"/>
              </w:rPr>
            </w:pPr>
            <w:r>
              <w:rPr>
                <w:rFonts w:ascii="宋体"/>
                <w:sz w:val="24"/>
              </w:rPr>
              <w:t>H</w:t>
            </w:r>
          </w:p>
        </w:tc>
        <w:tc>
          <w:tcPr>
            <w:tcW w:w="24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340" w:right="8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893"/>
        <w:gridCol w:w="4496"/>
        <w:gridCol w:w="1702"/>
        <w:gridCol w:w="2420"/>
      </w:tblGrid>
      <w:tr>
        <w:trPr>
          <w:trHeight w:val="768" w:hRule="exact"/>
        </w:trPr>
        <w:tc>
          <w:tcPr>
            <w:tcW w:w="893"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88"/>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4496" w:type="dxa"/>
            <w:tcBorders>
              <w:top w:val="nil" w:sz="6" w:space="0" w:color="auto"/>
              <w:left w:val="single" w:sz="4" w:space="0" w:color="000000"/>
              <w:bottom w:val="single" w:sz="4" w:space="0" w:color="000000"/>
              <w:right w:val="single" w:sz="4" w:space="0" w:color="000000"/>
            </w:tcBorders>
          </w:tcPr>
          <w:p>
            <w:pPr>
              <w:pStyle w:val="TableParagraph"/>
              <w:spacing w:line="312" w:lineRule="exact" w:before="60"/>
              <w:ind w:left="103" w:right="104"/>
              <w:jc w:val="left"/>
              <w:rPr>
                <w:rFonts w:ascii="宋体" w:hAnsi="宋体" w:cs="宋体" w:eastAsia="宋体" w:hint="default"/>
                <w:sz w:val="24"/>
                <w:szCs w:val="24"/>
              </w:rPr>
            </w:pPr>
            <w:r>
              <w:rPr>
                <w:rFonts w:ascii="宋体" w:hAnsi="宋体" w:cs="宋体" w:eastAsia="宋体" w:hint="default"/>
                <w:spacing w:val="-3"/>
                <w:sz w:val="24"/>
                <w:szCs w:val="24"/>
              </w:rPr>
              <w:t>因其他交易或事项引起的、归属于公司普</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通股股东的净资产增减变动</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85"/>
              <w:ind w:right="5"/>
              <w:jc w:val="center"/>
              <w:rPr>
                <w:rFonts w:ascii="宋体" w:hAnsi="宋体" w:cs="宋体" w:eastAsia="宋体" w:hint="default"/>
                <w:sz w:val="24"/>
                <w:szCs w:val="24"/>
              </w:rPr>
            </w:pPr>
            <w:r>
              <w:rPr>
                <w:rFonts w:ascii="宋体"/>
                <w:sz w:val="24"/>
              </w:rPr>
              <w:t>I1</w:t>
            </w:r>
          </w:p>
        </w:tc>
        <w:tc>
          <w:tcPr>
            <w:tcW w:w="24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85"/>
              <w:ind w:right="103"/>
              <w:jc w:val="right"/>
              <w:rPr>
                <w:rFonts w:ascii="宋体" w:hAnsi="宋体" w:cs="宋体" w:eastAsia="宋体" w:hint="default"/>
                <w:sz w:val="24"/>
                <w:szCs w:val="24"/>
              </w:rPr>
            </w:pPr>
            <w:r>
              <w:rPr>
                <w:rFonts w:ascii="宋体"/>
                <w:sz w:val="24"/>
              </w:rPr>
              <w:t>-168,927,198.62</w:t>
            </w:r>
          </w:p>
        </w:tc>
      </w:tr>
      <w:tr>
        <w:trPr>
          <w:trHeight w:val="631" w:hRule="exact"/>
        </w:trPr>
        <w:tc>
          <w:tcPr>
            <w:tcW w:w="893" w:type="dxa"/>
            <w:vMerge/>
            <w:tcBorders>
              <w:left w:val="single" w:sz="4" w:space="0" w:color="000000"/>
              <w:bottom w:val="single" w:sz="4" w:space="0" w:color="000000"/>
              <w:right w:val="single" w:sz="4" w:space="0" w:color="000000"/>
            </w:tcBorders>
          </w:tcPr>
          <w:p>
            <w:pPr/>
          </w:p>
        </w:tc>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2"/>
                <w:sz w:val="24"/>
                <w:szCs w:val="24"/>
              </w:rPr>
              <w:t>增减净资产次月起至报告期期末的累计</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月数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
              <w:jc w:val="center"/>
              <w:rPr>
                <w:rFonts w:ascii="宋体" w:hAnsi="宋体" w:cs="宋体" w:eastAsia="宋体" w:hint="default"/>
                <w:sz w:val="24"/>
                <w:szCs w:val="24"/>
              </w:rPr>
            </w:pPr>
            <w:r>
              <w:rPr>
                <w:rFonts w:ascii="宋体"/>
                <w:sz w:val="24"/>
              </w:rPr>
              <w:t>J1</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宋体" w:hAnsi="宋体" w:cs="宋体" w:eastAsia="宋体" w:hint="default"/>
                <w:sz w:val="24"/>
                <w:szCs w:val="24"/>
              </w:rPr>
            </w:pPr>
            <w:r>
              <w:rPr>
                <w:rFonts w:ascii="宋体"/>
                <w:sz w:val="24"/>
              </w:rPr>
              <w:t>6</w:t>
            </w:r>
          </w:p>
        </w:tc>
      </w:tr>
      <w:tr>
        <w:trPr>
          <w:trHeight w:val="451" w:hRule="exact"/>
        </w:trPr>
        <w:tc>
          <w:tcPr>
            <w:tcW w:w="5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4"/>
                <w:szCs w:val="24"/>
              </w:rPr>
            </w:pPr>
            <w:r>
              <w:rPr>
                <w:rFonts w:ascii="宋体" w:hAnsi="宋体" w:cs="宋体" w:eastAsia="宋体" w:hint="default"/>
                <w:sz w:val="24"/>
                <w:szCs w:val="24"/>
              </w:rPr>
              <w:t>报告期月份数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5"/>
              <w:jc w:val="center"/>
              <w:rPr>
                <w:rFonts w:ascii="宋体" w:hAnsi="宋体" w:cs="宋体" w:eastAsia="宋体" w:hint="default"/>
                <w:sz w:val="24"/>
                <w:szCs w:val="24"/>
              </w:rPr>
            </w:pPr>
            <w:r>
              <w:rPr>
                <w:rFonts w:ascii="宋体"/>
                <w:sz w:val="24"/>
              </w:rPr>
              <w:t>K</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宋体" w:hAnsi="宋体" w:cs="宋体" w:eastAsia="宋体" w:hint="default"/>
                <w:sz w:val="24"/>
                <w:szCs w:val="24"/>
              </w:rPr>
            </w:pPr>
            <w:r>
              <w:rPr>
                <w:rFonts w:ascii="宋体"/>
                <w:sz w:val="24"/>
              </w:rPr>
              <w:t>12</w:t>
            </w:r>
          </w:p>
        </w:tc>
      </w:tr>
      <w:tr>
        <w:trPr>
          <w:trHeight w:val="943" w:hRule="exact"/>
        </w:trPr>
        <w:tc>
          <w:tcPr>
            <w:tcW w:w="5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加权平均净资产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center"/>
              <w:rPr>
                <w:rFonts w:ascii="宋体" w:hAnsi="宋体" w:cs="宋体" w:eastAsia="宋体" w:hint="default"/>
                <w:sz w:val="24"/>
                <w:szCs w:val="24"/>
              </w:rPr>
            </w:pPr>
            <w:r>
              <w:rPr>
                <w:rFonts w:ascii="宋体"/>
                <w:sz w:val="24"/>
              </w:rPr>
              <w:t>L= D+A/2+ E</w:t>
            </w:r>
          </w:p>
          <w:p>
            <w:pPr>
              <w:pStyle w:val="TableParagraph"/>
              <w:spacing w:line="311" w:lineRule="exact"/>
              <w:ind w:right="5"/>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F/K-G</w:t>
            </w:r>
            <w:r>
              <w:rPr>
                <w:rFonts w:ascii="宋体" w:hAnsi="宋体" w:cs="宋体" w:eastAsia="宋体" w:hint="default"/>
                <w:sz w:val="24"/>
                <w:szCs w:val="24"/>
              </w:rPr>
              <w:t>×</w:t>
            </w:r>
            <w:r>
              <w:rPr>
                <w:rFonts w:ascii="宋体" w:hAnsi="宋体" w:cs="宋体" w:eastAsia="宋体" w:hint="default"/>
                <w:sz w:val="24"/>
                <w:szCs w:val="24"/>
              </w:rPr>
              <w:t>H/K</w:t>
            </w:r>
          </w:p>
          <w:p>
            <w:pPr>
              <w:pStyle w:val="TableParagraph"/>
              <w:spacing w:line="313" w:lineRule="exact"/>
              <w:ind w:right="5"/>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I</w:t>
            </w:r>
            <w:r>
              <w:rPr>
                <w:rFonts w:ascii="宋体" w:hAnsi="宋体" w:cs="宋体" w:eastAsia="宋体" w:hint="default"/>
                <w:sz w:val="24"/>
                <w:szCs w:val="24"/>
              </w:rPr>
              <w:t>×</w:t>
            </w:r>
            <w:r>
              <w:rPr>
                <w:rFonts w:ascii="宋体" w:hAnsi="宋体" w:cs="宋体" w:eastAsia="宋体" w:hint="default"/>
                <w:sz w:val="24"/>
                <w:szCs w:val="24"/>
              </w:rPr>
              <w:t>J/K</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4"/>
              <w:jc w:val="right"/>
              <w:rPr>
                <w:rFonts w:ascii="宋体" w:hAnsi="宋体" w:cs="宋体" w:eastAsia="宋体" w:hint="default"/>
                <w:sz w:val="24"/>
                <w:szCs w:val="24"/>
              </w:rPr>
            </w:pPr>
            <w:r>
              <w:rPr>
                <w:rFonts w:ascii="宋体"/>
                <w:sz w:val="24"/>
              </w:rPr>
              <w:t>30,658,359,803.49</w:t>
            </w:r>
          </w:p>
        </w:tc>
      </w:tr>
      <w:tr>
        <w:trPr>
          <w:trHeight w:val="449" w:hRule="exact"/>
        </w:trPr>
        <w:tc>
          <w:tcPr>
            <w:tcW w:w="5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4"/>
                <w:szCs w:val="24"/>
              </w:rPr>
            </w:pPr>
            <w:r>
              <w:rPr>
                <w:rFonts w:ascii="宋体" w:hAnsi="宋体" w:cs="宋体" w:eastAsia="宋体" w:hint="default"/>
                <w:sz w:val="24"/>
                <w:szCs w:val="24"/>
              </w:rPr>
              <w:t>加权平均净资产收益率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5"/>
              <w:jc w:val="center"/>
              <w:rPr>
                <w:rFonts w:ascii="宋体" w:hAnsi="宋体" w:cs="宋体" w:eastAsia="宋体" w:hint="default"/>
                <w:sz w:val="24"/>
                <w:szCs w:val="24"/>
              </w:rPr>
            </w:pPr>
            <w:r>
              <w:rPr>
                <w:rFonts w:ascii="宋体"/>
                <w:sz w:val="24"/>
              </w:rPr>
              <w:t>M=A/L</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宋体" w:hAnsi="宋体" w:cs="宋体" w:eastAsia="宋体" w:hint="default"/>
                <w:sz w:val="24"/>
                <w:szCs w:val="24"/>
              </w:rPr>
            </w:pPr>
            <w:r>
              <w:rPr>
                <w:rFonts w:ascii="宋体"/>
                <w:sz w:val="24"/>
              </w:rPr>
              <w:t>10.84%</w:t>
            </w:r>
          </w:p>
        </w:tc>
      </w:tr>
      <w:tr>
        <w:trPr>
          <w:trHeight w:val="449" w:hRule="exact"/>
        </w:trPr>
        <w:tc>
          <w:tcPr>
            <w:tcW w:w="5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4"/>
                <w:szCs w:val="24"/>
              </w:rPr>
            </w:pPr>
            <w:r>
              <w:rPr>
                <w:rFonts w:ascii="宋体" w:hAnsi="宋体" w:cs="宋体" w:eastAsia="宋体" w:hint="default"/>
                <w:sz w:val="24"/>
                <w:szCs w:val="24"/>
              </w:rPr>
              <w:t>扣除非经常损益加权平均净资产收益率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24"/>
                <w:szCs w:val="24"/>
              </w:rPr>
            </w:pPr>
            <w:r>
              <w:rPr>
                <w:rFonts w:ascii="宋体"/>
                <w:sz w:val="24"/>
              </w:rPr>
              <w:t>N=C/L</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24"/>
                <w:szCs w:val="24"/>
              </w:rPr>
            </w:pPr>
            <w:r>
              <w:rPr>
                <w:rFonts w:ascii="宋体"/>
                <w:sz w:val="24"/>
              </w:rPr>
              <w:t>7.92%</w:t>
            </w:r>
          </w:p>
        </w:tc>
      </w:tr>
    </w:tbl>
    <w:p>
      <w:pPr>
        <w:spacing w:line="240" w:lineRule="auto" w:before="10"/>
        <w:rPr>
          <w:rFonts w:ascii="宋体" w:hAnsi="宋体" w:cs="宋体" w:eastAsia="宋体" w:hint="default"/>
          <w:sz w:val="18"/>
          <w:szCs w:val="18"/>
        </w:rPr>
      </w:pPr>
    </w:p>
    <w:p>
      <w:pPr>
        <w:pStyle w:val="BodyText"/>
        <w:spacing w:line="310" w:lineRule="exact" w:before="58"/>
        <w:ind w:left="578" w:right="4348" w:hanging="120"/>
        <w:jc w:val="left"/>
      </w:pPr>
      <w:r>
        <w:rPr/>
        <w:t>（</w:t>
      </w:r>
      <w:r>
        <w:rPr>
          <w:rFonts w:ascii="宋体" w:hAnsi="宋体" w:cs="宋体" w:eastAsia="宋体" w:hint="default"/>
        </w:rPr>
        <w:t>2</w:t>
      </w:r>
      <w:r>
        <w:rPr/>
        <w:t>）基本每股收益和稀释每股收益的计算过程 </w:t>
      </w:r>
      <w:r>
        <w:rPr>
          <w:rFonts w:ascii="宋体" w:hAnsi="宋体" w:cs="宋体" w:eastAsia="宋体" w:hint="default"/>
        </w:rPr>
        <w:t>1</w:t>
      </w:r>
      <w:r>
        <w:rPr/>
        <w:t>）基本每股收益的计算过程</w:t>
      </w:r>
    </w:p>
    <w:tbl>
      <w:tblPr>
        <w:tblW w:w="0" w:type="auto"/>
        <w:jc w:val="left"/>
        <w:tblInd w:w="345" w:type="dxa"/>
        <w:tblLayout w:type="fixed"/>
        <w:tblCellMar>
          <w:top w:w="0" w:type="dxa"/>
          <w:left w:w="0" w:type="dxa"/>
          <w:bottom w:w="0" w:type="dxa"/>
          <w:right w:w="0" w:type="dxa"/>
        </w:tblCellMar>
        <w:tblLook w:val="01E0"/>
      </w:tblPr>
      <w:tblGrid>
        <w:gridCol w:w="5353"/>
        <w:gridCol w:w="1418"/>
        <w:gridCol w:w="2278"/>
      </w:tblGrid>
      <w:tr>
        <w:trPr>
          <w:trHeight w:val="430"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项</w:t>
              <w:tab/>
              <w:t>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hAnsi="宋体" w:cs="宋体" w:eastAsia="宋体" w:hint="default"/>
                <w:sz w:val="24"/>
                <w:szCs w:val="24"/>
              </w:rPr>
              <w:t>序号</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24"/>
                <w:szCs w:val="24"/>
              </w:rPr>
            </w:pPr>
            <w:r>
              <w:rPr>
                <w:rFonts w:ascii="宋体" w:hAnsi="宋体" w:cs="宋体" w:eastAsia="宋体" w:hint="default"/>
                <w:sz w:val="24"/>
                <w:szCs w:val="24"/>
              </w:rPr>
              <w:t>本期数</w:t>
            </w:r>
          </w:p>
        </w:tc>
      </w:tr>
      <w:tr>
        <w:trPr>
          <w:trHeight w:val="430"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归属于公司普通股股东的净利润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sz w:val="24"/>
              </w:rPr>
              <w:t>A</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宋体" w:hAnsi="宋体" w:cs="宋体" w:eastAsia="宋体" w:hint="default"/>
                <w:sz w:val="24"/>
                <w:szCs w:val="24"/>
              </w:rPr>
            </w:pPr>
            <w:r>
              <w:rPr>
                <w:rFonts w:ascii="宋体"/>
                <w:sz w:val="24"/>
              </w:rPr>
              <w:t>3,321,865,217.75</w:t>
            </w:r>
          </w:p>
        </w:tc>
      </w:tr>
      <w:tr>
        <w:trPr>
          <w:trHeight w:val="432"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非经常性损益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sz w:val="24"/>
              </w:rPr>
              <w:t>B</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24"/>
                <w:szCs w:val="24"/>
              </w:rPr>
            </w:pPr>
            <w:r>
              <w:rPr>
                <w:rFonts w:ascii="宋体"/>
                <w:sz w:val="24"/>
              </w:rPr>
              <w:t>892,920,155.83</w:t>
            </w:r>
          </w:p>
        </w:tc>
      </w:tr>
      <w:tr>
        <w:trPr>
          <w:trHeight w:val="63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扣除非经常性损益后的归属于公司普通股股东的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C=A-B</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9"/>
              <w:jc w:val="right"/>
              <w:rPr>
                <w:rFonts w:ascii="宋体" w:hAnsi="宋体" w:cs="宋体" w:eastAsia="宋体" w:hint="default"/>
                <w:sz w:val="24"/>
                <w:szCs w:val="24"/>
              </w:rPr>
            </w:pPr>
            <w:r>
              <w:rPr>
                <w:rFonts w:ascii="宋体"/>
                <w:sz w:val="24"/>
              </w:rPr>
              <w:t>2,428,945,061.92</w:t>
            </w:r>
          </w:p>
        </w:tc>
      </w:tr>
      <w:tr>
        <w:trPr>
          <w:trHeight w:val="430"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期初股份总数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sz w:val="24"/>
              </w:rPr>
              <w:t>D</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24"/>
                <w:szCs w:val="24"/>
              </w:rPr>
            </w:pPr>
            <w:r>
              <w:rPr>
                <w:rFonts w:ascii="宋体"/>
                <w:sz w:val="24"/>
              </w:rPr>
              <w:t>8,599,343,536</w:t>
            </w:r>
          </w:p>
        </w:tc>
      </w:tr>
      <w:tr>
        <w:trPr>
          <w:trHeight w:val="432"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因公积金转增股本或股票股利分配等增加股份数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sz w:val="24"/>
              </w:rPr>
              <w:t>E</w:t>
            </w: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发行新股或债转股等增加股份数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4"/>
                <w:szCs w:val="24"/>
              </w:rPr>
            </w:pPr>
            <w:r>
              <w:rPr>
                <w:rFonts w:ascii="宋体"/>
                <w:sz w:val="24"/>
              </w:rPr>
              <w:t>F</w:t>
            </w: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增加股份次月起至报告期期末的累计月数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sz w:val="24"/>
              </w:rPr>
              <w:t>G</w:t>
            </w: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因回购等减少股份数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sz w:val="24"/>
              </w:rPr>
              <w:t>H</w:t>
            </w: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减少股份次月起至报告期期末的累计月数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sz w:val="24"/>
              </w:rPr>
              <w:t>I</w:t>
            </w: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报告期缩股数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sz w:val="24"/>
              </w:rPr>
              <w:t>J</w:t>
            </w: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43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报告期月份数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sz w:val="24"/>
              </w:rPr>
              <w:t>K</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24"/>
                <w:szCs w:val="24"/>
              </w:rPr>
            </w:pPr>
            <w:r>
              <w:rPr>
                <w:rFonts w:ascii="宋体"/>
                <w:sz w:val="24"/>
              </w:rPr>
              <w:t>12</w:t>
            </w:r>
          </w:p>
        </w:tc>
      </w:tr>
      <w:tr>
        <w:trPr>
          <w:trHeight w:val="970"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发行在外的普通股加权平均数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163" w:right="163"/>
              <w:jc w:val="center"/>
              <w:rPr>
                <w:rFonts w:ascii="宋体" w:hAnsi="宋体" w:cs="宋体" w:eastAsia="宋体" w:hint="default"/>
                <w:sz w:val="24"/>
                <w:szCs w:val="24"/>
              </w:rPr>
            </w:pPr>
            <w:r>
              <w:rPr>
                <w:rFonts w:ascii="宋体" w:hAnsi="宋体" w:cs="宋体" w:eastAsia="宋体" w:hint="default"/>
                <w:sz w:val="24"/>
                <w:szCs w:val="24"/>
              </w:rPr>
              <w:t>L=D+E+F</w:t>
            </w:r>
            <w:r>
              <w:rPr>
                <w:rFonts w:ascii="宋体" w:hAnsi="宋体" w:cs="宋体" w:eastAsia="宋体" w:hint="default"/>
                <w:sz w:val="24"/>
                <w:szCs w:val="24"/>
              </w:rPr>
              <w:t>× </w:t>
            </w:r>
            <w:r>
              <w:rPr>
                <w:rFonts w:ascii="宋体" w:hAnsi="宋体" w:cs="宋体" w:eastAsia="宋体" w:hint="default"/>
                <w:sz w:val="24"/>
                <w:szCs w:val="24"/>
              </w:rPr>
              <w:t>G/K-H</w:t>
            </w:r>
            <w:r>
              <w:rPr>
                <w:rFonts w:ascii="宋体" w:hAnsi="宋体" w:cs="宋体" w:eastAsia="宋体" w:hint="default"/>
                <w:sz w:val="24"/>
                <w:szCs w:val="24"/>
              </w:rPr>
              <w:t>× </w:t>
            </w:r>
            <w:r>
              <w:rPr>
                <w:rFonts w:ascii="宋体" w:hAnsi="宋体" w:cs="宋体" w:eastAsia="宋体" w:hint="default"/>
                <w:sz w:val="24"/>
                <w:szCs w:val="24"/>
              </w:rPr>
              <w:t>I/K-J</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4"/>
                <w:szCs w:val="24"/>
              </w:rPr>
            </w:pPr>
            <w:r>
              <w:rPr>
                <w:rFonts w:ascii="宋体"/>
                <w:sz w:val="24"/>
              </w:rPr>
              <w:t>8,599,343,536</w:t>
            </w:r>
          </w:p>
        </w:tc>
      </w:tr>
      <w:tr>
        <w:trPr>
          <w:trHeight w:val="430"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基本每股收益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sz w:val="24"/>
              </w:rPr>
              <w:t>M=A/L</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24"/>
                <w:szCs w:val="24"/>
              </w:rPr>
            </w:pPr>
            <w:r>
              <w:rPr>
                <w:rFonts w:ascii="宋体"/>
                <w:sz w:val="24"/>
              </w:rPr>
              <w:t>0.39</w:t>
            </w:r>
          </w:p>
        </w:tc>
      </w:tr>
      <w:tr>
        <w:trPr>
          <w:trHeight w:val="430"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4"/>
                <w:szCs w:val="24"/>
              </w:rPr>
            </w:pPr>
            <w:r>
              <w:rPr>
                <w:rFonts w:ascii="宋体" w:hAnsi="宋体" w:cs="宋体" w:eastAsia="宋体" w:hint="default"/>
                <w:sz w:val="24"/>
                <w:szCs w:val="24"/>
              </w:rPr>
              <w:t>扣除非经常损益基本每股收益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sz w:val="24"/>
              </w:rPr>
              <w:t>N=C/L</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24"/>
                <w:szCs w:val="24"/>
              </w:rPr>
            </w:pPr>
            <w:r>
              <w:rPr>
                <w:rFonts w:ascii="宋体"/>
                <w:sz w:val="24"/>
              </w:rPr>
              <w:t>0.28</w:t>
            </w:r>
          </w:p>
        </w:tc>
      </w:tr>
    </w:tbl>
    <w:p>
      <w:pPr>
        <w:spacing w:line="240" w:lineRule="auto" w:before="7"/>
        <w:rPr>
          <w:rFonts w:ascii="宋体" w:hAnsi="宋体" w:cs="宋体" w:eastAsia="宋体" w:hint="default"/>
          <w:sz w:val="19"/>
          <w:szCs w:val="19"/>
        </w:rPr>
      </w:pPr>
    </w:p>
    <w:p>
      <w:pPr>
        <w:pStyle w:val="BodyText"/>
        <w:spacing w:line="240" w:lineRule="auto" w:before="26"/>
        <w:ind w:left="578" w:right="1588"/>
        <w:jc w:val="left"/>
      </w:pPr>
      <w:r>
        <w:rPr>
          <w:rFonts w:ascii="宋体" w:hAnsi="宋体" w:cs="宋体" w:eastAsia="宋体" w:hint="default"/>
        </w:rPr>
        <w:t>2</w:t>
      </w:r>
      <w:r>
        <w:rPr/>
        <w:t>）稀释每股收益的计算过程与基本每股收益的计算过程相同。</w:t>
      </w:r>
    </w:p>
    <w:p>
      <w:pPr>
        <w:spacing w:line="240" w:lineRule="auto" w:before="1"/>
        <w:rPr>
          <w:rFonts w:ascii="宋体" w:hAnsi="宋体" w:cs="宋体" w:eastAsia="宋体" w:hint="default"/>
          <w:sz w:val="28"/>
          <w:szCs w:val="28"/>
        </w:rPr>
      </w:pPr>
    </w:p>
    <w:p>
      <w:pPr>
        <w:pStyle w:val="Heading2"/>
        <w:spacing w:line="240" w:lineRule="auto" w:before="0"/>
        <w:ind w:left="458" w:right="3028"/>
        <w:jc w:val="left"/>
        <w:rPr>
          <w:b w:val="0"/>
          <w:bCs w:val="0"/>
        </w:rPr>
      </w:pPr>
      <w:r>
        <w:rPr>
          <w:rFonts w:ascii="宋体" w:hAnsi="宋体" w:cs="宋体" w:eastAsia="宋体" w:hint="default"/>
        </w:rPr>
        <w:t>3</w:t>
      </w:r>
      <w:r>
        <w:rPr/>
        <w:t>、</w:t>
      </w:r>
      <w:r>
        <w:rPr>
          <w:spacing w:val="-3"/>
        </w:rPr>
        <w:t> </w:t>
      </w:r>
      <w:r>
        <w:rPr/>
        <w:t>境内外会计准则下会计数据差异</w:t>
      </w:r>
      <w:r>
        <w:rPr>
          <w:b w:val="0"/>
          <w:bCs w:val="0"/>
        </w:rPr>
      </w:r>
    </w:p>
    <w:p>
      <w:pPr>
        <w:pStyle w:val="BodyText"/>
        <w:spacing w:line="240" w:lineRule="auto" w:before="58"/>
        <w:ind w:left="458" w:right="3028"/>
        <w:jc w:val="left"/>
      </w:pPr>
      <w:r>
        <w:rPr/>
        <w:t>□适用</w:t>
      </w:r>
      <w:r>
        <w:rPr>
          <w:spacing w:val="-1"/>
        </w:rPr>
        <w:t> </w:t>
      </w:r>
      <w:r>
        <w:rPr/>
        <w:t>√不适用</w:t>
      </w:r>
    </w:p>
    <w:p>
      <w:pPr>
        <w:spacing w:after="0" w:line="240" w:lineRule="auto"/>
        <w:jc w:val="left"/>
        <w:sectPr>
          <w:pgSz w:w="11910" w:h="16840"/>
          <w:pgMar w:header="882" w:footer="1195" w:top="1120" w:bottom="1380" w:left="134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spacing w:line="240" w:lineRule="auto"/>
        <w:ind w:left="138" w:right="0"/>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097" w:val="left" w:leader="none"/>
        </w:tabs>
        <w:spacing w:line="240" w:lineRule="auto" w:before="58"/>
        <w:ind w:right="0"/>
        <w:jc w:val="left"/>
      </w:pPr>
      <w:r>
        <w:rPr>
          <w:spacing w:val="-1"/>
        </w:rPr>
        <w:t>□适用</w:t>
        <w:tab/>
      </w:r>
      <w:r>
        <w:rPr/>
        <w:t>√不适用</w:t>
      </w:r>
    </w:p>
    <w:p>
      <w:pPr>
        <w:spacing w:after="0" w:line="240" w:lineRule="auto"/>
        <w:jc w:val="left"/>
        <w:sectPr>
          <w:footerReference w:type="default" r:id="rId114"/>
          <w:pgSz w:w="11910" w:h="16840"/>
          <w:pgMar w:footer="1195" w:header="882" w:top="1120" w:bottom="1380" w:left="1660" w:right="1160"/>
        </w:sectPr>
      </w:pPr>
    </w:p>
    <w:p>
      <w:pPr>
        <w:spacing w:line="240" w:lineRule="auto" w:before="9"/>
        <w:rPr>
          <w:rFonts w:ascii="宋体" w:hAnsi="宋体" w:cs="宋体" w:eastAsia="宋体" w:hint="default"/>
          <w:sz w:val="25"/>
          <w:szCs w:val="25"/>
        </w:rPr>
      </w:pPr>
    </w:p>
    <w:p>
      <w:pPr>
        <w:pStyle w:val="Heading1"/>
        <w:spacing w:line="240" w:lineRule="auto" w:before="14"/>
        <w:ind w:right="14"/>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1874"/>
        <w:gridCol w:w="7022"/>
      </w:tblGrid>
      <w:tr>
        <w:trPr>
          <w:trHeight w:val="63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备查文件目录</w:t>
            </w:r>
          </w:p>
        </w:tc>
        <w:tc>
          <w:tcPr>
            <w:tcW w:w="70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载有法定代表人、主管会计工作负责人、会计机构负责人签名并盖</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章的会计报表</w:t>
            </w:r>
          </w:p>
        </w:tc>
      </w:tr>
      <w:tr>
        <w:trPr>
          <w:trHeight w:val="322"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备查文件目录</w:t>
            </w:r>
          </w:p>
        </w:tc>
        <w:tc>
          <w:tcPr>
            <w:tcW w:w="70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载有会计师事务所盖章、注册会计师签名并盖章的审计报告原件</w:t>
            </w:r>
          </w:p>
        </w:tc>
      </w:tr>
      <w:tr>
        <w:trPr>
          <w:trHeight w:val="63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备查文件目录</w:t>
            </w:r>
          </w:p>
        </w:tc>
        <w:tc>
          <w:tcPr>
            <w:tcW w:w="702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报告期内在中国证监会指定报纸上公开披露过的所有公司文件的正</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本及公告原件</w:t>
            </w:r>
          </w:p>
        </w:tc>
      </w:tr>
    </w:tbl>
    <w:p>
      <w:pPr>
        <w:pStyle w:val="BodyText"/>
        <w:spacing w:line="276" w:lineRule="auto" w:before="7"/>
        <w:ind w:left="4706" w:right="140" w:firstLine="2580"/>
        <w:jc w:val="left"/>
      </w:pPr>
      <w:r>
        <w:rPr/>
        <w:t>董事长：林俊波 董事会批准报送日期：</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spacing w:line="313" w:lineRule="exact"/>
        <w:ind w:left="138" w:right="140"/>
        <w:jc w:val="left"/>
        <w:rPr>
          <w:b w:val="0"/>
          <w:bCs w:val="0"/>
        </w:rPr>
      </w:pPr>
      <w:r>
        <w:rPr/>
        <w:t>修订信息</w:t>
      </w:r>
      <w:r>
        <w:rPr>
          <w:b w:val="0"/>
          <w:bCs w:val="0"/>
        </w:rPr>
      </w:r>
    </w:p>
    <w:p>
      <w:pPr>
        <w:pStyle w:val="BodyText"/>
        <w:spacing w:line="313" w:lineRule="exact"/>
        <w:ind w:right="140"/>
        <w:jc w:val="left"/>
      </w:pPr>
      <w:r>
        <w:rPr/>
        <w:t>□适用</w:t>
      </w:r>
      <w:r>
        <w:rPr>
          <w:spacing w:val="-1"/>
        </w:rPr>
        <w:t> </w:t>
      </w:r>
      <w:r>
        <w:rPr/>
        <w:t>√不适用</w:t>
      </w:r>
    </w:p>
    <w:sectPr>
      <w:footerReference w:type="default" r:id="rId115"/>
      <w:pgSz w:w="11910" w:h="16840"/>
      <w:pgMar w:footer="1195" w:header="882"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296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959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221</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959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31 </w:t>
                </w:r>
                <w:r>
                  <w:rPr>
                    <w:rFonts w:ascii="Calibri"/>
                    <w:sz w:val="18"/>
                  </w:rPr>
                  <w:t>/</w:t>
                </w:r>
                <w:r>
                  <w:rPr>
                    <w:rFonts w:ascii="Calibri"/>
                    <w:spacing w:val="-4"/>
                    <w:sz w:val="18"/>
                  </w:rPr>
                  <w:t> </w:t>
                </w:r>
                <w:r>
                  <w:rPr>
                    <w:rFonts w:ascii="Calibri"/>
                    <w:b/>
                    <w:sz w:val="18"/>
                  </w:rPr>
                  <w:t>221</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95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33</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95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35</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95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221</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95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295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44</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95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9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95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769989pt;margin-top:771.169983pt;width:27.8pt;height:11pt;mso-position-horizontal-relative:page;mso-position-vertical-relative:page;z-index:-12963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95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w:t>
                </w:r>
                <w:r>
                  <w:rPr/>
                  <w:fldChar w:fldCharType="end"/>
                </w:r>
                <w:r>
                  <w:rPr>
                    <w:rFonts w:ascii="Calibri"/>
                    <w:b/>
                    <w:sz w:val="18"/>
                  </w:rPr>
                  <w:t>9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956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61 </w:t>
                </w:r>
                <w:r>
                  <w:rPr>
                    <w:rFonts w:ascii="Calibri"/>
                    <w:sz w:val="18"/>
                  </w:rPr>
                  <w:t>/</w:t>
                </w:r>
                <w:r>
                  <w:rPr>
                    <w:rFonts w:ascii="Calibri"/>
                    <w:spacing w:val="-4"/>
                    <w:sz w:val="18"/>
                  </w:rPr>
                  <w:t> </w:t>
                </w:r>
                <w:r>
                  <w:rPr>
                    <w:rFonts w:ascii="Calibri"/>
                    <w:b/>
                    <w:sz w:val="18"/>
                  </w:rPr>
                  <w:t>221</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95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62</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95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63</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955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221</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95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955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221</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95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295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w:t>
                </w:r>
                <w:r>
                  <w:rPr/>
                  <w:fldChar w:fldCharType="end"/>
                </w:r>
                <w:r>
                  <w:rPr>
                    <w:rFonts w:ascii="Calibri"/>
                    <w:b/>
                    <w:sz w:val="18"/>
                  </w:rPr>
                  <w:t>9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963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221</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295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95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95</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952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95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95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110</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95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112</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95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113</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95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114</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951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95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296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95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128</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950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950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131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294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132</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294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138</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29987pt;margin-top:524.546021pt;width:36.950pt;height:11pt;mso-position-horizontal-relative:page;mso-position-vertical-relative:page;z-index:-1294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29987pt;margin-top:524.546021pt;width:36.950pt;height:11pt;mso-position-horizontal-relative:page;mso-position-vertical-relative:page;z-index:-12948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141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94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142</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96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947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94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152</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94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157</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946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94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946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946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171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294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172</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961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221</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94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174</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94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w:t>
                </w:r>
                <w:r>
                  <w:rPr/>
                  <w:fldChar w:fldCharType="end"/>
                </w:r>
                <w:r>
                  <w:rPr>
                    <w:rFonts w:ascii="Calibri"/>
                    <w:b/>
                    <w:sz w:val="18"/>
                  </w:rPr>
                  <w:t>9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94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944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94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943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94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94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207</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43.487488pt;width:92pt;height:14pt;mso-position-horizontal-relative:page;mso-position-vertical-relative:page;z-index:-1294288" type="#_x0000_t202" filled="false" stroked="false">
          <v:textbox inset="0,0,0,0">
            <w:txbxContent>
              <w:p>
                <w:pPr>
                  <w:pStyle w:val="BodyText"/>
                  <w:spacing w:line="260" w:lineRule="exact"/>
                  <w:ind w:left="20" w:right="0"/>
                  <w:jc w:val="left"/>
                </w:pPr>
                <w:r>
                  <w:rPr/>
                  <w:t>□适用</w:t>
                </w:r>
                <w:r>
                  <w:rPr>
                    <w:spacing w:val="-1"/>
                  </w:rPr>
                  <w:t> </w:t>
                </w:r>
                <w:r>
                  <w:rPr/>
                  <w:t>√不适用</w:t>
                </w:r>
              </w:p>
            </w:txbxContent>
          </v:textbox>
          <w10:wrap type="none"/>
        </v:shape>
      </w:pict>
    </w:r>
    <w:r>
      <w:rPr/>
      <w:pict>
        <v:shape style="position:absolute;margin-left:291.209991pt;margin-top:771.169983pt;width:37.950pt;height:11pt;mso-position-horizontal-relative:page;mso-position-vertical-relative:page;z-index:-1294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208</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96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94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294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214</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94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217</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940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940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221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296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95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27</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1296424"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369995pt;margin-top:42.985607pt;width:67.55pt;height:12pt;mso-position-horizontal-relative:page;mso-position-vertical-relative:page;z-index:-12964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4pt;height:.1pt;mso-position-horizontal-relative:page;mso-position-vertical-relative:page;z-index:-1295464" coordorigin="1495,1118" coordsize="13908,2">
          <v:shape style="position:absolute;left:1495;top:1118;width:13908;height:2" coordorigin="1495,1118" coordsize="13908,0" path="m1495,1118l15403,1118e" filled="false" stroked="true" strokeweight=".72pt" strokecolor="#000000">
            <v:path arrowok="t"/>
          </v:shape>
          <w10:wrap type="none"/>
        </v:group>
      </w:pict>
    </w:r>
    <w:r>
      <w:rPr/>
      <w:pict>
        <v:shape style="position:absolute;margin-left:388.690002pt;margin-top:43.105633pt;width:67.55pt;height:12pt;mso-position-horizontal-relative:page;mso-position-vertical-relative:page;z-index:-12954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1295368"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55pt;height:12pt;mso-position-horizontal-relative:page;mso-position-vertical-relative:page;z-index:-12953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4pt;height:.1pt;mso-position-horizontal-relative:page;mso-position-vertical-relative:page;z-index:-1295032" coordorigin="1411,1118" coordsize="13908,2">
          <v:shape style="position:absolute;left:1411;top:1118;width:13908;height:2" coordorigin="1411,1118" coordsize="13908,0" path="m1411,1118l15319,1118e" filled="false" stroked="true" strokeweight=".72pt" strokecolor="#000000">
            <v:path arrowok="t"/>
          </v:shape>
          <w10:wrap type="none"/>
        </v:group>
      </w:pict>
    </w:r>
    <w:r>
      <w:rPr/>
      <w:pict>
        <v:shape style="position:absolute;margin-left:384.48999pt;margin-top:43.105633pt;width:67.55pt;height:12pt;mso-position-horizontal-relative:page;mso-position-vertical-relative:page;z-index:-12950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4pt;height:.1pt;mso-position-horizontal-relative:page;mso-position-vertical-relative:page;z-index:-1294960" coordorigin="1411,1118" coordsize="13908,2">
          <v:shape style="position:absolute;left:1411;top:1118;width:13908;height:2" coordorigin="1411,1118" coordsize="13908,0" path="m1411,1118l15319,1118e" filled="false" stroked="true" strokeweight=".72pt" strokecolor="#000000">
            <v:path arrowok="t"/>
          </v:shape>
          <w10:wrap type="none"/>
        </v:group>
      </w:pict>
    </w:r>
    <w:r>
      <w:rPr/>
      <w:pict>
        <v:shape style="position:absolute;margin-left:384.48999pt;margin-top:43.105633pt;width:67.55pt;height:12pt;mso-position-horizontal-relative:page;mso-position-vertical-relative:page;z-index:-12949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1294840"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55pt;height:12pt;mso-position-horizontal-relative:page;mso-position-vertical-relative:page;z-index:-12948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4pt;height:.1pt;mso-position-horizontal-relative:page;mso-position-vertical-relative:page;z-index:-1294600" coordorigin="1495,1118" coordsize="13908,2">
          <v:shape style="position:absolute;left:1495;top:1118;width:13908;height:2" coordorigin="1495,1118" coordsize="13908,0" path="m1495,1118l15403,1118e" filled="false" stroked="true" strokeweight=".72pt" strokecolor="#000000">
            <v:path arrowok="t"/>
          </v:shape>
          <w10:wrap type="none"/>
        </v:group>
      </w:pict>
    </w:r>
    <w:r>
      <w:rPr/>
      <w:pict>
        <v:shape style="position:absolute;margin-left:388.690002pt;margin-top:43.105633pt;width:67.55pt;height:12pt;mso-position-horizontal-relative:page;mso-position-vertical-relative:page;z-index:-12945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4pt;height:.1pt;mso-position-horizontal-relative:page;mso-position-vertical-relative:page;z-index:-1296304" coordorigin="1411,1118" coordsize="13908,2">
          <v:shape style="position:absolute;left:1411;top:1118;width:13908;height:2" coordorigin="1411,1118" coordsize="13908,0" path="m1411,1118l15319,1118e" filled="false" stroked="true" strokeweight=".72pt" strokecolor="#000000">
            <v:path arrowok="t"/>
          </v:shape>
          <w10:wrap type="none"/>
        </v:group>
      </w:pict>
    </w:r>
    <w:r>
      <w:rPr/>
      <w:pict>
        <v:shape style="position:absolute;margin-left:384.48999pt;margin-top:43.105633pt;width:67.55pt;height:12pt;mso-position-horizontal-relative:page;mso-position-vertical-relative:page;z-index:-12962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1294528"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55pt;height:12pt;mso-position-horizontal-relative:page;mso-position-vertical-relative:page;z-index:-12945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4pt;height:.1pt;mso-position-horizontal-relative:page;mso-position-vertical-relative:page;z-index:-1294216" coordorigin="1411,1118" coordsize="13908,2">
          <v:shape style="position:absolute;left:1411;top:1118;width:13908;height:2" coordorigin="1411,1118" coordsize="13908,0" path="m1411,1118l15319,1118e" filled="false" stroked="true" strokeweight=".72pt" strokecolor="#000000">
            <v:path arrowok="t"/>
          </v:shape>
          <w10:wrap type="none"/>
        </v:group>
      </w:pict>
    </w:r>
    <w:r>
      <w:rPr/>
      <w:pict>
        <v:shape style="position:absolute;margin-left:384.48999pt;margin-top:43.105633pt;width:67.55pt;height:12pt;mso-position-horizontal-relative:page;mso-position-vertical-relative:page;z-index:-12941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1294144"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55pt;height:12pt;mso-position-horizontal-relative:page;mso-position-vertical-relative:page;z-index:-12941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1296232"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55pt;height:12pt;mso-position-horizontal-relative:page;mso-position-vertical-relative:page;z-index:-12962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4pt;height:.1pt;mso-position-horizontal-relative:page;mso-position-vertical-relative:page;z-index:-1296112" coordorigin="1411,1118" coordsize="13908,2">
          <v:shape style="position:absolute;left:1411;top:1118;width:13908;height:2" coordorigin="1411,1118" coordsize="13908,0" path="m1411,1118l15319,1118e" filled="false" stroked="true" strokeweight=".72pt" strokecolor="#000000">
            <v:path arrowok="t"/>
          </v:shape>
          <w10:wrap type="none"/>
        </v:group>
      </w:pict>
    </w:r>
    <w:r>
      <w:rPr/>
      <w:pict>
        <v:shape style="position:absolute;margin-left:384.48999pt;margin-top:43.105633pt;width:67.55pt;height:12pt;mso-position-horizontal-relative:page;mso-position-vertical-relative:page;z-index:-12960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1296040"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 style="position:absolute;margin-left:276.369995pt;margin-top:42.985607pt;width:67.55pt;height:12pt;mso-position-horizontal-relative:page;mso-position-vertical-relative:page;z-index:-12960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4pt;height:.1pt;mso-position-horizontal-relative:page;mso-position-vertical-relative:page;z-index:-1295824" coordorigin="1411,1118" coordsize="13908,2">
          <v:shape style="position:absolute;left:1411;top:1118;width:13908;height:2" coordorigin="1411,1118" coordsize="13908,0" path="m1411,1118l15319,1118e" filled="false" stroked="true" strokeweight=".72pt" strokecolor="#000000">
            <v:path arrowok="t"/>
          </v:shape>
          <w10:wrap type="none"/>
        </v:group>
      </w:pict>
    </w:r>
    <w:r>
      <w:rPr/>
      <w:pict>
        <v:shape style="position:absolute;margin-left:384.48999pt;margin-top:43.105633pt;width:67.55pt;height:12pt;mso-position-horizontal-relative:page;mso-position-vertical-relative:page;z-index:-12958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1295752"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 style="position:absolute;margin-left:276.369995pt;margin-top:42.865608pt;width:67.55pt;height:12pt;mso-position-horizontal-relative:page;mso-position-vertical-relative:page;z-index:-12957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5"/>
      <w:ind w:left="138"/>
    </w:pPr>
    <w:rPr>
      <w:rFonts w:ascii="宋体" w:hAnsi="宋体" w:eastAsia="宋体"/>
      <w:b/>
      <w:bCs/>
      <w:sz w:val="24"/>
      <w:szCs w:val="24"/>
    </w:rPr>
  </w:style>
  <w:style w:styleId="BodyText" w:type="paragraph">
    <w:name w:val="Body Text"/>
    <w:basedOn w:val="Normal"/>
    <w:uiPriority w:val="1"/>
    <w:qFormat/>
    <w:pPr>
      <w:ind w:left="138"/>
    </w:pPr>
    <w:rPr>
      <w:rFonts w:ascii="宋体" w:hAnsi="宋体" w:eastAsia="宋体"/>
      <w:sz w:val="24"/>
      <w:szCs w:val="24"/>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spacing w:before="26"/>
      <w:ind w:left="218"/>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yudf@600208.net" TargetMode="External"/><Relationship Id="rId8" Type="http://schemas.openxmlformats.org/officeDocument/2006/relationships/hyperlink" Target="mailto:gaoli@600208.net" TargetMode="External"/><Relationship Id="rId9" Type="http://schemas.openxmlformats.org/officeDocument/2006/relationships/hyperlink" Target="http://www.600208.net/" TargetMode="External"/><Relationship Id="rId10" Type="http://schemas.openxmlformats.org/officeDocument/2006/relationships/hyperlink" Target="mailto:xhzb@600208.net" TargetMode="External"/><Relationship Id="rId11" Type="http://schemas.openxmlformats.org/officeDocument/2006/relationships/hyperlink" Target="http://www.sse.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image" Target="media/image1.png"/><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image" Target="media/image2.png"/><Relationship Id="rId20" Type="http://schemas.openxmlformats.org/officeDocument/2006/relationships/footer" Target="footer6.xml"/><Relationship Id="rId21" Type="http://schemas.openxmlformats.org/officeDocument/2006/relationships/image" Target="media/image3.png"/><Relationship Id="rId22" Type="http://schemas.openxmlformats.org/officeDocument/2006/relationships/footer" Target="footer7.xml"/><Relationship Id="rId23" Type="http://schemas.openxmlformats.org/officeDocument/2006/relationships/header" Target="header4.xml"/><Relationship Id="rId24" Type="http://schemas.openxmlformats.org/officeDocument/2006/relationships/footer" Target="footer8.xml"/><Relationship Id="rId25" Type="http://schemas.openxmlformats.org/officeDocument/2006/relationships/header" Target="header5.xml"/><Relationship Id="rId26" Type="http://schemas.openxmlformats.org/officeDocument/2006/relationships/footer" Target="footer9.xml"/><Relationship Id="rId27" Type="http://schemas.openxmlformats.org/officeDocument/2006/relationships/hyperlink" Target="http://baike.baidu.com/view/1494415.htm" TargetMode="External"/><Relationship Id="rId28"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header" Target="header6.xml"/><Relationship Id="rId31" Type="http://schemas.openxmlformats.org/officeDocument/2006/relationships/footer" Target="footer12.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header" Target="header7.xml"/><Relationship Id="rId37" Type="http://schemas.openxmlformats.org/officeDocument/2006/relationships/footer" Target="footer17.xml"/><Relationship Id="rId38" Type="http://schemas.openxmlformats.org/officeDocument/2006/relationships/header" Target="header8.xml"/><Relationship Id="rId39" Type="http://schemas.openxmlformats.org/officeDocument/2006/relationships/footer" Target="footer18.xml"/><Relationship Id="rId40" Type="http://schemas.openxmlformats.org/officeDocument/2006/relationships/footer" Target="footer19.xml"/><Relationship Id="rId41" Type="http://schemas.openxmlformats.org/officeDocument/2006/relationships/image" Target="media/image4.jpeg"/><Relationship Id="rId42" Type="http://schemas.openxmlformats.org/officeDocument/2006/relationships/image" Target="media/image5.jpeg"/><Relationship Id="rId43" Type="http://schemas.openxmlformats.org/officeDocument/2006/relationships/header" Target="header9.xml"/><Relationship Id="rId44" Type="http://schemas.openxmlformats.org/officeDocument/2006/relationships/footer" Target="footer20.xml"/><Relationship Id="rId45" Type="http://schemas.openxmlformats.org/officeDocument/2006/relationships/footer" Target="footer21.xml"/><Relationship Id="rId46" Type="http://schemas.openxmlformats.org/officeDocument/2006/relationships/footer" Target="footer22.xml"/><Relationship Id="rId47" Type="http://schemas.openxmlformats.org/officeDocument/2006/relationships/footer" Target="footer23.xml"/><Relationship Id="rId48" Type="http://schemas.openxmlformats.org/officeDocument/2006/relationships/footer" Target="footer24.xml"/><Relationship Id="rId49" Type="http://schemas.openxmlformats.org/officeDocument/2006/relationships/hyperlink" Target="http://www.see.com.cn/" TargetMode="External"/><Relationship Id="rId50" Type="http://schemas.openxmlformats.org/officeDocument/2006/relationships/footer" Target="footer25.xml"/><Relationship Id="rId51" Type="http://schemas.openxmlformats.org/officeDocument/2006/relationships/footer" Target="footer26.xml"/><Relationship Id="rId52" Type="http://schemas.openxmlformats.org/officeDocument/2006/relationships/footer" Target="footer27.xml"/><Relationship Id="rId53" Type="http://schemas.openxmlformats.org/officeDocument/2006/relationships/footer" Target="footer28.xml"/><Relationship Id="rId54" Type="http://schemas.openxmlformats.org/officeDocument/2006/relationships/header" Target="header10.xml"/><Relationship Id="rId55" Type="http://schemas.openxmlformats.org/officeDocument/2006/relationships/footer" Target="footer29.xml"/><Relationship Id="rId56" Type="http://schemas.openxmlformats.org/officeDocument/2006/relationships/footer" Target="footer30.xml"/><Relationship Id="rId57" Type="http://schemas.openxmlformats.org/officeDocument/2006/relationships/header" Target="header11.xml"/><Relationship Id="rId58" Type="http://schemas.openxmlformats.org/officeDocument/2006/relationships/footer" Target="footer31.xml"/><Relationship Id="rId59" Type="http://schemas.openxmlformats.org/officeDocument/2006/relationships/footer" Target="footer32.xml"/><Relationship Id="rId60" Type="http://schemas.openxmlformats.org/officeDocument/2006/relationships/footer" Target="footer33.xml"/><Relationship Id="rId61" Type="http://schemas.openxmlformats.org/officeDocument/2006/relationships/footer" Target="footer34.xml"/><Relationship Id="rId62" Type="http://schemas.openxmlformats.org/officeDocument/2006/relationships/footer" Target="footer35.xml"/><Relationship Id="rId63" Type="http://schemas.openxmlformats.org/officeDocument/2006/relationships/footer" Target="footer36.xml"/><Relationship Id="rId64" Type="http://schemas.openxmlformats.org/officeDocument/2006/relationships/footer" Target="footer37.xml"/><Relationship Id="rId65" Type="http://schemas.openxmlformats.org/officeDocument/2006/relationships/footer" Target="footer38.xml"/><Relationship Id="rId66" Type="http://schemas.openxmlformats.org/officeDocument/2006/relationships/footer" Target="footer39.xml"/><Relationship Id="rId67" Type="http://schemas.openxmlformats.org/officeDocument/2006/relationships/header" Target="header12.xml"/><Relationship Id="rId68" Type="http://schemas.openxmlformats.org/officeDocument/2006/relationships/footer" Target="footer40.xml"/><Relationship Id="rId69" Type="http://schemas.openxmlformats.org/officeDocument/2006/relationships/footer" Target="footer41.xml"/><Relationship Id="rId70" Type="http://schemas.openxmlformats.org/officeDocument/2006/relationships/footer" Target="footer42.xml"/><Relationship Id="rId71" Type="http://schemas.openxmlformats.org/officeDocument/2006/relationships/footer" Target="footer43.xml"/><Relationship Id="rId72" Type="http://schemas.openxmlformats.org/officeDocument/2006/relationships/header" Target="header13.xml"/><Relationship Id="rId73" Type="http://schemas.openxmlformats.org/officeDocument/2006/relationships/footer" Target="footer44.xml"/><Relationship Id="rId74" Type="http://schemas.openxmlformats.org/officeDocument/2006/relationships/header" Target="header14.xml"/><Relationship Id="rId75" Type="http://schemas.openxmlformats.org/officeDocument/2006/relationships/footer" Target="footer45.xml"/><Relationship Id="rId76" Type="http://schemas.openxmlformats.org/officeDocument/2006/relationships/header" Target="header15.xml"/><Relationship Id="rId77" Type="http://schemas.openxmlformats.org/officeDocument/2006/relationships/footer" Target="footer46.xml"/><Relationship Id="rId78" Type="http://schemas.openxmlformats.org/officeDocument/2006/relationships/footer" Target="footer47.xml"/><Relationship Id="rId79" Type="http://schemas.openxmlformats.org/officeDocument/2006/relationships/footer" Target="footer48.xml"/><Relationship Id="rId80" Type="http://schemas.openxmlformats.org/officeDocument/2006/relationships/header" Target="header16.xml"/><Relationship Id="rId81" Type="http://schemas.openxmlformats.org/officeDocument/2006/relationships/footer" Target="footer49.xml"/><Relationship Id="rId82" Type="http://schemas.openxmlformats.org/officeDocument/2006/relationships/footer" Target="footer50.xml"/><Relationship Id="rId83" Type="http://schemas.openxmlformats.org/officeDocument/2006/relationships/header" Target="header17.xml"/><Relationship Id="rId84" Type="http://schemas.openxmlformats.org/officeDocument/2006/relationships/footer" Target="footer51.xml"/><Relationship Id="rId85" Type="http://schemas.openxmlformats.org/officeDocument/2006/relationships/footer" Target="footer52.xml"/><Relationship Id="rId86" Type="http://schemas.openxmlformats.org/officeDocument/2006/relationships/header" Target="header18.xml"/><Relationship Id="rId87" Type="http://schemas.openxmlformats.org/officeDocument/2006/relationships/footer" Target="footer53.xml"/><Relationship Id="rId88" Type="http://schemas.openxmlformats.org/officeDocument/2006/relationships/footer" Target="footer54.xml"/><Relationship Id="rId89" Type="http://schemas.openxmlformats.org/officeDocument/2006/relationships/footer" Target="footer55.xml"/><Relationship Id="rId90" Type="http://schemas.openxmlformats.org/officeDocument/2006/relationships/footer" Target="footer56.xml"/><Relationship Id="rId91" Type="http://schemas.openxmlformats.org/officeDocument/2006/relationships/footer" Target="footer57.xml"/><Relationship Id="rId92" Type="http://schemas.openxmlformats.org/officeDocument/2006/relationships/footer" Target="footer58.xml"/><Relationship Id="rId93" Type="http://schemas.openxmlformats.org/officeDocument/2006/relationships/header" Target="header19.xml"/><Relationship Id="rId94" Type="http://schemas.openxmlformats.org/officeDocument/2006/relationships/footer" Target="footer59.xml"/><Relationship Id="rId95" Type="http://schemas.openxmlformats.org/officeDocument/2006/relationships/header" Target="header20.xml"/><Relationship Id="rId96" Type="http://schemas.openxmlformats.org/officeDocument/2006/relationships/footer" Target="footer60.xml"/><Relationship Id="rId97" Type="http://schemas.openxmlformats.org/officeDocument/2006/relationships/header" Target="header21.xml"/><Relationship Id="rId98" Type="http://schemas.openxmlformats.org/officeDocument/2006/relationships/footer" Target="footer61.xml"/><Relationship Id="rId99" Type="http://schemas.openxmlformats.org/officeDocument/2006/relationships/footer" Target="footer62.xml"/><Relationship Id="rId100" Type="http://schemas.openxmlformats.org/officeDocument/2006/relationships/footer" Target="footer63.xml"/><Relationship Id="rId101" Type="http://schemas.openxmlformats.org/officeDocument/2006/relationships/footer" Target="footer64.xml"/><Relationship Id="rId102" Type="http://schemas.openxmlformats.org/officeDocument/2006/relationships/footer" Target="footer65.xml"/><Relationship Id="rId103" Type="http://schemas.openxmlformats.org/officeDocument/2006/relationships/footer" Target="footer66.xml"/><Relationship Id="rId104" Type="http://schemas.openxmlformats.org/officeDocument/2006/relationships/footer" Target="footer67.xml"/><Relationship Id="rId105" Type="http://schemas.openxmlformats.org/officeDocument/2006/relationships/footer" Target="footer68.xml"/><Relationship Id="rId106" Type="http://schemas.openxmlformats.org/officeDocument/2006/relationships/footer" Target="footer69.xml"/><Relationship Id="rId107" Type="http://schemas.openxmlformats.org/officeDocument/2006/relationships/header" Target="header22.xml"/><Relationship Id="rId108" Type="http://schemas.openxmlformats.org/officeDocument/2006/relationships/footer" Target="footer70.xml"/><Relationship Id="rId109" Type="http://schemas.openxmlformats.org/officeDocument/2006/relationships/footer" Target="footer71.xml"/><Relationship Id="rId110" Type="http://schemas.openxmlformats.org/officeDocument/2006/relationships/header" Target="header23.xml"/><Relationship Id="rId111" Type="http://schemas.openxmlformats.org/officeDocument/2006/relationships/footer" Target="footer72.xml"/><Relationship Id="rId112" Type="http://schemas.openxmlformats.org/officeDocument/2006/relationships/header" Target="header24.xml"/><Relationship Id="rId113" Type="http://schemas.openxmlformats.org/officeDocument/2006/relationships/footer" Target="footer73.xml"/><Relationship Id="rId114" Type="http://schemas.openxmlformats.org/officeDocument/2006/relationships/footer" Target="footer74.xml"/><Relationship Id="rId115" Type="http://schemas.openxmlformats.org/officeDocument/2006/relationships/footer" Target="footer7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2020-05-03T02:14:38Z</dcterms:created>
  <dcterms:modified xsi:type="dcterms:W3CDTF">2020-05-03T02:14:38Z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2018-04-27T00:00:00Z</vt:filetime>
  </property>
  <property fmtid="{D5CDD505-2E9C-101B-9397-08002B2CF9AE}" pid="3" name="Creator">
    <vt:lpwstr>Microsoft® Office Word 2007</vt:lpwstr>
  </property>
  <property fmtid="{D5CDD505-2E9C-101B-9397-08002B2CF9AE}" pid="4" name="LastSaved">
    <vt:filetime>2020-05-02T00:00:00Z</vt:filetime>
  </property>
</Properties>
</file>