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Default Extension="png" ContentType="image/png"/>
  <Override PartName="/word/header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3.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4.xml" ContentType="application/vnd.openxmlformats-officedocument.wordprocessingml.header+xml"/>
  <Override PartName="/word/footer18.xml" ContentType="application/vnd.openxmlformats-officedocument.wordprocessingml.footer+xml"/>
  <Override PartName="/word/header5.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6.xml" ContentType="application/vnd.openxmlformats-officedocument.wordprocessingml.header+xml"/>
  <Override PartName="/word/footer28.xml" ContentType="application/vnd.openxmlformats-officedocument.wordprocessingml.footer+xml"/>
  <Override PartName="/word/header7.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2"/>
        <w:rPr>
          <w:rFonts w:ascii="Times New Roman" w:hAnsi="Times New Roman" w:cs="Times New Roman" w:eastAsia="Times New Roman" w:hint="default"/>
          <w:sz w:val="21"/>
          <w:szCs w:val="21"/>
        </w:rPr>
      </w:pPr>
    </w:p>
    <w:p>
      <w:pPr>
        <w:tabs>
          <w:tab w:pos="4134" w:val="left" w:leader="none"/>
        </w:tabs>
        <w:spacing w:before="35"/>
        <w:ind w:left="145" w:right="0" w:firstLine="0"/>
        <w:jc w:val="left"/>
        <w:rPr>
          <w:rFonts w:ascii="宋体" w:hAnsi="宋体" w:cs="宋体" w:eastAsia="宋体" w:hint="default"/>
          <w:sz w:val="21"/>
          <w:szCs w:val="21"/>
        </w:rPr>
      </w:pPr>
      <w:r>
        <w:rPr>
          <w:rFonts w:ascii="宋体" w:hAnsi="宋体" w:cs="宋体" w:eastAsia="宋体" w:hint="default"/>
          <w:sz w:val="21"/>
          <w:szCs w:val="21"/>
        </w:rPr>
        <w:t>公司代码：</w:t>
      </w:r>
      <w:r>
        <w:rPr>
          <w:rFonts w:ascii="宋体" w:hAnsi="宋体" w:cs="宋体" w:eastAsia="宋体" w:hint="default"/>
          <w:sz w:val="21"/>
          <w:szCs w:val="21"/>
        </w:rPr>
        <w:t>600410</w:t>
        <w:tab/>
      </w:r>
      <w:r>
        <w:rPr>
          <w:rFonts w:ascii="宋体" w:hAnsi="宋体" w:cs="宋体" w:eastAsia="宋体" w:hint="default"/>
          <w:sz w:val="21"/>
          <w:szCs w:val="21"/>
        </w:rPr>
        <w:t>公司简称：华胜天成</w:t>
      </w:r>
    </w:p>
    <w:p>
      <w:pPr>
        <w:spacing w:line="572" w:lineRule="exact" w:before="137"/>
        <w:ind w:left="1659" w:right="1752"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北京华胜天成科技股份有限公司</w:t>
      </w:r>
      <w:r>
        <w:rPr>
          <w:rFonts w:ascii="黑体" w:hAnsi="黑体" w:cs="黑体" w:eastAsia="黑体" w:hint="default"/>
          <w:b/>
          <w:bCs/>
          <w:color w:val="FF0000"/>
          <w:spacing w:val="89"/>
          <w:w w:val="95"/>
          <w:sz w:val="44"/>
          <w:szCs w:val="44"/>
        </w:rPr>
        <w:t> </w:t>
      </w:r>
      <w:r>
        <w:rPr>
          <w:rFonts w:ascii="黑体" w:hAnsi="黑体" w:cs="黑体" w:eastAsia="黑体" w:hint="default"/>
          <w:b/>
          <w:bCs/>
          <w:color w:val="FF0000"/>
          <w:sz w:val="44"/>
          <w:szCs w:val="44"/>
        </w:rPr>
        <w:t>2014</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before="249"/>
        <w:ind w:left="1659" w:right="1751"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2"/>
        <w:rPr>
          <w:rFonts w:ascii="黑体" w:hAnsi="黑体" w:cs="黑体" w:eastAsia="黑体" w:hint="default"/>
          <w:b/>
          <w:bCs/>
          <w:sz w:val="24"/>
          <w:szCs w:val="24"/>
        </w:rPr>
      </w:pPr>
    </w:p>
    <w:p>
      <w:pPr>
        <w:pStyle w:val="Heading2"/>
        <w:spacing w:line="310" w:lineRule="exact" w:before="0"/>
        <w:ind w:left="514" w:right="243" w:hanging="369"/>
        <w:jc w:val="both"/>
        <w:rPr>
          <w:b w:val="0"/>
          <w:bCs w:val="0"/>
        </w:rPr>
      </w:pPr>
      <w:r>
        <w:rPr>
          <w:spacing w:val="2"/>
          <w:sz w:val="21"/>
          <w:szCs w:val="21"/>
        </w:rPr>
        <w:t>一、</w:t>
      </w:r>
      <w:r>
        <w:rPr>
          <w:spacing w:val="2"/>
        </w:rPr>
        <w:t>本公司董事会、监事会及董事、监事、高级管理人员保证年度报告内容的真实、</w:t>
      </w:r>
      <w:r>
        <w:rPr>
          <w:w w:val="99"/>
        </w:rPr>
        <w:t> </w:t>
      </w:r>
      <w:r>
        <w:rPr>
          <w:spacing w:val="-3"/>
          <w:w w:val="95"/>
        </w:rPr>
        <w:t>准确、完整，不存在虚假记载、误导性陈述或重大遗漏，并承担个别和连带的法律</w:t>
      </w:r>
      <w:r>
        <w:rPr>
          <w:spacing w:val="-74"/>
          <w:w w:val="95"/>
        </w:rPr>
        <w:t> </w:t>
      </w:r>
      <w:r>
        <w:rPr>
          <w:spacing w:val="-74"/>
          <w:w w:val="95"/>
        </w:rPr>
      </w:r>
      <w:r>
        <w:rPr/>
        <w:t>责任。</w:t>
      </w:r>
      <w:r>
        <w:rPr>
          <w:b w:val="0"/>
          <w:bCs w:val="0"/>
        </w:rPr>
      </w:r>
    </w:p>
    <w:p>
      <w:pPr>
        <w:spacing w:line="240" w:lineRule="auto" w:before="6"/>
        <w:rPr>
          <w:rFonts w:ascii="宋体" w:hAnsi="宋体" w:cs="宋体" w:eastAsia="宋体" w:hint="default"/>
          <w:b/>
          <w:bCs/>
          <w:sz w:val="34"/>
          <w:szCs w:val="34"/>
        </w:rPr>
      </w:pPr>
    </w:p>
    <w:p>
      <w:pPr>
        <w:pStyle w:val="Heading2"/>
        <w:spacing w:line="240" w:lineRule="auto" w:before="0"/>
        <w:ind w:left="145" w:right="0"/>
        <w:jc w:val="left"/>
        <w:rPr>
          <w:b w:val="0"/>
          <w:bCs w:val="0"/>
        </w:rPr>
      </w:pPr>
      <w:r>
        <w:rPr>
          <w:sz w:val="21"/>
          <w:szCs w:val="21"/>
        </w:rPr>
        <w:t>二、</w:t>
      </w:r>
      <w:r>
        <w:rPr>
          <w:spacing w:val="-90"/>
          <w:sz w:val="21"/>
          <w:szCs w:val="21"/>
        </w:rPr>
        <w:t> </w:t>
      </w:r>
      <w:r>
        <w:rPr/>
        <w:t>公司全体董事出席董事会会议。</w:t>
      </w:r>
      <w:r>
        <w:rPr>
          <w:b w:val="0"/>
          <w:bCs w:val="0"/>
        </w:rPr>
      </w:r>
    </w:p>
    <w:p>
      <w:pPr>
        <w:spacing w:line="240" w:lineRule="auto" w:before="3"/>
        <w:rPr>
          <w:rFonts w:ascii="宋体" w:hAnsi="宋体" w:cs="宋体" w:eastAsia="宋体" w:hint="default"/>
          <w:b/>
          <w:bCs/>
          <w:sz w:val="31"/>
          <w:szCs w:val="31"/>
        </w:rPr>
      </w:pPr>
    </w:p>
    <w:p>
      <w:pPr>
        <w:pStyle w:val="Heading2"/>
        <w:spacing w:line="240" w:lineRule="auto" w:before="0"/>
        <w:ind w:left="145" w:right="0"/>
        <w:jc w:val="left"/>
        <w:rPr>
          <w:b w:val="0"/>
          <w:bCs w:val="0"/>
        </w:rPr>
      </w:pPr>
      <w:r>
        <w:rPr>
          <w:sz w:val="21"/>
          <w:szCs w:val="21"/>
        </w:rPr>
        <w:t>三、</w:t>
      </w:r>
      <w:r>
        <w:rPr>
          <w:spacing w:val="-22"/>
          <w:sz w:val="21"/>
          <w:szCs w:val="21"/>
        </w:rPr>
        <w:t> </w:t>
      </w:r>
      <w:r>
        <w:rPr>
          <w:spacing w:val="-4"/>
        </w:rPr>
        <w:t>致同会计师事务所（特殊普通合伙）为本公司出具了标准无保留意见的审计报告。</w:t>
      </w:r>
      <w:r>
        <w:rPr>
          <w:b w:val="0"/>
          <w:bCs w:val="0"/>
          <w:spacing w:val="-4"/>
        </w:rPr>
      </w:r>
    </w:p>
    <w:p>
      <w:pPr>
        <w:spacing w:line="240" w:lineRule="auto" w:before="9"/>
        <w:rPr>
          <w:rFonts w:ascii="宋体" w:hAnsi="宋体" w:cs="宋体" w:eastAsia="宋体" w:hint="default"/>
          <w:b/>
          <w:bCs/>
          <w:sz w:val="33"/>
          <w:szCs w:val="33"/>
        </w:rPr>
      </w:pPr>
    </w:p>
    <w:p>
      <w:pPr>
        <w:pStyle w:val="Heading2"/>
        <w:spacing w:line="310" w:lineRule="exact" w:before="0"/>
        <w:ind w:left="565" w:right="232" w:hanging="421"/>
        <w:jc w:val="left"/>
        <w:rPr>
          <w:b w:val="0"/>
          <w:bCs w:val="0"/>
        </w:rPr>
      </w:pPr>
      <w:r>
        <w:rPr>
          <w:sz w:val="21"/>
          <w:szCs w:val="21"/>
        </w:rPr>
        <w:t>四、</w:t>
      </w:r>
      <w:r>
        <w:rPr/>
        <w:t>公司负责人王维航、主管会计工作负责人任学英</w:t>
      </w:r>
      <w:r>
        <w:rPr>
          <w:spacing w:val="-45"/>
        </w:rPr>
        <w:t> </w:t>
      </w:r>
      <w:r>
        <w:rPr/>
        <w:t>及会计机构负责人（会计主管人</w:t>
      </w:r>
      <w:r>
        <w:rPr>
          <w:w w:val="99"/>
        </w:rPr>
        <w:t> </w:t>
      </w:r>
      <w:r>
        <w:rPr/>
        <w:t>员）李晖声明：保证年度报告中财务报告的真实、准确、完整。</w:t>
      </w:r>
      <w:r>
        <w:rPr>
          <w:b w:val="0"/>
          <w:bCs w:val="0"/>
        </w:rPr>
      </w:r>
    </w:p>
    <w:p>
      <w:pPr>
        <w:spacing w:line="240" w:lineRule="auto" w:before="1"/>
        <w:rPr>
          <w:rFonts w:ascii="宋体" w:hAnsi="宋体" w:cs="宋体" w:eastAsia="宋体" w:hint="default"/>
          <w:b/>
          <w:bCs/>
          <w:sz w:val="29"/>
          <w:szCs w:val="29"/>
        </w:rPr>
      </w:pPr>
    </w:p>
    <w:p>
      <w:pPr>
        <w:spacing w:line="328" w:lineRule="auto" w:before="0"/>
        <w:ind w:left="625" w:right="221" w:hanging="481"/>
        <w:jc w:val="left"/>
        <w:rPr>
          <w:rFonts w:ascii="宋体" w:hAnsi="宋体" w:cs="宋体" w:eastAsia="宋体" w:hint="default"/>
          <w:sz w:val="24"/>
          <w:szCs w:val="24"/>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4"/>
          <w:szCs w:val="24"/>
        </w:rPr>
        <w:t>经董事会审议的报告期利润分配预案或公积金转增股本预案</w:t>
      </w:r>
      <w:r>
        <w:rPr>
          <w:rFonts w:ascii="宋体" w:hAnsi="宋体" w:cs="宋体" w:eastAsia="宋体" w:hint="default"/>
          <w:b/>
          <w:bCs/>
          <w:w w:val="99"/>
          <w:sz w:val="24"/>
          <w:szCs w:val="24"/>
        </w:rPr>
        <w:t> </w:t>
      </w:r>
      <w:r>
        <w:rPr>
          <w:rFonts w:ascii="宋体" w:hAnsi="宋体" w:cs="宋体" w:eastAsia="宋体" w:hint="default"/>
          <w:spacing w:val="-3"/>
          <w:sz w:val="24"/>
          <w:szCs w:val="24"/>
        </w:rPr>
        <w:t>经致同会计师事务所审计，公司</w:t>
      </w:r>
      <w:r>
        <w:rPr>
          <w:rFonts w:ascii="宋体" w:hAnsi="宋体" w:cs="宋体" w:eastAsia="宋体" w:hint="default"/>
          <w:spacing w:val="-69"/>
          <w:sz w:val="24"/>
          <w:szCs w:val="24"/>
        </w:rPr>
        <w:t> </w:t>
      </w:r>
      <w:r>
        <w:rPr>
          <w:rFonts w:ascii="宋体" w:hAnsi="宋体" w:cs="宋体" w:eastAsia="宋体" w:hint="default"/>
          <w:sz w:val="24"/>
          <w:szCs w:val="24"/>
        </w:rPr>
        <w:t>2014</w:t>
      </w:r>
      <w:r>
        <w:rPr>
          <w:rFonts w:ascii="宋体" w:hAnsi="宋体" w:cs="宋体" w:eastAsia="宋体" w:hint="default"/>
          <w:spacing w:val="-69"/>
          <w:sz w:val="24"/>
          <w:szCs w:val="24"/>
        </w:rPr>
        <w:t> </w:t>
      </w:r>
      <w:r>
        <w:rPr>
          <w:rFonts w:ascii="宋体" w:hAnsi="宋体" w:cs="宋体" w:eastAsia="宋体" w:hint="default"/>
          <w:sz w:val="24"/>
          <w:szCs w:val="24"/>
        </w:rPr>
        <w:t>年度实现归属于上市公司股东的净利润（合</w:t>
      </w:r>
    </w:p>
    <w:p>
      <w:pPr>
        <w:pStyle w:val="BodyText"/>
        <w:spacing w:line="222" w:lineRule="exact"/>
        <w:ind w:left="145" w:right="0"/>
        <w:jc w:val="left"/>
      </w:pPr>
      <w:r>
        <w:rPr/>
        <w:t>并）</w:t>
      </w:r>
      <w:r>
        <w:rPr>
          <w:rFonts w:ascii="宋体" w:hAnsi="宋体" w:cs="宋体" w:eastAsia="宋体" w:hint="default"/>
        </w:rPr>
        <w:t>9,513.36</w:t>
      </w:r>
      <w:r>
        <w:rPr>
          <w:rFonts w:ascii="宋体" w:hAnsi="宋体" w:cs="宋体" w:eastAsia="宋体" w:hint="default"/>
          <w:spacing w:val="-60"/>
        </w:rPr>
        <w:t> </w:t>
      </w:r>
      <w:r>
        <w:rPr/>
        <w:t>万元，</w:t>
      </w:r>
      <w:r>
        <w:rPr>
          <w:rFonts w:ascii="宋体" w:hAnsi="宋体" w:cs="宋体" w:eastAsia="宋体" w:hint="default"/>
        </w:rPr>
        <w:t>2014</w:t>
      </w:r>
      <w:r>
        <w:rPr>
          <w:rFonts w:ascii="宋体" w:hAnsi="宋体" w:cs="宋体" w:eastAsia="宋体" w:hint="default"/>
          <w:spacing w:val="-60"/>
        </w:rPr>
        <w:t> </w:t>
      </w:r>
      <w:r>
        <w:rPr/>
        <w:t>年期末可供股东分配的利润（合并）</w:t>
      </w:r>
      <w:r>
        <w:rPr>
          <w:rFonts w:ascii="宋体" w:hAnsi="宋体" w:cs="宋体" w:eastAsia="宋体" w:hint="default"/>
        </w:rPr>
        <w:t>93,381.71</w:t>
      </w:r>
      <w:r>
        <w:rPr>
          <w:rFonts w:ascii="宋体" w:hAnsi="宋体" w:cs="宋体" w:eastAsia="宋体" w:hint="default"/>
          <w:spacing w:val="-60"/>
        </w:rPr>
        <w:t> </w:t>
      </w:r>
      <w:r>
        <w:rPr/>
        <w:t>万元，母公</w:t>
      </w:r>
    </w:p>
    <w:p>
      <w:pPr>
        <w:pStyle w:val="BodyText"/>
        <w:spacing w:line="310" w:lineRule="exact" w:before="31"/>
        <w:ind w:left="145" w:right="237"/>
        <w:jc w:val="both"/>
      </w:pPr>
      <w:r>
        <w:rPr/>
        <w:t>司可供股东分配的利润为</w:t>
      </w:r>
      <w:r>
        <w:rPr>
          <w:spacing w:val="-58"/>
        </w:rPr>
        <w:t> </w:t>
      </w:r>
      <w:r>
        <w:rPr>
          <w:rFonts w:ascii="宋体" w:hAnsi="宋体" w:cs="宋体" w:eastAsia="宋体" w:hint="default"/>
        </w:rPr>
        <w:t>39,035.00</w:t>
      </w:r>
      <w:r>
        <w:rPr>
          <w:rFonts w:ascii="宋体" w:hAnsi="宋体" w:cs="宋体" w:eastAsia="宋体" w:hint="default"/>
          <w:spacing w:val="-58"/>
        </w:rPr>
        <w:t> </w:t>
      </w:r>
      <w:r>
        <w:rPr>
          <w:spacing w:val="-18"/>
        </w:rPr>
        <w:t>万元。</w:t>
      </w:r>
      <w:r>
        <w:rPr>
          <w:rFonts w:ascii="宋体" w:hAnsi="宋体" w:cs="宋体" w:eastAsia="宋体" w:hint="default"/>
          <w:spacing w:val="-18"/>
        </w:rPr>
        <w:t>2014</w:t>
      </w:r>
      <w:r>
        <w:rPr>
          <w:rFonts w:ascii="宋体" w:hAnsi="宋体" w:cs="宋体" w:eastAsia="宋体" w:hint="default"/>
          <w:spacing w:val="-58"/>
        </w:rPr>
        <w:t> </w:t>
      </w:r>
      <w:r>
        <w:rPr>
          <w:spacing w:val="-11"/>
        </w:rPr>
        <w:t>年期末资本公积余额（合并）</w:t>
      </w:r>
      <w:r>
        <w:rPr>
          <w:rFonts w:ascii="宋体" w:hAnsi="宋体" w:cs="宋体" w:eastAsia="宋体" w:hint="default"/>
          <w:spacing w:val="-11"/>
        </w:rPr>
        <w:t>64,343.50</w:t>
      </w:r>
      <w:r>
        <w:rPr>
          <w:rFonts w:ascii="宋体" w:hAnsi="宋体" w:cs="宋体" w:eastAsia="宋体" w:hint="default"/>
        </w:rPr>
        <w:t> </w:t>
      </w:r>
      <w:r>
        <w:rPr/>
        <w:t>万元，母公司资本公积余额为</w:t>
      </w:r>
      <w:r>
        <w:rPr>
          <w:spacing w:val="-71"/>
        </w:rPr>
        <w:t> </w:t>
      </w:r>
      <w:r>
        <w:rPr>
          <w:rFonts w:ascii="宋体" w:hAnsi="宋体" w:cs="宋体" w:eastAsia="宋体" w:hint="default"/>
        </w:rPr>
        <w:t>63,976.91</w:t>
      </w:r>
      <w:r>
        <w:rPr>
          <w:rFonts w:ascii="宋体" w:hAnsi="宋体" w:cs="宋体" w:eastAsia="宋体" w:hint="default"/>
          <w:spacing w:val="-71"/>
        </w:rPr>
        <w:t> </w:t>
      </w:r>
      <w:r>
        <w:rPr/>
        <w:t>万元。</w:t>
      </w:r>
      <w:r>
        <w:rPr>
          <w:spacing w:val="-38"/>
        </w:rPr>
        <w:t> </w:t>
      </w:r>
      <w:r>
        <w:rPr/>
        <w:t>根据上述经营情况，公司拟实施的利</w:t>
      </w:r>
      <w:r>
        <w:rPr/>
        <w:t> </w:t>
      </w:r>
      <w:r>
        <w:rPr>
          <w:spacing w:val="-15"/>
        </w:rPr>
        <w:t>润分配预案为：以</w:t>
      </w:r>
      <w:r>
        <w:rPr>
          <w:spacing w:val="-74"/>
        </w:rPr>
        <w:t> </w:t>
      </w:r>
      <w:r>
        <w:rPr>
          <w:rFonts w:ascii="宋体" w:hAnsi="宋体" w:cs="宋体" w:eastAsia="宋体" w:hint="default"/>
        </w:rPr>
        <w:t>2014</w:t>
      </w:r>
      <w:r>
        <w:rPr>
          <w:rFonts w:ascii="宋体" w:hAnsi="宋体" w:cs="宋体" w:eastAsia="宋体" w:hint="default"/>
          <w:spacing w:val="-76"/>
        </w:rPr>
        <w:t> </w:t>
      </w:r>
      <w:r>
        <w:rPr/>
        <w:t>年度利润分配股权登记日总股本为基数</w:t>
      </w:r>
      <w:r>
        <w:rPr>
          <w:rFonts w:ascii="宋体" w:hAnsi="宋体" w:cs="宋体" w:eastAsia="宋体" w:hint="default"/>
        </w:rPr>
        <w:t>,</w:t>
      </w:r>
      <w:r>
        <w:rPr/>
        <w:t>向全体股东每</w:t>
      </w:r>
      <w:r>
        <w:rPr>
          <w:spacing w:val="-75"/>
        </w:rPr>
        <w:t> </w:t>
      </w:r>
      <w:r>
        <w:rPr>
          <w:rFonts w:ascii="宋体" w:hAnsi="宋体" w:cs="宋体" w:eastAsia="宋体" w:hint="default"/>
        </w:rPr>
        <w:t>10</w:t>
      </w:r>
      <w:r>
        <w:rPr>
          <w:rFonts w:ascii="宋体" w:hAnsi="宋体" w:cs="宋体" w:eastAsia="宋体" w:hint="default"/>
          <w:spacing w:val="-75"/>
        </w:rPr>
        <w:t> </w:t>
      </w:r>
      <w:r>
        <w:rPr/>
        <w:t>股 派</w:t>
      </w:r>
    </w:p>
    <w:p>
      <w:pPr>
        <w:pStyle w:val="BodyText"/>
        <w:spacing w:line="284" w:lineRule="exact"/>
        <w:ind w:left="145" w:right="0"/>
        <w:jc w:val="left"/>
      </w:pPr>
      <w:r>
        <w:rPr/>
        <w:t>发现金红利</w:t>
      </w:r>
      <w:r>
        <w:rPr>
          <w:spacing w:val="-60"/>
        </w:rPr>
        <w:t> </w:t>
      </w:r>
      <w:r>
        <w:rPr>
          <w:rFonts w:ascii="宋体" w:hAnsi="宋体" w:cs="宋体" w:eastAsia="宋体" w:hint="default"/>
        </w:rPr>
        <w:t>0.62</w:t>
      </w:r>
      <w:r>
        <w:rPr>
          <w:rFonts w:ascii="宋体" w:hAnsi="宋体" w:cs="宋体" w:eastAsia="宋体" w:hint="default"/>
          <w:spacing w:val="-60"/>
        </w:rPr>
        <w:t> </w:t>
      </w:r>
      <w:r>
        <w:rPr/>
        <w:t>元</w:t>
      </w:r>
      <w:r>
        <w:rPr>
          <w:rFonts w:ascii="宋体" w:hAnsi="宋体" w:cs="宋体" w:eastAsia="宋体" w:hint="default"/>
        </w:rPr>
        <w:t>(</w:t>
      </w:r>
      <w:r>
        <w:rPr/>
        <w:t>含税</w:t>
      </w:r>
      <w:r>
        <w:rPr>
          <w:rFonts w:ascii="宋体" w:hAnsi="宋体" w:cs="宋体" w:eastAsia="宋体" w:hint="default"/>
        </w:rPr>
        <w:t>)</w:t>
      </w:r>
      <w:r>
        <w:rPr/>
        <w:t>。</w:t>
      </w:r>
    </w:p>
    <w:p>
      <w:pPr>
        <w:spacing w:line="240" w:lineRule="auto" w:before="0"/>
        <w:rPr>
          <w:rFonts w:ascii="宋体" w:hAnsi="宋体" w:cs="宋体" w:eastAsia="宋体" w:hint="default"/>
          <w:sz w:val="24"/>
          <w:szCs w:val="24"/>
        </w:rPr>
      </w:pPr>
    </w:p>
    <w:p>
      <w:pPr>
        <w:spacing w:before="164"/>
        <w:ind w:left="145" w:right="0" w:firstLine="0"/>
        <w:jc w:val="left"/>
        <w:rPr>
          <w:rFonts w:ascii="宋体" w:hAnsi="宋体" w:cs="宋体" w:eastAsia="宋体" w:hint="default"/>
          <w:sz w:val="24"/>
          <w:szCs w:val="24"/>
        </w:rPr>
      </w:pPr>
      <w:r>
        <w:rPr>
          <w:rFonts w:ascii="宋体" w:hAnsi="宋体" w:cs="宋体" w:eastAsia="宋体" w:hint="default"/>
          <w:b/>
          <w:bCs/>
          <w:sz w:val="21"/>
          <w:szCs w:val="21"/>
        </w:rPr>
        <w:t>六、</w:t>
      </w:r>
      <w:r>
        <w:rPr>
          <w:rFonts w:ascii="宋体" w:hAnsi="宋体" w:cs="宋体" w:eastAsia="宋体" w:hint="default"/>
          <w:b/>
          <w:bCs/>
          <w:spacing w:val="-34"/>
          <w:sz w:val="21"/>
          <w:szCs w:val="21"/>
        </w:rPr>
        <w:t> </w:t>
      </w:r>
      <w:r>
        <w:rPr>
          <w:rFonts w:ascii="宋体" w:hAnsi="宋体" w:cs="宋体" w:eastAsia="宋体" w:hint="default"/>
          <w:b/>
          <w:bCs/>
          <w:sz w:val="24"/>
          <w:szCs w:val="24"/>
        </w:rPr>
        <w:t>前瞻性陈述的风险声明</w:t>
      </w:r>
      <w:r>
        <w:rPr>
          <w:rFonts w:ascii="宋体" w:hAnsi="宋体" w:cs="宋体" w:eastAsia="宋体" w:hint="default"/>
          <w:sz w:val="24"/>
          <w:szCs w:val="24"/>
        </w:rPr>
      </w:r>
    </w:p>
    <w:p>
      <w:pPr>
        <w:pStyle w:val="BodyText"/>
        <w:spacing w:line="312" w:lineRule="exact" w:before="147"/>
        <w:ind w:left="145" w:right="217" w:firstLine="480"/>
        <w:jc w:val="left"/>
      </w:pPr>
      <w:r>
        <w:rPr/>
        <w:t>本公司</w:t>
      </w:r>
      <w:r>
        <w:rPr>
          <w:spacing w:val="-88"/>
        </w:rPr>
        <w:t> </w:t>
      </w:r>
      <w:r>
        <w:rPr>
          <w:rFonts w:ascii="宋体" w:hAnsi="宋体" w:cs="宋体" w:eastAsia="宋体" w:hint="default"/>
        </w:rPr>
        <w:t>2014</w:t>
      </w:r>
      <w:r>
        <w:rPr>
          <w:rFonts w:ascii="宋体" w:hAnsi="宋体" w:cs="宋体" w:eastAsia="宋体" w:hint="default"/>
          <w:spacing w:val="-88"/>
        </w:rPr>
        <w:t> </w:t>
      </w:r>
      <w:r>
        <w:rPr/>
        <w:t>年度报告涉及的未来计划等陈述，该计划不构成公司对投资者的实质 承诺，请投资者注意投资风险。</w:t>
      </w:r>
    </w:p>
    <w:p>
      <w:pPr>
        <w:spacing w:line="240" w:lineRule="auto" w:before="4"/>
        <w:rPr>
          <w:rFonts w:ascii="宋体" w:hAnsi="宋体" w:cs="宋体" w:eastAsia="宋体" w:hint="default"/>
          <w:sz w:val="34"/>
          <w:szCs w:val="34"/>
        </w:rPr>
      </w:pPr>
    </w:p>
    <w:p>
      <w:pPr>
        <w:pStyle w:val="Heading2"/>
        <w:spacing w:line="276" w:lineRule="auto" w:before="0"/>
        <w:ind w:left="625" w:right="2958" w:hanging="481"/>
        <w:jc w:val="left"/>
        <w:rPr>
          <w:rFonts w:ascii="宋体" w:hAnsi="宋体" w:cs="宋体" w:eastAsia="宋体" w:hint="default"/>
          <w:b w:val="0"/>
          <w:bCs w:val="0"/>
        </w:rPr>
      </w:pPr>
      <w:r>
        <w:rPr>
          <w:sz w:val="21"/>
          <w:szCs w:val="21"/>
        </w:rPr>
        <w:t>七、</w:t>
      </w:r>
      <w:r>
        <w:rPr/>
        <w:t>是否存在被控股股东及其关联方非经营性占用资金情况</w:t>
      </w:r>
      <w:r>
        <w:rPr>
          <w:w w:val="99"/>
        </w:rPr>
        <w:t> </w:t>
      </w:r>
      <w:r>
        <w:rPr>
          <w:rFonts w:ascii="宋体" w:hAnsi="宋体" w:cs="宋体" w:eastAsia="宋体" w:hint="default"/>
          <w:b w:val="0"/>
          <w:bCs w:val="0"/>
        </w:rPr>
        <w:t>否</w:t>
      </w:r>
    </w:p>
    <w:p>
      <w:pPr>
        <w:spacing w:line="240" w:lineRule="auto" w:before="6"/>
        <w:rPr>
          <w:rFonts w:ascii="宋体" w:hAnsi="宋体" w:cs="宋体" w:eastAsia="宋体" w:hint="default"/>
          <w:sz w:val="28"/>
          <w:szCs w:val="28"/>
        </w:rPr>
      </w:pPr>
    </w:p>
    <w:p>
      <w:pPr>
        <w:pStyle w:val="Heading2"/>
        <w:tabs>
          <w:tab w:pos="789" w:val="left" w:leader="none"/>
        </w:tabs>
        <w:spacing w:line="276" w:lineRule="auto" w:before="0"/>
        <w:ind w:left="625" w:right="3408" w:hanging="481"/>
        <w:jc w:val="left"/>
        <w:rPr>
          <w:rFonts w:ascii="宋体" w:hAnsi="宋体" w:cs="宋体" w:eastAsia="宋体" w:hint="default"/>
          <w:b w:val="0"/>
          <w:bCs w:val="0"/>
        </w:rPr>
      </w:pPr>
      <w:r>
        <w:rPr>
          <w:w w:val="95"/>
          <w:sz w:val="21"/>
          <w:szCs w:val="21"/>
        </w:rPr>
        <w:t>八、</w:t>
        <w:tab/>
        <w:tab/>
      </w:r>
      <w:r>
        <w:rPr>
          <w:w w:val="95"/>
        </w:rPr>
        <w:t>是否存在违反规定决策程序对外提供担保的情况？ </w:t>
      </w:r>
      <w:r>
        <w:rPr>
          <w:spacing w:val="14"/>
          <w:w w:val="95"/>
        </w:rPr>
        <w:t> </w:t>
      </w:r>
      <w:r>
        <w:rPr>
          <w:spacing w:val="14"/>
          <w:w w:val="95"/>
        </w:rPr>
      </w:r>
      <w:r>
        <w:rPr>
          <w:rFonts w:ascii="宋体" w:hAnsi="宋体" w:cs="宋体" w:eastAsia="宋体" w:hint="default"/>
          <w:b w:val="0"/>
          <w:bCs w:val="0"/>
        </w:rPr>
        <w:t>否</w:t>
      </w:r>
    </w:p>
    <w:p>
      <w:pPr>
        <w:spacing w:line="240" w:lineRule="auto" w:before="6"/>
        <w:rPr>
          <w:rFonts w:ascii="宋体" w:hAnsi="宋体" w:cs="宋体" w:eastAsia="宋体" w:hint="default"/>
          <w:sz w:val="28"/>
          <w:szCs w:val="28"/>
        </w:rPr>
      </w:pPr>
    </w:p>
    <w:p>
      <w:pPr>
        <w:spacing w:line="276" w:lineRule="auto" w:before="0"/>
        <w:ind w:left="625" w:right="8093" w:hanging="481"/>
        <w:jc w:val="left"/>
        <w:rPr>
          <w:rFonts w:ascii="宋体" w:hAnsi="宋体" w:cs="宋体" w:eastAsia="宋体" w:hint="default"/>
          <w:sz w:val="24"/>
          <w:szCs w:val="24"/>
        </w:rPr>
      </w:pPr>
      <w:r>
        <w:rPr>
          <w:rFonts w:ascii="宋体" w:hAnsi="宋体" w:cs="宋体" w:eastAsia="宋体" w:hint="default"/>
          <w:b/>
          <w:bCs/>
          <w:sz w:val="21"/>
          <w:szCs w:val="21"/>
        </w:rPr>
        <w:t>九、</w:t>
      </w:r>
      <w:r>
        <w:rPr>
          <w:rFonts w:ascii="宋体" w:hAnsi="宋体" w:cs="宋体" w:eastAsia="宋体" w:hint="default"/>
          <w:b/>
          <w:bCs/>
          <w:spacing w:val="60"/>
          <w:sz w:val="21"/>
          <w:szCs w:val="21"/>
        </w:rPr>
        <w:t> </w:t>
      </w:r>
      <w:r>
        <w:rPr>
          <w:rFonts w:ascii="宋体" w:hAnsi="宋体" w:cs="宋体" w:eastAsia="宋体" w:hint="default"/>
          <w:b/>
          <w:bCs/>
          <w:sz w:val="24"/>
          <w:szCs w:val="24"/>
        </w:rPr>
        <w:t>其他</w:t>
      </w:r>
      <w:r>
        <w:rPr>
          <w:rFonts w:ascii="宋体" w:hAnsi="宋体" w:cs="宋体" w:eastAsia="宋体" w:hint="default"/>
          <w:b/>
          <w:bCs/>
          <w:spacing w:val="1"/>
          <w:w w:val="99"/>
          <w:sz w:val="24"/>
          <w:szCs w:val="24"/>
        </w:rPr>
        <w:t> </w:t>
      </w:r>
      <w:r>
        <w:rPr>
          <w:rFonts w:ascii="宋体" w:hAnsi="宋体" w:cs="宋体" w:eastAsia="宋体" w:hint="default"/>
          <w:sz w:val="24"/>
          <w:szCs w:val="24"/>
        </w:rPr>
        <w:t>无</w:t>
      </w:r>
    </w:p>
    <w:p>
      <w:pPr>
        <w:spacing w:after="0" w:line="276" w:lineRule="auto"/>
        <w:jc w:val="left"/>
        <w:rPr>
          <w:rFonts w:ascii="宋体" w:hAnsi="宋体" w:cs="宋体" w:eastAsia="宋体" w:hint="default"/>
          <w:sz w:val="24"/>
          <w:szCs w:val="24"/>
        </w:rPr>
        <w:sectPr>
          <w:headerReference w:type="default" r:id="rId5"/>
          <w:footerReference w:type="default" r:id="rId6"/>
          <w:type w:val="continuous"/>
          <w:pgSz w:w="11910" w:h="16840"/>
          <w:pgMar w:header="882" w:footer="1194" w:top="1080" w:bottom="1380" w:left="1380" w:right="120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spacing w:before="1"/>
        <w:ind w:left="122" w:right="95" w:firstLine="0"/>
        <w:jc w:val="center"/>
        <w:rPr>
          <w:rFonts w:ascii="宋体" w:hAnsi="宋体" w:cs="宋体" w:eastAsia="宋体" w:hint="default"/>
          <w:sz w:val="32"/>
          <w:szCs w:val="32"/>
        </w:rPr>
      </w:pPr>
      <w:r>
        <w:rPr>
          <w:rFonts w:ascii="宋体" w:hAnsi="宋体" w:cs="宋体" w:eastAsia="宋体" w:hint="default"/>
          <w:b/>
          <w:bCs/>
          <w:sz w:val="32"/>
          <w:szCs w:val="32"/>
        </w:rPr>
        <w:t>目录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1405" w:val="left" w:leader="none"/>
              <w:tab w:pos="8968" w:val="right" w:leader="dot"/>
            </w:tabs>
            <w:spacing w:line="365" w:lineRule="exact" w:before="124"/>
            <w:ind w:right="0"/>
            <w:jc w:val="left"/>
            <w:rPr>
              <w:rFonts w:ascii="宋体" w:hAnsi="宋体" w:cs="宋体" w:eastAsia="宋体" w:hint="default"/>
            </w:rPr>
          </w:pPr>
          <w:r>
            <w:fldChar w:fldCharType="begin"/>
          </w:r>
          <w:r>
            <w:instrText>TOC \o "1-1" \h \z \u </w:instrText>
          </w:r>
          <w:r>
            <w:fldChar w:fldCharType="separate"/>
          </w:r>
          <w:hyperlink w:history="true" w:anchor="_TOC_250010">
            <w:r>
              <w:rPr>
                <w:w w:val="95"/>
              </w:rPr>
              <w:t>第一节</w:t>
              <w:tab/>
            </w:r>
            <w:r>
              <w:rPr/>
              <w:t>释义及重大风险提示</w:t>
            </w:r>
            <w:r>
              <w:rPr>
                <w:rFonts w:ascii="宋体" w:hAnsi="宋体" w:cs="宋体" w:eastAsia="宋体" w:hint="default"/>
              </w:rPr>
              <w:tab/>
              <w:t>3</w:t>
            </w:r>
          </w:hyperlink>
        </w:p>
        <w:p>
          <w:pPr>
            <w:pStyle w:val="TOC1"/>
            <w:tabs>
              <w:tab w:pos="1405" w:val="left" w:leader="none"/>
              <w:tab w:pos="8968" w:val="right" w:leader="dot"/>
            </w:tabs>
            <w:spacing w:line="363" w:lineRule="exact"/>
            <w:ind w:right="0"/>
            <w:jc w:val="left"/>
            <w:rPr>
              <w:rFonts w:ascii="宋体" w:hAnsi="宋体" w:cs="宋体" w:eastAsia="宋体" w:hint="default"/>
            </w:rPr>
          </w:pPr>
          <w:hyperlink w:history="true" w:anchor="_TOC_250009">
            <w:r>
              <w:rPr>
                <w:w w:val="95"/>
              </w:rPr>
              <w:t>第二节</w:t>
              <w:tab/>
            </w:r>
            <w:r>
              <w:rPr/>
              <w:t>公司简介</w:t>
            </w:r>
            <w:r>
              <w:rPr>
                <w:rFonts w:ascii="宋体" w:hAnsi="宋体" w:cs="宋体" w:eastAsia="宋体" w:hint="default"/>
              </w:rPr>
              <w:tab/>
              <w:t>4</w:t>
            </w:r>
          </w:hyperlink>
        </w:p>
        <w:p>
          <w:pPr>
            <w:pStyle w:val="TOC1"/>
            <w:tabs>
              <w:tab w:pos="1405" w:val="left" w:leader="none"/>
              <w:tab w:pos="8968" w:val="right" w:leader="dot"/>
            </w:tabs>
            <w:spacing w:line="363" w:lineRule="exact"/>
            <w:ind w:right="0"/>
            <w:jc w:val="left"/>
            <w:rPr>
              <w:rFonts w:ascii="宋体" w:hAnsi="宋体" w:cs="宋体" w:eastAsia="宋体" w:hint="default"/>
            </w:rPr>
          </w:pPr>
          <w:hyperlink w:history="true" w:anchor="_TOC_250008">
            <w:r>
              <w:rPr>
                <w:w w:val="95"/>
              </w:rPr>
              <w:t>第三节</w:t>
              <w:tab/>
            </w:r>
            <w:r>
              <w:rPr/>
              <w:t>会计数据和财务指标摘要</w:t>
            </w:r>
            <w:r>
              <w:rPr>
                <w:rFonts w:ascii="宋体" w:hAnsi="宋体" w:cs="宋体" w:eastAsia="宋体" w:hint="default"/>
              </w:rPr>
              <w:tab/>
              <w:t>6</w:t>
            </w:r>
          </w:hyperlink>
        </w:p>
        <w:p>
          <w:pPr>
            <w:pStyle w:val="TOC1"/>
            <w:tabs>
              <w:tab w:pos="1405" w:val="left" w:leader="none"/>
              <w:tab w:pos="8968" w:val="right" w:leader="dot"/>
            </w:tabs>
            <w:spacing w:line="364" w:lineRule="exact"/>
            <w:ind w:right="0"/>
            <w:jc w:val="left"/>
            <w:rPr>
              <w:rFonts w:ascii="宋体" w:hAnsi="宋体" w:cs="宋体" w:eastAsia="宋体" w:hint="default"/>
            </w:rPr>
          </w:pPr>
          <w:hyperlink w:history="true" w:anchor="_TOC_250007">
            <w:r>
              <w:rPr>
                <w:w w:val="95"/>
              </w:rPr>
              <w:t>第四节</w:t>
              <w:tab/>
            </w:r>
            <w:r>
              <w:rPr/>
              <w:t>董事会报告</w:t>
            </w:r>
            <w:r>
              <w:rPr>
                <w:rFonts w:ascii="宋体" w:hAnsi="宋体" w:cs="宋体" w:eastAsia="宋体" w:hint="default"/>
              </w:rPr>
              <w:tab/>
              <w:t>9</w:t>
            </w:r>
          </w:hyperlink>
        </w:p>
        <w:p>
          <w:pPr>
            <w:pStyle w:val="TOC1"/>
            <w:tabs>
              <w:tab w:pos="1405" w:val="left" w:leader="none"/>
              <w:tab w:pos="8969" w:val="right" w:leader="dot"/>
            </w:tabs>
            <w:spacing w:line="363" w:lineRule="exact"/>
            <w:ind w:right="0"/>
            <w:jc w:val="left"/>
            <w:rPr>
              <w:rFonts w:ascii="宋体" w:hAnsi="宋体" w:cs="宋体" w:eastAsia="宋体" w:hint="default"/>
            </w:rPr>
          </w:pPr>
          <w:hyperlink w:history="true" w:anchor="_TOC_250006">
            <w:r>
              <w:rPr>
                <w:w w:val="95"/>
              </w:rPr>
              <w:t>第五节</w:t>
              <w:tab/>
            </w:r>
            <w:r>
              <w:rPr/>
              <w:t>重要事项</w:t>
            </w:r>
            <w:r>
              <w:rPr>
                <w:rFonts w:ascii="宋体" w:hAnsi="宋体" w:cs="宋体" w:eastAsia="宋体" w:hint="default"/>
              </w:rPr>
              <w:tab/>
              <w:t>32</w:t>
            </w:r>
          </w:hyperlink>
        </w:p>
        <w:p>
          <w:pPr>
            <w:pStyle w:val="TOC1"/>
            <w:tabs>
              <w:tab w:pos="1405" w:val="left" w:leader="none"/>
              <w:tab w:pos="8969" w:val="right" w:leader="dot"/>
            </w:tabs>
            <w:spacing w:line="363" w:lineRule="exact"/>
            <w:ind w:right="0"/>
            <w:jc w:val="left"/>
            <w:rPr>
              <w:rFonts w:ascii="宋体" w:hAnsi="宋体" w:cs="宋体" w:eastAsia="宋体" w:hint="default"/>
            </w:rPr>
          </w:pPr>
          <w:hyperlink w:history="true" w:anchor="_TOC_250005">
            <w:r>
              <w:rPr>
                <w:w w:val="95"/>
              </w:rPr>
              <w:t>第六节</w:t>
              <w:tab/>
            </w:r>
            <w:r>
              <w:rPr/>
              <w:t>股份变动及股东情况</w:t>
            </w:r>
            <w:r>
              <w:rPr>
                <w:rFonts w:ascii="宋体" w:hAnsi="宋体" w:cs="宋体" w:eastAsia="宋体" w:hint="default"/>
              </w:rPr>
              <w:tab/>
              <w:t>46</w:t>
            </w:r>
          </w:hyperlink>
        </w:p>
        <w:p>
          <w:pPr>
            <w:pStyle w:val="TOC1"/>
            <w:tabs>
              <w:tab w:pos="1405" w:val="left" w:leader="none"/>
              <w:tab w:pos="8969" w:val="right" w:leader="dot"/>
            </w:tabs>
            <w:spacing w:line="363" w:lineRule="exact"/>
            <w:ind w:right="0"/>
            <w:jc w:val="left"/>
            <w:rPr>
              <w:rFonts w:ascii="宋体" w:hAnsi="宋体" w:cs="宋体" w:eastAsia="宋体" w:hint="default"/>
            </w:rPr>
          </w:pPr>
          <w:hyperlink w:history="true" w:anchor="_TOC_250004">
            <w:r>
              <w:rPr>
                <w:w w:val="95"/>
              </w:rPr>
              <w:t>第七节</w:t>
              <w:tab/>
            </w:r>
            <w:r>
              <w:rPr/>
              <w:t>董事、监事、高级管理人员和员工情况</w:t>
            </w:r>
            <w:r>
              <w:rPr>
                <w:rFonts w:ascii="宋体" w:hAnsi="宋体" w:cs="宋体" w:eastAsia="宋体" w:hint="default"/>
              </w:rPr>
              <w:tab/>
              <w:t>52</w:t>
            </w:r>
          </w:hyperlink>
        </w:p>
        <w:p>
          <w:pPr>
            <w:pStyle w:val="TOC1"/>
            <w:tabs>
              <w:tab w:pos="1405" w:val="left" w:leader="none"/>
              <w:tab w:pos="8969" w:val="right" w:leader="dot"/>
            </w:tabs>
            <w:spacing w:line="363" w:lineRule="exact"/>
            <w:ind w:right="0"/>
            <w:jc w:val="left"/>
            <w:rPr>
              <w:rFonts w:ascii="宋体" w:hAnsi="宋体" w:cs="宋体" w:eastAsia="宋体" w:hint="default"/>
            </w:rPr>
          </w:pPr>
          <w:hyperlink w:history="true" w:anchor="_TOC_250003">
            <w:r>
              <w:rPr>
                <w:w w:val="95"/>
              </w:rPr>
              <w:t>第八节</w:t>
              <w:tab/>
            </w:r>
            <w:r>
              <w:rPr/>
              <w:t>公司治理</w:t>
            </w:r>
            <w:r>
              <w:rPr>
                <w:rFonts w:ascii="宋体" w:hAnsi="宋体" w:cs="宋体" w:eastAsia="宋体" w:hint="default"/>
              </w:rPr>
              <w:tab/>
              <w:t>63</w:t>
            </w:r>
          </w:hyperlink>
        </w:p>
        <w:p>
          <w:pPr>
            <w:pStyle w:val="TOC1"/>
            <w:tabs>
              <w:tab w:pos="1405" w:val="left" w:leader="none"/>
              <w:tab w:pos="8969" w:val="right" w:leader="dot"/>
            </w:tabs>
            <w:spacing w:line="364" w:lineRule="exact"/>
            <w:ind w:right="0"/>
            <w:jc w:val="left"/>
            <w:rPr>
              <w:rFonts w:ascii="宋体" w:hAnsi="宋体" w:cs="宋体" w:eastAsia="宋体" w:hint="default"/>
            </w:rPr>
          </w:pPr>
          <w:hyperlink w:history="true" w:anchor="_TOC_250002">
            <w:r>
              <w:rPr>
                <w:w w:val="95"/>
              </w:rPr>
              <w:t>第九节</w:t>
              <w:tab/>
            </w:r>
            <w:r>
              <w:rPr/>
              <w:t>内部控制</w:t>
            </w:r>
            <w:r>
              <w:rPr>
                <w:rFonts w:ascii="宋体" w:hAnsi="宋体" w:cs="宋体" w:eastAsia="宋体" w:hint="default"/>
              </w:rPr>
              <w:tab/>
              <w:t>67</w:t>
            </w:r>
          </w:hyperlink>
        </w:p>
        <w:p>
          <w:pPr>
            <w:pStyle w:val="TOC1"/>
            <w:tabs>
              <w:tab w:pos="1405" w:val="left" w:leader="none"/>
              <w:tab w:pos="8969" w:val="right" w:leader="dot"/>
            </w:tabs>
            <w:spacing w:line="363" w:lineRule="exact"/>
            <w:ind w:right="0"/>
            <w:jc w:val="left"/>
            <w:rPr>
              <w:rFonts w:ascii="宋体" w:hAnsi="宋体" w:cs="宋体" w:eastAsia="宋体" w:hint="default"/>
            </w:rPr>
          </w:pPr>
          <w:hyperlink w:history="true" w:anchor="_TOC_250001">
            <w:r>
              <w:rPr>
                <w:w w:val="95"/>
              </w:rPr>
              <w:t>第十节</w:t>
              <w:tab/>
            </w:r>
            <w:r>
              <w:rPr/>
              <w:t>财务报告</w:t>
            </w:r>
            <w:r>
              <w:rPr>
                <w:rFonts w:ascii="宋体" w:hAnsi="宋体" w:cs="宋体" w:eastAsia="宋体" w:hint="default"/>
              </w:rPr>
              <w:tab/>
              <w:t>69</w:t>
            </w:r>
          </w:hyperlink>
        </w:p>
        <w:p>
          <w:pPr>
            <w:pStyle w:val="TOC1"/>
            <w:tabs>
              <w:tab w:pos="8969" w:val="right" w:leader="dot"/>
            </w:tabs>
            <w:spacing w:line="364" w:lineRule="exact"/>
            <w:ind w:right="0"/>
            <w:jc w:val="left"/>
            <w:rPr>
              <w:rFonts w:ascii="宋体" w:hAnsi="宋体" w:cs="宋体" w:eastAsia="宋体" w:hint="default"/>
            </w:rPr>
          </w:pPr>
          <w:hyperlink w:history="true" w:anchor="_TOC_250000">
            <w:r>
              <w:rPr/>
              <w:t>第十一节</w:t>
            </w:r>
            <w:r>
              <w:rPr>
                <w:spacing w:val="1"/>
              </w:rPr>
              <w:t> </w:t>
            </w:r>
            <w:r>
              <w:rPr/>
              <w:t>备查文件目录</w:t>
            </w:r>
            <w:r>
              <w:rPr>
                <w:rFonts w:ascii="宋体" w:hAnsi="宋体" w:cs="宋体" w:eastAsia="宋体" w:hint="default"/>
              </w:rPr>
              <w:tab/>
              <w:t>180</w:t>
            </w:r>
          </w:hyperlink>
        </w:p>
        <w:p>
          <w:pPr/>
          <w:r>
            <w:fldChar w:fldCharType="end"/>
          </w:r>
        </w:p>
      </w:sdtContent>
    </w:sdt>
    <w:p>
      <w:pPr>
        <w:spacing w:after="0"/>
        <w:sectPr>
          <w:pgSz w:w="11910" w:h="16840"/>
          <w:pgMar w:header="882" w:footer="1194" w:top="1120" w:bottom="1380" w:left="1380" w:right="1320"/>
        </w:sectPr>
      </w:pPr>
    </w:p>
    <w:p>
      <w:pPr>
        <w:pStyle w:val="Heading1"/>
        <w:tabs>
          <w:tab w:pos="4061" w:val="left" w:leader="none"/>
        </w:tabs>
        <w:spacing w:line="240" w:lineRule="auto" w:before="106"/>
        <w:ind w:left="2800" w:right="101"/>
        <w:jc w:val="left"/>
        <w:rPr>
          <w:b w:val="0"/>
          <w:bCs w:val="0"/>
        </w:rPr>
      </w:pPr>
      <w:bookmarkStart w:name="_TOC_250010" w:id="1"/>
      <w:r>
        <w:rPr>
          <w:w w:val="95"/>
        </w:rPr>
        <w:t>第一节</w:t>
        <w:tab/>
      </w:r>
      <w:r>
        <w:rPr/>
        <w:t>释义及重大风险提示</w:t>
      </w:r>
      <w:bookmarkEnd w:id="1"/>
      <w:r>
        <w:rPr>
          <w:b w:val="0"/>
          <w:bCs w:val="0"/>
        </w:rPr>
      </w:r>
    </w:p>
    <w:p>
      <w:pPr>
        <w:spacing w:line="240" w:lineRule="auto" w:before="5"/>
        <w:rPr>
          <w:rFonts w:ascii="宋体" w:hAnsi="宋体" w:cs="宋体" w:eastAsia="宋体" w:hint="default"/>
          <w:b/>
          <w:bCs/>
          <w:sz w:val="23"/>
          <w:szCs w:val="23"/>
        </w:rPr>
      </w:pPr>
    </w:p>
    <w:p>
      <w:pPr>
        <w:pStyle w:val="Heading2"/>
        <w:spacing w:line="240" w:lineRule="auto" w:before="0"/>
        <w:ind w:left="225" w:right="101"/>
        <w:jc w:val="left"/>
        <w:rPr>
          <w:b w:val="0"/>
          <w:bCs w:val="0"/>
        </w:rPr>
      </w:pPr>
      <w:r>
        <w:rPr/>
        <w:t>一、</w:t>
      </w:r>
      <w:r>
        <w:rPr>
          <w:spacing w:val="-15"/>
        </w:rPr>
        <w:t> </w:t>
      </w:r>
      <w:r>
        <w:rPr/>
        <w:t>释义</w:t>
      </w:r>
      <w:r>
        <w:rPr>
          <w:b w:val="0"/>
          <w:bCs w:val="0"/>
        </w:rPr>
      </w:r>
    </w:p>
    <w:p>
      <w:pPr>
        <w:pStyle w:val="BodyText"/>
        <w:spacing w:line="240" w:lineRule="auto" w:before="118"/>
        <w:ind w:left="705" w:right="101"/>
        <w:jc w:val="left"/>
      </w:pPr>
      <w:r>
        <w:rPr/>
        <w:t>在本报告书中，除非文义另有所指，下列词语具有如下含义：</w:t>
      </w:r>
    </w:p>
    <w:p>
      <w:pPr>
        <w:spacing w:line="240" w:lineRule="auto" w:before="12"/>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2093"/>
        <w:gridCol w:w="851"/>
        <w:gridCol w:w="6105"/>
      </w:tblGrid>
      <w:tr>
        <w:trPr>
          <w:trHeight w:val="282" w:hRule="exact"/>
        </w:trPr>
        <w:tc>
          <w:tcPr>
            <w:tcW w:w="90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556"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本公司、本集团、华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胜天成</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6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北京华胜天成科技股份有限公司</w:t>
            </w:r>
          </w:p>
        </w:tc>
      </w:tr>
      <w:tr>
        <w:trPr>
          <w:trHeight w:val="28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会计师</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6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r>
      <w:tr>
        <w:trPr>
          <w:trHeight w:val="28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华胜软件</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6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北京华胜天成软件技术有限公司，公司控股子公司</w:t>
            </w: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美国公司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6105" w:type="dxa"/>
            <w:tcBorders>
              <w:top w:val="single" w:sz="4" w:space="0" w:color="000000"/>
              <w:left w:val="single" w:sz="4" w:space="0" w:color="000000"/>
              <w:bottom w:val="single" w:sz="4" w:space="0" w:color="000000"/>
              <w:right w:val="single" w:sz="4" w:space="0" w:color="000000"/>
            </w:tcBorders>
          </w:tcPr>
          <w:p>
            <w:pPr>
              <w:pStyle w:val="TableParagraph"/>
              <w:tabs>
                <w:tab w:pos="1047" w:val="left" w:leader="none"/>
              </w:tabs>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Teamax</w:t>
              <w:tab/>
              <w:t>Data</w:t>
            </w:r>
            <w:r>
              <w:rPr>
                <w:rFonts w:ascii="宋体" w:hAnsi="宋体" w:cs="宋体" w:eastAsia="宋体" w:hint="default"/>
                <w:spacing w:val="5"/>
                <w:sz w:val="21"/>
                <w:szCs w:val="21"/>
              </w:rPr>
              <w:t> </w:t>
            </w:r>
            <w:r>
              <w:rPr>
                <w:rFonts w:ascii="宋体" w:hAnsi="宋体" w:cs="宋体" w:eastAsia="宋体" w:hint="default"/>
                <w:sz w:val="21"/>
                <w:szCs w:val="21"/>
              </w:rPr>
              <w:t>Systems,Inc.</w:t>
            </w:r>
            <w:r>
              <w:rPr>
                <w:rFonts w:ascii="宋体" w:hAnsi="宋体" w:cs="宋体" w:eastAsia="宋体" w:hint="default"/>
                <w:sz w:val="21"/>
                <w:szCs w:val="21"/>
              </w:rPr>
              <w:t>华胜天成科技股份有限公司在美国</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注册的子公司即华胜天成科技（美国）有限公司</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6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华胜天成科技（香港）有限公司，公司控股子公司</w:t>
            </w:r>
          </w:p>
        </w:tc>
      </w:tr>
      <w:tr>
        <w:trPr>
          <w:trHeight w:val="28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6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成都华胜天成信息技术有限公司，公司控股子公司</w:t>
            </w:r>
          </w:p>
        </w:tc>
      </w:tr>
      <w:tr>
        <w:trPr>
          <w:trHeight w:val="28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飞杰公司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6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北京飞杰信息技术有限公司，公司控股子公司</w:t>
            </w:r>
          </w:p>
        </w:tc>
      </w:tr>
      <w:tr>
        <w:trPr>
          <w:trHeight w:val="28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交大思源</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6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北京交大思源科技有限公司，公司控股子公司</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6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深圳华胜天成信息技术有限公司，公司控股子公司</w:t>
            </w:r>
          </w:p>
        </w:tc>
      </w:tr>
      <w:tr>
        <w:trPr>
          <w:trHeight w:val="28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浙江兰德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6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浙江兰德纵横网络技术有限公司，公司间接控股子公司</w:t>
            </w:r>
          </w:p>
        </w:tc>
      </w:tr>
      <w:tr>
        <w:trPr>
          <w:trHeight w:val="28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新云东方</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6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北京新云东方系统科技有限责任公司，公司控股子公司</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正明科技</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6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石家庄华胜正明科技有限公司，公司间接控股子公司</w:t>
            </w:r>
          </w:p>
        </w:tc>
      </w:tr>
      <w:tr>
        <w:trPr>
          <w:trHeight w:val="28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I-sprint</w:t>
            </w:r>
            <w:r>
              <w:rPr>
                <w:rFonts w:ascii="宋体" w:hAnsi="宋体" w:cs="宋体" w:eastAsia="宋体" w:hint="default"/>
                <w:spacing w:val="-55"/>
                <w:sz w:val="21"/>
                <w:szCs w:val="21"/>
              </w:rPr>
              <w:t> </w:t>
            </w:r>
            <w:r>
              <w:rPr>
                <w:rFonts w:ascii="宋体" w:hAnsi="宋体" w:cs="宋体" w:eastAsia="宋体" w:hint="default"/>
                <w:sz w:val="21"/>
                <w:szCs w:val="21"/>
              </w:rPr>
              <w:t>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6105" w:type="dxa"/>
            <w:tcBorders>
              <w:top w:val="single" w:sz="4" w:space="0" w:color="000000"/>
              <w:left w:val="single" w:sz="4" w:space="0" w:color="000000"/>
              <w:bottom w:val="single" w:sz="4" w:space="0" w:color="000000"/>
              <w:right w:val="single" w:sz="4" w:space="0" w:color="000000"/>
            </w:tcBorders>
          </w:tcPr>
          <w:p>
            <w:pPr>
              <w:pStyle w:val="TableParagraph"/>
              <w:tabs>
                <w:tab w:pos="1256" w:val="left" w:leader="none"/>
              </w:tabs>
              <w:spacing w:line="240" w:lineRule="exact"/>
              <w:ind w:left="101" w:right="0"/>
              <w:jc w:val="left"/>
              <w:rPr>
                <w:rFonts w:ascii="宋体" w:hAnsi="宋体" w:cs="宋体" w:eastAsia="宋体" w:hint="default"/>
                <w:sz w:val="21"/>
                <w:szCs w:val="21"/>
              </w:rPr>
            </w:pPr>
            <w:r>
              <w:rPr>
                <w:rFonts w:ascii="宋体" w:hAnsi="宋体" w:cs="宋体" w:eastAsia="宋体" w:hint="default"/>
                <w:spacing w:val="-1"/>
                <w:sz w:val="21"/>
                <w:szCs w:val="21"/>
              </w:rPr>
              <w:t>i-Sprint</w:t>
              <w:tab/>
            </w:r>
            <w:r>
              <w:rPr>
                <w:rFonts w:ascii="宋体" w:hAnsi="宋体" w:cs="宋体" w:eastAsia="宋体" w:hint="default"/>
                <w:sz w:val="21"/>
                <w:szCs w:val="21"/>
              </w:rPr>
              <w:t>innovations Pte</w:t>
            </w:r>
            <w:r>
              <w:rPr>
                <w:rFonts w:ascii="宋体" w:hAnsi="宋体" w:cs="宋体" w:eastAsia="宋体" w:hint="default"/>
                <w:spacing w:val="8"/>
                <w:sz w:val="21"/>
                <w:szCs w:val="21"/>
              </w:rPr>
              <w:t> </w:t>
            </w:r>
            <w:r>
              <w:rPr>
                <w:rFonts w:ascii="宋体" w:hAnsi="宋体" w:cs="宋体" w:eastAsia="宋体" w:hint="default"/>
                <w:spacing w:val="-1"/>
                <w:sz w:val="21"/>
                <w:szCs w:val="21"/>
              </w:rPr>
              <w:t>Ltd.</w:t>
            </w:r>
            <w:r>
              <w:rPr>
                <w:rFonts w:ascii="宋体" w:hAnsi="宋体" w:cs="宋体" w:eastAsia="宋体" w:hint="default"/>
                <w:spacing w:val="-1"/>
                <w:sz w:val="21"/>
                <w:szCs w:val="21"/>
              </w:rPr>
              <w:t>，公司参股公司</w:t>
            </w:r>
          </w:p>
        </w:tc>
      </w:tr>
      <w:tr>
        <w:trPr>
          <w:trHeight w:val="28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沃趣科技</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6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杭州沃趣网络科技有限公司，公司间接控股子公司</w:t>
            </w:r>
          </w:p>
        </w:tc>
      </w:tr>
      <w:tr>
        <w:trPr>
          <w:trHeight w:val="28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广州石竹</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6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广州石竹计算机软件有限公司，公司控股子公司</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6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南京华胜天成信息技术有限公司，公司控股子公司</w:t>
            </w:r>
          </w:p>
        </w:tc>
      </w:tr>
      <w:tr>
        <w:trPr>
          <w:trHeight w:val="28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摩卡软件</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6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摩卡软件（天津）有限公司，公司间接控股子公司</w:t>
            </w:r>
          </w:p>
        </w:tc>
      </w:tr>
      <w:tr>
        <w:trPr>
          <w:trHeight w:val="28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ASL</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6105" w:type="dxa"/>
            <w:tcBorders>
              <w:top w:val="single" w:sz="4" w:space="0" w:color="000000"/>
              <w:left w:val="single" w:sz="4" w:space="0" w:color="000000"/>
              <w:bottom w:val="single" w:sz="4" w:space="0" w:color="000000"/>
              <w:right w:val="single" w:sz="4" w:space="0" w:color="000000"/>
            </w:tcBorders>
          </w:tcPr>
          <w:p>
            <w:pPr>
              <w:pStyle w:val="TableParagraph"/>
              <w:tabs>
                <w:tab w:pos="1362" w:val="left" w:leader="none"/>
              </w:tabs>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Automated</w:t>
              <w:tab/>
              <w:t>System Holdings</w:t>
            </w:r>
            <w:r>
              <w:rPr>
                <w:rFonts w:ascii="宋体" w:hAnsi="宋体" w:cs="宋体" w:eastAsia="宋体" w:hint="default"/>
                <w:spacing w:val="-3"/>
                <w:sz w:val="21"/>
                <w:szCs w:val="21"/>
              </w:rPr>
              <w:t> </w:t>
            </w:r>
            <w:r>
              <w:rPr>
                <w:rFonts w:ascii="宋体" w:hAnsi="宋体" w:cs="宋体" w:eastAsia="宋体" w:hint="default"/>
                <w:sz w:val="21"/>
                <w:szCs w:val="21"/>
              </w:rPr>
              <w:t>Limited</w:t>
            </w:r>
            <w:r>
              <w:rPr>
                <w:rFonts w:ascii="宋体" w:hAnsi="宋体" w:cs="宋体" w:eastAsia="宋体" w:hint="default"/>
                <w:sz w:val="21"/>
                <w:szCs w:val="21"/>
              </w:rPr>
              <w:t>，公司间接控股子公司</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长天科技</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6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长天科技有限公司，公司间接控股子公司</w:t>
            </w:r>
          </w:p>
        </w:tc>
      </w:tr>
      <w:tr>
        <w:trPr>
          <w:trHeight w:val="28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华胜租赁</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6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华胜天成（中国）融资租赁有限公司，公司间接控股子公司</w:t>
            </w:r>
          </w:p>
        </w:tc>
      </w:tr>
      <w:tr>
        <w:trPr>
          <w:trHeight w:val="28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Oracle</w:t>
            </w:r>
            <w:r>
              <w:rPr>
                <w:rFonts w:ascii="宋体" w:hAnsi="宋体" w:cs="宋体" w:eastAsia="宋体" w:hint="default"/>
                <w:spacing w:val="-51"/>
                <w:sz w:val="21"/>
                <w:szCs w:val="21"/>
              </w:rPr>
              <w:t> </w:t>
            </w:r>
            <w:r>
              <w:rPr>
                <w:rFonts w:ascii="宋体" w:hAnsi="宋体" w:cs="宋体" w:eastAsia="宋体" w:hint="default"/>
                <w:sz w:val="21"/>
                <w:szCs w:val="21"/>
              </w:rPr>
              <w:t>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6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甲骨文软件系统有限公司，国际知名的数据库系统提供商</w:t>
            </w:r>
          </w:p>
        </w:tc>
      </w:tr>
      <w:tr>
        <w:trPr>
          <w:trHeight w:val="827"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HP</w:t>
            </w:r>
            <w:r>
              <w:rPr>
                <w:rFonts w:ascii="宋体" w:hAnsi="宋体" w:cs="宋体" w:eastAsia="宋体" w:hint="default"/>
                <w:spacing w:val="-52"/>
                <w:sz w:val="21"/>
                <w:szCs w:val="21"/>
              </w:rPr>
              <w:t> </w:t>
            </w:r>
            <w:r>
              <w:rPr>
                <w:rFonts w:ascii="宋体" w:hAnsi="宋体" w:cs="宋体" w:eastAsia="宋体" w:hint="default"/>
                <w:sz w:val="21"/>
                <w:szCs w:val="21"/>
              </w:rPr>
              <w:t>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6105" w:type="dxa"/>
            <w:tcBorders>
              <w:top w:val="single" w:sz="4" w:space="0" w:color="000000"/>
              <w:left w:val="single" w:sz="4" w:space="0" w:color="000000"/>
              <w:bottom w:val="single" w:sz="4" w:space="0" w:color="000000"/>
              <w:right w:val="single" w:sz="4" w:space="0" w:color="000000"/>
            </w:tcBorders>
          </w:tcPr>
          <w:p>
            <w:pPr>
              <w:pStyle w:val="TableParagraph"/>
              <w:tabs>
                <w:tab w:pos="1993" w:val="left" w:leader="none"/>
              </w:tabs>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Hewlett-Packard</w:t>
              <w:tab/>
              <w:t>Development</w:t>
            </w:r>
            <w:r>
              <w:rPr>
                <w:rFonts w:ascii="宋体" w:hAnsi="宋体" w:cs="宋体" w:eastAsia="宋体" w:hint="default"/>
                <w:spacing w:val="4"/>
                <w:sz w:val="21"/>
                <w:szCs w:val="21"/>
              </w:rPr>
              <w:t> </w:t>
            </w:r>
            <w:r>
              <w:rPr>
                <w:rFonts w:ascii="宋体" w:hAnsi="宋体" w:cs="宋体" w:eastAsia="宋体" w:hint="default"/>
                <w:sz w:val="21"/>
                <w:szCs w:val="21"/>
              </w:rPr>
              <w:t>Company,L.P.</w:t>
            </w:r>
            <w:r>
              <w:rPr>
                <w:rFonts w:ascii="宋体" w:hAnsi="宋体" w:cs="宋体" w:eastAsia="宋体" w:hint="default"/>
                <w:sz w:val="21"/>
                <w:szCs w:val="21"/>
              </w:rPr>
              <w:t>，是一家美国的</w:t>
            </w:r>
          </w:p>
          <w:p>
            <w:pPr>
              <w:pStyle w:val="TableParagraph"/>
              <w:spacing w:line="272" w:lineRule="exact" w:before="26"/>
              <w:ind w:left="101" w:right="106"/>
              <w:jc w:val="left"/>
              <w:rPr>
                <w:rFonts w:ascii="宋体" w:hAnsi="宋体" w:cs="宋体" w:eastAsia="宋体" w:hint="default"/>
                <w:sz w:val="21"/>
                <w:szCs w:val="21"/>
              </w:rPr>
            </w:pPr>
            <w:r>
              <w:rPr>
                <w:rFonts w:ascii="宋体" w:hAnsi="宋体" w:cs="宋体" w:eastAsia="宋体" w:hint="default"/>
                <w:sz w:val="21"/>
                <w:szCs w:val="21"/>
              </w:rPr>
              <w:t>资讯科技公司，主要专注于生产打印机、数码影像、软件、计算</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机与资讯服务等业务</w:t>
            </w:r>
          </w:p>
        </w:tc>
      </w:tr>
      <w:tr>
        <w:trPr>
          <w:trHeight w:val="828"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CISCO</w:t>
            </w:r>
            <w:r>
              <w:rPr>
                <w:rFonts w:ascii="宋体" w:hAnsi="宋体" w:cs="宋体" w:eastAsia="宋体" w:hint="default"/>
                <w:spacing w:val="-52"/>
                <w:sz w:val="21"/>
                <w:szCs w:val="21"/>
              </w:rPr>
              <w:t> </w:t>
            </w:r>
            <w:r>
              <w:rPr>
                <w:rFonts w:ascii="宋体" w:hAnsi="宋体" w:cs="宋体" w:eastAsia="宋体" w:hint="default"/>
                <w:sz w:val="21"/>
                <w:szCs w:val="21"/>
              </w:rPr>
              <w:t>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6105" w:type="dxa"/>
            <w:tcBorders>
              <w:top w:val="single" w:sz="4" w:space="0" w:color="000000"/>
              <w:left w:val="single" w:sz="4" w:space="0" w:color="000000"/>
              <w:bottom w:val="single" w:sz="4" w:space="0" w:color="000000"/>
              <w:right w:val="single" w:sz="4" w:space="0" w:color="000000"/>
            </w:tcBorders>
          </w:tcPr>
          <w:p>
            <w:pPr>
              <w:pStyle w:val="TableParagraph"/>
              <w:tabs>
                <w:tab w:pos="2397" w:val="left" w:leader="none"/>
              </w:tabs>
              <w:spacing w:line="240"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思科系统公司（</w:t>
            </w:r>
            <w:r>
              <w:rPr>
                <w:rFonts w:ascii="宋体" w:hAnsi="宋体" w:cs="宋体" w:eastAsia="宋体" w:hint="default"/>
                <w:spacing w:val="-2"/>
                <w:sz w:val="21"/>
                <w:szCs w:val="21"/>
              </w:rPr>
              <w:t>Cisco</w:t>
              <w:tab/>
            </w:r>
            <w:r>
              <w:rPr>
                <w:rFonts w:ascii="宋体" w:hAnsi="宋体" w:cs="宋体" w:eastAsia="宋体" w:hint="default"/>
                <w:sz w:val="21"/>
                <w:szCs w:val="21"/>
              </w:rPr>
              <w:t>Systems,</w:t>
            </w:r>
            <w:r>
              <w:rPr>
                <w:rFonts w:ascii="宋体" w:hAnsi="宋体" w:cs="宋体" w:eastAsia="宋体" w:hint="default"/>
                <w:spacing w:val="-41"/>
                <w:sz w:val="21"/>
                <w:szCs w:val="21"/>
              </w:rPr>
              <w:t> </w:t>
            </w:r>
            <w:r>
              <w:rPr>
                <w:rFonts w:ascii="宋体" w:hAnsi="宋体" w:cs="宋体" w:eastAsia="宋体" w:hint="default"/>
                <w:spacing w:val="-3"/>
                <w:sz w:val="21"/>
                <w:szCs w:val="21"/>
              </w:rPr>
              <w:t>Inc.</w:t>
            </w:r>
            <w:r>
              <w:rPr>
                <w:rFonts w:ascii="宋体" w:hAnsi="宋体" w:cs="宋体" w:eastAsia="宋体" w:hint="default"/>
                <w:spacing w:val="-3"/>
                <w:sz w:val="21"/>
                <w:szCs w:val="21"/>
              </w:rPr>
              <w:t>），是一家美国互联网解</w:t>
            </w:r>
          </w:p>
          <w:p>
            <w:pPr>
              <w:pStyle w:val="TableParagraph"/>
              <w:spacing w:line="272" w:lineRule="exact" w:before="26"/>
              <w:ind w:left="101" w:right="106"/>
              <w:jc w:val="left"/>
              <w:rPr>
                <w:rFonts w:ascii="宋体" w:hAnsi="宋体" w:cs="宋体" w:eastAsia="宋体" w:hint="default"/>
                <w:sz w:val="21"/>
                <w:szCs w:val="21"/>
              </w:rPr>
            </w:pPr>
            <w:r>
              <w:rPr>
                <w:rFonts w:ascii="宋体" w:hAnsi="宋体" w:cs="宋体" w:eastAsia="宋体" w:hint="default"/>
                <w:sz w:val="21"/>
                <w:szCs w:val="21"/>
              </w:rPr>
              <w:t>决方案的领先提供者，主要专注于网络建设的各个部分，如路由</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器、交换机等。</w:t>
            </w: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IBM</w:t>
            </w:r>
            <w:r>
              <w:rPr>
                <w:rFonts w:ascii="宋体" w:hAnsi="宋体" w:cs="宋体" w:eastAsia="宋体" w:hint="default"/>
                <w:spacing w:val="-52"/>
                <w:sz w:val="21"/>
                <w:szCs w:val="21"/>
              </w:rPr>
              <w:t> </w:t>
            </w:r>
            <w:r>
              <w:rPr>
                <w:rFonts w:ascii="宋体" w:hAnsi="宋体" w:cs="宋体" w:eastAsia="宋体" w:hint="default"/>
                <w:sz w:val="21"/>
                <w:szCs w:val="21"/>
              </w:rPr>
              <w:t>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6105" w:type="dxa"/>
            <w:tcBorders>
              <w:top w:val="single" w:sz="4" w:space="0" w:color="000000"/>
              <w:left w:val="single" w:sz="4" w:space="0" w:color="000000"/>
              <w:bottom w:val="single" w:sz="4" w:space="0" w:color="000000"/>
              <w:right w:val="single" w:sz="4" w:space="0" w:color="000000"/>
            </w:tcBorders>
          </w:tcPr>
          <w:p>
            <w:pPr>
              <w:pStyle w:val="TableParagraph"/>
              <w:tabs>
                <w:tab w:pos="1783" w:val="left" w:leader="none"/>
              </w:tabs>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International</w:t>
              <w:tab/>
              <w:t>Business Machines Corporation</w:t>
            </w:r>
            <w:r>
              <w:rPr>
                <w:rFonts w:ascii="宋体" w:hAnsi="宋体" w:cs="宋体" w:eastAsia="宋体" w:hint="default"/>
                <w:spacing w:val="4"/>
                <w:sz w:val="21"/>
                <w:szCs w:val="21"/>
              </w:rPr>
              <w:t> </w:t>
            </w:r>
            <w:r>
              <w:rPr>
                <w:rFonts w:ascii="宋体" w:hAnsi="宋体" w:cs="宋体" w:eastAsia="宋体" w:hint="default"/>
                <w:sz w:val="21"/>
                <w:szCs w:val="21"/>
              </w:rPr>
              <w:t>即国际商业</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机器公司，或万国商业机器公司的简称</w:t>
            </w: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IaaS</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610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基础设施即服务消费者通过 </w:t>
            </w:r>
            <w:r>
              <w:rPr>
                <w:rFonts w:ascii="宋体" w:hAnsi="宋体" w:cs="宋体" w:eastAsia="宋体" w:hint="default"/>
                <w:sz w:val="21"/>
                <w:szCs w:val="21"/>
              </w:rPr>
              <w:t>Internet</w:t>
            </w:r>
            <w:r>
              <w:rPr>
                <w:rFonts w:ascii="宋体" w:hAnsi="宋体" w:cs="宋体" w:eastAsia="宋体" w:hint="default"/>
                <w:spacing w:val="7"/>
                <w:sz w:val="21"/>
                <w:szCs w:val="21"/>
              </w:rPr>
              <w:t> </w:t>
            </w:r>
            <w:r>
              <w:rPr>
                <w:rFonts w:ascii="宋体" w:hAnsi="宋体" w:cs="宋体" w:eastAsia="宋体" w:hint="default"/>
                <w:sz w:val="21"/>
                <w:szCs w:val="21"/>
              </w:rPr>
              <w:t>可以从完善的计算机基础</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设施获得服务</w:t>
            </w:r>
          </w:p>
        </w:tc>
      </w:tr>
      <w:tr>
        <w:trPr>
          <w:trHeight w:val="28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PaaS</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6105" w:type="dxa"/>
            <w:tcBorders>
              <w:top w:val="single" w:sz="4" w:space="0" w:color="000000"/>
              <w:left w:val="single" w:sz="4" w:space="0" w:color="000000"/>
              <w:bottom w:val="single" w:sz="4" w:space="0" w:color="000000"/>
              <w:right w:val="single" w:sz="4" w:space="0" w:color="000000"/>
            </w:tcBorders>
          </w:tcPr>
          <w:p>
            <w:pPr>
              <w:pStyle w:val="TableParagraph"/>
              <w:tabs>
                <w:tab w:pos="1256" w:val="left" w:leader="none"/>
              </w:tabs>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Platform</w:t>
              <w:tab/>
              <w:t>as a Service</w:t>
            </w:r>
            <w:r>
              <w:rPr>
                <w:rFonts w:ascii="宋体" w:hAnsi="宋体" w:cs="宋体" w:eastAsia="宋体" w:hint="default"/>
                <w:spacing w:val="-55"/>
                <w:sz w:val="21"/>
                <w:szCs w:val="21"/>
              </w:rPr>
              <w:t> </w:t>
            </w:r>
            <w:r>
              <w:rPr>
                <w:rFonts w:ascii="宋体" w:hAnsi="宋体" w:cs="宋体" w:eastAsia="宋体" w:hint="default"/>
                <w:sz w:val="21"/>
                <w:szCs w:val="21"/>
              </w:rPr>
              <w:t>将软件研发的平台作为一种服务</w:t>
            </w:r>
          </w:p>
        </w:tc>
      </w:tr>
      <w:tr>
        <w:trPr>
          <w:trHeight w:val="556"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SaaS</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6105" w:type="dxa"/>
            <w:tcBorders>
              <w:top w:val="single" w:sz="4" w:space="0" w:color="000000"/>
              <w:left w:val="single" w:sz="4" w:space="0" w:color="000000"/>
              <w:bottom w:val="single" w:sz="4" w:space="0" w:color="000000"/>
              <w:right w:val="single" w:sz="4" w:space="0" w:color="000000"/>
            </w:tcBorders>
          </w:tcPr>
          <w:p>
            <w:pPr>
              <w:pStyle w:val="TableParagraph"/>
              <w:tabs>
                <w:tab w:pos="1259" w:val="left" w:leader="none"/>
              </w:tabs>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Software</w:t>
              <w:tab/>
              <w:t>as a service</w:t>
            </w:r>
            <w:r>
              <w:rPr>
                <w:rFonts w:ascii="宋体" w:hAnsi="宋体" w:cs="宋体" w:eastAsia="宋体" w:hint="default"/>
                <w:spacing w:val="5"/>
                <w:sz w:val="21"/>
                <w:szCs w:val="21"/>
              </w:rPr>
              <w:t> </w:t>
            </w:r>
            <w:r>
              <w:rPr>
                <w:rFonts w:ascii="宋体" w:hAnsi="宋体" w:cs="宋体" w:eastAsia="宋体" w:hint="default"/>
                <w:sz w:val="21"/>
                <w:szCs w:val="21"/>
              </w:rPr>
              <w:t>的意思是软件即服务，是基于互联网</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提供软件服务的软件应用模式</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2"/>
        <w:spacing w:line="240" w:lineRule="auto"/>
        <w:ind w:left="225" w:right="101"/>
        <w:jc w:val="left"/>
        <w:rPr>
          <w:b w:val="0"/>
          <w:bCs w:val="0"/>
        </w:rPr>
      </w:pPr>
      <w:r>
        <w:rPr/>
        <w:t>二、</w:t>
      </w:r>
      <w:r>
        <w:rPr>
          <w:spacing w:val="-21"/>
        </w:rPr>
        <w:t> </w:t>
      </w:r>
      <w:r>
        <w:rPr/>
        <w:t>重大风险提示</w:t>
      </w:r>
      <w:r>
        <w:rPr>
          <w:b w:val="0"/>
          <w:bCs w:val="0"/>
        </w:rPr>
      </w:r>
    </w:p>
    <w:p>
      <w:pPr>
        <w:pStyle w:val="BodyText"/>
        <w:spacing w:line="310" w:lineRule="exact" w:before="150"/>
        <w:ind w:left="225" w:right="101" w:firstLine="420"/>
        <w:jc w:val="left"/>
      </w:pPr>
      <w:r>
        <w:rPr/>
        <w:t>详见“第四节 董事会报告”、“二、董事会关于公司未来发展的讨论与分析”、 “（五）可能面对的风险”。</w:t>
      </w:r>
    </w:p>
    <w:p>
      <w:pPr>
        <w:spacing w:after="0" w:line="310" w:lineRule="exact"/>
        <w:jc w:val="left"/>
        <w:sectPr>
          <w:pgSz w:w="11910" w:h="16840"/>
          <w:pgMar w:header="882" w:footer="1194" w:top="1120" w:bottom="1380" w:left="1300" w:right="1320"/>
        </w:sectPr>
      </w:pPr>
    </w:p>
    <w:p>
      <w:pPr>
        <w:pStyle w:val="Heading1"/>
        <w:tabs>
          <w:tab w:pos="1260" w:val="left" w:leader="none"/>
        </w:tabs>
        <w:spacing w:line="240" w:lineRule="auto" w:before="106"/>
        <w:ind w:right="12"/>
        <w:jc w:val="center"/>
        <w:rPr>
          <w:b w:val="0"/>
          <w:bCs w:val="0"/>
        </w:rPr>
      </w:pPr>
      <w:bookmarkStart w:name="_TOC_250009" w:id="2"/>
      <w:r>
        <w:rPr>
          <w:w w:val="95"/>
        </w:rPr>
        <w:t>第二节</w:t>
        <w:tab/>
      </w:r>
      <w:r>
        <w:rPr/>
        <w:t>公司简介</w:t>
      </w:r>
      <w:bookmarkEnd w:id="2"/>
      <w:r>
        <w:rPr>
          <w:b w:val="0"/>
          <w:bCs w:val="0"/>
        </w:rPr>
      </w:r>
    </w:p>
    <w:p>
      <w:pPr>
        <w:spacing w:line="240" w:lineRule="auto" w:before="5"/>
        <w:rPr>
          <w:rFonts w:ascii="宋体" w:hAnsi="宋体" w:cs="宋体" w:eastAsia="宋体" w:hint="default"/>
          <w:b/>
          <w:bCs/>
          <w:sz w:val="21"/>
          <w:szCs w:val="21"/>
        </w:rPr>
      </w:pPr>
    </w:p>
    <w:p>
      <w:pPr>
        <w:spacing w:before="26"/>
        <w:ind w:left="145" w:right="201" w:firstLine="0"/>
        <w:jc w:val="left"/>
        <w:rPr>
          <w:rFonts w:ascii="宋体" w:hAnsi="宋体" w:cs="宋体" w:eastAsia="宋体" w:hint="default"/>
          <w:sz w:val="24"/>
          <w:szCs w:val="24"/>
        </w:rPr>
      </w:pPr>
      <w:r>
        <w:rPr>
          <w:rFonts w:ascii="宋体" w:hAnsi="宋体" w:cs="宋体" w:eastAsia="宋体" w:hint="default"/>
          <w:b/>
          <w:bCs/>
          <w:sz w:val="21"/>
          <w:szCs w:val="21"/>
        </w:rPr>
        <w:t>一、</w:t>
      </w:r>
      <w:r>
        <w:rPr>
          <w:rFonts w:ascii="宋体" w:hAnsi="宋体" w:cs="宋体" w:eastAsia="宋体" w:hint="default"/>
          <w:b/>
          <w:bCs/>
          <w:spacing w:val="38"/>
          <w:sz w:val="21"/>
          <w:szCs w:val="21"/>
        </w:rPr>
        <w:t> </w:t>
      </w:r>
      <w:r>
        <w:rPr>
          <w:rFonts w:ascii="宋体" w:hAnsi="宋体" w:cs="宋体" w:eastAsia="宋体" w:hint="default"/>
          <w:b/>
          <w:bCs/>
          <w:sz w:val="24"/>
          <w:szCs w:val="24"/>
        </w:rPr>
        <w:t>公司信息</w:t>
      </w:r>
      <w:r>
        <w:rPr>
          <w:rFonts w:ascii="宋体" w:hAnsi="宋体" w:cs="宋体" w:eastAsia="宋体" w:hint="default"/>
          <w:sz w:val="24"/>
          <w:szCs w:val="24"/>
        </w:rPr>
      </w:r>
    </w:p>
    <w:p>
      <w:pPr>
        <w:spacing w:line="240" w:lineRule="auto" w:before="0"/>
        <w:rPr>
          <w:rFonts w:ascii="宋体" w:hAnsi="宋体" w:cs="宋体" w:eastAsia="宋体" w:hint="default"/>
          <w:b/>
          <w:bCs/>
          <w:sz w:val="12"/>
          <w:szCs w:val="12"/>
        </w:rPr>
      </w:pPr>
    </w:p>
    <w:tbl>
      <w:tblPr>
        <w:tblW w:w="0" w:type="auto"/>
        <w:jc w:val="left"/>
        <w:tblInd w:w="110" w:type="dxa"/>
        <w:tblLayout w:type="fixed"/>
        <w:tblCellMar>
          <w:top w:w="0" w:type="dxa"/>
          <w:left w:w="0" w:type="dxa"/>
          <w:bottom w:w="0" w:type="dxa"/>
          <w:right w:w="0" w:type="dxa"/>
        </w:tblCellMar>
        <w:tblLook w:val="01E0"/>
      </w:tblPr>
      <w:tblGrid>
        <w:gridCol w:w="3906"/>
        <w:gridCol w:w="5097"/>
      </w:tblGrid>
      <w:tr>
        <w:trPr>
          <w:trHeight w:val="302"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北京华胜天成科技股份有限公司</w:t>
            </w:r>
          </w:p>
        </w:tc>
      </w:tr>
      <w:tr>
        <w:trPr>
          <w:trHeight w:val="304"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华胜天成</w:t>
            </w:r>
          </w:p>
        </w:tc>
      </w:tr>
      <w:tr>
        <w:trPr>
          <w:trHeight w:val="302"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BEIJING TEAMSUN TECHNOLOGY CO.,</w:t>
            </w:r>
            <w:r>
              <w:rPr>
                <w:rFonts w:ascii="宋体"/>
                <w:spacing w:val="-2"/>
                <w:sz w:val="21"/>
              </w:rPr>
              <w:t> </w:t>
            </w:r>
            <w:r>
              <w:rPr>
                <w:rFonts w:ascii="宋体"/>
                <w:sz w:val="21"/>
              </w:rPr>
              <w:t>LTD.</w:t>
            </w:r>
          </w:p>
        </w:tc>
      </w:tr>
      <w:tr>
        <w:trPr>
          <w:trHeight w:val="304"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Teamsun</w:t>
            </w:r>
          </w:p>
        </w:tc>
      </w:tr>
      <w:tr>
        <w:trPr>
          <w:trHeight w:val="302"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6" w:right="0"/>
              <w:jc w:val="left"/>
              <w:rPr>
                <w:rFonts w:ascii="宋体" w:hAnsi="宋体" w:cs="宋体" w:eastAsia="宋体" w:hint="default"/>
                <w:sz w:val="21"/>
                <w:szCs w:val="21"/>
              </w:rPr>
            </w:pPr>
            <w:r>
              <w:rPr>
                <w:rFonts w:ascii="宋体" w:hAnsi="宋体" w:cs="宋体" w:eastAsia="宋体" w:hint="default"/>
                <w:sz w:val="21"/>
                <w:szCs w:val="21"/>
              </w:rPr>
              <w:t>王维航</w:t>
            </w:r>
          </w:p>
        </w:tc>
      </w:tr>
      <w:tr>
        <w:trPr>
          <w:trHeight w:val="304" w:hRule="exact"/>
        </w:trPr>
        <w:tc>
          <w:tcPr>
            <w:tcW w:w="3906" w:type="dxa"/>
            <w:tcBorders>
              <w:top w:val="single" w:sz="4" w:space="0" w:color="000000"/>
              <w:left w:val="single" w:sz="4" w:space="0" w:color="000000"/>
              <w:bottom w:val="single" w:sz="4" w:space="0" w:color="000000"/>
              <w:right w:val="single" w:sz="4" w:space="0" w:color="000000"/>
            </w:tcBorders>
          </w:tcPr>
          <w:p>
            <w:pPr/>
          </w:p>
        </w:tc>
        <w:tc>
          <w:tcPr>
            <w:tcW w:w="5097"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3906" w:type="dxa"/>
            <w:tcBorders>
              <w:top w:val="single" w:sz="4" w:space="0" w:color="000000"/>
              <w:left w:val="single" w:sz="4" w:space="0" w:color="000000"/>
              <w:bottom w:val="single" w:sz="4" w:space="0" w:color="000000"/>
              <w:right w:val="single" w:sz="4" w:space="0" w:color="000000"/>
            </w:tcBorders>
          </w:tcPr>
          <w:p>
            <w:pPr/>
          </w:p>
        </w:tc>
        <w:tc>
          <w:tcPr>
            <w:tcW w:w="50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spacing w:before="26"/>
        <w:ind w:left="145" w:right="201" w:firstLine="0"/>
        <w:jc w:val="left"/>
        <w:rPr>
          <w:rFonts w:ascii="宋体" w:hAnsi="宋体" w:cs="宋体" w:eastAsia="宋体" w:hint="default"/>
          <w:sz w:val="24"/>
          <w:szCs w:val="24"/>
        </w:rPr>
      </w:pPr>
      <w:r>
        <w:rPr>
          <w:rFonts w:ascii="宋体" w:hAnsi="宋体" w:cs="宋体" w:eastAsia="宋体" w:hint="default"/>
          <w:b/>
          <w:bCs/>
          <w:sz w:val="21"/>
          <w:szCs w:val="21"/>
        </w:rPr>
        <w:t>二、</w:t>
      </w:r>
      <w:r>
        <w:rPr>
          <w:rFonts w:ascii="宋体" w:hAnsi="宋体" w:cs="宋体" w:eastAsia="宋体" w:hint="default"/>
          <w:b/>
          <w:bCs/>
          <w:spacing w:val="30"/>
          <w:sz w:val="21"/>
          <w:szCs w:val="21"/>
        </w:rPr>
        <w:t> </w:t>
      </w:r>
      <w:r>
        <w:rPr>
          <w:rFonts w:ascii="宋体" w:hAnsi="宋体" w:cs="宋体" w:eastAsia="宋体" w:hint="default"/>
          <w:b/>
          <w:bCs/>
          <w:sz w:val="24"/>
          <w:szCs w:val="24"/>
        </w:rPr>
        <w:t>联系人和联系方式</w:t>
      </w:r>
      <w:r>
        <w:rPr>
          <w:rFonts w:ascii="宋体" w:hAnsi="宋体" w:cs="宋体" w:eastAsia="宋体" w:hint="default"/>
          <w:sz w:val="24"/>
          <w:szCs w:val="24"/>
        </w:rPr>
      </w:r>
    </w:p>
    <w:p>
      <w:pPr>
        <w:spacing w:line="240" w:lineRule="auto" w:before="0"/>
        <w:rPr>
          <w:rFonts w:ascii="宋体" w:hAnsi="宋体" w:cs="宋体" w:eastAsia="宋体" w:hint="default"/>
          <w:b/>
          <w:bCs/>
          <w:sz w:val="12"/>
          <w:szCs w:val="12"/>
        </w:rPr>
      </w:pPr>
    </w:p>
    <w:tbl>
      <w:tblPr>
        <w:tblW w:w="0" w:type="auto"/>
        <w:jc w:val="left"/>
        <w:tblInd w:w="110" w:type="dxa"/>
        <w:tblLayout w:type="fixed"/>
        <w:tblCellMar>
          <w:top w:w="0" w:type="dxa"/>
          <w:left w:w="0" w:type="dxa"/>
          <w:bottom w:w="0" w:type="dxa"/>
          <w:right w:w="0" w:type="dxa"/>
        </w:tblCellMar>
        <w:tblLook w:val="01E0"/>
      </w:tblPr>
      <w:tblGrid>
        <w:gridCol w:w="2999"/>
        <w:gridCol w:w="3002"/>
        <w:gridCol w:w="3002"/>
      </w:tblGrid>
      <w:tr>
        <w:trPr>
          <w:trHeight w:val="282" w:hRule="exact"/>
        </w:trPr>
        <w:tc>
          <w:tcPr>
            <w:tcW w:w="2999" w:type="dxa"/>
            <w:tcBorders>
              <w:top w:val="single" w:sz="4" w:space="0" w:color="000000"/>
              <w:left w:val="single" w:sz="4" w:space="0" w:color="000000"/>
              <w:bottom w:val="single" w:sz="4" w:space="0" w:color="000000"/>
              <w:right w:val="single" w:sz="4" w:space="0" w:color="000000"/>
            </w:tcBorders>
          </w:tcPr>
          <w:p>
            <w:pP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71"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65"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2"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代双珠</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张月英</w:t>
            </w:r>
          </w:p>
        </w:tc>
      </w:tr>
      <w:tr>
        <w:trPr>
          <w:trHeight w:val="556"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北京市海淀区学清路</w:t>
            </w:r>
            <w:r>
              <w:rPr>
                <w:rFonts w:ascii="宋体" w:hAnsi="宋体" w:cs="宋体" w:eastAsia="宋体" w:hint="default"/>
                <w:sz w:val="21"/>
                <w:szCs w:val="21"/>
              </w:rPr>
              <w:t>8</w:t>
            </w:r>
            <w:r>
              <w:rPr>
                <w:rFonts w:ascii="宋体" w:hAnsi="宋体" w:cs="宋体" w:eastAsia="宋体" w:hint="default"/>
                <w:sz w:val="21"/>
                <w:szCs w:val="21"/>
              </w:rPr>
              <w:t>号科技财</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富中心</w:t>
            </w:r>
            <w:r>
              <w:rPr>
                <w:rFonts w:ascii="宋体" w:hAnsi="宋体" w:cs="宋体" w:eastAsia="宋体" w:hint="default"/>
                <w:sz w:val="21"/>
                <w:szCs w:val="21"/>
              </w:rPr>
              <w:t>A</w:t>
            </w:r>
            <w:r>
              <w:rPr>
                <w:rFonts w:ascii="宋体" w:hAnsi="宋体" w:cs="宋体" w:eastAsia="宋体" w:hint="default"/>
                <w:sz w:val="21"/>
                <w:szCs w:val="21"/>
              </w:rPr>
              <w:t>座</w:t>
            </w:r>
            <w:r>
              <w:rPr>
                <w:rFonts w:ascii="宋体" w:hAnsi="宋体" w:cs="宋体" w:eastAsia="宋体" w:hint="default"/>
                <w:sz w:val="21"/>
                <w:szCs w:val="21"/>
              </w:rPr>
              <w:t>10-11</w:t>
            </w:r>
            <w:r>
              <w:rPr>
                <w:rFonts w:ascii="宋体" w:hAnsi="宋体" w:cs="宋体" w:eastAsia="宋体" w:hint="default"/>
                <w:sz w:val="21"/>
                <w:szCs w:val="21"/>
              </w:rPr>
              <w:t>层</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北京市海淀区学清路</w:t>
            </w:r>
            <w:r>
              <w:rPr>
                <w:rFonts w:ascii="宋体" w:hAnsi="宋体" w:cs="宋体" w:eastAsia="宋体" w:hint="default"/>
                <w:sz w:val="21"/>
                <w:szCs w:val="21"/>
              </w:rPr>
              <w:t>8</w:t>
            </w:r>
            <w:r>
              <w:rPr>
                <w:rFonts w:ascii="宋体" w:hAnsi="宋体" w:cs="宋体" w:eastAsia="宋体" w:hint="default"/>
                <w:sz w:val="21"/>
                <w:szCs w:val="21"/>
              </w:rPr>
              <w:t>号科技财</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富中心</w:t>
            </w:r>
            <w:r>
              <w:rPr>
                <w:rFonts w:ascii="宋体" w:hAnsi="宋体" w:cs="宋体" w:eastAsia="宋体" w:hint="default"/>
                <w:sz w:val="21"/>
                <w:szCs w:val="21"/>
              </w:rPr>
              <w:t>A</w:t>
            </w:r>
            <w:r>
              <w:rPr>
                <w:rFonts w:ascii="宋体" w:hAnsi="宋体" w:cs="宋体" w:eastAsia="宋体" w:hint="default"/>
                <w:sz w:val="21"/>
                <w:szCs w:val="21"/>
              </w:rPr>
              <w:t>座</w:t>
            </w:r>
            <w:r>
              <w:rPr>
                <w:rFonts w:ascii="宋体" w:hAnsi="宋体" w:cs="宋体" w:eastAsia="宋体" w:hint="default"/>
                <w:sz w:val="21"/>
                <w:szCs w:val="21"/>
              </w:rPr>
              <w:t>10-11</w:t>
            </w:r>
            <w:r>
              <w:rPr>
                <w:rFonts w:ascii="宋体" w:hAnsi="宋体" w:cs="宋体" w:eastAsia="宋体" w:hint="default"/>
                <w:sz w:val="21"/>
                <w:szCs w:val="21"/>
              </w:rPr>
              <w:t>层</w:t>
            </w:r>
          </w:p>
        </w:tc>
      </w:tr>
      <w:tr>
        <w:trPr>
          <w:trHeight w:val="282"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010</w:t>
            </w:r>
            <w:r>
              <w:rPr>
                <w:rFonts w:ascii="宋体" w:hAnsi="宋体" w:cs="宋体" w:eastAsia="宋体" w:hint="default"/>
                <w:sz w:val="21"/>
                <w:szCs w:val="21"/>
              </w:rPr>
              <w:t>—</w:t>
            </w:r>
            <w:r>
              <w:rPr>
                <w:rFonts w:ascii="宋体" w:hAnsi="宋体" w:cs="宋体" w:eastAsia="宋体" w:hint="default"/>
                <w:sz w:val="21"/>
                <w:szCs w:val="21"/>
              </w:rPr>
              <w:t>82733988</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010</w:t>
            </w:r>
            <w:r>
              <w:rPr>
                <w:rFonts w:ascii="宋体" w:hAnsi="宋体" w:cs="宋体" w:eastAsia="宋体" w:hint="default"/>
                <w:sz w:val="21"/>
                <w:szCs w:val="21"/>
              </w:rPr>
              <w:t>—</w:t>
            </w:r>
            <w:r>
              <w:rPr>
                <w:rFonts w:ascii="宋体" w:hAnsi="宋体" w:cs="宋体" w:eastAsia="宋体" w:hint="default"/>
                <w:sz w:val="21"/>
                <w:szCs w:val="21"/>
              </w:rPr>
              <w:t>82733988</w:t>
            </w:r>
          </w:p>
        </w:tc>
      </w:tr>
      <w:tr>
        <w:trPr>
          <w:trHeight w:val="282"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010</w:t>
            </w:r>
            <w:r>
              <w:rPr>
                <w:rFonts w:ascii="宋体" w:hAnsi="宋体" w:cs="宋体" w:eastAsia="宋体" w:hint="default"/>
                <w:sz w:val="21"/>
                <w:szCs w:val="21"/>
              </w:rPr>
              <w:t>—</w:t>
            </w:r>
            <w:r>
              <w:rPr>
                <w:rFonts w:ascii="宋体" w:hAnsi="宋体" w:cs="宋体" w:eastAsia="宋体" w:hint="default"/>
                <w:sz w:val="21"/>
                <w:szCs w:val="21"/>
              </w:rPr>
              <w:t>82733666</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010</w:t>
            </w:r>
            <w:r>
              <w:rPr>
                <w:rFonts w:ascii="宋体" w:hAnsi="宋体" w:cs="宋体" w:eastAsia="宋体" w:hint="default"/>
                <w:sz w:val="21"/>
                <w:szCs w:val="21"/>
              </w:rPr>
              <w:t>—</w:t>
            </w:r>
            <w:r>
              <w:rPr>
                <w:rFonts w:ascii="宋体" w:hAnsi="宋体" w:cs="宋体" w:eastAsia="宋体" w:hint="default"/>
                <w:sz w:val="21"/>
                <w:szCs w:val="21"/>
              </w:rPr>
              <w:t>82733666</w:t>
            </w:r>
          </w:p>
        </w:tc>
      </w:tr>
      <w:tr>
        <w:trPr>
          <w:trHeight w:val="283"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7">
              <w:r>
                <w:rPr>
                  <w:rFonts w:ascii="宋体"/>
                  <w:sz w:val="21"/>
                </w:rPr>
                <w:t>securities@teamsun.com.cn</w:t>
              </w:r>
            </w:hyperlink>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7">
              <w:r>
                <w:rPr>
                  <w:rFonts w:ascii="宋体"/>
                  <w:sz w:val="21"/>
                </w:rPr>
                <w:t>securities@teamsun.com.cn</w:t>
              </w:r>
            </w:hyperlink>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spacing w:before="26"/>
        <w:ind w:left="145" w:right="201" w:firstLine="0"/>
        <w:jc w:val="left"/>
        <w:rPr>
          <w:rFonts w:ascii="宋体" w:hAnsi="宋体" w:cs="宋体" w:eastAsia="宋体" w:hint="default"/>
          <w:sz w:val="24"/>
          <w:szCs w:val="24"/>
        </w:rPr>
      </w:pPr>
      <w:r>
        <w:rPr>
          <w:rFonts w:ascii="宋体" w:hAnsi="宋体" w:cs="宋体" w:eastAsia="宋体" w:hint="default"/>
          <w:b/>
          <w:bCs/>
          <w:sz w:val="21"/>
          <w:szCs w:val="21"/>
        </w:rPr>
        <w:t>三、</w:t>
      </w:r>
      <w:r>
        <w:rPr>
          <w:rFonts w:ascii="宋体" w:hAnsi="宋体" w:cs="宋体" w:eastAsia="宋体" w:hint="default"/>
          <w:b/>
          <w:bCs/>
          <w:spacing w:val="-35"/>
          <w:sz w:val="21"/>
          <w:szCs w:val="21"/>
        </w:rPr>
        <w:t> </w:t>
      </w:r>
      <w:r>
        <w:rPr>
          <w:rFonts w:ascii="宋体" w:hAnsi="宋体" w:cs="宋体" w:eastAsia="宋体" w:hint="default"/>
          <w:b/>
          <w:bCs/>
          <w:sz w:val="24"/>
          <w:szCs w:val="24"/>
        </w:rPr>
        <w:t>基本情况简介</w:t>
      </w:r>
      <w:r>
        <w:rPr>
          <w:rFonts w:ascii="宋体" w:hAnsi="宋体" w:cs="宋体" w:eastAsia="宋体" w:hint="default"/>
          <w:sz w:val="24"/>
          <w:szCs w:val="24"/>
        </w:rPr>
      </w:r>
    </w:p>
    <w:p>
      <w:pPr>
        <w:spacing w:line="240" w:lineRule="auto" w:before="12"/>
        <w:rPr>
          <w:rFonts w:ascii="宋体" w:hAnsi="宋体" w:cs="宋体" w:eastAsia="宋体" w:hint="default"/>
          <w:b/>
          <w:bCs/>
          <w:sz w:val="11"/>
          <w:szCs w:val="11"/>
        </w:rPr>
      </w:pPr>
    </w:p>
    <w:tbl>
      <w:tblPr>
        <w:tblW w:w="0" w:type="auto"/>
        <w:jc w:val="left"/>
        <w:tblInd w:w="110" w:type="dxa"/>
        <w:tblLayout w:type="fixed"/>
        <w:tblCellMar>
          <w:top w:w="0" w:type="dxa"/>
          <w:left w:w="0" w:type="dxa"/>
          <w:bottom w:w="0" w:type="dxa"/>
          <w:right w:w="0" w:type="dxa"/>
        </w:tblCellMar>
        <w:tblLook w:val="01E0"/>
      </w:tblPr>
      <w:tblGrid>
        <w:gridCol w:w="3906"/>
        <w:gridCol w:w="5097"/>
      </w:tblGrid>
      <w:tr>
        <w:trPr>
          <w:trHeight w:val="304"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北京市海淀区学清路</w:t>
            </w:r>
            <w:r>
              <w:rPr>
                <w:rFonts w:ascii="宋体" w:hAnsi="宋体" w:cs="宋体" w:eastAsia="宋体" w:hint="default"/>
                <w:sz w:val="21"/>
                <w:szCs w:val="21"/>
              </w:rPr>
              <w:t>8</w:t>
            </w:r>
            <w:r>
              <w:rPr>
                <w:rFonts w:ascii="宋体" w:hAnsi="宋体" w:cs="宋体" w:eastAsia="宋体" w:hint="default"/>
                <w:sz w:val="21"/>
                <w:szCs w:val="21"/>
              </w:rPr>
              <w:t>号科技财富中心</w:t>
            </w:r>
            <w:r>
              <w:rPr>
                <w:rFonts w:ascii="宋体" w:hAnsi="宋体" w:cs="宋体" w:eastAsia="宋体" w:hint="default"/>
                <w:sz w:val="21"/>
                <w:szCs w:val="21"/>
              </w:rPr>
              <w:t>A</w:t>
            </w:r>
            <w:r>
              <w:rPr>
                <w:rFonts w:ascii="宋体" w:hAnsi="宋体" w:cs="宋体" w:eastAsia="宋体" w:hint="default"/>
                <w:sz w:val="21"/>
                <w:szCs w:val="21"/>
              </w:rPr>
              <w:t>座</w:t>
            </w:r>
            <w:r>
              <w:rPr>
                <w:rFonts w:ascii="宋体" w:hAnsi="宋体" w:cs="宋体" w:eastAsia="宋体" w:hint="default"/>
                <w:sz w:val="21"/>
                <w:szCs w:val="21"/>
              </w:rPr>
              <w:t>10-11</w:t>
            </w:r>
            <w:r>
              <w:rPr>
                <w:rFonts w:ascii="宋体" w:hAnsi="宋体" w:cs="宋体" w:eastAsia="宋体" w:hint="default"/>
                <w:sz w:val="21"/>
                <w:szCs w:val="21"/>
              </w:rPr>
              <w:t>层</w:t>
            </w:r>
          </w:p>
        </w:tc>
      </w:tr>
      <w:tr>
        <w:trPr>
          <w:trHeight w:val="302"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100192</w:t>
            </w:r>
          </w:p>
        </w:tc>
      </w:tr>
      <w:tr>
        <w:trPr>
          <w:trHeight w:val="304"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北京市海淀区学清路</w:t>
            </w:r>
            <w:r>
              <w:rPr>
                <w:rFonts w:ascii="宋体" w:hAnsi="宋体" w:cs="宋体" w:eastAsia="宋体" w:hint="default"/>
                <w:sz w:val="21"/>
                <w:szCs w:val="21"/>
              </w:rPr>
              <w:t>8</w:t>
            </w:r>
            <w:r>
              <w:rPr>
                <w:rFonts w:ascii="宋体" w:hAnsi="宋体" w:cs="宋体" w:eastAsia="宋体" w:hint="default"/>
                <w:sz w:val="21"/>
                <w:szCs w:val="21"/>
              </w:rPr>
              <w:t>号科技财富中心</w:t>
            </w:r>
            <w:r>
              <w:rPr>
                <w:rFonts w:ascii="宋体" w:hAnsi="宋体" w:cs="宋体" w:eastAsia="宋体" w:hint="default"/>
                <w:sz w:val="21"/>
                <w:szCs w:val="21"/>
              </w:rPr>
              <w:t>A</w:t>
            </w:r>
            <w:r>
              <w:rPr>
                <w:rFonts w:ascii="宋体" w:hAnsi="宋体" w:cs="宋体" w:eastAsia="宋体" w:hint="default"/>
                <w:sz w:val="21"/>
                <w:szCs w:val="21"/>
              </w:rPr>
              <w:t>座</w:t>
            </w:r>
            <w:r>
              <w:rPr>
                <w:rFonts w:ascii="宋体" w:hAnsi="宋体" w:cs="宋体" w:eastAsia="宋体" w:hint="default"/>
                <w:sz w:val="21"/>
                <w:szCs w:val="21"/>
              </w:rPr>
              <w:t>10-11</w:t>
            </w:r>
            <w:r>
              <w:rPr>
                <w:rFonts w:ascii="宋体" w:hAnsi="宋体" w:cs="宋体" w:eastAsia="宋体" w:hint="default"/>
                <w:sz w:val="21"/>
                <w:szCs w:val="21"/>
              </w:rPr>
              <w:t>层</w:t>
            </w:r>
          </w:p>
        </w:tc>
      </w:tr>
      <w:tr>
        <w:trPr>
          <w:trHeight w:val="302"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100192</w:t>
            </w:r>
          </w:p>
        </w:tc>
      </w:tr>
      <w:tr>
        <w:trPr>
          <w:trHeight w:val="304"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8">
              <w:r>
                <w:rPr>
                  <w:rFonts w:ascii="宋体"/>
                  <w:sz w:val="21"/>
                </w:rPr>
                <w:t>http://www.teamsun.com.cn</w:t>
              </w:r>
            </w:hyperlink>
          </w:p>
        </w:tc>
      </w:tr>
      <w:tr>
        <w:trPr>
          <w:trHeight w:val="302"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7">
              <w:r>
                <w:rPr>
                  <w:rFonts w:ascii="宋体"/>
                  <w:sz w:val="21"/>
                </w:rPr>
                <w:t>securities@teamsun.com.cn</w:t>
              </w:r>
            </w:hyperlink>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p>
      <w:pPr>
        <w:pStyle w:val="Heading2"/>
        <w:spacing w:line="240" w:lineRule="auto"/>
        <w:ind w:left="145" w:right="201"/>
        <w:jc w:val="left"/>
        <w:rPr>
          <w:b w:val="0"/>
          <w:bCs w:val="0"/>
        </w:rPr>
      </w:pPr>
      <w:r>
        <w:rPr/>
        <w:t>四、</w:t>
      </w:r>
      <w:r>
        <w:rPr>
          <w:spacing w:val="-46"/>
        </w:rPr>
        <w:t> </w:t>
      </w:r>
      <w:r>
        <w:rPr/>
        <w:t>信息披露及备置地点</w:t>
      </w:r>
      <w:r>
        <w:rPr>
          <w:b w:val="0"/>
          <w:bCs w:val="0"/>
        </w:rPr>
      </w:r>
    </w:p>
    <w:p>
      <w:pPr>
        <w:spacing w:line="240" w:lineRule="auto" w:before="12"/>
        <w:rPr>
          <w:rFonts w:ascii="宋体" w:hAnsi="宋体" w:cs="宋体" w:eastAsia="宋体" w:hint="default"/>
          <w:b/>
          <w:bCs/>
          <w:sz w:val="11"/>
          <w:szCs w:val="11"/>
        </w:rPr>
      </w:pPr>
    </w:p>
    <w:tbl>
      <w:tblPr>
        <w:tblW w:w="0" w:type="auto"/>
        <w:jc w:val="left"/>
        <w:tblInd w:w="110" w:type="dxa"/>
        <w:tblLayout w:type="fixed"/>
        <w:tblCellMar>
          <w:top w:w="0" w:type="dxa"/>
          <w:left w:w="0" w:type="dxa"/>
          <w:bottom w:w="0" w:type="dxa"/>
          <w:right w:w="0" w:type="dxa"/>
        </w:tblCellMar>
        <w:tblLook w:val="01E0"/>
      </w:tblPr>
      <w:tblGrid>
        <w:gridCol w:w="3906"/>
        <w:gridCol w:w="5097"/>
      </w:tblGrid>
      <w:tr>
        <w:trPr>
          <w:trHeight w:val="304"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5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《中国证券报》和《上海证券报》</w:t>
            </w:r>
          </w:p>
        </w:tc>
      </w:tr>
      <w:tr>
        <w:trPr>
          <w:trHeight w:val="554"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址</w:t>
            </w:r>
          </w:p>
        </w:tc>
        <w:tc>
          <w:tcPr>
            <w:tcW w:w="5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9">
              <w:r>
                <w:rPr>
                  <w:rFonts w:ascii="宋体"/>
                  <w:sz w:val="21"/>
                </w:rPr>
                <w:t>www.sse.com.cn</w:t>
              </w:r>
            </w:hyperlink>
          </w:p>
        </w:tc>
      </w:tr>
      <w:tr>
        <w:trPr>
          <w:trHeight w:val="304"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北京华胜天成科技股份有限公司证券部</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left="145" w:right="201"/>
        <w:jc w:val="left"/>
        <w:rPr>
          <w:b w:val="0"/>
          <w:bCs w:val="0"/>
        </w:rPr>
      </w:pPr>
      <w:r>
        <w:rPr/>
        <w:t>五、</w:t>
      </w:r>
      <w:r>
        <w:rPr>
          <w:spacing w:val="-43"/>
        </w:rPr>
        <w:t> </w:t>
      </w:r>
      <w:r>
        <w:rPr/>
        <w:t>公司股票简况</w:t>
      </w:r>
      <w:r>
        <w:rPr>
          <w:b w:val="0"/>
          <w:bCs w:val="0"/>
        </w:rPr>
      </w:r>
    </w:p>
    <w:p>
      <w:pPr>
        <w:spacing w:line="240" w:lineRule="auto" w:before="12"/>
        <w:rPr>
          <w:rFonts w:ascii="宋体" w:hAnsi="宋体" w:cs="宋体" w:eastAsia="宋体" w:hint="default"/>
          <w:b/>
          <w:bCs/>
          <w:sz w:val="11"/>
          <w:szCs w:val="11"/>
        </w:rPr>
      </w:pPr>
    </w:p>
    <w:tbl>
      <w:tblPr>
        <w:tblW w:w="0" w:type="auto"/>
        <w:jc w:val="left"/>
        <w:tblInd w:w="110" w:type="dxa"/>
        <w:tblLayout w:type="fixed"/>
        <w:tblCellMar>
          <w:top w:w="0" w:type="dxa"/>
          <w:left w:w="0" w:type="dxa"/>
          <w:bottom w:w="0" w:type="dxa"/>
          <w:right w:w="0" w:type="dxa"/>
        </w:tblCellMar>
        <w:tblLook w:val="01E0"/>
      </w:tblPr>
      <w:tblGrid>
        <w:gridCol w:w="1802"/>
        <w:gridCol w:w="1800"/>
        <w:gridCol w:w="1800"/>
        <w:gridCol w:w="1800"/>
        <w:gridCol w:w="1800"/>
      </w:tblGrid>
      <w:tr>
        <w:trPr>
          <w:trHeight w:val="304" w:hRule="exact"/>
        </w:trPr>
        <w:tc>
          <w:tcPr>
            <w:tcW w:w="90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5"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9"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5"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5"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9"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4" w:hRule="exact"/>
        </w:trPr>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华胜天成</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600410</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04" w:hRule="exact"/>
        </w:trPr>
        <w:tc>
          <w:tcPr>
            <w:tcW w:w="180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380" w:right="1280"/>
        </w:sectPr>
      </w:pPr>
    </w:p>
    <w:p>
      <w:pPr>
        <w:pStyle w:val="Heading2"/>
        <w:spacing w:line="240" w:lineRule="auto" w:before="113"/>
        <w:ind w:left="225" w:right="261"/>
        <w:jc w:val="left"/>
        <w:rPr>
          <w:b w:val="0"/>
          <w:bCs w:val="0"/>
        </w:rPr>
      </w:pPr>
      <w:r>
        <w:rPr/>
        <w:t>六、</w:t>
      </w:r>
      <w:r>
        <w:rPr>
          <w:spacing w:val="-46"/>
        </w:rPr>
        <w:t> </w:t>
      </w:r>
      <w:r>
        <w:rPr/>
        <w:t>公司报告期内注册变更情况</w:t>
      </w:r>
      <w:r>
        <w:rPr>
          <w:b w:val="0"/>
          <w:bCs w:val="0"/>
        </w:rPr>
      </w:r>
    </w:p>
    <w:p>
      <w:pPr>
        <w:pStyle w:val="Heading2"/>
        <w:spacing w:line="240" w:lineRule="auto" w:before="118"/>
        <w:ind w:left="225" w:right="261"/>
        <w:jc w:val="left"/>
        <w:rPr>
          <w:b w:val="0"/>
          <w:bCs w:val="0"/>
        </w:rPr>
      </w:pPr>
      <w:r>
        <w:rPr/>
        <w:t>（一）</w:t>
      </w:r>
      <w:r>
        <w:rPr>
          <w:spacing w:val="-4"/>
        </w:rPr>
        <w:t> </w:t>
      </w:r>
      <w:r>
        <w:rPr/>
        <w:t>基本情况</w:t>
      </w:r>
      <w:r>
        <w:rPr>
          <w:b w:val="0"/>
          <w:bCs w:val="0"/>
        </w:rPr>
      </w:r>
    </w:p>
    <w:p>
      <w:pPr>
        <w:spacing w:line="240" w:lineRule="auto" w:before="12"/>
        <w:rPr>
          <w:rFonts w:ascii="宋体" w:hAnsi="宋体" w:cs="宋体" w:eastAsia="宋体" w:hint="default"/>
          <w:b/>
          <w:bCs/>
          <w:sz w:val="11"/>
          <w:szCs w:val="11"/>
        </w:rPr>
      </w:pPr>
    </w:p>
    <w:tbl>
      <w:tblPr>
        <w:tblW w:w="0" w:type="auto"/>
        <w:jc w:val="left"/>
        <w:tblInd w:w="112" w:type="dxa"/>
        <w:tblLayout w:type="fixed"/>
        <w:tblCellMar>
          <w:top w:w="0" w:type="dxa"/>
          <w:left w:w="0" w:type="dxa"/>
          <w:bottom w:w="0" w:type="dxa"/>
          <w:right w:w="0" w:type="dxa"/>
        </w:tblCellMar>
        <w:tblLook w:val="01E0"/>
      </w:tblPr>
      <w:tblGrid>
        <w:gridCol w:w="3975"/>
        <w:gridCol w:w="5183"/>
      </w:tblGrid>
      <w:tr>
        <w:trPr>
          <w:trHeight w:val="282" w:hRule="exact"/>
        </w:trPr>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首次注册登记日期</w:t>
            </w:r>
          </w:p>
        </w:tc>
        <w:tc>
          <w:tcPr>
            <w:tcW w:w="5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首次注册登记地点</w:t>
            </w:r>
          </w:p>
        </w:tc>
        <w:tc>
          <w:tcPr>
            <w:tcW w:w="5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北京市海淀区北四环中路</w:t>
            </w:r>
            <w:r>
              <w:rPr>
                <w:rFonts w:ascii="宋体" w:hAnsi="宋体" w:cs="宋体" w:eastAsia="宋体" w:hint="default"/>
                <w:spacing w:val="-53"/>
                <w:sz w:val="21"/>
                <w:szCs w:val="21"/>
              </w:rPr>
              <w:t> </w:t>
            </w:r>
            <w:r>
              <w:rPr>
                <w:rFonts w:ascii="宋体" w:hAnsi="宋体" w:cs="宋体" w:eastAsia="宋体" w:hint="default"/>
                <w:sz w:val="21"/>
                <w:szCs w:val="21"/>
              </w:rPr>
              <w:t>229</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282" w:hRule="exact"/>
        </w:trPr>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5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110000005143778</w:t>
            </w:r>
          </w:p>
        </w:tc>
      </w:tr>
      <w:tr>
        <w:trPr>
          <w:trHeight w:val="282" w:hRule="exact"/>
        </w:trPr>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5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110108633713190</w:t>
            </w:r>
          </w:p>
        </w:tc>
      </w:tr>
      <w:tr>
        <w:trPr>
          <w:trHeight w:val="283" w:hRule="exact"/>
        </w:trPr>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5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63371319-0</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left="225" w:right="261"/>
        <w:jc w:val="left"/>
        <w:rPr>
          <w:b w:val="0"/>
          <w:bCs w:val="0"/>
        </w:rPr>
      </w:pPr>
      <w:r>
        <w:rPr/>
        <w:t>（二）</w:t>
      </w:r>
      <w:r>
        <w:rPr>
          <w:spacing w:val="-18"/>
        </w:rPr>
        <w:t> </w:t>
      </w:r>
      <w:r>
        <w:rPr/>
        <w:t>公司首次注册情况的相关查询索引</w:t>
      </w:r>
      <w:r>
        <w:rPr>
          <w:b w:val="0"/>
          <w:bCs w:val="0"/>
        </w:rPr>
      </w:r>
    </w:p>
    <w:p>
      <w:pPr>
        <w:pStyle w:val="BodyText"/>
        <w:spacing w:line="240" w:lineRule="auto" w:before="118"/>
        <w:ind w:left="645" w:right="261"/>
        <w:jc w:val="left"/>
      </w:pPr>
      <w:r>
        <w:rPr/>
        <w:t>公司首次注册情况详见</w:t>
      </w:r>
      <w:r>
        <w:rPr>
          <w:spacing w:val="-60"/>
        </w:rPr>
        <w:t> </w:t>
      </w:r>
      <w:r>
        <w:rPr>
          <w:rFonts w:ascii="宋体" w:hAnsi="宋体" w:cs="宋体" w:eastAsia="宋体" w:hint="default"/>
        </w:rPr>
        <w:t>2011</w:t>
      </w:r>
      <w:r>
        <w:rPr>
          <w:rFonts w:ascii="宋体" w:hAnsi="宋体" w:cs="宋体" w:eastAsia="宋体" w:hint="default"/>
          <w:spacing w:val="-60"/>
        </w:rPr>
        <w:t> </w:t>
      </w:r>
      <w:r>
        <w:rPr/>
        <w:t>年年度报告“二、公司基本情况简介”。</w:t>
      </w:r>
    </w:p>
    <w:p>
      <w:pPr>
        <w:spacing w:line="240" w:lineRule="auto" w:before="10"/>
        <w:rPr>
          <w:rFonts w:ascii="宋体" w:hAnsi="宋体" w:cs="宋体" w:eastAsia="宋体" w:hint="default"/>
          <w:sz w:val="29"/>
          <w:szCs w:val="29"/>
        </w:rPr>
      </w:pPr>
    </w:p>
    <w:p>
      <w:pPr>
        <w:spacing w:line="328" w:lineRule="auto" w:before="0"/>
        <w:ind w:left="705" w:right="261" w:hanging="481"/>
        <w:jc w:val="left"/>
        <w:rPr>
          <w:rFonts w:ascii="宋体" w:hAnsi="宋体" w:cs="宋体" w:eastAsia="宋体" w:hint="default"/>
          <w:sz w:val="24"/>
          <w:szCs w:val="24"/>
        </w:rPr>
      </w:pPr>
      <w:r>
        <w:rPr>
          <w:rFonts w:ascii="宋体" w:hAnsi="宋体" w:cs="宋体" w:eastAsia="宋体" w:hint="default"/>
          <w:b/>
          <w:bCs/>
          <w:sz w:val="24"/>
          <w:szCs w:val="24"/>
        </w:rPr>
        <w:t>（三）</w:t>
      </w:r>
      <w:r>
        <w:rPr>
          <w:rFonts w:ascii="宋体" w:hAnsi="宋体" w:cs="宋体" w:eastAsia="宋体" w:hint="default"/>
          <w:b/>
          <w:bCs/>
          <w:spacing w:val="-4"/>
          <w:sz w:val="24"/>
          <w:szCs w:val="24"/>
        </w:rPr>
        <w:t> </w:t>
      </w:r>
      <w:r>
        <w:rPr>
          <w:rFonts w:ascii="宋体" w:hAnsi="宋体" w:cs="宋体" w:eastAsia="宋体" w:hint="default"/>
          <w:b/>
          <w:bCs/>
          <w:sz w:val="24"/>
          <w:szCs w:val="24"/>
        </w:rPr>
        <w:t>公司上市以来，主营业务的变化情况</w:t>
      </w:r>
      <w:r>
        <w:rPr>
          <w:rFonts w:ascii="宋体" w:hAnsi="宋体" w:cs="宋体" w:eastAsia="宋体" w:hint="default"/>
          <w:b/>
          <w:bCs/>
          <w:w w:val="99"/>
          <w:sz w:val="24"/>
          <w:szCs w:val="24"/>
        </w:rPr>
        <w:t> </w:t>
      </w:r>
      <w:r>
        <w:rPr>
          <w:rFonts w:ascii="宋体" w:hAnsi="宋体" w:cs="宋体" w:eastAsia="宋体" w:hint="default"/>
          <w:sz w:val="24"/>
          <w:szCs w:val="24"/>
        </w:rPr>
        <w:t>公司上市以来，主营业务范围为通讯软件的技术开发、技术咨询、技术服务、技</w:t>
      </w:r>
    </w:p>
    <w:p>
      <w:pPr>
        <w:pStyle w:val="BodyText"/>
        <w:spacing w:line="222" w:lineRule="exact"/>
        <w:ind w:left="225" w:right="0"/>
        <w:jc w:val="left"/>
      </w:pPr>
      <w:r>
        <w:rPr/>
        <w:t>术培训；承接通讯软件应用系统集成；销售开发后产品、计算机软硬件及外围设备、</w:t>
      </w:r>
    </w:p>
    <w:p>
      <w:pPr>
        <w:pStyle w:val="BodyText"/>
        <w:spacing w:line="312" w:lineRule="exact"/>
        <w:ind w:left="225" w:right="261"/>
        <w:jc w:val="left"/>
      </w:pPr>
      <w:r>
        <w:rPr/>
        <w:t>通信设备；电子商务服务。（未取得专项许可的项目除外）。</w:t>
      </w:r>
    </w:p>
    <w:p>
      <w:pPr>
        <w:pStyle w:val="BodyText"/>
        <w:spacing w:line="237" w:lineRule="auto" w:before="119"/>
        <w:ind w:left="225" w:right="218" w:firstLine="480"/>
        <w:jc w:val="both"/>
      </w:pPr>
      <w:r>
        <w:rPr>
          <w:rFonts w:ascii="宋体" w:hAnsi="宋体" w:cs="宋体" w:eastAsia="宋体" w:hint="default"/>
        </w:rPr>
        <w:t>2005</w:t>
      </w:r>
      <w:r>
        <w:rPr>
          <w:rFonts w:ascii="宋体" w:hAnsi="宋体" w:cs="宋体" w:eastAsia="宋体" w:hint="default"/>
          <w:spacing w:val="-60"/>
        </w:rPr>
        <w:t> </w:t>
      </w:r>
      <w:r>
        <w:rPr/>
        <w:t>年经营范围变更为技术开发、技术咨询、技术服务、技术培训；承接计算机 信息系统集成；销售计算机软硬件、外围设备、通信设备等信息产品；提供电子商务 服务等。（未取得专项许可的项目除外）。</w:t>
      </w:r>
    </w:p>
    <w:p>
      <w:pPr>
        <w:pStyle w:val="BodyText"/>
        <w:spacing w:line="240" w:lineRule="auto" w:before="118"/>
        <w:ind w:left="705" w:right="261"/>
        <w:jc w:val="left"/>
      </w:pPr>
      <w:r>
        <w:rPr>
          <w:rFonts w:ascii="宋体" w:hAnsi="宋体" w:cs="宋体" w:eastAsia="宋体" w:hint="default"/>
        </w:rPr>
        <w:t>2009</w:t>
      </w:r>
      <w:r>
        <w:rPr>
          <w:rFonts w:ascii="宋体" w:hAnsi="宋体" w:cs="宋体" w:eastAsia="宋体" w:hint="default"/>
          <w:spacing w:val="-60"/>
        </w:rPr>
        <w:t> </w:t>
      </w:r>
      <w:r>
        <w:rPr/>
        <w:t>年经营范围增加货物进出口；技术进出口；代理进出口。</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pStyle w:val="Heading2"/>
        <w:spacing w:line="240" w:lineRule="auto" w:before="0"/>
        <w:ind w:left="225" w:right="261"/>
        <w:jc w:val="left"/>
        <w:rPr>
          <w:b w:val="0"/>
          <w:bCs w:val="0"/>
        </w:rPr>
      </w:pPr>
      <w:r>
        <w:rPr/>
        <w:t>（四）</w:t>
      </w:r>
      <w:r>
        <w:rPr>
          <w:spacing w:val="-18"/>
        </w:rPr>
        <w:t> </w:t>
      </w:r>
      <w:r>
        <w:rPr/>
        <w:t>公司上市以来</w:t>
      </w:r>
      <w:r>
        <w:rPr>
          <w:rFonts w:ascii="宋体" w:hAnsi="宋体" w:cs="宋体" w:eastAsia="宋体" w:hint="default"/>
        </w:rPr>
        <w:t>,</w:t>
      </w:r>
      <w:r>
        <w:rPr/>
        <w:t>历次控股股东的变更情况</w:t>
      </w:r>
      <w:r>
        <w:rPr>
          <w:b w:val="0"/>
          <w:bCs w:val="0"/>
        </w:rPr>
      </w:r>
    </w:p>
    <w:p>
      <w:pPr>
        <w:pStyle w:val="BodyText"/>
        <w:spacing w:line="310" w:lineRule="exact" w:before="150"/>
        <w:ind w:left="225" w:right="218" w:firstLine="480"/>
        <w:jc w:val="both"/>
      </w:pPr>
      <w:r>
        <w:rPr/>
        <w:t>公司自</w:t>
      </w:r>
      <w:r>
        <w:rPr>
          <w:spacing w:val="-60"/>
        </w:rPr>
        <w:t> </w:t>
      </w:r>
      <w:r>
        <w:rPr>
          <w:rFonts w:ascii="宋体" w:hAnsi="宋体" w:cs="宋体" w:eastAsia="宋体" w:hint="default"/>
        </w:rPr>
        <w:t>2004</w:t>
      </w:r>
      <w:r>
        <w:rPr>
          <w:rFonts w:ascii="宋体" w:hAnsi="宋体" w:cs="宋体" w:eastAsia="宋体" w:hint="default"/>
          <w:spacing w:val="-60"/>
        </w:rPr>
        <w:t> </w:t>
      </w:r>
      <w:r>
        <w:rPr>
          <w:spacing w:val="-7"/>
        </w:rPr>
        <w:t>年上市以来主要股东为自然人股东，无控股股东。</w:t>
      </w:r>
      <w:r>
        <w:rPr>
          <w:rFonts w:ascii="宋体" w:hAnsi="宋体" w:cs="宋体" w:eastAsia="宋体" w:hint="default"/>
          <w:spacing w:val="-7"/>
        </w:rPr>
        <w:t>2004</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月至</w:t>
      </w:r>
      <w:r>
        <w:rPr>
          <w:spacing w:val="-60"/>
        </w:rPr>
        <w:t> </w:t>
      </w:r>
      <w:r>
        <w:rPr>
          <w:rFonts w:ascii="宋体" w:hAnsi="宋体" w:cs="宋体" w:eastAsia="宋体" w:hint="default"/>
        </w:rPr>
        <w:t>2009 </w:t>
      </w:r>
      <w:r>
        <w:rPr/>
        <w:t>年末，公司第一大股东为苏纲先生；</w:t>
      </w:r>
      <w:r>
        <w:rPr>
          <w:rFonts w:ascii="宋体" w:hAnsi="宋体" w:cs="宋体" w:eastAsia="宋体" w:hint="default"/>
        </w:rPr>
        <w:t>2009</w:t>
      </w:r>
      <w:r>
        <w:rPr>
          <w:rFonts w:ascii="宋体" w:hAnsi="宋体" w:cs="宋体" w:eastAsia="宋体" w:hint="default"/>
          <w:spacing w:val="-60"/>
        </w:rPr>
        <w:t> </w:t>
      </w:r>
      <w:r>
        <w:rPr/>
        <w:t>年末，公司第一大股东变更为王维航先生。</w:t>
      </w:r>
    </w:p>
    <w:p>
      <w:pPr>
        <w:spacing w:line="240" w:lineRule="auto" w:before="0"/>
        <w:rPr>
          <w:rFonts w:ascii="宋体" w:hAnsi="宋体" w:cs="宋体" w:eastAsia="宋体" w:hint="default"/>
          <w:sz w:val="24"/>
          <w:szCs w:val="24"/>
        </w:rPr>
      </w:pPr>
    </w:p>
    <w:p>
      <w:pPr>
        <w:pStyle w:val="Heading2"/>
        <w:spacing w:line="240" w:lineRule="auto" w:before="206"/>
        <w:ind w:left="225" w:right="261"/>
        <w:jc w:val="left"/>
        <w:rPr>
          <w:b w:val="0"/>
          <w:bCs w:val="0"/>
        </w:rPr>
      </w:pPr>
      <w:r>
        <w:rPr/>
        <w:t>七、</w:t>
      </w:r>
      <w:r>
        <w:rPr>
          <w:spacing w:val="-43"/>
        </w:rPr>
        <w:t> </w:t>
      </w:r>
      <w:r>
        <w:rPr/>
        <w:t>其他有关资料</w:t>
      </w:r>
      <w:r>
        <w:rPr>
          <w:b w:val="0"/>
          <w:bCs w:val="0"/>
        </w:rPr>
      </w:r>
    </w:p>
    <w:p>
      <w:pPr>
        <w:spacing w:line="240" w:lineRule="auto" w:before="12"/>
        <w:rPr>
          <w:rFonts w:ascii="宋体" w:hAnsi="宋体" w:cs="宋体" w:eastAsia="宋体" w:hint="default"/>
          <w:b/>
          <w:bCs/>
          <w:sz w:val="11"/>
          <w:szCs w:val="11"/>
        </w:rPr>
      </w:pPr>
    </w:p>
    <w:tbl>
      <w:tblPr>
        <w:tblW w:w="0" w:type="auto"/>
        <w:jc w:val="left"/>
        <w:tblInd w:w="112" w:type="dxa"/>
        <w:tblLayout w:type="fixed"/>
        <w:tblCellMar>
          <w:top w:w="0" w:type="dxa"/>
          <w:left w:w="0" w:type="dxa"/>
          <w:bottom w:w="0" w:type="dxa"/>
          <w:right w:w="0" w:type="dxa"/>
        </w:tblCellMar>
        <w:tblLook w:val="01E0"/>
      </w:tblPr>
      <w:tblGrid>
        <w:gridCol w:w="3029"/>
        <w:gridCol w:w="1816"/>
        <w:gridCol w:w="4313"/>
      </w:tblGrid>
      <w:tr>
        <w:trPr>
          <w:trHeight w:val="282" w:hRule="exact"/>
        </w:trPr>
        <w:tc>
          <w:tcPr>
            <w:tcW w:w="302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1"/>
                <w:szCs w:val="21"/>
              </w:rPr>
            </w:pPr>
          </w:p>
          <w:p>
            <w:pPr>
              <w:pStyle w:val="TableParagraph"/>
              <w:spacing w:line="272" w:lineRule="exact"/>
              <w:ind w:left="103" w:right="103"/>
              <w:jc w:val="left"/>
              <w:rPr>
                <w:rFonts w:ascii="宋体" w:hAnsi="宋体" w:cs="宋体" w:eastAsia="宋体" w:hint="default"/>
                <w:sz w:val="21"/>
                <w:szCs w:val="21"/>
              </w:rPr>
            </w:pPr>
            <w:r>
              <w:rPr>
                <w:rFonts w:ascii="宋体" w:hAnsi="宋体" w:cs="宋体" w:eastAsia="宋体" w:hint="default"/>
                <w:spacing w:val="5"/>
                <w:sz w:val="21"/>
                <w:szCs w:val="21"/>
              </w:rPr>
              <w:t>公司聘请的会计师事务所（境</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内）</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r>
      <w:tr>
        <w:trPr>
          <w:trHeight w:val="556" w:hRule="exact"/>
        </w:trPr>
        <w:tc>
          <w:tcPr>
            <w:tcW w:w="3029" w:type="dxa"/>
            <w:vMerge/>
            <w:tcBorders>
              <w:left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3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北京市朝阳区建国门外大街</w:t>
            </w:r>
            <w:r>
              <w:rPr>
                <w:rFonts w:ascii="宋体" w:hAnsi="宋体" w:cs="宋体" w:eastAsia="宋体" w:hint="default"/>
                <w:spacing w:val="-35"/>
                <w:sz w:val="21"/>
                <w:szCs w:val="21"/>
              </w:rPr>
              <w:t> </w:t>
            </w:r>
            <w:r>
              <w:rPr>
                <w:rFonts w:ascii="宋体" w:hAnsi="宋体" w:cs="宋体" w:eastAsia="宋体" w:hint="default"/>
                <w:sz w:val="21"/>
                <w:szCs w:val="21"/>
              </w:rPr>
              <w:t>22</w:t>
            </w:r>
            <w:r>
              <w:rPr>
                <w:rFonts w:ascii="宋体" w:hAnsi="宋体" w:cs="宋体" w:eastAsia="宋体" w:hint="default"/>
                <w:spacing w:val="-35"/>
                <w:sz w:val="21"/>
                <w:szCs w:val="21"/>
              </w:rPr>
              <w:t> </w:t>
            </w:r>
            <w:r>
              <w:rPr>
                <w:rFonts w:ascii="宋体" w:hAnsi="宋体" w:cs="宋体" w:eastAsia="宋体" w:hint="default"/>
                <w:sz w:val="21"/>
                <w:szCs w:val="21"/>
              </w:rPr>
              <w:t>号赛特广场</w:t>
            </w:r>
            <w:r>
              <w:rPr>
                <w:rFonts w:ascii="宋体" w:hAnsi="宋体" w:cs="宋体" w:eastAsia="宋体" w:hint="default"/>
                <w:spacing w:val="-36"/>
                <w:sz w:val="21"/>
                <w:szCs w:val="21"/>
              </w:rPr>
              <w:t> </w:t>
            </w:r>
            <w:r>
              <w:rPr>
                <w:rFonts w:ascii="宋体" w:hAnsi="宋体" w:cs="宋体" w:eastAsia="宋体" w:hint="default"/>
                <w:sz w:val="21"/>
                <w:szCs w:val="21"/>
              </w:rPr>
              <w:t>5</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层</w:t>
            </w:r>
          </w:p>
        </w:tc>
      </w:tr>
      <w:tr>
        <w:trPr>
          <w:trHeight w:val="282" w:hRule="exact"/>
        </w:trPr>
        <w:tc>
          <w:tcPr>
            <w:tcW w:w="3029" w:type="dxa"/>
            <w:vMerge/>
            <w:tcBorders>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313" w:type="dxa"/>
            <w:tcBorders>
              <w:top w:val="single" w:sz="4" w:space="0" w:color="000000"/>
              <w:left w:val="single" w:sz="4" w:space="0" w:color="000000"/>
              <w:bottom w:val="single" w:sz="4" w:space="0" w:color="000000"/>
              <w:right w:val="single" w:sz="4" w:space="0" w:color="000000"/>
            </w:tcBorders>
          </w:tcPr>
          <w:p>
            <w:pPr>
              <w:pStyle w:val="TableParagraph"/>
              <w:tabs>
                <w:tab w:pos="943" w:val="left" w:leader="none"/>
              </w:tabs>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郑建彪</w:t>
              <w:tab/>
              <w:t>王娟</w:t>
            </w:r>
          </w:p>
        </w:tc>
      </w:tr>
    </w:tbl>
    <w:p>
      <w:pPr>
        <w:spacing w:line="240" w:lineRule="auto" w:before="0"/>
        <w:rPr>
          <w:rFonts w:ascii="宋体" w:hAnsi="宋体" w:cs="宋体" w:eastAsia="宋体" w:hint="default"/>
          <w:b/>
          <w:bCs/>
          <w:sz w:val="20"/>
          <w:szCs w:val="20"/>
        </w:rPr>
      </w:pPr>
    </w:p>
    <w:p>
      <w:pPr>
        <w:spacing w:before="35"/>
        <w:ind w:left="207" w:right="8151" w:firstLine="0"/>
        <w:jc w:val="center"/>
        <w:rPr>
          <w:rFonts w:ascii="宋体" w:hAnsi="宋体" w:cs="宋体" w:eastAsia="宋体" w:hint="default"/>
          <w:sz w:val="21"/>
          <w:szCs w:val="21"/>
        </w:rPr>
      </w:pPr>
      <w:r>
        <w:rPr>
          <w:rFonts w:ascii="宋体" w:hAnsi="宋体" w:cs="宋体" w:eastAsia="宋体" w:hint="default"/>
          <w:b/>
          <w:bCs/>
          <w:sz w:val="21"/>
          <w:szCs w:val="21"/>
        </w:rPr>
        <w:t>八、</w:t>
      </w:r>
      <w:r>
        <w:rPr>
          <w:rFonts w:ascii="宋体" w:hAnsi="宋体" w:cs="宋体" w:eastAsia="宋体" w:hint="default"/>
          <w:b/>
          <w:bCs/>
          <w:spacing w:val="38"/>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113"/>
        <w:ind w:left="207" w:right="8060"/>
        <w:jc w:val="center"/>
      </w:pPr>
      <w:r>
        <w:rPr/>
        <w:t>无</w:t>
      </w:r>
    </w:p>
    <w:p>
      <w:pPr>
        <w:spacing w:after="0" w:line="240" w:lineRule="auto"/>
        <w:jc w:val="center"/>
        <w:sectPr>
          <w:pgSz w:w="11910" w:h="16840"/>
          <w:pgMar w:header="882" w:footer="1194" w:top="1120" w:bottom="1380" w:left="1300" w:right="1220"/>
        </w:sectPr>
      </w:pPr>
    </w:p>
    <w:p>
      <w:pPr>
        <w:spacing w:line="240" w:lineRule="auto" w:before="0"/>
        <w:rPr>
          <w:rFonts w:ascii="宋体" w:hAnsi="宋体" w:cs="宋体" w:eastAsia="宋体" w:hint="default"/>
          <w:sz w:val="20"/>
          <w:szCs w:val="20"/>
        </w:rPr>
      </w:pPr>
    </w:p>
    <w:p>
      <w:pPr>
        <w:pStyle w:val="Heading1"/>
        <w:tabs>
          <w:tab w:pos="4380" w:val="left" w:leader="none"/>
        </w:tabs>
        <w:spacing w:line="240" w:lineRule="auto" w:before="177"/>
        <w:ind w:left="3120" w:right="0"/>
        <w:jc w:val="left"/>
        <w:rPr>
          <w:b w:val="0"/>
          <w:bCs w:val="0"/>
        </w:rPr>
      </w:pPr>
      <w:bookmarkStart w:name="_TOC_250008" w:id="3"/>
      <w:r>
        <w:rPr>
          <w:w w:val="95"/>
        </w:rPr>
        <w:t>第三节</w:t>
        <w:tab/>
      </w:r>
      <w:r>
        <w:rPr/>
        <w:t>会计数据和财务指标摘要</w:t>
      </w:r>
      <w:bookmarkEnd w:id="3"/>
      <w:r>
        <w:rPr>
          <w:b w:val="0"/>
          <w:bCs w:val="0"/>
        </w:rPr>
      </w:r>
    </w:p>
    <w:p>
      <w:pPr>
        <w:spacing w:line="240" w:lineRule="auto" w:before="5"/>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82" w:footer="1194" w:top="1120" w:bottom="1380" w:left="700" w:right="620"/>
        </w:sectPr>
      </w:pPr>
    </w:p>
    <w:p>
      <w:pPr>
        <w:pStyle w:val="Heading2"/>
        <w:spacing w:line="240" w:lineRule="auto"/>
        <w:ind w:left="825" w:right="-4"/>
        <w:jc w:val="left"/>
        <w:rPr>
          <w:b w:val="0"/>
          <w:bCs w:val="0"/>
        </w:rPr>
      </w:pPr>
      <w:r>
        <w:rPr/>
        <w:t>一、</w:t>
      </w:r>
      <w:r>
        <w:rPr>
          <w:spacing w:val="-53"/>
        </w:rPr>
        <w:t> </w:t>
      </w:r>
      <w:r>
        <w:rPr/>
        <w:t>报告期末公司近三年主要会计数据和财务指标</w:t>
      </w:r>
      <w:r>
        <w:rPr>
          <w:b w:val="0"/>
          <w:bCs w:val="0"/>
        </w:rPr>
      </w:r>
    </w:p>
    <w:p>
      <w:pPr>
        <w:pStyle w:val="Heading2"/>
        <w:spacing w:line="240" w:lineRule="auto" w:before="118"/>
        <w:ind w:left="825" w:right="-4"/>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2"/>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8"/>
          <w:szCs w:val="28"/>
        </w:rPr>
      </w:pPr>
    </w:p>
    <w:p>
      <w:pPr>
        <w:tabs>
          <w:tab w:pos="1875" w:val="left" w:leader="none"/>
        </w:tabs>
        <w:spacing w:before="0"/>
        <w:ind w:left="825"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700" w:right="620"/>
          <w:cols w:num="2" w:equalWidth="0">
            <w:col w:w="6210" w:space="422"/>
            <w:col w:w="3958"/>
          </w:cols>
        </w:sectPr>
      </w:pPr>
    </w:p>
    <w:p>
      <w:pPr>
        <w:spacing w:line="240" w:lineRule="auto" w:before="9"/>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223"/>
        <w:gridCol w:w="1656"/>
        <w:gridCol w:w="1656"/>
        <w:gridCol w:w="1656"/>
        <w:gridCol w:w="827"/>
        <w:gridCol w:w="1656"/>
        <w:gridCol w:w="1674"/>
      </w:tblGrid>
      <w:tr>
        <w:trPr>
          <w:trHeight w:val="419" w:hRule="exact"/>
        </w:trPr>
        <w:tc>
          <w:tcPr>
            <w:tcW w:w="122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516" w:right="155" w:hanging="360"/>
              <w:jc w:val="left"/>
              <w:rPr>
                <w:rFonts w:ascii="宋体" w:hAnsi="宋体" w:cs="宋体" w:eastAsia="宋体" w:hint="default"/>
                <w:sz w:val="18"/>
                <w:szCs w:val="18"/>
              </w:rPr>
            </w:pPr>
            <w:r>
              <w:rPr>
                <w:rFonts w:ascii="宋体" w:hAnsi="宋体" w:cs="宋体" w:eastAsia="宋体" w:hint="default"/>
                <w:sz w:val="18"/>
                <w:szCs w:val="18"/>
              </w:rPr>
              <w:t>主要会计数 据</w:t>
            </w: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p>
        </w:tc>
        <w:tc>
          <w:tcPr>
            <w:tcW w:w="3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p>
        </w:tc>
        <w:tc>
          <w:tcPr>
            <w:tcW w:w="827" w:type="dxa"/>
            <w:vMerge w:val="restart"/>
            <w:tcBorders>
              <w:top w:val="single" w:sz="4" w:space="0" w:color="000000"/>
              <w:left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本期比</w:t>
            </w:r>
          </w:p>
          <w:p>
            <w:pPr>
              <w:pStyle w:val="TableParagraph"/>
              <w:spacing w:line="237" w:lineRule="auto" w:before="1"/>
              <w:ind w:left="137" w:right="137"/>
              <w:jc w:val="center"/>
              <w:rPr>
                <w:rFonts w:ascii="宋体" w:hAnsi="宋体" w:cs="宋体" w:eastAsia="宋体" w:hint="default"/>
                <w:sz w:val="18"/>
                <w:szCs w:val="18"/>
              </w:rPr>
            </w:pPr>
            <w:r>
              <w:rPr>
                <w:rFonts w:ascii="宋体" w:hAnsi="宋体" w:cs="宋体" w:eastAsia="宋体" w:hint="default"/>
                <w:sz w:val="18"/>
                <w:szCs w:val="18"/>
              </w:rPr>
              <w:t>上年同 期增减 </w:t>
            </w:r>
            <w:r>
              <w:rPr>
                <w:rFonts w:ascii="宋体" w:hAnsi="宋体" w:cs="宋体" w:eastAsia="宋体" w:hint="default"/>
                <w:sz w:val="18"/>
                <w:szCs w:val="18"/>
              </w:rPr>
              <w:t>(%)</w:t>
            </w:r>
          </w:p>
        </w:tc>
        <w:tc>
          <w:tcPr>
            <w:tcW w:w="33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p>
        </w:tc>
      </w:tr>
      <w:tr>
        <w:trPr>
          <w:trHeight w:val="524" w:hRule="exact"/>
        </w:trPr>
        <w:tc>
          <w:tcPr>
            <w:tcW w:w="1223"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827" w:type="dxa"/>
            <w:vMerge/>
            <w:tcBorders>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调整前</w:t>
            </w:r>
          </w:p>
        </w:tc>
      </w:tr>
      <w:tr>
        <w:trPr>
          <w:trHeight w:val="295" w:hRule="exact"/>
        </w:trPr>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4,278,544,505.57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4,816,016,513.55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4,816,016,513.55</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-11.16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5,236,811,840.05</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5,236,811,840.05</w:t>
            </w:r>
          </w:p>
        </w:tc>
      </w:tr>
      <w:tr>
        <w:trPr>
          <w:trHeight w:val="710" w:hRule="exact"/>
        </w:trPr>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归属于上市</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ind w:left="103" w:right="76"/>
              <w:jc w:val="left"/>
              <w:rPr>
                <w:rFonts w:ascii="宋体" w:hAnsi="宋体" w:cs="宋体" w:eastAsia="宋体" w:hint="default"/>
                <w:sz w:val="18"/>
                <w:szCs w:val="18"/>
              </w:rPr>
            </w:pPr>
            <w:r>
              <w:rPr>
                <w:rFonts w:ascii="宋体" w:hAnsi="宋体" w:cs="宋体" w:eastAsia="宋体" w:hint="default"/>
                <w:spacing w:val="20"/>
                <w:sz w:val="18"/>
                <w:szCs w:val="18"/>
              </w:rPr>
              <w:t>公司股东的</w:t>
            </w:r>
            <w:r>
              <w:rPr>
                <w:rFonts w:ascii="宋体" w:hAnsi="宋体" w:cs="宋体" w:eastAsia="宋体" w:hint="default"/>
                <w:spacing w:val="-86"/>
                <w:sz w:val="18"/>
                <w:szCs w:val="18"/>
              </w:rPr>
              <w:t> </w:t>
            </w:r>
            <w:r>
              <w:rPr>
                <w:rFonts w:ascii="宋体" w:hAnsi="宋体" w:cs="宋体" w:eastAsia="宋体" w:hint="default"/>
                <w:sz w:val="18"/>
                <w:szCs w:val="18"/>
              </w:rPr>
              <w:t>净利润</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95,133,561.09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41,384,775.02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41,763,954.73</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129.88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156,360,614.10</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156,710,565.41</w:t>
            </w:r>
          </w:p>
        </w:tc>
      </w:tr>
      <w:tr>
        <w:trPr>
          <w:trHeight w:val="1177" w:hRule="exact"/>
        </w:trPr>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20"/>
                <w:sz w:val="18"/>
                <w:szCs w:val="18"/>
              </w:rPr>
              <w:t>归属于上市</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7" w:lineRule="auto" w:before="1"/>
              <w:ind w:left="103" w:right="76"/>
              <w:jc w:val="both"/>
              <w:rPr>
                <w:rFonts w:ascii="宋体" w:hAnsi="宋体" w:cs="宋体" w:eastAsia="宋体" w:hint="default"/>
                <w:sz w:val="18"/>
                <w:szCs w:val="18"/>
              </w:rPr>
            </w:pPr>
            <w:r>
              <w:rPr>
                <w:rFonts w:ascii="宋体" w:hAnsi="宋体" w:cs="宋体" w:eastAsia="宋体" w:hint="default"/>
                <w:spacing w:val="20"/>
                <w:sz w:val="18"/>
                <w:szCs w:val="18"/>
              </w:rPr>
              <w:t>公司股东的</w:t>
            </w:r>
            <w:r>
              <w:rPr>
                <w:rFonts w:ascii="宋体" w:hAnsi="宋体" w:cs="宋体" w:eastAsia="宋体" w:hint="default"/>
                <w:spacing w:val="-86"/>
                <w:sz w:val="18"/>
                <w:szCs w:val="18"/>
              </w:rPr>
              <w:t> </w:t>
            </w:r>
            <w:r>
              <w:rPr>
                <w:rFonts w:ascii="宋体" w:hAnsi="宋体" w:cs="宋体" w:eastAsia="宋体" w:hint="default"/>
                <w:spacing w:val="20"/>
                <w:sz w:val="18"/>
                <w:szCs w:val="18"/>
              </w:rPr>
              <w:t>扣除非经常</w:t>
            </w:r>
            <w:r>
              <w:rPr>
                <w:rFonts w:ascii="宋体" w:hAnsi="宋体" w:cs="宋体" w:eastAsia="宋体" w:hint="default"/>
                <w:spacing w:val="-86"/>
                <w:sz w:val="18"/>
                <w:szCs w:val="18"/>
              </w:rPr>
              <w:t> </w:t>
            </w:r>
            <w:r>
              <w:rPr>
                <w:rFonts w:ascii="宋体" w:hAnsi="宋体" w:cs="宋体" w:eastAsia="宋体" w:hint="default"/>
                <w:spacing w:val="20"/>
                <w:sz w:val="18"/>
                <w:szCs w:val="18"/>
              </w:rPr>
              <w:t>性损益的净</w:t>
            </w:r>
            <w:r>
              <w:rPr>
                <w:rFonts w:ascii="宋体" w:hAnsi="宋体" w:cs="宋体" w:eastAsia="宋体" w:hint="default"/>
                <w:spacing w:val="-86"/>
                <w:sz w:val="18"/>
                <w:szCs w:val="18"/>
              </w:rPr>
              <w:t> </w:t>
            </w:r>
            <w:r>
              <w:rPr>
                <w:rFonts w:ascii="宋体" w:hAnsi="宋体" w:cs="宋体" w:eastAsia="宋体" w:hint="default"/>
                <w:sz w:val="18"/>
                <w:szCs w:val="18"/>
              </w:rPr>
              <w:t>利润</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46,686,090.05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23,510,604.79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23,889,784.50</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98.57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154,849,675.08</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155,199,626.39</w:t>
            </w:r>
          </w:p>
        </w:tc>
      </w:tr>
      <w:tr>
        <w:trPr>
          <w:trHeight w:val="710" w:hRule="exact"/>
        </w:trPr>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经营活动产</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ind w:left="103" w:right="76"/>
              <w:jc w:val="left"/>
              <w:rPr>
                <w:rFonts w:ascii="宋体" w:hAnsi="宋体" w:cs="宋体" w:eastAsia="宋体" w:hint="default"/>
                <w:sz w:val="18"/>
                <w:szCs w:val="18"/>
              </w:rPr>
            </w:pPr>
            <w:r>
              <w:rPr>
                <w:rFonts w:ascii="宋体" w:hAnsi="宋体" w:cs="宋体" w:eastAsia="宋体" w:hint="default"/>
                <w:spacing w:val="20"/>
                <w:sz w:val="18"/>
                <w:szCs w:val="18"/>
              </w:rPr>
              <w:t>生的现金流</w:t>
            </w:r>
            <w:r>
              <w:rPr>
                <w:rFonts w:ascii="宋体" w:hAnsi="宋体" w:cs="宋体" w:eastAsia="宋体" w:hint="default"/>
                <w:spacing w:val="-86"/>
                <w:sz w:val="18"/>
                <w:szCs w:val="18"/>
              </w:rPr>
              <w:t> </w:t>
            </w:r>
            <w:r>
              <w:rPr>
                <w:rFonts w:ascii="宋体" w:hAnsi="宋体" w:cs="宋体" w:eastAsia="宋体" w:hint="default"/>
                <w:sz w:val="18"/>
                <w:szCs w:val="18"/>
              </w:rPr>
              <w:t>量净额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276,488,016.32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323,936,080.37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323,936,080.37</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-14.65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137,896,088.31</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137,896,088.31</w:t>
            </w:r>
          </w:p>
        </w:tc>
      </w:tr>
      <w:tr>
        <w:trPr>
          <w:trHeight w:val="295" w:hRule="exact"/>
        </w:trPr>
        <w:tc>
          <w:tcPr>
            <w:tcW w:w="122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22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1223" w:type="dxa"/>
            <w:vMerge w:val="restart"/>
            <w:tcBorders>
              <w:top w:val="single" w:sz="4" w:space="0" w:color="000000"/>
              <w:left w:val="single" w:sz="4" w:space="0" w:color="000000"/>
              <w:right w:val="single" w:sz="4" w:space="0" w:color="000000"/>
            </w:tcBorders>
          </w:tcPr>
          <w:p>
            <w:pP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年末</w:t>
            </w:r>
          </w:p>
        </w:tc>
        <w:tc>
          <w:tcPr>
            <w:tcW w:w="3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年末</w:t>
            </w:r>
          </w:p>
        </w:tc>
        <w:tc>
          <w:tcPr>
            <w:tcW w:w="827" w:type="dxa"/>
            <w:vMerge w:val="restart"/>
            <w:tcBorders>
              <w:top w:val="single" w:sz="4" w:space="0" w:color="000000"/>
              <w:left w:val="single" w:sz="4" w:space="0" w:color="000000"/>
              <w:right w:val="single" w:sz="4" w:space="0" w:color="000000"/>
            </w:tcBorders>
          </w:tcPr>
          <w:p>
            <w:pPr>
              <w:pStyle w:val="TableParagraph"/>
              <w:spacing w:line="205" w:lineRule="exact"/>
              <w:ind w:left="137" w:right="0"/>
              <w:jc w:val="both"/>
              <w:rPr>
                <w:rFonts w:ascii="宋体" w:hAnsi="宋体" w:cs="宋体" w:eastAsia="宋体" w:hint="default"/>
                <w:sz w:val="18"/>
                <w:szCs w:val="18"/>
              </w:rPr>
            </w:pPr>
            <w:r>
              <w:rPr>
                <w:rFonts w:ascii="宋体" w:hAnsi="宋体" w:cs="宋体" w:eastAsia="宋体" w:hint="default"/>
                <w:sz w:val="18"/>
                <w:szCs w:val="18"/>
              </w:rPr>
              <w:t>本期末</w:t>
            </w:r>
          </w:p>
          <w:p>
            <w:pPr>
              <w:pStyle w:val="TableParagraph"/>
              <w:spacing w:line="237" w:lineRule="auto" w:before="1"/>
              <w:ind w:left="103" w:right="102" w:firstLine="34"/>
              <w:jc w:val="both"/>
              <w:rPr>
                <w:rFonts w:ascii="宋体" w:hAnsi="宋体" w:cs="宋体" w:eastAsia="宋体" w:hint="default"/>
                <w:sz w:val="18"/>
                <w:szCs w:val="18"/>
              </w:rPr>
            </w:pPr>
            <w:r>
              <w:rPr>
                <w:rFonts w:ascii="宋体" w:hAnsi="宋体" w:cs="宋体" w:eastAsia="宋体" w:hint="default"/>
                <w:sz w:val="18"/>
                <w:szCs w:val="18"/>
              </w:rPr>
              <w:t>比上年 同期末 </w:t>
            </w:r>
            <w:r>
              <w:rPr>
                <w:rFonts w:ascii="宋体" w:hAnsi="宋体" w:cs="宋体" w:eastAsia="宋体" w:hint="default"/>
                <w:spacing w:val="-6"/>
                <w:sz w:val="18"/>
                <w:szCs w:val="18"/>
              </w:rPr>
              <w:t>增减（</w:t>
            </w:r>
            <w:r>
              <w:rPr>
                <w:rFonts w:ascii="宋体" w:hAnsi="宋体" w:cs="宋体" w:eastAsia="宋体" w:hint="default"/>
                <w:spacing w:val="-6"/>
                <w:sz w:val="18"/>
                <w:szCs w:val="18"/>
              </w:rPr>
              <w:t>%</w:t>
            </w:r>
          </w:p>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33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年末</w:t>
            </w:r>
          </w:p>
        </w:tc>
      </w:tr>
      <w:tr>
        <w:trPr>
          <w:trHeight w:val="686" w:hRule="exact"/>
        </w:trPr>
        <w:tc>
          <w:tcPr>
            <w:tcW w:w="1223"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827" w:type="dxa"/>
            <w:vMerge/>
            <w:tcBorders>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调整前</w:t>
            </w:r>
          </w:p>
        </w:tc>
      </w:tr>
      <w:tr>
        <w:trPr>
          <w:trHeight w:val="710" w:hRule="exact"/>
        </w:trPr>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归属于上市</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2" w:lineRule="exact" w:before="24"/>
              <w:ind w:left="103" w:right="76"/>
              <w:jc w:val="left"/>
              <w:rPr>
                <w:rFonts w:ascii="宋体" w:hAnsi="宋体" w:cs="宋体" w:eastAsia="宋体" w:hint="default"/>
                <w:sz w:val="18"/>
                <w:szCs w:val="18"/>
              </w:rPr>
            </w:pPr>
            <w:r>
              <w:rPr>
                <w:rFonts w:ascii="宋体" w:hAnsi="宋体" w:cs="宋体" w:eastAsia="宋体" w:hint="default"/>
                <w:spacing w:val="20"/>
                <w:sz w:val="18"/>
                <w:szCs w:val="18"/>
              </w:rPr>
              <w:t>公司股东的</w:t>
            </w:r>
            <w:r>
              <w:rPr>
                <w:rFonts w:ascii="宋体" w:hAnsi="宋体" w:cs="宋体" w:eastAsia="宋体" w:hint="default"/>
                <w:spacing w:val="-86"/>
                <w:sz w:val="18"/>
                <w:szCs w:val="18"/>
              </w:rPr>
              <w:t> </w:t>
            </w:r>
            <w:r>
              <w:rPr>
                <w:rFonts w:ascii="宋体" w:hAnsi="宋体" w:cs="宋体" w:eastAsia="宋体" w:hint="default"/>
                <w:sz w:val="18"/>
                <w:szCs w:val="18"/>
              </w:rPr>
              <w:t>净资产</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2,315,615,632.02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2,260,715,471.71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2,318,432,121.90</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2.43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2,291,536,028.86</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2,369,552,646.94</w:t>
            </w:r>
          </w:p>
        </w:tc>
      </w:tr>
      <w:tr>
        <w:trPr>
          <w:trHeight w:val="294" w:hRule="exact"/>
        </w:trPr>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6,608,118,573.04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5,707,364,544.06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5,707,364,544.06</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15.78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4,555,737,776.02</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4,555,737,776.02</w:t>
            </w:r>
          </w:p>
        </w:tc>
      </w:tr>
      <w:tr>
        <w:trPr>
          <w:trHeight w:val="295" w:hRule="exact"/>
        </w:trPr>
        <w:tc>
          <w:tcPr>
            <w:tcW w:w="122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22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5"/>
          <w:szCs w:val="25"/>
        </w:rPr>
      </w:pPr>
    </w:p>
    <w:p>
      <w:pPr>
        <w:pStyle w:val="Heading2"/>
        <w:tabs>
          <w:tab w:pos="1665" w:val="left" w:leader="none"/>
        </w:tabs>
        <w:spacing w:line="240" w:lineRule="auto"/>
        <w:ind w:left="825"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b w:val="0"/>
          <w:bCs w:val="0"/>
        </w:rPr>
      </w:r>
    </w:p>
    <w:p>
      <w:pPr>
        <w:spacing w:line="240" w:lineRule="auto" w:before="0"/>
        <w:rPr>
          <w:rFonts w:ascii="宋体" w:hAnsi="宋体" w:cs="宋体" w:eastAsia="宋体" w:hint="default"/>
          <w:b/>
          <w:bCs/>
          <w:sz w:val="12"/>
          <w:szCs w:val="12"/>
        </w:rPr>
      </w:pPr>
    </w:p>
    <w:tbl>
      <w:tblPr>
        <w:tblW w:w="0" w:type="auto"/>
        <w:jc w:val="left"/>
        <w:tblInd w:w="712" w:type="dxa"/>
        <w:tblLayout w:type="fixed"/>
        <w:tblCellMar>
          <w:top w:w="0" w:type="dxa"/>
          <w:left w:w="0" w:type="dxa"/>
          <w:bottom w:w="0" w:type="dxa"/>
          <w:right w:w="0" w:type="dxa"/>
        </w:tblCellMar>
        <w:tblLook w:val="01E0"/>
      </w:tblPr>
      <w:tblGrid>
        <w:gridCol w:w="2662"/>
        <w:gridCol w:w="1202"/>
        <w:gridCol w:w="1006"/>
        <w:gridCol w:w="997"/>
        <w:gridCol w:w="1316"/>
        <w:gridCol w:w="1006"/>
        <w:gridCol w:w="971"/>
      </w:tblGrid>
      <w:tr>
        <w:trPr>
          <w:trHeight w:val="456" w:hRule="exact"/>
        </w:trPr>
        <w:tc>
          <w:tcPr>
            <w:tcW w:w="266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696"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20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c>
          <w:tcPr>
            <w:tcW w:w="1316" w:type="dxa"/>
            <w:vMerge w:val="restart"/>
            <w:tcBorders>
              <w:top w:val="single" w:sz="4" w:space="0" w:color="000000"/>
              <w:left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本期比上年</w:t>
            </w:r>
          </w:p>
          <w:p>
            <w:pPr>
              <w:pStyle w:val="TableParagraph"/>
              <w:spacing w:line="272" w:lineRule="exact" w:before="26"/>
              <w:ind w:left="232" w:right="231"/>
              <w:jc w:val="center"/>
              <w:rPr>
                <w:rFonts w:ascii="宋体" w:hAnsi="宋体" w:cs="宋体" w:eastAsia="宋体" w:hint="default"/>
                <w:sz w:val="21"/>
                <w:szCs w:val="21"/>
              </w:rPr>
            </w:pPr>
            <w:r>
              <w:rPr>
                <w:rFonts w:ascii="宋体" w:hAnsi="宋体" w:cs="宋体" w:eastAsia="宋体" w:hint="default"/>
                <w:sz w:val="21"/>
                <w:szCs w:val="21"/>
              </w:rPr>
              <w:t>同期增减 </w:t>
            </w:r>
            <w:r>
              <w:rPr>
                <w:rFonts w:ascii="宋体" w:hAnsi="宋体" w:cs="宋体" w:eastAsia="宋体" w:hint="default"/>
                <w:sz w:val="21"/>
                <w:szCs w:val="21"/>
              </w:rPr>
              <w:t>(%)</w:t>
            </w:r>
          </w:p>
        </w:tc>
        <w:tc>
          <w:tcPr>
            <w:tcW w:w="19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w:t>
            </w:r>
          </w:p>
        </w:tc>
      </w:tr>
      <w:tr>
        <w:trPr>
          <w:trHeight w:val="371" w:hRule="exact"/>
        </w:trPr>
        <w:tc>
          <w:tcPr>
            <w:tcW w:w="266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82"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77"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316" w:type="dxa"/>
            <w:vMerge/>
            <w:tcBorders>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82"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64"/>
              <w:jc w:val="right"/>
              <w:rPr>
                <w:rFonts w:ascii="宋体" w:hAnsi="宋体" w:cs="宋体" w:eastAsia="宋体" w:hint="default"/>
                <w:sz w:val="21"/>
                <w:szCs w:val="21"/>
              </w:rPr>
            </w:pPr>
            <w:r>
              <w:rPr>
                <w:rFonts w:ascii="宋体" w:hAnsi="宋体" w:cs="宋体" w:eastAsia="宋体" w:hint="default"/>
                <w:sz w:val="21"/>
                <w:szCs w:val="21"/>
              </w:rPr>
              <w:t>调整前</w:t>
            </w:r>
          </w:p>
        </w:tc>
      </w:tr>
      <w:tr>
        <w:trPr>
          <w:trHeight w:val="282"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0.1477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0.0639</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0.0645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131.14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0.2404</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0.2409</w:t>
            </w:r>
          </w:p>
        </w:tc>
      </w:tr>
      <w:tr>
        <w:trPr>
          <w:trHeight w:val="28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202"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扣除非经常性损益后的基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本每股收益（元／股）</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0.0725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0.0363</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0.0369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99.72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0.2381</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0.2386</w:t>
            </w:r>
          </w:p>
        </w:tc>
      </w:tr>
      <w:tr>
        <w:trPr>
          <w:trHeight w:val="555"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1.81</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2.34</w:t>
            </w:r>
            <w:r>
              <w:rPr>
                <w:rFonts w:ascii="宋体" w:hAnsi="宋体" w:cs="宋体" w:eastAsia="宋体" w:hint="default"/>
                <w:sz w:val="21"/>
                <w:szCs w:val="21"/>
              </w:rPr>
              <w:t>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7.05</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6.72</w:t>
            </w:r>
          </w:p>
        </w:tc>
      </w:tr>
      <w:tr>
        <w:trPr>
          <w:trHeight w:val="554"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扣除非经常性损益后的加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1.03</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1.01</w:t>
            </w:r>
            <w:r>
              <w:rPr>
                <w:rFonts w:ascii="宋体" w:hAnsi="宋体" w:cs="宋体" w:eastAsia="宋体" w:hint="default"/>
                <w:sz w:val="21"/>
                <w:szCs w:val="21"/>
              </w:rPr>
              <w:t>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6.98</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6.65</w:t>
            </w:r>
          </w:p>
        </w:tc>
      </w:tr>
      <w:tr>
        <w:trPr>
          <w:trHeight w:val="283" w:hRule="exact"/>
        </w:trPr>
        <w:tc>
          <w:tcPr>
            <w:tcW w:w="266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80" w:bottom="1380" w:left="700" w:right="620"/>
        </w:sectPr>
      </w:pPr>
    </w:p>
    <w:p>
      <w:pPr>
        <w:spacing w:line="240" w:lineRule="auto" w:before="8"/>
        <w:rPr>
          <w:rFonts w:ascii="宋体" w:hAnsi="宋体" w:cs="宋体" w:eastAsia="宋体" w:hint="default"/>
          <w:b/>
          <w:bCs/>
          <w:sz w:val="11"/>
          <w:szCs w:val="11"/>
        </w:rPr>
      </w:pPr>
    </w:p>
    <w:tbl>
      <w:tblPr>
        <w:tblW w:w="0" w:type="auto"/>
        <w:jc w:val="left"/>
        <w:tblInd w:w="112" w:type="dxa"/>
        <w:tblLayout w:type="fixed"/>
        <w:tblCellMar>
          <w:top w:w="0" w:type="dxa"/>
          <w:left w:w="0" w:type="dxa"/>
          <w:bottom w:w="0" w:type="dxa"/>
          <w:right w:w="0" w:type="dxa"/>
        </w:tblCellMar>
        <w:tblLook w:val="01E0"/>
      </w:tblPr>
      <w:tblGrid>
        <w:gridCol w:w="2662"/>
        <w:gridCol w:w="1202"/>
        <w:gridCol w:w="1006"/>
        <w:gridCol w:w="997"/>
        <w:gridCol w:w="1316"/>
        <w:gridCol w:w="1006"/>
        <w:gridCol w:w="971"/>
      </w:tblGrid>
      <w:tr>
        <w:trPr>
          <w:trHeight w:val="283" w:hRule="exact"/>
        </w:trPr>
        <w:tc>
          <w:tcPr>
            <w:tcW w:w="266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b/>
          <w:bCs/>
          <w:sz w:val="15"/>
          <w:szCs w:val="15"/>
        </w:rPr>
      </w:pPr>
    </w:p>
    <w:p>
      <w:pPr>
        <w:spacing w:before="35"/>
        <w:ind w:left="225" w:right="261" w:firstLine="0"/>
        <w:jc w:val="left"/>
        <w:rPr>
          <w:rFonts w:ascii="宋体" w:hAnsi="宋体" w:cs="宋体" w:eastAsia="宋体" w:hint="default"/>
          <w:sz w:val="21"/>
          <w:szCs w:val="21"/>
        </w:rPr>
      </w:pPr>
      <w:r>
        <w:rPr>
          <w:rFonts w:ascii="宋体" w:hAnsi="宋体" w:cs="宋体" w:eastAsia="宋体" w:hint="default"/>
          <w:sz w:val="21"/>
          <w:szCs w:val="21"/>
        </w:rPr>
        <w:t>报告期末公司前三年主要会计数据和财务指标的说明</w:t>
      </w:r>
    </w:p>
    <w:p>
      <w:pPr>
        <w:spacing w:line="240" w:lineRule="auto" w:before="12"/>
        <w:rPr>
          <w:rFonts w:ascii="宋体" w:hAnsi="宋体" w:cs="宋体" w:eastAsia="宋体" w:hint="default"/>
          <w:sz w:val="20"/>
          <w:szCs w:val="20"/>
        </w:rPr>
      </w:pPr>
    </w:p>
    <w:p>
      <w:pPr>
        <w:spacing w:line="20" w:lineRule="exact"/>
        <w:ind w:left="219" w:right="0" w:firstLine="0"/>
        <w:rPr>
          <w:rFonts w:ascii="宋体" w:hAnsi="宋体" w:cs="宋体" w:eastAsia="宋体" w:hint="default"/>
          <w:sz w:val="2"/>
          <w:szCs w:val="2"/>
        </w:rPr>
      </w:pPr>
      <w:r>
        <w:rPr>
          <w:rFonts w:ascii="宋体" w:hAnsi="宋体" w:cs="宋体" w:eastAsia="宋体" w:hint="default"/>
          <w:sz w:val="2"/>
          <w:szCs w:val="2"/>
        </w:rPr>
        <w:pict>
          <v:group style="width:32.1pt;height:.550pt;mso-position-horizontal-relative:char;mso-position-vertical-relative:line" coordorigin="0,0" coordsize="642,11">
            <v:group style="position:absolute;left:5;top:5;width:631;height:2" coordorigin="5,5" coordsize="631,2">
              <v:shape style="position:absolute;left:5;top:5;width:631;height:2" coordorigin="5,5" coordsize="631,0" path="m5,5l636,5e" filled="false" stroked="true" strokeweight=".54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5"/>
          <w:szCs w:val="25"/>
        </w:rPr>
      </w:pPr>
    </w:p>
    <w:p>
      <w:pPr>
        <w:pStyle w:val="Heading2"/>
        <w:spacing w:line="240" w:lineRule="auto"/>
        <w:ind w:left="225" w:right="261"/>
        <w:jc w:val="left"/>
        <w:rPr>
          <w:b w:val="0"/>
          <w:bCs w:val="0"/>
        </w:rPr>
      </w:pPr>
      <w:r>
        <w:rPr/>
        <w:t>二、</w:t>
      </w:r>
      <w:r>
        <w:rPr>
          <w:spacing w:val="-47"/>
        </w:rPr>
        <w:t> </w:t>
      </w:r>
      <w:r>
        <w:rPr/>
        <w:t>境内外会计准则下会计数据差异</w:t>
      </w:r>
      <w:r>
        <w:rPr>
          <w:b w:val="0"/>
          <w:bCs w:val="0"/>
        </w:rPr>
      </w:r>
    </w:p>
    <w:p>
      <w:pPr>
        <w:pStyle w:val="Heading2"/>
        <w:spacing w:line="312" w:lineRule="exact" w:before="147"/>
        <w:ind w:left="645" w:right="0" w:hanging="421"/>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spacing w:val="2"/>
        </w:rPr>
        <w:t>同时按照国际会计准则与按中国会计准则披露的财务报告中净利润和归属于上市</w:t>
      </w:r>
      <w:r>
        <w:rPr>
          <w:w w:val="99"/>
        </w:rPr>
        <w:t> </w:t>
      </w:r>
      <w:r>
        <w:rPr/>
        <w:t>公司股东的净资产差异情况</w:t>
      </w:r>
      <w:r>
        <w:rPr>
          <w:b w:val="0"/>
          <w:bCs w:val="0"/>
        </w:rPr>
      </w:r>
    </w:p>
    <w:p>
      <w:pPr>
        <w:pStyle w:val="BodyText"/>
        <w:spacing w:line="240" w:lineRule="auto" w:before="88"/>
        <w:ind w:left="225" w:right="261"/>
        <w:jc w:val="left"/>
      </w:pPr>
      <w:r>
        <w:rPr/>
        <w:t>□适用 √不适用</w:t>
      </w:r>
    </w:p>
    <w:p>
      <w:pPr>
        <w:pStyle w:val="Heading2"/>
        <w:spacing w:line="312" w:lineRule="exact" w:before="147"/>
        <w:ind w:left="645" w:right="0" w:hanging="421"/>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spacing w:val="2"/>
        </w:rPr>
        <w:t>同时按照境外会计准则与按中国会计准则披露的财务报告中净利润和属于上市公</w:t>
      </w:r>
      <w:r>
        <w:rPr>
          <w:w w:val="99"/>
        </w:rPr>
        <w:t> </w:t>
      </w:r>
      <w:r>
        <w:rPr/>
        <w:t>司股东的净资产差异情况</w:t>
      </w:r>
      <w:r>
        <w:rPr>
          <w:b w:val="0"/>
          <w:bCs w:val="0"/>
        </w:rPr>
      </w:r>
    </w:p>
    <w:p>
      <w:pPr>
        <w:pStyle w:val="BodyText"/>
        <w:spacing w:line="240" w:lineRule="auto" w:before="88"/>
        <w:ind w:left="225" w:right="261"/>
        <w:jc w:val="left"/>
      </w:pPr>
      <w:r>
        <w:rPr/>
        <w:t>□适用 √不适用</w:t>
      </w:r>
    </w:p>
    <w:p>
      <w:pPr>
        <w:pStyle w:val="Heading2"/>
        <w:spacing w:line="300" w:lineRule="auto" w:before="116"/>
        <w:ind w:left="705" w:right="5599" w:hanging="481"/>
        <w:jc w:val="left"/>
        <w:rPr>
          <w:rFonts w:ascii="宋体" w:hAnsi="宋体" w:cs="宋体" w:eastAsia="宋体" w:hint="default"/>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4"/>
        </w:rPr>
        <w:t> </w:t>
      </w:r>
      <w:r>
        <w:rPr/>
        <w:t>境内外会计准则差异的说明：</w:t>
      </w:r>
      <w:r>
        <w:rPr>
          <w:w w:val="99"/>
        </w:rPr>
        <w:t> </w:t>
      </w:r>
      <w:r>
        <w:rPr>
          <w:rFonts w:ascii="宋体" w:hAnsi="宋体" w:cs="宋体" w:eastAsia="宋体" w:hint="default"/>
          <w:b w:val="0"/>
          <w:bCs w:val="0"/>
        </w:rPr>
        <w:t>无</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4" w:top="1120" w:bottom="1380" w:left="1300" w:right="1220"/>
        </w:sectPr>
      </w:pPr>
    </w:p>
    <w:p>
      <w:pPr>
        <w:pStyle w:val="Heading2"/>
        <w:spacing w:line="240" w:lineRule="auto"/>
        <w:ind w:left="225" w:right="-11"/>
        <w:jc w:val="left"/>
        <w:rPr>
          <w:b w:val="0"/>
          <w:bCs w:val="0"/>
        </w:rPr>
      </w:pPr>
      <w:r>
        <w:rPr/>
        <w:t>三、</w:t>
      </w:r>
      <w:r>
        <w:rPr>
          <w:spacing w:val="-48"/>
        </w:rPr>
        <w:t> </w:t>
      </w:r>
      <w:r>
        <w:rPr/>
        <w:t>非经常性损益项目和金额</w:t>
      </w:r>
      <w:r>
        <w:rPr>
          <w:b w:val="0"/>
          <w:bCs w:val="0"/>
        </w:rPr>
      </w:r>
    </w:p>
    <w:p>
      <w:pPr>
        <w:pStyle w:val="BodyText"/>
        <w:spacing w:line="240" w:lineRule="auto" w:before="116"/>
        <w:ind w:left="225" w:right="-11"/>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tabs>
          <w:tab w:pos="1170" w:val="left" w:leader="none"/>
        </w:tabs>
        <w:spacing w:before="0"/>
        <w:ind w:left="225"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w:t>
        <w:tab/>
        <w:t>币种</w:t>
      </w:r>
      <w:r>
        <w:rPr>
          <w:rFonts w:ascii="宋体" w:hAnsi="宋体" w:cs="宋体" w:eastAsia="宋体" w:hint="default"/>
          <w:sz w:val="21"/>
          <w:szCs w:val="21"/>
        </w:rPr>
        <w:t>:</w:t>
      </w:r>
      <w:r>
        <w:rPr>
          <w:rFonts w:ascii="宋体" w:hAnsi="宋体" w:cs="宋体" w:eastAsia="宋体" w:hint="default"/>
          <w:sz w:val="21"/>
          <w:szCs w:val="21"/>
        </w:rPr>
        <w:t>人民币</w:t>
      </w:r>
    </w:p>
    <w:p>
      <w:pPr>
        <w:spacing w:after="0"/>
        <w:jc w:val="left"/>
        <w:rPr>
          <w:rFonts w:ascii="宋体" w:hAnsi="宋体" w:cs="宋体" w:eastAsia="宋体" w:hint="default"/>
          <w:sz w:val="21"/>
          <w:szCs w:val="21"/>
        </w:rPr>
        <w:sectPr>
          <w:type w:val="continuous"/>
          <w:pgSz w:w="11910" w:h="16840"/>
          <w:pgMar w:top="1080" w:bottom="1380" w:left="1300" w:right="1220"/>
          <w:cols w:num="2" w:equalWidth="0">
            <w:col w:w="3440" w:space="3403"/>
            <w:col w:w="2547"/>
          </w:cols>
        </w:sectPr>
      </w:pPr>
    </w:p>
    <w:p>
      <w:pPr>
        <w:spacing w:line="240" w:lineRule="auto" w:before="9"/>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3218"/>
        <w:gridCol w:w="1686"/>
        <w:gridCol w:w="1092"/>
        <w:gridCol w:w="1581"/>
        <w:gridCol w:w="1582"/>
      </w:tblGrid>
      <w:tr>
        <w:trPr>
          <w:trHeight w:val="555" w:hRule="exact"/>
        </w:trPr>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63"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7"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年金额</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附注（如</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适用）</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年金额</w:t>
            </w:r>
          </w:p>
        </w:tc>
      </w:tr>
      <w:tr>
        <w:trPr>
          <w:trHeight w:val="296" w:hRule="exact"/>
        </w:trPr>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2"/>
                <w:szCs w:val="22"/>
              </w:rPr>
            </w:pPr>
            <w:r>
              <w:rPr>
                <w:rFonts w:ascii="宋体"/>
                <w:w w:val="95"/>
                <w:sz w:val="22"/>
              </w:rPr>
              <w:t>35,904,392.46</w:t>
            </w:r>
            <w:r>
              <w:rPr>
                <w:rFonts w:ascii="宋体"/>
                <w:sz w:val="22"/>
              </w:rPr>
            </w:r>
          </w:p>
        </w:tc>
        <w:tc>
          <w:tcPr>
            <w:tcW w:w="1092"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-5,259,001.49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-629,140.77</w:t>
            </w:r>
          </w:p>
        </w:tc>
      </w:tr>
      <w:tr>
        <w:trPr>
          <w:trHeight w:val="554" w:hRule="exact"/>
        </w:trPr>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或偶发性的税收返还、减免</w:t>
            </w:r>
          </w:p>
        </w:tc>
        <w:tc>
          <w:tcPr>
            <w:tcW w:w="168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计入当期损益的政府补助，但与</w:t>
            </w:r>
          </w:p>
          <w:p>
            <w:pPr>
              <w:pStyle w:val="TableParagraph"/>
              <w:spacing w:line="272" w:lineRule="exact" w:before="26"/>
              <w:ind w:left="103" w:right="162"/>
              <w:jc w:val="both"/>
              <w:rPr>
                <w:rFonts w:ascii="宋体" w:hAnsi="宋体" w:cs="宋体" w:eastAsia="宋体" w:hint="default"/>
                <w:sz w:val="21"/>
                <w:szCs w:val="21"/>
              </w:rPr>
            </w:pPr>
            <w:r>
              <w:rPr>
                <w:rFonts w:ascii="宋体" w:hAnsi="宋体" w:cs="宋体" w:eastAsia="宋体" w:hint="default"/>
                <w:sz w:val="21"/>
                <w:szCs w:val="21"/>
              </w:rPr>
              <w:t>公司正常经营业务密切相关，符 合国家政策规定、按照一定标准 定额或定量持续享受的政府补助 除外</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w w:val="95"/>
                <w:sz w:val="22"/>
              </w:rPr>
              <w:t>2,595,542.27</w:t>
            </w:r>
            <w:r>
              <w:rPr>
                <w:rFonts w:ascii="宋体"/>
                <w:sz w:val="22"/>
              </w:rPr>
            </w:r>
          </w:p>
        </w:tc>
        <w:tc>
          <w:tcPr>
            <w:tcW w:w="1092"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center"/>
              <w:rPr>
                <w:rFonts w:ascii="宋体" w:hAnsi="宋体" w:cs="宋体" w:eastAsia="宋体" w:hint="default"/>
                <w:sz w:val="21"/>
                <w:szCs w:val="21"/>
              </w:rPr>
            </w:pPr>
            <w:r>
              <w:rPr>
                <w:rFonts w:ascii="宋体"/>
                <w:sz w:val="21"/>
              </w:rPr>
              <w:t>2,461,145.70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2,042,819.68</w:t>
            </w:r>
          </w:p>
        </w:tc>
      </w:tr>
      <w:tr>
        <w:trPr>
          <w:trHeight w:val="554" w:hRule="exact"/>
        </w:trPr>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取的资金占用费</w:t>
            </w:r>
          </w:p>
        </w:tc>
        <w:tc>
          <w:tcPr>
            <w:tcW w:w="168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企业取得子公司、联营企业及合</w:t>
            </w:r>
          </w:p>
          <w:p>
            <w:pPr>
              <w:pStyle w:val="TableParagraph"/>
              <w:spacing w:line="272" w:lineRule="exact" w:before="26"/>
              <w:ind w:left="103" w:right="162"/>
              <w:jc w:val="both"/>
              <w:rPr>
                <w:rFonts w:ascii="宋体" w:hAnsi="宋体" w:cs="宋体" w:eastAsia="宋体" w:hint="default"/>
                <w:sz w:val="21"/>
                <w:szCs w:val="21"/>
              </w:rPr>
            </w:pPr>
            <w:r>
              <w:rPr>
                <w:rFonts w:ascii="宋体" w:hAnsi="宋体" w:cs="宋体" w:eastAsia="宋体" w:hint="default"/>
                <w:sz w:val="21"/>
                <w:szCs w:val="21"/>
              </w:rPr>
              <w:t>营企业的投资成本小于取得投资 时应享有被投资单位可辨认净资 产公允价值产生的收益</w:t>
            </w:r>
          </w:p>
        </w:tc>
        <w:tc>
          <w:tcPr>
            <w:tcW w:w="168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68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w w:val="95"/>
                <w:sz w:val="22"/>
              </w:rPr>
              <w:t>22,173,621.79</w:t>
            </w:r>
            <w:r>
              <w:rPr>
                <w:rFonts w:ascii="宋体"/>
                <w:sz w:val="22"/>
              </w:rPr>
            </w:r>
          </w:p>
        </w:tc>
        <w:tc>
          <w:tcPr>
            <w:tcW w:w="1092"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center"/>
              <w:rPr>
                <w:rFonts w:ascii="宋体" w:hAnsi="宋体" w:cs="宋体" w:eastAsia="宋体" w:hint="default"/>
                <w:sz w:val="21"/>
                <w:szCs w:val="21"/>
              </w:rPr>
            </w:pPr>
            <w:r>
              <w:rPr>
                <w:rFonts w:ascii="宋体"/>
                <w:sz w:val="21"/>
              </w:rPr>
              <w:t>7,040,219.33</w:t>
            </w: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害而计提的各项资产减值准备</w:t>
            </w:r>
          </w:p>
        </w:tc>
        <w:tc>
          <w:tcPr>
            <w:tcW w:w="168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68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出、整合费用等</w:t>
            </w:r>
          </w:p>
        </w:tc>
        <w:tc>
          <w:tcPr>
            <w:tcW w:w="168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w:t>
            </w:r>
          </w:p>
        </w:tc>
        <w:tc>
          <w:tcPr>
            <w:tcW w:w="168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80" w:bottom="1380" w:left="1300" w:right="1220"/>
        </w:sectPr>
      </w:pPr>
    </w:p>
    <w:p>
      <w:pPr>
        <w:spacing w:line="240" w:lineRule="auto" w:before="3"/>
        <w:rPr>
          <w:rFonts w:ascii="Times New Roman" w:hAnsi="Times New Roman" w:cs="Times New Roman" w:eastAsia="Times New Roman" w:hint="default"/>
          <w:sz w:val="13"/>
          <w:szCs w:val="13"/>
        </w:rPr>
      </w:pPr>
    </w:p>
    <w:tbl>
      <w:tblPr>
        <w:tblW w:w="0" w:type="auto"/>
        <w:jc w:val="left"/>
        <w:tblInd w:w="112" w:type="dxa"/>
        <w:tblLayout w:type="fixed"/>
        <w:tblCellMar>
          <w:top w:w="0" w:type="dxa"/>
          <w:left w:w="0" w:type="dxa"/>
          <w:bottom w:w="0" w:type="dxa"/>
          <w:right w:w="0" w:type="dxa"/>
        </w:tblCellMar>
        <w:tblLook w:val="01E0"/>
      </w:tblPr>
      <w:tblGrid>
        <w:gridCol w:w="3218"/>
        <w:gridCol w:w="1686"/>
        <w:gridCol w:w="1092"/>
        <w:gridCol w:w="1581"/>
        <w:gridCol w:w="1582"/>
      </w:tblGrid>
      <w:tr>
        <w:trPr>
          <w:trHeight w:val="283" w:hRule="exact"/>
        </w:trPr>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超过公允价值部分的损益</w:t>
            </w:r>
          </w:p>
        </w:tc>
        <w:tc>
          <w:tcPr>
            <w:tcW w:w="168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司期初至合并日的当期净损益</w:t>
            </w:r>
          </w:p>
        </w:tc>
        <w:tc>
          <w:tcPr>
            <w:tcW w:w="168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事项产生的损益</w:t>
            </w:r>
          </w:p>
        </w:tc>
        <w:tc>
          <w:tcPr>
            <w:tcW w:w="168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-627,717.11</w:t>
            </w: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1917" w:hRule="exact"/>
        </w:trPr>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w:t>
            </w:r>
          </w:p>
          <w:p>
            <w:pPr>
              <w:pStyle w:val="TableParagraph"/>
              <w:spacing w:line="272" w:lineRule="exact" w:before="26"/>
              <w:ind w:left="103" w:right="162"/>
              <w:jc w:val="both"/>
              <w:rPr>
                <w:rFonts w:ascii="宋体" w:hAnsi="宋体" w:cs="宋体" w:eastAsia="宋体" w:hint="default"/>
                <w:sz w:val="21"/>
                <w:szCs w:val="21"/>
              </w:rPr>
            </w:pPr>
            <w:r>
              <w:rPr>
                <w:rFonts w:ascii="宋体" w:hAnsi="宋体" w:cs="宋体" w:eastAsia="宋体" w:hint="default"/>
                <w:sz w:val="21"/>
                <w:szCs w:val="21"/>
              </w:rPr>
              <w:t>效套期保值业务外，持有交易性 金融资产、交易性金融负债产生 的公允价值变动损益，以及处置 交易性金融资产、交易性金融负 债和可供出售金融资产取得的投 资收益</w:t>
            </w:r>
          </w:p>
        </w:tc>
        <w:tc>
          <w:tcPr>
            <w:tcW w:w="168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值准备转回</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w w:val="95"/>
                <w:sz w:val="22"/>
              </w:rPr>
              <w:t>541,697.01</w:t>
            </w:r>
            <w:r>
              <w:rPr>
                <w:rFonts w:ascii="宋体"/>
                <w:sz w:val="22"/>
              </w:rPr>
            </w:r>
          </w:p>
        </w:tc>
        <w:tc>
          <w:tcPr>
            <w:tcW w:w="1092"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139,867.01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30,241.29</w:t>
            </w:r>
          </w:p>
        </w:tc>
      </w:tr>
      <w:tr>
        <w:trPr>
          <w:trHeight w:val="283" w:hRule="exact"/>
        </w:trPr>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68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w:t>
            </w:r>
          </w:p>
          <w:p>
            <w:pPr>
              <w:pStyle w:val="TableParagraph"/>
              <w:spacing w:line="272" w:lineRule="exact" w:before="26"/>
              <w:ind w:left="103" w:right="162"/>
              <w:jc w:val="left"/>
              <w:rPr>
                <w:rFonts w:ascii="宋体" w:hAnsi="宋体" w:cs="宋体" w:eastAsia="宋体" w:hint="default"/>
                <w:sz w:val="21"/>
                <w:szCs w:val="21"/>
              </w:rPr>
            </w:pPr>
            <w:r>
              <w:rPr>
                <w:rFonts w:ascii="宋体" w:hAnsi="宋体" w:cs="宋体" w:eastAsia="宋体" w:hint="default"/>
                <w:sz w:val="21"/>
                <w:szCs w:val="21"/>
              </w:rPr>
              <w:t>的投资性房地产公允价值变动产 生的损益</w:t>
            </w:r>
          </w:p>
        </w:tc>
        <w:tc>
          <w:tcPr>
            <w:tcW w:w="168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w:t>
            </w:r>
          </w:p>
          <w:p>
            <w:pPr>
              <w:pStyle w:val="TableParagraph"/>
              <w:spacing w:line="272" w:lineRule="exact" w:before="26"/>
              <w:ind w:left="103" w:right="162"/>
              <w:jc w:val="left"/>
              <w:rPr>
                <w:rFonts w:ascii="宋体" w:hAnsi="宋体" w:cs="宋体" w:eastAsia="宋体" w:hint="default"/>
                <w:sz w:val="21"/>
                <w:szCs w:val="21"/>
              </w:rPr>
            </w:pPr>
            <w:r>
              <w:rPr>
                <w:rFonts w:ascii="宋体" w:hAnsi="宋体" w:cs="宋体" w:eastAsia="宋体" w:hint="default"/>
                <w:sz w:val="21"/>
                <w:szCs w:val="21"/>
              </w:rPr>
              <w:t>要求对当期损益进行一次性调整 对当期损益的影响</w:t>
            </w:r>
          </w:p>
        </w:tc>
        <w:tc>
          <w:tcPr>
            <w:tcW w:w="168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68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入和支出</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2"/>
                <w:szCs w:val="22"/>
              </w:rPr>
            </w:pPr>
            <w:r>
              <w:rPr>
                <w:rFonts w:ascii="宋体"/>
                <w:w w:val="95"/>
                <w:sz w:val="22"/>
              </w:rPr>
              <w:t>488,881.74</w:t>
            </w:r>
            <w:r>
              <w:rPr>
                <w:rFonts w:ascii="宋体"/>
                <w:sz w:val="22"/>
              </w:rPr>
            </w:r>
          </w:p>
        </w:tc>
        <w:tc>
          <w:tcPr>
            <w:tcW w:w="1092"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6,216,410.08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-1,492,999.26</w:t>
            </w:r>
          </w:p>
        </w:tc>
      </w:tr>
      <w:tr>
        <w:trPr>
          <w:trHeight w:val="555" w:hRule="exact"/>
        </w:trPr>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益项目</w:t>
            </w:r>
          </w:p>
        </w:tc>
        <w:tc>
          <w:tcPr>
            <w:tcW w:w="168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非同一控制下企业合并或有对价</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2,709,528.09</w:t>
            </w:r>
          </w:p>
        </w:tc>
        <w:tc>
          <w:tcPr>
            <w:tcW w:w="1092"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12,887,429.83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1,941,386.55</w:t>
            </w:r>
          </w:p>
        </w:tc>
      </w:tr>
      <w:tr>
        <w:trPr>
          <w:trHeight w:val="554" w:hRule="exact"/>
        </w:trPr>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合并层面产生的因为通过多次交</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易实现企业合并产生的投资收益</w:t>
            </w:r>
          </w:p>
        </w:tc>
        <w:tc>
          <w:tcPr>
            <w:tcW w:w="168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-12,379,875.66</w:t>
            </w:r>
          </w:p>
        </w:tc>
        <w:tc>
          <w:tcPr>
            <w:tcW w:w="1092"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-1,928,252.07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-224,598.15</w:t>
            </w:r>
          </w:p>
        </w:tc>
      </w:tr>
      <w:tr>
        <w:trPr>
          <w:trHeight w:val="282" w:hRule="exact"/>
        </w:trPr>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-3,586,316.66</w:t>
            </w:r>
          </w:p>
        </w:tc>
        <w:tc>
          <w:tcPr>
            <w:tcW w:w="1092"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-3,055,931.05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-156,770.32</w:t>
            </w:r>
          </w:p>
        </w:tc>
      </w:tr>
      <w:tr>
        <w:trPr>
          <w:trHeight w:val="282" w:hRule="exact"/>
        </w:trPr>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48,447,471.04</w:t>
            </w:r>
          </w:p>
        </w:tc>
        <w:tc>
          <w:tcPr>
            <w:tcW w:w="1092"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17,874,170.23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1,510,939.02</w:t>
            </w:r>
          </w:p>
        </w:tc>
      </w:tr>
    </w:tbl>
    <w:p>
      <w:pPr>
        <w:spacing w:after="0" w:line="240" w:lineRule="exact"/>
        <w:jc w:val="right"/>
        <w:rPr>
          <w:rFonts w:ascii="宋体" w:hAnsi="宋体" w:cs="宋体" w:eastAsia="宋体" w:hint="default"/>
          <w:sz w:val="21"/>
          <w:szCs w:val="21"/>
        </w:rPr>
        <w:sectPr>
          <w:pgSz w:w="11910" w:h="16840"/>
          <w:pgMar w:header="882" w:footer="1194" w:top="1120" w:bottom="1380" w:left="1300" w:right="122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6"/>
          <w:szCs w:val="16"/>
        </w:rPr>
      </w:pPr>
    </w:p>
    <w:p>
      <w:pPr>
        <w:pStyle w:val="Heading1"/>
        <w:tabs>
          <w:tab w:pos="4543" w:val="left" w:leader="none"/>
        </w:tabs>
        <w:spacing w:line="240" w:lineRule="auto"/>
        <w:ind w:left="3283" w:right="201"/>
        <w:jc w:val="left"/>
        <w:rPr>
          <w:b w:val="0"/>
          <w:bCs w:val="0"/>
        </w:rPr>
      </w:pPr>
      <w:bookmarkStart w:name="_TOC_250007" w:id="4"/>
      <w:r>
        <w:rPr>
          <w:w w:val="95"/>
        </w:rPr>
        <w:t>第四节</w:t>
        <w:tab/>
      </w:r>
      <w:r>
        <w:rPr/>
        <w:t>董事会报告</w:t>
      </w:r>
      <w:bookmarkEnd w:id="4"/>
      <w:r>
        <w:rPr>
          <w:b w:val="0"/>
          <w:bCs w:val="0"/>
        </w:rPr>
      </w:r>
    </w:p>
    <w:p>
      <w:pPr>
        <w:spacing w:line="240" w:lineRule="auto" w:before="5"/>
        <w:rPr>
          <w:rFonts w:ascii="宋体" w:hAnsi="宋体" w:cs="宋体" w:eastAsia="宋体" w:hint="default"/>
          <w:b/>
          <w:bCs/>
          <w:sz w:val="23"/>
          <w:szCs w:val="23"/>
        </w:rPr>
      </w:pPr>
    </w:p>
    <w:p>
      <w:pPr>
        <w:spacing w:line="331" w:lineRule="auto" w:before="0"/>
        <w:ind w:left="625" w:right="201" w:hanging="481"/>
        <w:jc w:val="left"/>
        <w:rPr>
          <w:rFonts w:ascii="宋体" w:hAnsi="宋体" w:cs="宋体" w:eastAsia="宋体" w:hint="default"/>
          <w:sz w:val="24"/>
          <w:szCs w:val="24"/>
        </w:rPr>
      </w:pPr>
      <w:r>
        <w:rPr>
          <w:rFonts w:ascii="宋体" w:hAnsi="宋体" w:cs="宋体" w:eastAsia="宋体" w:hint="default"/>
          <w:b/>
          <w:bCs/>
          <w:sz w:val="24"/>
          <w:szCs w:val="24"/>
        </w:rPr>
        <w:t>一、董事会关于公司报告期内经营情况的讨论与分析</w:t>
      </w:r>
      <w:r>
        <w:rPr>
          <w:rFonts w:ascii="宋体" w:hAnsi="宋体" w:cs="宋体" w:eastAsia="宋体" w:hint="default"/>
          <w:b/>
          <w:bCs/>
          <w:w w:val="99"/>
          <w:sz w:val="24"/>
          <w:szCs w:val="24"/>
        </w:rPr>
        <w:t> </w:t>
      </w:r>
      <w:r>
        <w:rPr>
          <w:rFonts w:ascii="宋体" w:hAnsi="宋体" w:cs="宋体" w:eastAsia="宋体" w:hint="default"/>
          <w:sz w:val="24"/>
          <w:szCs w:val="24"/>
        </w:rPr>
        <w:t>报告期内，公司董事会按照有关法律法规的要求和《公司章程》赋予的职责，严</w:t>
      </w:r>
    </w:p>
    <w:p>
      <w:pPr>
        <w:pStyle w:val="BodyText"/>
        <w:spacing w:line="218" w:lineRule="exact"/>
        <w:ind w:left="145" w:right="145"/>
        <w:jc w:val="left"/>
      </w:pPr>
      <w:r>
        <w:rPr/>
        <w:t>格执行股东大会决议，不断完善治理水平，提升规范运作能力。公司管理层在董事会</w:t>
      </w:r>
    </w:p>
    <w:p>
      <w:pPr>
        <w:pStyle w:val="BodyText"/>
        <w:spacing w:line="331" w:lineRule="auto"/>
        <w:ind w:left="625" w:right="145" w:hanging="481"/>
        <w:jc w:val="left"/>
      </w:pPr>
      <w:r>
        <w:rPr/>
        <w:t>的领导下，积极贯彻执行年初制定的年度经营目标，实现公司的持续稳健发展。 </w:t>
      </w:r>
      <w:r>
        <w:rPr>
          <w:spacing w:val="-3"/>
        </w:rPr>
        <w:t>报告期内，公司全年累计签订合同</w:t>
      </w:r>
      <w:r>
        <w:rPr>
          <w:spacing w:val="-53"/>
        </w:rPr>
        <w:t> </w:t>
      </w:r>
      <w:r>
        <w:rPr>
          <w:rFonts w:ascii="宋体" w:hAnsi="宋体" w:cs="宋体" w:eastAsia="宋体" w:hint="default"/>
        </w:rPr>
        <w:t>58.92</w:t>
      </w:r>
      <w:r>
        <w:rPr>
          <w:rFonts w:ascii="宋体" w:hAnsi="宋体" w:cs="宋体" w:eastAsia="宋体" w:hint="default"/>
          <w:spacing w:val="-53"/>
        </w:rPr>
        <w:t> </w:t>
      </w:r>
      <w:r>
        <w:rPr>
          <w:spacing w:val="-5"/>
        </w:rPr>
        <w:t>亿元人民币，同比增长</w:t>
      </w:r>
      <w:r>
        <w:rPr>
          <w:spacing w:val="-53"/>
        </w:rPr>
        <w:t> </w:t>
      </w:r>
      <w:r>
        <w:rPr>
          <w:rFonts w:ascii="宋体" w:hAnsi="宋体" w:cs="宋体" w:eastAsia="宋体" w:hint="default"/>
          <w:spacing w:val="-5"/>
        </w:rPr>
        <w:t>1.53%</w:t>
      </w:r>
      <w:r>
        <w:rPr>
          <w:spacing w:val="-5"/>
        </w:rPr>
        <w:t>。公司实现</w:t>
      </w:r>
    </w:p>
    <w:p>
      <w:pPr>
        <w:pStyle w:val="BodyText"/>
        <w:spacing w:line="218" w:lineRule="exact"/>
        <w:ind w:left="145" w:right="81"/>
        <w:jc w:val="left"/>
      </w:pPr>
      <w:r>
        <w:rPr/>
        <w:t>营业收入</w:t>
      </w:r>
      <w:r>
        <w:rPr>
          <w:spacing w:val="-60"/>
        </w:rPr>
        <w:t> </w:t>
      </w:r>
      <w:r>
        <w:rPr>
          <w:rFonts w:ascii="宋体" w:hAnsi="宋体" w:cs="宋体" w:eastAsia="宋体" w:hint="default"/>
        </w:rPr>
        <w:t>42.79</w:t>
      </w:r>
      <w:r>
        <w:rPr>
          <w:rFonts w:ascii="宋体" w:hAnsi="宋体" w:cs="宋体" w:eastAsia="宋体" w:hint="default"/>
          <w:spacing w:val="-60"/>
        </w:rPr>
        <w:t> </w:t>
      </w:r>
      <w:r>
        <w:rPr/>
        <w:t>亿元，同比下降</w:t>
      </w:r>
      <w:r>
        <w:rPr>
          <w:spacing w:val="-60"/>
        </w:rPr>
        <w:t> </w:t>
      </w:r>
      <w:r>
        <w:rPr>
          <w:rFonts w:ascii="宋体" w:hAnsi="宋体" w:cs="宋体" w:eastAsia="宋体" w:hint="default"/>
        </w:rPr>
        <w:t>11.16%</w:t>
      </w:r>
      <w:r>
        <w:rPr/>
        <w:t>；主营业务营业成本、销售费用及管理费用合</w:t>
      </w:r>
    </w:p>
    <w:p>
      <w:pPr>
        <w:pStyle w:val="BodyText"/>
        <w:spacing w:line="237" w:lineRule="auto" w:before="1"/>
        <w:ind w:left="145" w:right="156"/>
        <w:jc w:val="both"/>
      </w:pPr>
      <w:r>
        <w:rPr/>
        <w:t>计</w:t>
      </w:r>
      <w:r>
        <w:rPr>
          <w:spacing w:val="-60"/>
        </w:rPr>
        <w:t> </w:t>
      </w:r>
      <w:r>
        <w:rPr>
          <w:rFonts w:ascii="宋体" w:hAnsi="宋体" w:cs="宋体" w:eastAsia="宋体" w:hint="default"/>
        </w:rPr>
        <w:t>41.12</w:t>
      </w:r>
      <w:r>
        <w:rPr>
          <w:rFonts w:ascii="宋体" w:hAnsi="宋体" w:cs="宋体" w:eastAsia="宋体" w:hint="default"/>
          <w:spacing w:val="-60"/>
        </w:rPr>
        <w:t> </w:t>
      </w:r>
      <w:r>
        <w:rPr/>
        <w:t>亿元，同比减少</w:t>
      </w:r>
      <w:r>
        <w:rPr>
          <w:spacing w:val="-60"/>
        </w:rPr>
        <w:t> </w:t>
      </w:r>
      <w:r>
        <w:rPr>
          <w:rFonts w:ascii="宋体" w:hAnsi="宋体" w:cs="宋体" w:eastAsia="宋体" w:hint="default"/>
        </w:rPr>
        <w:t>12.29%</w:t>
      </w:r>
      <w:r>
        <w:rPr/>
        <w:t>，通过提高自主品牌产品份额，加强成本管控，公司 综合毛利率较上年稳步提升</w:t>
      </w:r>
      <w:r>
        <w:rPr>
          <w:spacing w:val="-59"/>
        </w:rPr>
        <w:t> </w:t>
      </w:r>
      <w:r>
        <w:rPr>
          <w:rFonts w:ascii="宋体" w:hAnsi="宋体" w:cs="宋体" w:eastAsia="宋体" w:hint="default"/>
          <w:spacing w:val="-6"/>
        </w:rPr>
        <w:t>2.86%</w:t>
      </w:r>
      <w:r>
        <w:rPr>
          <w:spacing w:val="-6"/>
        </w:rPr>
        <w:t>，实现归属于母公司所有者的净利润</w:t>
      </w:r>
      <w:r>
        <w:rPr>
          <w:spacing w:val="-59"/>
        </w:rPr>
        <w:t> </w:t>
      </w:r>
      <w:r>
        <w:rPr>
          <w:rFonts w:ascii="宋体" w:hAnsi="宋体" w:cs="宋体" w:eastAsia="宋体" w:hint="default"/>
        </w:rPr>
        <w:t>9513.36</w:t>
      </w:r>
      <w:r>
        <w:rPr>
          <w:rFonts w:ascii="宋体" w:hAnsi="宋体" w:cs="宋体" w:eastAsia="宋体" w:hint="default"/>
          <w:spacing w:val="-59"/>
        </w:rPr>
        <w:t> </w:t>
      </w:r>
      <w:r>
        <w:rPr/>
        <w:t>万元， 同比增长</w:t>
      </w:r>
      <w:r>
        <w:rPr>
          <w:spacing w:val="-36"/>
        </w:rPr>
        <w:t> </w:t>
      </w:r>
      <w:r>
        <w:rPr>
          <w:rFonts w:ascii="宋体" w:hAnsi="宋体" w:cs="宋体" w:eastAsia="宋体" w:hint="default"/>
          <w:spacing w:val="-4"/>
        </w:rPr>
        <w:t>129.88%</w:t>
      </w:r>
      <w:r>
        <w:rPr>
          <w:spacing w:val="-4"/>
        </w:rPr>
        <w:t>。营业收入下降的主要原因是中国经济转入新常态，相关行业特别是</w:t>
      </w:r>
      <w:r>
        <w:rPr>
          <w:spacing w:val="-117"/>
        </w:rPr>
        <w:t> </w:t>
      </w:r>
      <w:r>
        <w:rPr>
          <w:spacing w:val="-117"/>
        </w:rPr>
      </w:r>
      <w:r>
        <w:rPr/>
        <w:t>通信运营商对</w:t>
      </w:r>
      <w:r>
        <w:rPr>
          <w:spacing w:val="-88"/>
        </w:rPr>
        <w:t> </w:t>
      </w:r>
      <w:r>
        <w:rPr>
          <w:rFonts w:ascii="宋体" w:hAnsi="宋体" w:cs="宋体" w:eastAsia="宋体" w:hint="default"/>
        </w:rPr>
        <w:t>IT</w:t>
      </w:r>
      <w:r>
        <w:rPr>
          <w:rFonts w:ascii="宋体" w:hAnsi="宋体" w:cs="宋体" w:eastAsia="宋体" w:hint="default"/>
          <w:spacing w:val="-88"/>
        </w:rPr>
        <w:t> </w:t>
      </w:r>
      <w:r>
        <w:rPr/>
        <w:t>投资有所放缓；同时，虽自主产品份额进一步上升，但品牌和渠道建 设以及行业入围是一个逐步发展的过程；而受“设备采购国产化”的影响，系统集成 业务中的进口产品收入受到显著影响。</w:t>
      </w:r>
    </w:p>
    <w:p>
      <w:pPr>
        <w:pStyle w:val="BodyText"/>
        <w:spacing w:line="310" w:lineRule="exact" w:before="150"/>
        <w:ind w:left="145" w:right="158" w:firstLine="480"/>
        <w:jc w:val="both"/>
      </w:pPr>
      <w:r>
        <w:rPr>
          <w:rFonts w:ascii="宋体" w:hAnsi="宋体" w:cs="宋体" w:eastAsia="宋体" w:hint="default"/>
        </w:rPr>
        <w:t>2014</w:t>
      </w:r>
      <w:r>
        <w:rPr>
          <w:rFonts w:ascii="宋体" w:hAnsi="宋体" w:cs="宋体" w:eastAsia="宋体" w:hint="default"/>
          <w:spacing w:val="-60"/>
        </w:rPr>
        <w:t> </w:t>
      </w:r>
      <w:r>
        <w:rPr/>
        <w:t>年，公司进行发展战略的重大调整，通过深入研究行业形势和产业政策，确 定了以自主可控、可信安全为经营方向的战略，形成了“IT</w:t>
      </w:r>
      <w:r>
        <w:rPr>
          <w:spacing w:val="-60"/>
        </w:rPr>
        <w:t> </w:t>
      </w:r>
      <w:r>
        <w:rPr/>
        <w:t>服务”，自主可信的“高</w:t>
      </w:r>
      <w:r>
        <w:rPr/>
        <w:t> 端计算系统软硬件产品”和“金融服务”三大业务板块。</w:t>
      </w:r>
    </w:p>
    <w:p>
      <w:pPr>
        <w:pStyle w:val="BodyText"/>
        <w:spacing w:line="237" w:lineRule="auto" w:before="92"/>
        <w:ind w:left="145" w:right="158" w:firstLine="480"/>
        <w:jc w:val="both"/>
      </w:pPr>
      <w:r>
        <w:rPr/>
        <w:t>报告期内，公司加大自主产品的研发和推广力度，对安全认证领域的控股子公司 </w:t>
      </w:r>
      <w:r>
        <w:rPr>
          <w:rFonts w:ascii="宋体" w:hAnsi="宋体" w:cs="宋体" w:eastAsia="宋体" w:hint="default"/>
        </w:rPr>
        <w:t>i-Sprint</w:t>
      </w:r>
      <w:r>
        <w:rPr>
          <w:rFonts w:ascii="宋体" w:hAnsi="宋体" w:cs="宋体" w:eastAsia="宋体" w:hint="default"/>
          <w:spacing w:val="-60"/>
        </w:rPr>
        <w:t> </w:t>
      </w:r>
      <w:r>
        <w:rPr/>
        <w:t>完成</w:t>
      </w:r>
      <w:r>
        <w:rPr>
          <w:spacing w:val="-60"/>
        </w:rPr>
        <w:t> </w:t>
      </w:r>
      <w:r>
        <w:rPr>
          <w:rFonts w:ascii="宋体" w:hAnsi="宋体" w:cs="宋体" w:eastAsia="宋体" w:hint="default"/>
        </w:rPr>
        <w:t>1000</w:t>
      </w:r>
      <w:r>
        <w:rPr>
          <w:rFonts w:ascii="宋体" w:hAnsi="宋体" w:cs="宋体" w:eastAsia="宋体" w:hint="default"/>
          <w:spacing w:val="-60"/>
        </w:rPr>
        <w:t> </w:t>
      </w:r>
      <w:r>
        <w:rPr/>
        <w:t>万美元</w:t>
      </w:r>
      <w:r>
        <w:rPr>
          <w:spacing w:val="-60"/>
        </w:rPr>
        <w:t> </w:t>
      </w:r>
      <w:r>
        <w:rPr>
          <w:rFonts w:ascii="宋体" w:hAnsi="宋体" w:cs="宋体" w:eastAsia="宋体" w:hint="default"/>
        </w:rPr>
        <w:t>A</w:t>
      </w:r>
      <w:r>
        <w:rPr>
          <w:rFonts w:ascii="宋体" w:hAnsi="宋体" w:cs="宋体" w:eastAsia="宋体" w:hint="default"/>
          <w:spacing w:val="-60"/>
        </w:rPr>
        <w:t> </w:t>
      </w:r>
      <w:r>
        <w:rPr/>
        <w:t>轮融资；在前期的蓝云计划及合作开发</w:t>
      </w:r>
      <w:r>
        <w:rPr>
          <w:spacing w:val="-60"/>
        </w:rPr>
        <w:t> </w:t>
      </w:r>
      <w:r>
        <w:rPr>
          <w:rFonts w:ascii="宋体" w:hAnsi="宋体" w:cs="宋体" w:eastAsia="宋体" w:hint="default"/>
        </w:rPr>
        <w:t>CAMP</w:t>
      </w:r>
      <w:r>
        <w:rPr>
          <w:rFonts w:ascii="宋体" w:hAnsi="宋体" w:cs="宋体" w:eastAsia="宋体" w:hint="default"/>
          <w:spacing w:val="-60"/>
        </w:rPr>
        <w:t> </w:t>
      </w:r>
      <w:r>
        <w:rPr/>
        <w:t>服务器的基 础上，与跨国公司</w:t>
      </w:r>
      <w:r>
        <w:rPr>
          <w:spacing w:val="-60"/>
        </w:rPr>
        <w:t> </w:t>
      </w:r>
      <w:r>
        <w:rPr>
          <w:rFonts w:ascii="宋体" w:hAnsi="宋体" w:cs="宋体" w:eastAsia="宋体" w:hint="default"/>
        </w:rPr>
        <w:t>IBM</w:t>
      </w:r>
      <w:r>
        <w:rPr>
          <w:rFonts w:ascii="宋体" w:hAnsi="宋体" w:cs="宋体" w:eastAsia="宋体" w:hint="default"/>
          <w:spacing w:val="-60"/>
        </w:rPr>
        <w:t> </w:t>
      </w:r>
      <w:r>
        <w:rPr/>
        <w:t>展开在服务器领域的合资合作、数据库和中间件领域的知识产 权和源码授权合作，投资</w:t>
      </w:r>
      <w:r>
        <w:rPr>
          <w:spacing w:val="-60"/>
        </w:rPr>
        <w:t> </w:t>
      </w:r>
      <w:r>
        <w:rPr>
          <w:rFonts w:ascii="宋体" w:hAnsi="宋体" w:cs="宋体" w:eastAsia="宋体" w:hint="default"/>
        </w:rPr>
        <w:t>5</w:t>
      </w:r>
      <w:r>
        <w:rPr>
          <w:rFonts w:ascii="宋体" w:hAnsi="宋体" w:cs="宋体" w:eastAsia="宋体" w:hint="default"/>
          <w:spacing w:val="-60"/>
        </w:rPr>
        <w:t> </w:t>
      </w:r>
      <w:r>
        <w:rPr/>
        <w:t>亿元设立华胜信泰公司作为该项目的投融资和经营主体， 引进、消化、吸收其核心技术，创新发展自主核心技术。在内部，将公司相关研发和 市场资源聚焦整合到该项目；在外部，通过对杭州沃趣公司的收购及其他技术团队和 骨干人员的引进，将打造高端计算产品和系统作为公司新的增长点。通过合理布局资 源，</w:t>
      </w:r>
      <w:r>
        <w:rPr>
          <w:rFonts w:ascii="宋体" w:hAnsi="宋体" w:cs="宋体" w:eastAsia="宋体" w:hint="default"/>
        </w:rPr>
        <w:t>2014</w:t>
      </w:r>
      <w:r>
        <w:rPr>
          <w:rFonts w:ascii="宋体" w:hAnsi="宋体" w:cs="宋体" w:eastAsia="宋体" w:hint="default"/>
          <w:spacing w:val="-60"/>
        </w:rPr>
        <w:t> </w:t>
      </w:r>
      <w:r>
        <w:rPr/>
        <w:t>年公司构建完成了覆盖全面、优势突出、自主可控的</w:t>
      </w:r>
      <w:r>
        <w:rPr>
          <w:spacing w:val="-60"/>
        </w:rPr>
        <w:t> </w:t>
      </w:r>
      <w:r>
        <w:rPr>
          <w:rFonts w:ascii="宋体" w:hAnsi="宋体" w:cs="宋体" w:eastAsia="宋体" w:hint="default"/>
        </w:rPr>
        <w:t>IT</w:t>
      </w:r>
      <w:r>
        <w:rPr>
          <w:rFonts w:ascii="宋体" w:hAnsi="宋体" w:cs="宋体" w:eastAsia="宋体" w:hint="default"/>
          <w:spacing w:val="-60"/>
        </w:rPr>
        <w:t> </w:t>
      </w:r>
      <w:r>
        <w:rPr/>
        <w:t>产品体系。</w:t>
      </w:r>
    </w:p>
    <w:p>
      <w:pPr>
        <w:pStyle w:val="BodyText"/>
        <w:spacing w:line="237" w:lineRule="auto" w:before="121"/>
        <w:ind w:left="145" w:right="81" w:firstLine="480"/>
        <w:jc w:val="left"/>
      </w:pPr>
      <w:r>
        <w:rPr/>
        <w:t>报告期内，公司持续做强具有优势的</w:t>
      </w:r>
      <w:r>
        <w:rPr>
          <w:spacing w:val="-60"/>
        </w:rPr>
        <w:t> </w:t>
      </w:r>
      <w:r>
        <w:rPr>
          <w:rFonts w:ascii="宋体" w:hAnsi="宋体" w:cs="宋体" w:eastAsia="宋体" w:hint="default"/>
        </w:rPr>
        <w:t>IT</w:t>
      </w:r>
      <w:r>
        <w:rPr>
          <w:rFonts w:ascii="宋体" w:hAnsi="宋体" w:cs="宋体" w:eastAsia="宋体" w:hint="default"/>
          <w:spacing w:val="-60"/>
        </w:rPr>
        <w:t> </w:t>
      </w:r>
      <w:r>
        <w:rPr/>
        <w:t>服务业务，更注重效率提升和盈利能力。 通过参与和主导国家、行业的云计算和</w:t>
      </w:r>
      <w:r>
        <w:rPr>
          <w:spacing w:val="-80"/>
        </w:rPr>
        <w:t> </w:t>
      </w:r>
      <w:r>
        <w:rPr>
          <w:rFonts w:ascii="宋体" w:hAnsi="宋体" w:cs="宋体" w:eastAsia="宋体" w:hint="default"/>
        </w:rPr>
        <w:t>IT</w:t>
      </w:r>
      <w:r>
        <w:rPr>
          <w:rFonts w:ascii="宋体" w:hAnsi="宋体" w:cs="宋体" w:eastAsia="宋体" w:hint="default"/>
          <w:spacing w:val="-80"/>
        </w:rPr>
        <w:t> </w:t>
      </w:r>
      <w:r>
        <w:rPr/>
        <w:t>服务标准的机会，结合公司在云计算和大数 据技术、</w:t>
      </w:r>
      <w:r>
        <w:rPr>
          <w:rFonts w:ascii="宋体" w:hAnsi="宋体" w:cs="宋体" w:eastAsia="宋体" w:hint="default"/>
        </w:rPr>
        <w:t>IT</w:t>
      </w:r>
      <w:r>
        <w:rPr>
          <w:rFonts w:ascii="宋体" w:hAnsi="宋体" w:cs="宋体" w:eastAsia="宋体" w:hint="default"/>
          <w:spacing w:val="-60"/>
        </w:rPr>
        <w:t> </w:t>
      </w:r>
      <w:r>
        <w:rPr/>
        <w:t>管理、信息化规划和业务治理等方面的服务能力，帮助行业客户利用信息 化升级传统业务，协助其构建创新发展能力；通过服务能力体系优化，加强对行业纵 深业务领域的渗透，夯实公司在电信、广电、邮政物流等大型企业集团行业和客户的 </w:t>
      </w:r>
      <w:r>
        <w:rPr>
          <w:spacing w:val="-5"/>
        </w:rPr>
        <w:t>优势地位；公司积极开拓智慧城市业务，特别在城市综合管控平台、智慧旅游等领域，</w:t>
      </w:r>
      <w:r>
        <w:rPr>
          <w:spacing w:val="-110"/>
        </w:rPr>
        <w:t> </w:t>
      </w:r>
      <w:r>
        <w:rPr>
          <w:spacing w:val="-110"/>
        </w:rPr>
      </w:r>
      <w:r>
        <w:rPr/>
        <w:t>已具备国内领先的解决方案，实现了信息化与旅游资源紧密捆绑，借助</w:t>
      </w:r>
      <w:r>
        <w:rPr>
          <w:spacing w:val="-60"/>
        </w:rPr>
        <w:t> </w:t>
      </w:r>
      <w:r>
        <w:rPr>
          <w:rFonts w:ascii="宋体" w:hAnsi="宋体" w:cs="宋体" w:eastAsia="宋体" w:hint="default"/>
        </w:rPr>
        <w:t>O2O</w:t>
      </w:r>
      <w:r>
        <w:rPr>
          <w:rFonts w:ascii="宋体" w:hAnsi="宋体" w:cs="宋体" w:eastAsia="宋体" w:hint="default"/>
          <w:spacing w:val="-60"/>
        </w:rPr>
        <w:t> </w:t>
      </w:r>
      <w:r>
        <w:rPr/>
        <w:t>线上线下 结合模式，推动旅游资源的利用和旅游社区服务向互联网</w:t>
      </w:r>
      <w:r>
        <w:rPr>
          <w:rFonts w:ascii="宋体" w:hAnsi="宋体" w:cs="宋体" w:eastAsia="宋体" w:hint="default"/>
        </w:rPr>
        <w:t>+</w:t>
      </w:r>
      <w:r>
        <w:rPr/>
        <w:t>的方向转化。</w:t>
      </w:r>
    </w:p>
    <w:p>
      <w:pPr>
        <w:pStyle w:val="BodyText"/>
        <w:spacing w:line="237" w:lineRule="auto" w:before="121"/>
        <w:ind w:left="145" w:right="155" w:firstLine="480"/>
        <w:jc w:val="both"/>
      </w:pPr>
      <w:r>
        <w:rPr/>
        <w:t>做为国家首批云计算试点城市项目的参与者，公司承担了“中小企业融资的金融 云服务平台”研发项目，持续三年的项目研发，取得了丰富的成果，获得多项云计算 </w:t>
      </w:r>
      <w:r>
        <w:rPr>
          <w:spacing w:val="-6"/>
        </w:rPr>
        <w:t>技术的专利和知识产权，还搭建起针对中小微企业供应链融资的业务模型和风控模型。</w:t>
      </w:r>
      <w:r>
        <w:rPr>
          <w:spacing w:val="-96"/>
        </w:rPr>
        <w:t> </w:t>
      </w:r>
      <w:r>
        <w:rPr>
          <w:spacing w:val="-96"/>
        </w:rPr>
      </w:r>
      <w:r>
        <w:rPr/>
        <w:t>报告期内，公司对这些成果进行了市场转化，在为中小微企业融资业务提供信息服务 的基础上，开展了供应链金融业务，该平台成为北京市中关村为“羚羊计划”中上千 家企业进行融资服务的平台，并对一些核心企业相关的供应链提供融资服务；报告期 内，公司设立的节能环保领域的股权投资基金管理公司，募集了</w:t>
      </w:r>
      <w:r>
        <w:rPr>
          <w:spacing w:val="-60"/>
        </w:rPr>
        <w:t> </w:t>
      </w:r>
      <w:r>
        <w:rPr>
          <w:rFonts w:ascii="宋体" w:hAnsi="宋体" w:cs="宋体" w:eastAsia="宋体" w:hint="default"/>
        </w:rPr>
        <w:t>2.8</w:t>
      </w:r>
      <w:r>
        <w:rPr>
          <w:rFonts w:ascii="宋体" w:hAnsi="宋体" w:cs="宋体" w:eastAsia="宋体" w:hint="default"/>
          <w:spacing w:val="-60"/>
        </w:rPr>
        <w:t> </w:t>
      </w:r>
      <w:r>
        <w:rPr/>
        <w:t>亿基金，基金投</w:t>
      </w:r>
    </w:p>
    <w:p>
      <w:pPr>
        <w:spacing w:after="0" w:line="237" w:lineRule="auto"/>
        <w:jc w:val="both"/>
        <w:sectPr>
          <w:pgSz w:w="11910" w:h="16840"/>
          <w:pgMar w:header="882" w:footer="1194" w:top="1120" w:bottom="1380" w:left="1380" w:right="1280"/>
        </w:sectPr>
      </w:pPr>
    </w:p>
    <w:p>
      <w:pPr>
        <w:pStyle w:val="BodyText"/>
        <w:spacing w:line="312" w:lineRule="exact" w:before="144"/>
        <w:ind w:left="225" w:right="261"/>
        <w:jc w:val="left"/>
      </w:pPr>
      <w:r>
        <w:rPr/>
        <w:t>资人包括国家相关领域发展基金、中关村创投及社会投资人，已投资一批具发展潜力 的企业。</w:t>
      </w:r>
      <w:r>
        <w:rPr>
          <w:rFonts w:ascii="宋体" w:hAnsi="宋体" w:cs="宋体" w:eastAsia="宋体" w:hint="default"/>
        </w:rPr>
        <w:t>2015</w:t>
      </w:r>
      <w:r>
        <w:rPr>
          <w:rFonts w:ascii="宋体" w:hAnsi="宋体" w:cs="宋体" w:eastAsia="宋体" w:hint="default"/>
          <w:spacing w:val="-60"/>
        </w:rPr>
        <w:t> </w:t>
      </w:r>
      <w:r>
        <w:rPr/>
        <w:t>年公司在供应链金融和投融资领域有望取得阶段性的突破。</w:t>
      </w:r>
    </w:p>
    <w:p>
      <w:pPr>
        <w:pStyle w:val="BodyText"/>
        <w:spacing w:line="237" w:lineRule="auto" w:before="91"/>
        <w:ind w:left="225" w:right="216" w:firstLine="480"/>
        <w:jc w:val="both"/>
      </w:pPr>
      <w:r>
        <w:rPr>
          <w:rFonts w:ascii="宋体" w:hAnsi="宋体" w:cs="宋体" w:eastAsia="宋体" w:hint="default"/>
        </w:rPr>
        <w:t>2014</w:t>
      </w:r>
      <w:r>
        <w:rPr>
          <w:rFonts w:ascii="宋体" w:hAnsi="宋体" w:cs="宋体" w:eastAsia="宋体" w:hint="default"/>
          <w:spacing w:val="-60"/>
        </w:rPr>
        <w:t> </w:t>
      </w:r>
      <w:r>
        <w:rPr/>
        <w:t>年公司在前期工作的基础上，完成了对战略的新布局，战略格局已经清晰， 形成</w:t>
      </w:r>
      <w:r>
        <w:rPr>
          <w:spacing w:val="-89"/>
        </w:rPr>
        <w:t> </w:t>
      </w:r>
      <w:r>
        <w:rPr>
          <w:rFonts w:ascii="宋体" w:hAnsi="宋体" w:cs="宋体" w:eastAsia="宋体" w:hint="default"/>
        </w:rPr>
        <w:t>IT</w:t>
      </w:r>
      <w:r>
        <w:rPr>
          <w:rFonts w:ascii="宋体" w:hAnsi="宋体" w:cs="宋体" w:eastAsia="宋体" w:hint="default"/>
          <w:spacing w:val="-89"/>
        </w:rPr>
        <w:t> </w:t>
      </w:r>
      <w:r>
        <w:rPr/>
        <w:t>服务、自主产品、金融服务三条业务线，相关的组织和资源已完成调度，各项 工作进展顺利。</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10"/>
          <w:pgSz w:w="11910" w:h="16840"/>
          <w:pgMar w:footer="1194" w:header="882" w:top="1120" w:bottom="1380" w:left="1300" w:right="1220"/>
        </w:sectPr>
      </w:pPr>
    </w:p>
    <w:p>
      <w:pPr>
        <w:pStyle w:val="Heading2"/>
        <w:spacing w:line="240" w:lineRule="auto"/>
        <w:ind w:left="225"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主营业务分析</w:t>
      </w:r>
      <w:r>
        <w:rPr>
          <w:b w:val="0"/>
          <w:bCs w:val="0"/>
        </w:rPr>
      </w:r>
    </w:p>
    <w:p>
      <w:pPr>
        <w:pStyle w:val="Heading2"/>
        <w:tabs>
          <w:tab w:pos="647" w:val="left" w:leader="none"/>
        </w:tabs>
        <w:spacing w:line="240" w:lineRule="auto" w:before="86"/>
        <w:ind w:left="225" w:right="0"/>
        <w:jc w:val="left"/>
        <w:rPr>
          <w:b w:val="0"/>
          <w:bCs w:val="0"/>
        </w:rPr>
      </w:pPr>
      <w:r>
        <w:rPr>
          <w:rFonts w:ascii="宋体" w:hAnsi="宋体" w:cs="宋体" w:eastAsia="宋体" w:hint="default"/>
          <w:w w:val="95"/>
        </w:rPr>
        <w:t>1</w:t>
        <w:tab/>
      </w:r>
      <w:r>
        <w:rPr>
          <w:w w:val="95"/>
        </w:rPr>
        <w:t>利润表及现金流量表相关科目变动分析表</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11"/>
        <w:rPr>
          <w:rFonts w:ascii="宋体" w:hAnsi="宋体" w:cs="宋体" w:eastAsia="宋体" w:hint="default"/>
          <w:b/>
          <w:bCs/>
          <w:sz w:val="19"/>
          <w:szCs w:val="19"/>
        </w:rPr>
      </w:pPr>
    </w:p>
    <w:p>
      <w:pPr>
        <w:pStyle w:val="BodyText"/>
        <w:tabs>
          <w:tab w:pos="1305" w:val="left" w:leader="none"/>
        </w:tabs>
        <w:spacing w:line="240" w:lineRule="auto"/>
        <w:ind w:left="225"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080" w:bottom="1380" w:left="1300" w:right="1220"/>
          <w:cols w:num="2" w:equalWidth="0">
            <w:col w:w="4982" w:space="1560"/>
            <w:col w:w="2848"/>
          </w:cols>
        </w:sectPr>
      </w:pPr>
    </w:p>
    <w:p>
      <w:pPr>
        <w:spacing w:line="240" w:lineRule="auto" w:before="0"/>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3484"/>
        <w:gridCol w:w="1920"/>
        <w:gridCol w:w="1919"/>
        <w:gridCol w:w="1835"/>
      </w:tblGrid>
      <w:tr>
        <w:trPr>
          <w:trHeight w:val="282" w:hRule="exact"/>
        </w:trPr>
        <w:tc>
          <w:tcPr>
            <w:tcW w:w="3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科目</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8"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9"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2" w:hRule="exact"/>
        </w:trPr>
        <w:tc>
          <w:tcPr>
            <w:tcW w:w="3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4,278,544,505.57</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4,816,016,513.55</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-11.16</w:t>
            </w:r>
          </w:p>
        </w:tc>
      </w:tr>
      <w:tr>
        <w:trPr>
          <w:trHeight w:val="283" w:hRule="exact"/>
        </w:trPr>
        <w:tc>
          <w:tcPr>
            <w:tcW w:w="3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3,475,786,730.14</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4,050,240,697.64</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-14.18</w:t>
            </w:r>
          </w:p>
        </w:tc>
      </w:tr>
      <w:tr>
        <w:trPr>
          <w:trHeight w:val="282" w:hRule="exact"/>
        </w:trPr>
        <w:tc>
          <w:tcPr>
            <w:tcW w:w="3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378,579,185.90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408,446,739.65</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-7.31</w:t>
            </w:r>
          </w:p>
        </w:tc>
      </w:tr>
      <w:tr>
        <w:trPr>
          <w:trHeight w:val="282" w:hRule="exact"/>
        </w:trPr>
        <w:tc>
          <w:tcPr>
            <w:tcW w:w="3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257,756,262.81</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229,564,952.30</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12.28</w:t>
            </w:r>
          </w:p>
        </w:tc>
      </w:tr>
      <w:tr>
        <w:trPr>
          <w:trHeight w:val="282" w:hRule="exact"/>
        </w:trPr>
        <w:tc>
          <w:tcPr>
            <w:tcW w:w="3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70,582,040.47</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51,500,817.25</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37.05</w:t>
            </w:r>
          </w:p>
        </w:tc>
      </w:tr>
      <w:tr>
        <w:trPr>
          <w:trHeight w:val="283" w:hRule="exact"/>
        </w:trPr>
        <w:tc>
          <w:tcPr>
            <w:tcW w:w="3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276,488,016.32</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323,936,080.37</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-14.65</w:t>
            </w:r>
          </w:p>
        </w:tc>
      </w:tr>
      <w:tr>
        <w:trPr>
          <w:trHeight w:val="282" w:hRule="exact"/>
        </w:trPr>
        <w:tc>
          <w:tcPr>
            <w:tcW w:w="3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-487,670,567.74</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-686,872,720.07</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29.00</w:t>
            </w:r>
          </w:p>
        </w:tc>
      </w:tr>
      <w:tr>
        <w:trPr>
          <w:trHeight w:val="282" w:hRule="exact"/>
        </w:trPr>
        <w:tc>
          <w:tcPr>
            <w:tcW w:w="3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592,252,323.52</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960,566,418.57</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-38.34</w:t>
            </w:r>
          </w:p>
        </w:tc>
      </w:tr>
      <w:tr>
        <w:trPr>
          <w:trHeight w:val="283" w:hRule="exact"/>
        </w:trPr>
        <w:tc>
          <w:tcPr>
            <w:tcW w:w="3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93,855,478.01</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59,170,361.06</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58.62</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2"/>
        <w:tabs>
          <w:tab w:pos="647" w:val="left" w:leader="none"/>
        </w:tabs>
        <w:spacing w:line="240" w:lineRule="auto"/>
        <w:ind w:left="225" w:right="261"/>
        <w:jc w:val="left"/>
        <w:rPr>
          <w:b w:val="0"/>
          <w:bCs w:val="0"/>
        </w:rPr>
      </w:pPr>
      <w:r>
        <w:rPr>
          <w:rFonts w:ascii="宋体" w:hAnsi="宋体" w:cs="宋体" w:eastAsia="宋体" w:hint="default"/>
          <w:w w:val="95"/>
        </w:rPr>
        <w:t>2</w:t>
        <w:tab/>
      </w:r>
      <w:r>
        <w:rPr/>
        <w:t>收入</w:t>
      </w:r>
      <w:r>
        <w:rPr>
          <w:b w:val="0"/>
          <w:bCs w:val="0"/>
        </w:rPr>
      </w:r>
    </w:p>
    <w:p>
      <w:pPr>
        <w:pStyle w:val="Heading2"/>
        <w:spacing w:line="240" w:lineRule="auto" w:before="117"/>
        <w:ind w:left="225" w:right="261"/>
        <w:jc w:val="left"/>
        <w:rPr>
          <w:b w:val="0"/>
          <w:bCs w:val="0"/>
        </w:rPr>
      </w:pPr>
      <w:r>
        <w:rPr>
          <w:rFonts w:ascii="宋体" w:hAnsi="宋体" w:cs="宋体" w:eastAsia="宋体" w:hint="default"/>
        </w:rPr>
        <w:t>(1)</w:t>
      </w:r>
      <w:r>
        <w:rPr>
          <w:rFonts w:ascii="宋体" w:hAnsi="宋体" w:cs="宋体" w:eastAsia="宋体" w:hint="default"/>
          <w:spacing w:val="-76"/>
        </w:rPr>
        <w:t> </w:t>
      </w:r>
      <w:r>
        <w:rPr/>
        <w:t>驱动业务收入变化的因素分析</w:t>
      </w:r>
      <w:r>
        <w:rPr>
          <w:b w:val="0"/>
          <w:bCs w:val="0"/>
        </w:rPr>
      </w:r>
    </w:p>
    <w:p>
      <w:pPr>
        <w:pStyle w:val="BodyText"/>
        <w:spacing w:line="237" w:lineRule="auto" w:before="120"/>
        <w:ind w:left="225" w:right="216" w:firstLine="420"/>
        <w:jc w:val="both"/>
      </w:pPr>
      <w:r>
        <w:rPr>
          <w:rFonts w:ascii="宋体" w:hAnsi="宋体" w:cs="宋体" w:eastAsia="宋体" w:hint="default"/>
        </w:rPr>
        <w:t>2014</w:t>
      </w:r>
      <w:r>
        <w:rPr>
          <w:rFonts w:ascii="宋体" w:hAnsi="宋体" w:cs="宋体" w:eastAsia="宋体" w:hint="default"/>
          <w:spacing w:val="-60"/>
        </w:rPr>
        <w:t> </w:t>
      </w:r>
      <w:r>
        <w:rPr/>
        <w:t>年公司实现营业收入</w:t>
      </w:r>
      <w:r>
        <w:rPr>
          <w:spacing w:val="-60"/>
        </w:rPr>
        <w:t> </w:t>
      </w:r>
      <w:r>
        <w:rPr>
          <w:rFonts w:ascii="宋体" w:hAnsi="宋体" w:cs="宋体" w:eastAsia="宋体" w:hint="default"/>
        </w:rPr>
        <w:t>427,854.45</w:t>
      </w:r>
      <w:r>
        <w:rPr>
          <w:rFonts w:ascii="宋体" w:hAnsi="宋体" w:cs="宋体" w:eastAsia="宋体" w:hint="default"/>
          <w:spacing w:val="-60"/>
        </w:rPr>
        <w:t> </w:t>
      </w:r>
      <w:r>
        <w:rPr>
          <w:spacing w:val="-9"/>
        </w:rPr>
        <w:t>万元，同比降低</w:t>
      </w:r>
      <w:r>
        <w:rPr>
          <w:spacing w:val="-60"/>
        </w:rPr>
        <w:t> </w:t>
      </w:r>
      <w:r>
        <w:rPr>
          <w:rFonts w:ascii="宋体" w:hAnsi="宋体" w:cs="宋体" w:eastAsia="宋体" w:hint="default"/>
          <w:spacing w:val="-4"/>
        </w:rPr>
        <w:t>11.16%</w:t>
      </w:r>
      <w:r>
        <w:rPr>
          <w:spacing w:val="-4"/>
        </w:rPr>
        <w:t>。公司主营业务收入</w:t>
      </w:r>
      <w:r>
        <w:rPr/>
        <w:t> 主要由系统产品及系统集成服务收入、软件及软件开发收入、专业服务收入、金融服 </w:t>
      </w:r>
      <w:r>
        <w:rPr>
          <w:spacing w:val="-3"/>
        </w:rPr>
        <w:t>务类收入构成；其中，系统产品及系统集成服务收入为</w:t>
      </w:r>
      <w:r>
        <w:rPr>
          <w:spacing w:val="-57"/>
        </w:rPr>
        <w:t> </w:t>
      </w:r>
      <w:r>
        <w:rPr>
          <w:rFonts w:ascii="宋体" w:hAnsi="宋体" w:cs="宋体" w:eastAsia="宋体" w:hint="default"/>
        </w:rPr>
        <w:t>235,754.08</w:t>
      </w:r>
      <w:r>
        <w:rPr>
          <w:rFonts w:ascii="宋体" w:hAnsi="宋体" w:cs="宋体" w:eastAsia="宋体" w:hint="default"/>
          <w:spacing w:val="-57"/>
        </w:rPr>
        <w:t> </w:t>
      </w:r>
      <w:r>
        <w:rPr/>
        <w:t>万元</w:t>
      </w:r>
      <w:r>
        <w:rPr>
          <w:rFonts w:ascii="宋体" w:hAnsi="宋体" w:cs="宋体" w:eastAsia="宋体" w:hint="default"/>
        </w:rPr>
        <w:t>,</w:t>
      </w:r>
      <w:r>
        <w:rPr>
          <w:rFonts w:ascii="宋体" w:hAnsi="宋体" w:cs="宋体" w:eastAsia="宋体" w:hint="default"/>
          <w:spacing w:val="6"/>
        </w:rPr>
        <w:t> </w:t>
      </w:r>
      <w:r>
        <w:rPr/>
        <w:t>较去年同期 降低</w:t>
      </w:r>
      <w:r>
        <w:rPr>
          <w:spacing w:val="-72"/>
        </w:rPr>
        <w:t> </w:t>
      </w:r>
      <w:r>
        <w:rPr>
          <w:rFonts w:ascii="宋体" w:hAnsi="宋体" w:cs="宋体" w:eastAsia="宋体" w:hint="default"/>
          <w:spacing w:val="-3"/>
        </w:rPr>
        <w:t>10.11%</w:t>
      </w:r>
      <w:r>
        <w:rPr>
          <w:spacing w:val="-3"/>
        </w:rPr>
        <w:t>，占总收入的</w:t>
      </w:r>
      <w:r>
        <w:rPr>
          <w:spacing w:val="-72"/>
        </w:rPr>
        <w:t> </w:t>
      </w:r>
      <w:r>
        <w:rPr>
          <w:rFonts w:ascii="宋体" w:hAnsi="宋体" w:cs="宋体" w:eastAsia="宋体" w:hint="default"/>
        </w:rPr>
        <w:t>55.26%</w:t>
      </w:r>
      <w:r>
        <w:rPr/>
        <w:t>，系统产品及系统集成服务仍然是公司收入的主要来 源；软件及软件开发收入为</w:t>
      </w:r>
      <w:r>
        <w:rPr>
          <w:spacing w:val="-60"/>
        </w:rPr>
        <w:t> </w:t>
      </w:r>
      <w:r>
        <w:rPr>
          <w:rFonts w:ascii="宋体" w:hAnsi="宋体" w:cs="宋体" w:eastAsia="宋体" w:hint="default"/>
        </w:rPr>
        <w:t>64,904.48</w:t>
      </w:r>
      <w:r>
        <w:rPr>
          <w:rFonts w:ascii="宋体" w:hAnsi="宋体" w:cs="宋体" w:eastAsia="宋体" w:hint="default"/>
          <w:spacing w:val="-60"/>
        </w:rPr>
        <w:t> </w:t>
      </w:r>
      <w:r>
        <w:rPr/>
        <w:t>万元，比去年同期下降</w:t>
      </w:r>
      <w:r>
        <w:rPr>
          <w:spacing w:val="-60"/>
        </w:rPr>
        <w:t> </w:t>
      </w:r>
      <w:r>
        <w:rPr>
          <w:rFonts w:ascii="宋体" w:hAnsi="宋体" w:cs="宋体" w:eastAsia="宋体" w:hint="default"/>
        </w:rPr>
        <w:t>23.24%</w:t>
      </w:r>
      <w:r>
        <w:rPr/>
        <w:t>；专业服务收入 为</w:t>
      </w:r>
      <w:r>
        <w:rPr>
          <w:spacing w:val="-60"/>
        </w:rPr>
        <w:t> </w:t>
      </w:r>
      <w:r>
        <w:rPr>
          <w:rFonts w:ascii="宋体" w:hAnsi="宋体" w:cs="宋体" w:eastAsia="宋体" w:hint="default"/>
        </w:rPr>
        <w:t>114,637.96</w:t>
      </w:r>
      <w:r>
        <w:rPr>
          <w:rFonts w:ascii="宋体" w:hAnsi="宋体" w:cs="宋体" w:eastAsia="宋体" w:hint="default"/>
          <w:spacing w:val="-60"/>
        </w:rPr>
        <w:t> </w:t>
      </w:r>
      <w:r>
        <w:rPr>
          <w:spacing w:val="-6"/>
        </w:rPr>
        <w:t>万元，同比下降</w:t>
      </w:r>
      <w:r>
        <w:rPr>
          <w:spacing w:val="-60"/>
        </w:rPr>
        <w:t> </w:t>
      </w:r>
      <w:r>
        <w:rPr>
          <w:rFonts w:ascii="宋体" w:hAnsi="宋体" w:cs="宋体" w:eastAsia="宋体" w:hint="default"/>
          <w:spacing w:val="-3"/>
        </w:rPr>
        <w:t>12.44%</w:t>
      </w:r>
      <w:r>
        <w:rPr>
          <w:spacing w:val="-3"/>
        </w:rPr>
        <w:t>；由于软件及专业服务收入减少，软件和专业服</w:t>
      </w:r>
      <w:r>
        <w:rPr/>
        <w:t> 务收入占公司主营业务收入的比重为</w:t>
      </w:r>
      <w:r>
        <w:rPr>
          <w:spacing w:val="-60"/>
        </w:rPr>
        <w:t> </w:t>
      </w:r>
      <w:r>
        <w:rPr>
          <w:rFonts w:ascii="宋体" w:hAnsi="宋体" w:cs="宋体" w:eastAsia="宋体" w:hint="default"/>
          <w:spacing w:val="-5"/>
        </w:rPr>
        <w:t>42.09%</w:t>
      </w:r>
      <w:r>
        <w:rPr>
          <w:spacing w:val="-5"/>
        </w:rPr>
        <w:t>，较上年下降</w:t>
      </w:r>
      <w:r>
        <w:rPr>
          <w:spacing w:val="-60"/>
        </w:rPr>
        <w:t> </w:t>
      </w:r>
      <w:r>
        <w:rPr>
          <w:rFonts w:ascii="宋体" w:hAnsi="宋体" w:cs="宋体" w:eastAsia="宋体" w:hint="default"/>
        </w:rPr>
        <w:t>2.75</w:t>
      </w:r>
      <w:r>
        <w:rPr>
          <w:rFonts w:ascii="宋体" w:hAnsi="宋体" w:cs="宋体" w:eastAsia="宋体" w:hint="default"/>
          <w:spacing w:val="-60"/>
        </w:rPr>
        <w:t> </w:t>
      </w:r>
      <w:r>
        <w:rPr>
          <w:spacing w:val="-6"/>
        </w:rPr>
        <w:t>个百分点，对公司的毛</w:t>
      </w:r>
      <w:r>
        <w:rPr/>
        <w:t> 利贡献比例达到 </w:t>
      </w:r>
      <w:r>
        <w:rPr>
          <w:rFonts w:ascii="宋体" w:hAnsi="宋体" w:cs="宋体" w:eastAsia="宋体" w:hint="default"/>
        </w:rPr>
        <w:t>67.25%</w:t>
      </w:r>
      <w:r>
        <w:rPr/>
        <w:t>，</w:t>
      </w:r>
      <w:r>
        <w:rPr>
          <w:spacing w:val="-60"/>
        </w:rPr>
        <w:t> </w:t>
      </w:r>
      <w:r>
        <w:rPr/>
        <w:t>软件和服务业务仍然为公司利润的主要来源。</w:t>
      </w:r>
    </w:p>
    <w:p>
      <w:pPr>
        <w:pStyle w:val="BodyText"/>
        <w:spacing w:line="237" w:lineRule="auto" w:before="121"/>
        <w:ind w:left="225" w:right="216" w:firstLine="480"/>
        <w:jc w:val="both"/>
      </w:pPr>
      <w:r>
        <w:rPr>
          <w:rFonts w:ascii="宋体" w:hAnsi="宋体" w:cs="宋体" w:eastAsia="宋体" w:hint="default"/>
        </w:rPr>
        <w:t>2014</w:t>
      </w:r>
      <w:r>
        <w:rPr>
          <w:rFonts w:ascii="宋体" w:hAnsi="宋体" w:cs="宋体" w:eastAsia="宋体" w:hint="default"/>
          <w:spacing w:val="-58"/>
        </w:rPr>
        <w:t> </w:t>
      </w:r>
      <w:r>
        <w:rPr/>
        <w:t>年度</w:t>
      </w:r>
      <w:r>
        <w:rPr>
          <w:rFonts w:ascii="宋体" w:hAnsi="宋体" w:cs="宋体" w:eastAsia="宋体" w:hint="default"/>
        </w:rPr>
        <w:t>,</w:t>
      </w:r>
      <w:r>
        <w:rPr/>
        <w:t>公司产品综合毛利率为</w:t>
      </w:r>
      <w:r>
        <w:rPr>
          <w:spacing w:val="-58"/>
        </w:rPr>
        <w:t> </w:t>
      </w:r>
      <w:r>
        <w:rPr>
          <w:rFonts w:ascii="宋体" w:hAnsi="宋体" w:cs="宋体" w:eastAsia="宋体" w:hint="default"/>
          <w:spacing w:val="-10"/>
        </w:rPr>
        <w:t>18.76%</w:t>
      </w:r>
      <w:r>
        <w:rPr>
          <w:spacing w:val="-10"/>
        </w:rPr>
        <w:t>，比去年同期的</w:t>
      </w:r>
      <w:r>
        <w:rPr>
          <w:spacing w:val="-58"/>
        </w:rPr>
        <w:t> </w:t>
      </w:r>
      <w:r>
        <w:rPr>
          <w:rFonts w:ascii="宋体" w:hAnsi="宋体" w:cs="宋体" w:eastAsia="宋体" w:hint="default"/>
        </w:rPr>
        <w:t>15.90%</w:t>
      </w:r>
      <w:r>
        <w:rPr/>
        <w:t>上升</w:t>
      </w:r>
      <w:r>
        <w:rPr>
          <w:spacing w:val="-58"/>
        </w:rPr>
        <w:t> </w:t>
      </w:r>
      <w:r>
        <w:rPr>
          <w:rFonts w:ascii="宋体" w:hAnsi="宋体" w:cs="宋体" w:eastAsia="宋体" w:hint="default"/>
        </w:rPr>
        <w:t>2.86</w:t>
      </w:r>
      <w:r>
        <w:rPr>
          <w:rFonts w:ascii="宋体" w:hAnsi="宋体" w:cs="宋体" w:eastAsia="宋体" w:hint="default"/>
          <w:spacing w:val="-58"/>
        </w:rPr>
        <w:t> </w:t>
      </w:r>
      <w:r>
        <w:rPr/>
        <w:t>个百分 点。其中，系统产品及系统集成服务毛利率为</w:t>
      </w:r>
      <w:r>
        <w:rPr>
          <w:spacing w:val="-60"/>
        </w:rPr>
        <w:t> </w:t>
      </w:r>
      <w:r>
        <w:rPr>
          <w:rFonts w:ascii="宋体" w:hAnsi="宋体" w:cs="宋体" w:eastAsia="宋体" w:hint="default"/>
        </w:rPr>
        <w:t>8.86%</w:t>
      </w:r>
      <w:r>
        <w:rPr/>
        <w:t>，比去年同期</w:t>
      </w:r>
      <w:r>
        <w:rPr>
          <w:spacing w:val="-60"/>
        </w:rPr>
        <w:t> </w:t>
      </w:r>
      <w:r>
        <w:rPr>
          <w:rFonts w:ascii="宋体" w:hAnsi="宋体" w:cs="宋体" w:eastAsia="宋体" w:hint="default"/>
        </w:rPr>
        <w:t>5.67%</w:t>
      </w:r>
      <w:r>
        <w:rPr/>
        <w:t>上升</w:t>
      </w:r>
      <w:r>
        <w:rPr>
          <w:spacing w:val="-60"/>
        </w:rPr>
        <w:t> </w:t>
      </w:r>
      <w:r>
        <w:rPr>
          <w:rFonts w:ascii="宋体" w:hAnsi="宋体" w:cs="宋体" w:eastAsia="宋体" w:hint="default"/>
        </w:rPr>
        <w:t>3.19</w:t>
      </w:r>
      <w:r>
        <w:rPr>
          <w:rFonts w:ascii="宋体" w:hAnsi="宋体" w:cs="宋体" w:eastAsia="宋体" w:hint="default"/>
          <w:spacing w:val="-60"/>
        </w:rPr>
        <w:t> </w:t>
      </w:r>
      <w:r>
        <w:rPr/>
        <w:t>个 百分点，公司一方面通过推行面向最终客户销售的政策，提升系统产品的毛利水平； 另一方面通过调整内部销售产品结构，重点推广毛利较高的产品，使得系统产品毛利 水平有所提升。专业服务业务的毛利率为</w:t>
      </w:r>
      <w:r>
        <w:rPr>
          <w:spacing w:val="-60"/>
        </w:rPr>
        <w:t> </w:t>
      </w:r>
      <w:r>
        <w:rPr>
          <w:rFonts w:ascii="宋体" w:hAnsi="宋体" w:cs="宋体" w:eastAsia="宋体" w:hint="default"/>
        </w:rPr>
        <w:t>30.84%</w:t>
      </w:r>
      <w:r>
        <w:rPr/>
        <w:t>，与去年同期</w:t>
      </w:r>
      <w:r>
        <w:rPr>
          <w:spacing w:val="-60"/>
        </w:rPr>
        <w:t> </w:t>
      </w:r>
      <w:r>
        <w:rPr>
          <w:rFonts w:ascii="宋体" w:hAnsi="宋体" w:cs="宋体" w:eastAsia="宋体" w:hint="default"/>
        </w:rPr>
        <w:t>30.51%</w:t>
      </w:r>
      <w:r>
        <w:rPr/>
        <w:t>增加</w:t>
      </w:r>
      <w:r>
        <w:rPr>
          <w:spacing w:val="-60"/>
        </w:rPr>
        <w:t> </w:t>
      </w:r>
      <w:r>
        <w:rPr>
          <w:rFonts w:ascii="宋体" w:hAnsi="宋体" w:cs="宋体" w:eastAsia="宋体" w:hint="default"/>
        </w:rPr>
        <w:t>0.33</w:t>
      </w:r>
      <w:r>
        <w:rPr>
          <w:rFonts w:ascii="宋体" w:hAnsi="宋体" w:cs="宋体" w:eastAsia="宋体" w:hint="default"/>
          <w:spacing w:val="-60"/>
        </w:rPr>
        <w:t> </w:t>
      </w:r>
      <w:r>
        <w:rPr/>
        <w:t>个百 </w:t>
      </w:r>
      <w:r>
        <w:rPr>
          <w:spacing w:val="-6"/>
        </w:rPr>
        <w:t>分点；软件及软件开发的毛利率为</w:t>
      </w:r>
      <w:r>
        <w:rPr>
          <w:spacing w:val="-60"/>
        </w:rPr>
        <w:t> </w:t>
      </w:r>
      <w:r>
        <w:rPr>
          <w:rFonts w:ascii="宋体" w:hAnsi="宋体" w:cs="宋体" w:eastAsia="宋体" w:hint="default"/>
          <w:spacing w:val="-7"/>
        </w:rPr>
        <w:t>27.61%</w:t>
      </w:r>
      <w:r>
        <w:rPr>
          <w:spacing w:val="-7"/>
        </w:rPr>
        <w:t>，相比上年同期</w:t>
      </w:r>
      <w:r>
        <w:rPr>
          <w:spacing w:val="-60"/>
        </w:rPr>
        <w:t> </w:t>
      </w:r>
      <w:r>
        <w:rPr>
          <w:rFonts w:ascii="宋体" w:hAnsi="宋体" w:cs="宋体" w:eastAsia="宋体" w:hint="default"/>
        </w:rPr>
        <w:t>22.73%</w:t>
      </w:r>
      <w:r>
        <w:rPr/>
        <w:t>增加</w:t>
      </w:r>
      <w:r>
        <w:rPr>
          <w:spacing w:val="-60"/>
        </w:rPr>
        <w:t> </w:t>
      </w:r>
      <w:r>
        <w:rPr>
          <w:rFonts w:ascii="宋体" w:hAnsi="宋体" w:cs="宋体" w:eastAsia="宋体" w:hint="default"/>
        </w:rPr>
        <w:t>4.88</w:t>
      </w:r>
      <w:r>
        <w:rPr>
          <w:rFonts w:ascii="宋体" w:hAnsi="宋体" w:cs="宋体" w:eastAsia="宋体" w:hint="default"/>
          <w:spacing w:val="-60"/>
        </w:rPr>
        <w:t> </w:t>
      </w:r>
      <w:r>
        <w:rPr/>
        <w:t>个百分点， 目前公司的自有软件和高端服务业务仍然处于培育期，软件产品成熟度和市场认可度 还有待进一步提升。预期随着产品技术的不断完善和竞争力的提升，自主产品毛利率 水平将会逐步得到提高。</w:t>
      </w:r>
    </w:p>
    <w:p>
      <w:pPr>
        <w:spacing w:after="0" w:line="237" w:lineRule="auto"/>
        <w:jc w:val="both"/>
        <w:sectPr>
          <w:type w:val="continuous"/>
          <w:pgSz w:w="11910" w:h="16840"/>
          <w:pgMar w:top="1080" w:bottom="1380" w:left="1300" w:right="1220"/>
        </w:sectPr>
      </w:pPr>
    </w:p>
    <w:p>
      <w:pPr>
        <w:pStyle w:val="Heading2"/>
        <w:spacing w:line="240" w:lineRule="auto" w:before="113"/>
        <w:ind w:left="145" w:right="201"/>
        <w:jc w:val="left"/>
        <w:rPr>
          <w:b w:val="0"/>
          <w:bCs w:val="0"/>
        </w:rPr>
      </w:pPr>
      <w:r>
        <w:rPr>
          <w:rFonts w:ascii="宋体" w:hAnsi="宋体" w:cs="宋体" w:eastAsia="宋体" w:hint="default"/>
        </w:rPr>
        <w:t>(2)</w:t>
      </w:r>
      <w:r>
        <w:rPr>
          <w:rFonts w:ascii="宋体" w:hAnsi="宋体" w:cs="宋体" w:eastAsia="宋体" w:hint="default"/>
          <w:spacing w:val="-83"/>
        </w:rPr>
        <w:t> </w:t>
      </w:r>
      <w:r>
        <w:rPr/>
        <w:t>以实物销售为主的公司产品收入影响因素分析</w:t>
      </w:r>
      <w:r>
        <w:rPr>
          <w:b w:val="0"/>
          <w:bCs w:val="0"/>
        </w:rPr>
      </w:r>
    </w:p>
    <w:p>
      <w:pPr>
        <w:pStyle w:val="BodyText"/>
        <w:spacing w:line="237" w:lineRule="auto" w:before="120"/>
        <w:ind w:left="145" w:right="156" w:firstLine="420"/>
        <w:jc w:val="both"/>
      </w:pPr>
      <w:r>
        <w:rPr>
          <w:rFonts w:ascii="宋体" w:hAnsi="宋体" w:cs="宋体" w:eastAsia="宋体" w:hint="default"/>
        </w:rPr>
        <w:t>2014</w:t>
      </w:r>
      <w:r>
        <w:rPr>
          <w:rFonts w:ascii="宋体" w:hAnsi="宋体" w:cs="宋体" w:eastAsia="宋体" w:hint="default"/>
          <w:spacing w:val="-60"/>
        </w:rPr>
        <w:t> </w:t>
      </w:r>
      <w:r>
        <w:rPr/>
        <w:t>年度，受到国家信息安全政策的影响，主要国外代理产品的市场需求缩减， 导致公司传统业务的收入继续下滑；公司为适应市场逐步调整战略，一方面积极推广 国内产品，另一方面大力研发并推出自主产品，但公司自主研发的云计算、大数据、 </w:t>
      </w:r>
      <w:r>
        <w:rPr>
          <w:spacing w:val="-2"/>
        </w:rPr>
        <w:t>智慧城市等新业务仍处于培育和市场开拓期，新增部分合同建设周期长</w:t>
      </w:r>
      <w:r>
        <w:rPr>
          <w:rFonts w:ascii="宋体" w:hAnsi="宋体" w:cs="宋体" w:eastAsia="宋体" w:hint="default"/>
          <w:spacing w:val="-2"/>
        </w:rPr>
        <w:t>,</w:t>
      </w:r>
      <w:r>
        <w:rPr>
          <w:spacing w:val="-2"/>
        </w:rPr>
        <w:t>收入确认节点</w:t>
      </w:r>
      <w:r>
        <w:rPr>
          <w:spacing w:val="-102"/>
        </w:rPr>
        <w:t> </w:t>
      </w:r>
      <w:r>
        <w:rPr/>
        <w:t>较晚</w:t>
      </w:r>
      <w:r>
        <w:rPr>
          <w:rFonts w:ascii="宋体" w:hAnsi="宋体" w:cs="宋体" w:eastAsia="宋体" w:hint="default"/>
        </w:rPr>
        <w:t>,</w:t>
      </w:r>
      <w:r>
        <w:rPr/>
        <w:t>不足以弥补传统业务下滑的影响，公司仍处于业务转型期。</w:t>
      </w:r>
    </w:p>
    <w:p>
      <w:pPr>
        <w:spacing w:line="240" w:lineRule="auto" w:before="6"/>
        <w:rPr>
          <w:rFonts w:ascii="宋体" w:hAnsi="宋体" w:cs="宋体" w:eastAsia="宋体" w:hint="default"/>
          <w:sz w:val="34"/>
          <w:szCs w:val="34"/>
        </w:rPr>
      </w:pPr>
    </w:p>
    <w:p>
      <w:pPr>
        <w:pStyle w:val="Heading2"/>
        <w:spacing w:line="240" w:lineRule="auto" w:before="0"/>
        <w:ind w:left="145" w:right="201"/>
        <w:jc w:val="left"/>
        <w:rPr>
          <w:b w:val="0"/>
          <w:bCs w:val="0"/>
        </w:rPr>
      </w:pPr>
      <w:r>
        <w:rPr>
          <w:rFonts w:ascii="宋体" w:hAnsi="宋体" w:cs="宋体" w:eastAsia="宋体" w:hint="default"/>
        </w:rPr>
        <w:t>(3)</w:t>
      </w:r>
      <w:r>
        <w:rPr>
          <w:rFonts w:ascii="宋体" w:hAnsi="宋体" w:cs="宋体" w:eastAsia="宋体" w:hint="default"/>
          <w:spacing w:val="-64"/>
        </w:rPr>
        <w:t> </w:t>
      </w:r>
      <w:r>
        <w:rPr/>
        <w:t>订单分析</w:t>
      </w:r>
      <w:r>
        <w:rPr>
          <w:b w:val="0"/>
          <w:bCs w:val="0"/>
        </w:rPr>
      </w:r>
    </w:p>
    <w:p>
      <w:pPr>
        <w:pStyle w:val="BodyText"/>
        <w:spacing w:line="328" w:lineRule="auto" w:before="116"/>
        <w:ind w:left="625" w:right="1701" w:hanging="60"/>
        <w:jc w:val="left"/>
      </w:pPr>
      <w:r>
        <w:rPr>
          <w:rFonts w:ascii="宋体" w:hAnsi="宋体" w:cs="宋体" w:eastAsia="宋体" w:hint="default"/>
        </w:rPr>
        <w:t>2014</w:t>
      </w:r>
      <w:r>
        <w:rPr>
          <w:rFonts w:ascii="宋体" w:hAnsi="宋体" w:cs="宋体" w:eastAsia="宋体" w:hint="default"/>
          <w:spacing w:val="-60"/>
        </w:rPr>
        <w:t> </w:t>
      </w:r>
      <w:r>
        <w:rPr/>
        <w:t>年，全年累计签订合同</w:t>
      </w:r>
      <w:r>
        <w:rPr>
          <w:spacing w:val="-60"/>
        </w:rPr>
        <w:t> </w:t>
      </w:r>
      <w:r>
        <w:rPr>
          <w:rFonts w:ascii="宋体" w:hAnsi="宋体" w:cs="宋体" w:eastAsia="宋体" w:hint="default"/>
        </w:rPr>
        <w:t>58.92</w:t>
      </w:r>
      <w:r>
        <w:rPr>
          <w:rFonts w:ascii="宋体" w:hAnsi="宋体" w:cs="宋体" w:eastAsia="宋体" w:hint="default"/>
          <w:spacing w:val="-60"/>
        </w:rPr>
        <w:t> </w:t>
      </w:r>
      <w:r>
        <w:rPr/>
        <w:t>亿元人民币，同比增长</w:t>
      </w:r>
      <w:r>
        <w:rPr>
          <w:spacing w:val="-60"/>
        </w:rPr>
        <w:t> </w:t>
      </w:r>
      <w:r>
        <w:rPr>
          <w:rFonts w:ascii="宋体" w:hAnsi="宋体" w:cs="宋体" w:eastAsia="宋体" w:hint="default"/>
        </w:rPr>
        <w:t>1.53%</w:t>
      </w:r>
      <w:r>
        <w:rPr/>
        <w:t>。 最近三年各季度签单情况如下：</w:t>
      </w:r>
    </w:p>
    <w:p>
      <w:pPr>
        <w:spacing w:before="33"/>
        <w:ind w:left="5289" w:right="201" w:firstLine="0"/>
        <w:jc w:val="left"/>
        <w:rPr>
          <w:rFonts w:ascii="宋体" w:hAnsi="宋体" w:cs="宋体" w:eastAsia="宋体" w:hint="default"/>
          <w:sz w:val="21"/>
          <w:szCs w:val="21"/>
        </w:rPr>
      </w:pPr>
      <w:r>
        <w:rPr>
          <w:rFonts w:ascii="宋体" w:hAnsi="宋体" w:cs="宋体" w:eastAsia="宋体" w:hint="default"/>
          <w:sz w:val="21"/>
          <w:szCs w:val="21"/>
        </w:rPr>
        <w:t>单位：百万元人民币</w:t>
      </w:r>
    </w:p>
    <w:p>
      <w:pPr>
        <w:spacing w:line="240" w:lineRule="auto" w:before="7"/>
        <w:rPr>
          <w:rFonts w:ascii="宋体" w:hAnsi="宋体" w:cs="宋体" w:eastAsia="宋体" w:hint="default"/>
          <w:sz w:val="2"/>
          <w:szCs w:val="2"/>
        </w:rPr>
      </w:pPr>
    </w:p>
    <w:tbl>
      <w:tblPr>
        <w:tblW w:w="0" w:type="auto"/>
        <w:jc w:val="left"/>
        <w:tblInd w:w="240" w:type="dxa"/>
        <w:tblLayout w:type="fixed"/>
        <w:tblCellMar>
          <w:top w:w="0" w:type="dxa"/>
          <w:left w:w="0" w:type="dxa"/>
          <w:bottom w:w="0" w:type="dxa"/>
          <w:right w:w="0" w:type="dxa"/>
        </w:tblCellMar>
        <w:tblLook w:val="01E0"/>
      </w:tblPr>
      <w:tblGrid>
        <w:gridCol w:w="1008"/>
        <w:gridCol w:w="1200"/>
        <w:gridCol w:w="1200"/>
        <w:gridCol w:w="1200"/>
        <w:gridCol w:w="1301"/>
        <w:gridCol w:w="1000"/>
      </w:tblGrid>
      <w:tr>
        <w:trPr>
          <w:trHeight w:val="320"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年度</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25"/>
              <w:jc w:val="right"/>
              <w:rPr>
                <w:rFonts w:ascii="宋体" w:hAnsi="宋体" w:cs="宋体" w:eastAsia="宋体" w:hint="default"/>
                <w:sz w:val="24"/>
                <w:szCs w:val="24"/>
              </w:rPr>
            </w:pPr>
            <w:r>
              <w:rPr>
                <w:rFonts w:ascii="宋体" w:hAnsi="宋体" w:cs="宋体" w:eastAsia="宋体" w:hint="default"/>
                <w:sz w:val="24"/>
                <w:szCs w:val="24"/>
              </w:rPr>
              <w:t>第一季度</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25"/>
              <w:jc w:val="right"/>
              <w:rPr>
                <w:rFonts w:ascii="宋体" w:hAnsi="宋体" w:cs="宋体" w:eastAsia="宋体" w:hint="default"/>
                <w:sz w:val="24"/>
                <w:szCs w:val="24"/>
              </w:rPr>
            </w:pPr>
            <w:r>
              <w:rPr>
                <w:rFonts w:ascii="宋体" w:hAnsi="宋体" w:cs="宋体" w:eastAsia="宋体" w:hint="default"/>
                <w:sz w:val="24"/>
                <w:szCs w:val="24"/>
              </w:rPr>
              <w:t>第二季度</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25"/>
              <w:jc w:val="right"/>
              <w:rPr>
                <w:rFonts w:ascii="宋体" w:hAnsi="宋体" w:cs="宋体" w:eastAsia="宋体" w:hint="default"/>
                <w:sz w:val="24"/>
                <w:szCs w:val="24"/>
              </w:rPr>
            </w:pPr>
            <w:r>
              <w:rPr>
                <w:rFonts w:ascii="宋体" w:hAnsi="宋体" w:cs="宋体" w:eastAsia="宋体" w:hint="default"/>
                <w:sz w:val="24"/>
                <w:szCs w:val="24"/>
              </w:rPr>
              <w:t>第三季度</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第四季度</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1" w:right="0"/>
              <w:jc w:val="left"/>
              <w:rPr>
                <w:rFonts w:ascii="宋体" w:hAnsi="宋体" w:cs="宋体" w:eastAsia="宋体" w:hint="default"/>
                <w:sz w:val="24"/>
                <w:szCs w:val="24"/>
              </w:rPr>
            </w:pPr>
            <w:r>
              <w:rPr>
                <w:rFonts w:ascii="宋体" w:hAnsi="宋体" w:cs="宋体" w:eastAsia="宋体" w:hint="default"/>
                <w:sz w:val="24"/>
                <w:szCs w:val="24"/>
              </w:rPr>
              <w:t>小计</w:t>
            </w:r>
          </w:p>
        </w:tc>
      </w:tr>
      <w:tr>
        <w:trPr>
          <w:trHeight w:val="322"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1,190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1,511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1,222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2"/>
              <w:jc w:val="right"/>
              <w:rPr>
                <w:rFonts w:ascii="宋体" w:hAnsi="宋体" w:cs="宋体" w:eastAsia="宋体" w:hint="default"/>
                <w:sz w:val="24"/>
                <w:szCs w:val="24"/>
              </w:rPr>
            </w:pPr>
            <w:r>
              <w:rPr>
                <w:rFonts w:ascii="宋体"/>
                <w:sz w:val="24"/>
              </w:rPr>
              <w:t>1,969</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2"/>
              <w:jc w:val="right"/>
              <w:rPr>
                <w:rFonts w:ascii="宋体" w:hAnsi="宋体" w:cs="宋体" w:eastAsia="宋体" w:hint="default"/>
                <w:sz w:val="24"/>
                <w:szCs w:val="24"/>
              </w:rPr>
            </w:pPr>
            <w:r>
              <w:rPr>
                <w:rFonts w:ascii="宋体"/>
                <w:sz w:val="24"/>
              </w:rPr>
              <w:t>5,892</w:t>
            </w:r>
          </w:p>
        </w:tc>
      </w:tr>
      <w:tr>
        <w:trPr>
          <w:trHeight w:val="322"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1,117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1,540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1,182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1,964</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5,803</w:t>
            </w:r>
          </w:p>
        </w:tc>
      </w:tr>
      <w:tr>
        <w:trPr>
          <w:trHeight w:val="322"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1,105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1,542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1,436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1,880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5,963</w:t>
            </w:r>
          </w:p>
        </w:tc>
      </w:tr>
    </w:tbl>
    <w:p>
      <w:pPr>
        <w:spacing w:line="240" w:lineRule="auto" w:before="6"/>
        <w:rPr>
          <w:rFonts w:ascii="宋体" w:hAnsi="宋体" w:cs="宋体" w:eastAsia="宋体" w:hint="default"/>
          <w:sz w:val="20"/>
          <w:szCs w:val="20"/>
        </w:rPr>
      </w:pPr>
    </w:p>
    <w:p>
      <w:pPr>
        <w:spacing w:line="328" w:lineRule="auto" w:before="26"/>
        <w:ind w:left="565" w:right="145" w:hanging="421"/>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pacing w:val="-64"/>
          <w:sz w:val="24"/>
          <w:szCs w:val="24"/>
        </w:rPr>
        <w:t> </w:t>
      </w:r>
      <w:r>
        <w:rPr>
          <w:rFonts w:ascii="宋体" w:hAnsi="宋体" w:cs="宋体" w:eastAsia="宋体" w:hint="default"/>
          <w:b/>
          <w:bCs/>
          <w:sz w:val="24"/>
          <w:szCs w:val="24"/>
        </w:rPr>
        <w:t>新产品及新服务的影响分析</w:t>
      </w:r>
      <w:r>
        <w:rPr>
          <w:rFonts w:ascii="宋体" w:hAnsi="宋体" w:cs="宋体" w:eastAsia="宋体" w:hint="default"/>
          <w:b/>
          <w:bCs/>
          <w:w w:val="99"/>
          <w:sz w:val="24"/>
          <w:szCs w:val="24"/>
        </w:rPr>
        <w:t> </w:t>
      </w:r>
      <w:r>
        <w:rPr>
          <w:rFonts w:ascii="宋体" w:hAnsi="宋体" w:cs="宋体" w:eastAsia="宋体" w:hint="default"/>
          <w:spacing w:val="-4"/>
          <w:sz w:val="24"/>
          <w:szCs w:val="24"/>
        </w:rPr>
        <w:t>公司在多年的信息化生命周期的“一站式”服务中积累了丰富的经验，通过深度合</w:t>
      </w:r>
    </w:p>
    <w:p>
      <w:pPr>
        <w:pStyle w:val="BodyText"/>
        <w:spacing w:line="221" w:lineRule="exact"/>
        <w:ind w:left="145" w:right="0"/>
        <w:jc w:val="both"/>
      </w:pPr>
      <w:r>
        <w:rPr/>
        <w:t>作，取得了各行业战略龙头客户信任，业务覆盖领域广泛。在信息新技术发展、服务</w:t>
      </w:r>
    </w:p>
    <w:p>
      <w:pPr>
        <w:pStyle w:val="BodyText"/>
        <w:spacing w:line="312" w:lineRule="exact" w:before="29"/>
        <w:ind w:left="145" w:right="219"/>
        <w:jc w:val="both"/>
      </w:pPr>
      <w:r>
        <w:rPr/>
        <w:t>化融合的新形势下，公司将把握好国家推动自主产品、信息安全的契机，积极推动业 务转型，建设以能力为核心的可持续发展战略。</w:t>
      </w:r>
    </w:p>
    <w:p>
      <w:pPr>
        <w:pStyle w:val="BodyText"/>
        <w:spacing w:line="310" w:lineRule="exact" w:before="121"/>
        <w:ind w:left="145" w:right="218" w:firstLine="480"/>
        <w:jc w:val="both"/>
      </w:pPr>
      <w:r>
        <w:rPr/>
        <w:t>①着力打造安全可信、自主可控的高端计算系统产业链，实现信息技术关键软硬 件产品的全面覆盖</w:t>
      </w:r>
    </w:p>
    <w:p>
      <w:pPr>
        <w:pStyle w:val="BodyText"/>
        <w:spacing w:line="237" w:lineRule="auto" w:before="91"/>
        <w:ind w:left="145" w:right="158" w:firstLine="480"/>
        <w:jc w:val="right"/>
      </w:pPr>
      <w:r>
        <w:rPr/>
        <w:t>公司研发的拥有自主知识产权的“青云”系列存储产品、虚拟化一体机“天成云 机”，已进入安防、国防和教育行业领域；公司与</w:t>
      </w:r>
      <w:r>
        <w:rPr>
          <w:spacing w:val="-60"/>
        </w:rPr>
        <w:t> </w:t>
      </w:r>
      <w:r>
        <w:rPr>
          <w:rFonts w:ascii="宋体" w:hAnsi="宋体" w:cs="宋体" w:eastAsia="宋体" w:hint="default"/>
        </w:rPr>
        <w:t>IBM</w:t>
      </w:r>
      <w:r>
        <w:rPr>
          <w:rFonts w:ascii="宋体" w:hAnsi="宋体" w:cs="宋体" w:eastAsia="宋体" w:hint="default"/>
          <w:spacing w:val="-60"/>
        </w:rPr>
        <w:t> </w:t>
      </w:r>
      <w:r>
        <w:rPr/>
        <w:t>合作，围绕高端计算技术、产 品与服务建立了完整的产品链，在“产学研政企”合作等方面整合产业链，培育产业 生态，该项工作获得了北京市政府和北京市经济和信息化委员会的认可和大力支持。</w:t>
      </w:r>
    </w:p>
    <w:p>
      <w:pPr>
        <w:pStyle w:val="BodyText"/>
        <w:spacing w:line="237" w:lineRule="auto" w:before="121"/>
        <w:ind w:left="145" w:right="155" w:firstLine="480"/>
        <w:jc w:val="both"/>
      </w:pPr>
      <w:r>
        <w:rPr/>
        <w:t>公司旗下成员</w:t>
      </w:r>
      <w:r>
        <w:rPr>
          <w:spacing w:val="-55"/>
        </w:rPr>
        <w:t> </w:t>
      </w:r>
      <w:r>
        <w:rPr>
          <w:rFonts w:ascii="宋体" w:hAnsi="宋体" w:cs="宋体" w:eastAsia="宋体" w:hint="default"/>
        </w:rPr>
        <w:t>i-Sprint</w:t>
      </w:r>
      <w:r>
        <w:rPr>
          <w:rFonts w:ascii="宋体" w:hAnsi="宋体" w:cs="宋体" w:eastAsia="宋体" w:hint="default"/>
          <w:spacing w:val="-55"/>
        </w:rPr>
        <w:t> </w:t>
      </w:r>
      <w:r>
        <w:rPr>
          <w:spacing w:val="-3"/>
        </w:rPr>
        <w:t>安全产品以卓越性能、解决方案、市场增长和品牌口碑在</w:t>
      </w:r>
      <w:r>
        <w:rPr/>
        <w:t> 网安市场调查公司发布《网络安全企业</w:t>
      </w:r>
      <w:r>
        <w:rPr>
          <w:spacing w:val="-63"/>
        </w:rPr>
        <w:t> </w:t>
      </w:r>
      <w:r>
        <w:rPr>
          <w:rFonts w:ascii="宋体" w:hAnsi="宋体" w:cs="宋体" w:eastAsia="宋体" w:hint="default"/>
        </w:rPr>
        <w:t>500</w:t>
      </w:r>
      <w:r>
        <w:rPr>
          <w:rFonts w:ascii="宋体" w:hAnsi="宋体" w:cs="宋体" w:eastAsia="宋体" w:hint="default"/>
          <w:spacing w:val="-63"/>
        </w:rPr>
        <w:t> </w:t>
      </w:r>
      <w:r>
        <w:rPr>
          <w:spacing w:val="-3"/>
        </w:rPr>
        <w:t>强》中全球排名第</w:t>
      </w:r>
      <w:r>
        <w:rPr>
          <w:spacing w:val="-63"/>
        </w:rPr>
        <w:t> </w:t>
      </w:r>
      <w:r>
        <w:rPr>
          <w:rFonts w:ascii="宋体" w:hAnsi="宋体" w:cs="宋体" w:eastAsia="宋体" w:hint="default"/>
        </w:rPr>
        <w:t>76</w:t>
      </w:r>
      <w:r>
        <w:rPr>
          <w:rFonts w:ascii="宋体" w:hAnsi="宋体" w:cs="宋体" w:eastAsia="宋体" w:hint="default"/>
          <w:spacing w:val="-63"/>
        </w:rPr>
        <w:t> </w:t>
      </w:r>
      <w:r>
        <w:rPr>
          <w:spacing w:val="-3"/>
        </w:rPr>
        <w:t>位，产品已应用于大</w:t>
      </w:r>
      <w:r>
        <w:rPr/>
        <w:t> 部分主流商业银行，多次获得客户好评。</w:t>
      </w:r>
    </w:p>
    <w:p>
      <w:pPr>
        <w:pStyle w:val="BodyText"/>
        <w:spacing w:line="328" w:lineRule="auto" w:before="117"/>
        <w:ind w:left="625" w:right="81"/>
        <w:jc w:val="left"/>
      </w:pPr>
      <w:r>
        <w:rPr/>
        <w:t>②深度融合“互联网+”、实现“服务+”，创新</w:t>
      </w:r>
      <w:r>
        <w:rPr>
          <w:spacing w:val="-60"/>
        </w:rPr>
        <w:t> </w:t>
      </w:r>
      <w:r>
        <w:rPr>
          <w:rFonts w:ascii="宋体" w:hAnsi="宋体" w:cs="宋体" w:eastAsia="宋体" w:hint="default"/>
        </w:rPr>
        <w:t>IT</w:t>
      </w:r>
      <w:r>
        <w:rPr>
          <w:rFonts w:ascii="宋体" w:hAnsi="宋体" w:cs="宋体" w:eastAsia="宋体" w:hint="default"/>
          <w:spacing w:val="-60"/>
        </w:rPr>
        <w:t> </w:t>
      </w:r>
      <w:r>
        <w:rPr/>
        <w:t>服务模式，打造新服务业态 </w:t>
      </w:r>
      <w:r>
        <w:rPr>
          <w:spacing w:val="-4"/>
        </w:rPr>
        <w:t>公司是国内首批通过国家信标委云建设和云服务评价的企业。在传统</w:t>
      </w:r>
      <w:r>
        <w:rPr>
          <w:spacing w:val="-90"/>
        </w:rPr>
        <w:t> </w:t>
      </w:r>
      <w:r>
        <w:rPr>
          <w:rFonts w:ascii="宋体" w:hAnsi="宋体" w:cs="宋体" w:eastAsia="宋体" w:hint="default"/>
        </w:rPr>
        <w:t>IT</w:t>
      </w:r>
      <w:r>
        <w:rPr>
          <w:rFonts w:ascii="宋体" w:hAnsi="宋体" w:cs="宋体" w:eastAsia="宋体" w:hint="default"/>
          <w:spacing w:val="-90"/>
        </w:rPr>
        <w:t> </w:t>
      </w:r>
      <w:r>
        <w:rPr>
          <w:spacing w:val="-12"/>
        </w:rPr>
        <w:t>服务人才、</w:t>
      </w:r>
    </w:p>
    <w:p>
      <w:pPr>
        <w:pStyle w:val="BodyText"/>
        <w:spacing w:line="222" w:lineRule="exact"/>
        <w:ind w:left="145" w:right="0"/>
        <w:jc w:val="both"/>
      </w:pPr>
      <w:r>
        <w:rPr/>
        <w:t>知识和行业优势的基础上，进一步优化以“云悦服务”为标志的，基于新一代信息技</w:t>
      </w:r>
    </w:p>
    <w:p>
      <w:pPr>
        <w:pStyle w:val="BodyText"/>
        <w:spacing w:line="237" w:lineRule="auto" w:before="1"/>
        <w:ind w:left="145" w:right="156"/>
        <w:jc w:val="both"/>
      </w:pPr>
      <w:r>
        <w:rPr/>
        <w:t>术智能服务体系，成为第一批加入阿里巴巴“云合计划”的服务商。“云悦服务”符 合国际标准，能够提供数据库安全检测、运维</w:t>
      </w:r>
      <w:r>
        <w:rPr>
          <w:spacing w:val="-60"/>
        </w:rPr>
        <w:t> </w:t>
      </w:r>
      <w:r>
        <w:rPr>
          <w:rFonts w:ascii="宋体" w:hAnsi="宋体" w:cs="宋体" w:eastAsia="宋体" w:hint="default"/>
        </w:rPr>
        <w:t>O2O</w:t>
      </w:r>
      <w:r>
        <w:rPr>
          <w:rFonts w:ascii="宋体" w:hAnsi="宋体" w:cs="宋体" w:eastAsia="宋体" w:hint="default"/>
          <w:spacing w:val="-60"/>
        </w:rPr>
        <w:t> </w:t>
      </w:r>
      <w:r>
        <w:rPr/>
        <w:t>服务包、网站安全扫描、网站安全 </w:t>
      </w:r>
      <w:r>
        <w:rPr>
          <w:spacing w:val="-10"/>
        </w:rPr>
        <w:t>咨询等服务，在保障客户 </w:t>
      </w:r>
      <w:r>
        <w:rPr>
          <w:rFonts w:ascii="宋体" w:hAnsi="宋体" w:cs="宋体" w:eastAsia="宋体" w:hint="default"/>
        </w:rPr>
        <w:t>IT</w:t>
      </w:r>
      <w:r>
        <w:rPr>
          <w:rFonts w:ascii="宋体" w:hAnsi="宋体" w:cs="宋体" w:eastAsia="宋体" w:hint="default"/>
          <w:spacing w:val="-98"/>
        </w:rPr>
        <w:t> </w:t>
      </w:r>
      <w:r>
        <w:rPr>
          <w:spacing w:val="-8"/>
        </w:rPr>
        <w:t>系统安全可靠的同时，降低客户成本，为用户加上多重“安</w:t>
      </w:r>
      <w:r>
        <w:rPr/>
        <w:t> 心锁”。</w:t>
      </w:r>
    </w:p>
    <w:p>
      <w:pPr>
        <w:pStyle w:val="BodyText"/>
        <w:spacing w:line="310" w:lineRule="exact" w:before="150"/>
        <w:ind w:left="145" w:right="155" w:firstLine="480"/>
        <w:jc w:val="both"/>
      </w:pPr>
      <w:r>
        <w:rPr>
          <w:spacing w:val="-2"/>
        </w:rPr>
        <w:t>利用“互联网+”延伸服务价值，聚焦智慧城市和智慧旅游，落地城市社区、旅游</w:t>
      </w:r>
      <w:r>
        <w:rPr/>
        <w:t> 社区的智慧运营，通过信息的完整采集、精确分析和差异化界定，实现</w:t>
      </w:r>
      <w:r>
        <w:rPr>
          <w:spacing w:val="-90"/>
        </w:rPr>
        <w:t> </w:t>
      </w:r>
      <w:r>
        <w:rPr>
          <w:rFonts w:ascii="宋体" w:hAnsi="宋体" w:cs="宋体" w:eastAsia="宋体" w:hint="default"/>
        </w:rPr>
        <w:t>IT</w:t>
      </w:r>
      <w:r>
        <w:rPr>
          <w:rFonts w:ascii="宋体" w:hAnsi="宋体" w:cs="宋体" w:eastAsia="宋体" w:hint="default"/>
          <w:spacing w:val="-90"/>
        </w:rPr>
        <w:t> </w:t>
      </w:r>
      <w:r>
        <w:rPr/>
        <w:t>服务与传统</w:t>
      </w:r>
    </w:p>
    <w:p>
      <w:pPr>
        <w:spacing w:after="0" w:line="310" w:lineRule="exact"/>
        <w:jc w:val="both"/>
        <w:sectPr>
          <w:footerReference w:type="default" r:id="rId11"/>
          <w:pgSz w:w="11910" w:h="16840"/>
          <w:pgMar w:footer="1194" w:header="882" w:top="1120" w:bottom="1380" w:left="1380" w:right="1280"/>
          <w:pgNumType w:start="11"/>
        </w:sectPr>
      </w:pPr>
    </w:p>
    <w:p>
      <w:pPr>
        <w:pStyle w:val="BodyText"/>
        <w:spacing w:line="237" w:lineRule="auto" w:before="116"/>
        <w:ind w:left="225" w:right="358"/>
        <w:jc w:val="both"/>
      </w:pPr>
      <w:r>
        <w:rPr/>
        <w:t>行业、社会民生的有机接轨。报告期内，公司与南京夫子庙文旅集团合资成立南京夫 </w:t>
      </w:r>
      <w:r>
        <w:rPr>
          <w:spacing w:val="-3"/>
        </w:rPr>
        <w:t>子庙智慧旅游公司，经营国家</w:t>
      </w:r>
      <w:r>
        <w:rPr>
          <w:spacing w:val="-72"/>
        </w:rPr>
        <w:t> </w:t>
      </w:r>
      <w:r>
        <w:rPr>
          <w:rFonts w:ascii="宋体" w:hAnsi="宋体" w:cs="宋体" w:eastAsia="宋体" w:hint="default"/>
        </w:rPr>
        <w:t>5A</w:t>
      </w:r>
      <w:r>
        <w:rPr>
          <w:rFonts w:ascii="宋体" w:hAnsi="宋体" w:cs="宋体" w:eastAsia="宋体" w:hint="default"/>
          <w:spacing w:val="-72"/>
        </w:rPr>
        <w:t> </w:t>
      </w:r>
      <w:r>
        <w:rPr/>
        <w:t>级景区夫子庙及周围景区的线上运营，通过线上线下 的结合，让旅游资源发挥更大效用。</w:t>
      </w:r>
    </w:p>
    <w:p>
      <w:pPr>
        <w:pStyle w:val="BodyText"/>
        <w:spacing w:line="237" w:lineRule="auto" w:before="120"/>
        <w:ind w:left="225" w:right="418" w:firstLine="480"/>
        <w:jc w:val="both"/>
      </w:pPr>
      <w:r>
        <w:rPr/>
        <w:t>借助“行业+”形成合作聚力，公司与浪潮、华为等国内优秀</w:t>
      </w:r>
      <w:r>
        <w:rPr>
          <w:spacing w:val="-60"/>
        </w:rPr>
        <w:t> </w:t>
      </w:r>
      <w:r>
        <w:rPr>
          <w:rFonts w:ascii="宋体" w:hAnsi="宋体" w:cs="宋体" w:eastAsia="宋体" w:hint="default"/>
        </w:rPr>
        <w:t>IT</w:t>
      </w:r>
      <w:r>
        <w:rPr>
          <w:rFonts w:ascii="宋体" w:hAnsi="宋体" w:cs="宋体" w:eastAsia="宋体" w:hint="default"/>
          <w:spacing w:val="-60"/>
        </w:rPr>
        <w:t> </w:t>
      </w:r>
      <w:r>
        <w:rPr/>
        <w:t>厂商建立了战略 合作伙伴关系，就信息安全和国产、自主可控服务等方向进行深入合作，在产品、市 场、客户端优势互补，资源共享，构建强大的聚合服务支撑，优势整合。</w:t>
      </w:r>
    </w:p>
    <w:p>
      <w:pPr>
        <w:pStyle w:val="BodyText"/>
        <w:spacing w:line="310" w:lineRule="exact" w:before="150"/>
        <w:ind w:left="225" w:right="103" w:firstLine="480"/>
        <w:jc w:val="left"/>
      </w:pPr>
      <w:r>
        <w:rPr>
          <w:spacing w:val="-9"/>
        </w:rPr>
        <w:t>借助“客户+”助推服务优化，公司积极主导和参与国家、行业的</w:t>
      </w:r>
      <w:r>
        <w:rPr>
          <w:spacing w:val="-81"/>
        </w:rPr>
        <w:t> </w:t>
      </w:r>
      <w:r>
        <w:rPr>
          <w:rFonts w:ascii="宋体" w:hAnsi="宋体" w:cs="宋体" w:eastAsia="宋体" w:hint="default"/>
        </w:rPr>
        <w:t>IT</w:t>
      </w:r>
      <w:r>
        <w:rPr>
          <w:rFonts w:ascii="宋体" w:hAnsi="宋体" w:cs="宋体" w:eastAsia="宋体" w:hint="default"/>
          <w:spacing w:val="-80"/>
        </w:rPr>
        <w:t> </w:t>
      </w:r>
      <w:r>
        <w:rPr>
          <w:spacing w:val="-12"/>
        </w:rPr>
        <w:t>服务标准（</w:t>
      </w:r>
      <w:r>
        <w:rPr>
          <w:rFonts w:ascii="宋体" w:hAnsi="宋体" w:cs="宋体" w:eastAsia="宋体" w:hint="default"/>
          <w:spacing w:val="-12"/>
        </w:rPr>
        <w:t>ITSS</w:t>
      </w:r>
      <w:r>
        <w:rPr>
          <w:spacing w:val="-12"/>
        </w:rPr>
        <w:t>）</w:t>
      </w:r>
      <w:r>
        <w:rPr/>
        <w:t> 建设，结合自主技术、行业知识和客户需求，提供全方位纵深客户化服务，实现提升 客户自身价值，扩展业务协同度，与客户实现合作共赢。</w:t>
      </w:r>
    </w:p>
    <w:p>
      <w:pPr>
        <w:pStyle w:val="BodyText"/>
        <w:spacing w:line="310" w:lineRule="exact" w:before="122"/>
        <w:ind w:left="225" w:right="355" w:firstLine="480"/>
        <w:jc w:val="left"/>
      </w:pPr>
      <w:r>
        <w:rPr>
          <w:spacing w:val="-2"/>
        </w:rPr>
        <w:t>整合“互联网+”“行业+”“客户+”，公司正协同优质伙伴，吸引客户参与，创</w:t>
      </w:r>
      <w:r>
        <w:rPr/>
        <w:t> 造增值价值，升级服务能力，用</w:t>
      </w:r>
      <w:r>
        <w:rPr>
          <w:rFonts w:ascii="宋体" w:hAnsi="宋体" w:cs="宋体" w:eastAsia="宋体" w:hint="default"/>
        </w:rPr>
        <w:t>+</w:t>
      </w:r>
      <w:r>
        <w:rPr/>
        <w:t>的理念实现</w:t>
      </w:r>
      <w:r>
        <w:rPr>
          <w:spacing w:val="-60"/>
        </w:rPr>
        <w:t> </w:t>
      </w:r>
      <w:r>
        <w:rPr>
          <w:rFonts w:ascii="宋体" w:hAnsi="宋体" w:cs="宋体" w:eastAsia="宋体" w:hint="default"/>
        </w:rPr>
        <w:t>IT</w:t>
      </w:r>
      <w:r>
        <w:rPr>
          <w:rFonts w:ascii="宋体" w:hAnsi="宋体" w:cs="宋体" w:eastAsia="宋体" w:hint="default"/>
          <w:spacing w:val="-60"/>
        </w:rPr>
        <w:t> </w:t>
      </w:r>
      <w:r>
        <w:rPr/>
        <w:t>综合服务领导者的战略。</w:t>
      </w:r>
    </w:p>
    <w:p>
      <w:pPr>
        <w:pStyle w:val="BodyText"/>
        <w:spacing w:line="331" w:lineRule="auto" w:before="88"/>
        <w:ind w:left="705" w:right="103"/>
        <w:jc w:val="left"/>
      </w:pPr>
      <w:r>
        <w:rPr/>
        <w:t>③发展供应链金融服务，实现金融业务创新 </w:t>
      </w:r>
      <w:r>
        <w:rPr>
          <w:spacing w:val="-6"/>
        </w:rPr>
        <w:t>“万众创新”已成为国家战略，针对中小微企业融资的需求，公司联合金融企业，</w:t>
      </w:r>
    </w:p>
    <w:p>
      <w:pPr>
        <w:pStyle w:val="BodyText"/>
        <w:spacing w:line="219" w:lineRule="exact"/>
        <w:ind w:left="225" w:right="0"/>
        <w:jc w:val="both"/>
      </w:pPr>
      <w:r>
        <w:rPr/>
        <w:t>推出金融创新产品，面向围绕以核心企业为中心的供应链，向供应链上的相关企业提</w:t>
      </w:r>
    </w:p>
    <w:p>
      <w:pPr>
        <w:pStyle w:val="BodyText"/>
        <w:spacing w:line="313" w:lineRule="exact"/>
        <w:ind w:left="225" w:right="0"/>
        <w:jc w:val="both"/>
      </w:pPr>
      <w:r>
        <w:rPr/>
        <w:t>供信息和融资服务。</w:t>
      </w:r>
    </w:p>
    <w:p>
      <w:pPr>
        <w:spacing w:line="240" w:lineRule="auto" w:before="0"/>
        <w:rPr>
          <w:rFonts w:ascii="宋体" w:hAnsi="宋体" w:cs="宋体" w:eastAsia="宋体" w:hint="default"/>
          <w:sz w:val="24"/>
          <w:szCs w:val="24"/>
        </w:rPr>
      </w:pPr>
    </w:p>
    <w:p>
      <w:pPr>
        <w:pStyle w:val="Heading2"/>
        <w:spacing w:line="240" w:lineRule="auto" w:before="195"/>
        <w:ind w:left="225" w:right="0"/>
        <w:jc w:val="both"/>
        <w:rPr>
          <w:b w:val="0"/>
          <w:bCs w:val="0"/>
        </w:rPr>
      </w:pPr>
      <w:r>
        <w:rPr>
          <w:rFonts w:ascii="宋体" w:hAnsi="宋体" w:cs="宋体" w:eastAsia="宋体" w:hint="default"/>
        </w:rPr>
        <w:t>(5)</w:t>
      </w:r>
      <w:r>
        <w:rPr>
          <w:rFonts w:ascii="宋体" w:hAnsi="宋体" w:cs="宋体" w:eastAsia="宋体" w:hint="default"/>
          <w:spacing w:val="-71"/>
        </w:rPr>
        <w:t> </w:t>
      </w:r>
      <w:r>
        <w:rPr/>
        <w:t>主要销售客户的情况</w:t>
      </w:r>
      <w:r>
        <w:rPr>
          <w:b w:val="0"/>
          <w:bCs w:val="0"/>
        </w:rPr>
      </w:r>
    </w:p>
    <w:p>
      <w:pPr>
        <w:pStyle w:val="BodyText"/>
        <w:spacing w:line="240" w:lineRule="auto" w:before="116"/>
        <w:ind w:left="648" w:right="103"/>
        <w:jc w:val="left"/>
      </w:pPr>
      <w:r>
        <w:rPr/>
        <w:t>公司前</w:t>
      </w:r>
      <w:r>
        <w:rPr>
          <w:spacing w:val="-60"/>
        </w:rPr>
        <w:t> </w:t>
      </w:r>
      <w:r>
        <w:rPr>
          <w:rFonts w:ascii="宋体" w:hAnsi="宋体" w:cs="宋体" w:eastAsia="宋体" w:hint="default"/>
        </w:rPr>
        <w:t>5</w:t>
      </w:r>
      <w:r>
        <w:rPr>
          <w:rFonts w:ascii="宋体" w:hAnsi="宋体" w:cs="宋体" w:eastAsia="宋体" w:hint="default"/>
          <w:spacing w:val="-60"/>
        </w:rPr>
        <w:t> </w:t>
      </w:r>
      <w:r>
        <w:rPr/>
        <w:t>名客户销售额</w:t>
      </w:r>
      <w:r>
        <w:rPr>
          <w:spacing w:val="-60"/>
        </w:rPr>
        <w:t> </w:t>
      </w:r>
      <w:r>
        <w:rPr>
          <w:rFonts w:ascii="宋体" w:hAnsi="宋体" w:cs="宋体" w:eastAsia="宋体" w:hint="default"/>
        </w:rPr>
        <w:t>49,989.39</w:t>
      </w:r>
      <w:r>
        <w:rPr>
          <w:rFonts w:ascii="宋体" w:hAnsi="宋体" w:cs="宋体" w:eastAsia="宋体" w:hint="default"/>
          <w:spacing w:val="-60"/>
        </w:rPr>
        <w:t> </w:t>
      </w:r>
      <w:r>
        <w:rPr/>
        <w:t>万元，占年度销售总额的</w:t>
      </w:r>
      <w:r>
        <w:rPr>
          <w:spacing w:val="-60"/>
        </w:rPr>
        <w:t> </w:t>
      </w:r>
      <w:r>
        <w:rPr>
          <w:rFonts w:ascii="宋体" w:hAnsi="宋体" w:cs="宋体" w:eastAsia="宋体" w:hint="default"/>
        </w:rPr>
        <w:t>11.68%</w:t>
      </w:r>
      <w:r>
        <w:rPr/>
        <w:t>。</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300" w:right="1080"/>
        </w:sectPr>
      </w:pPr>
    </w:p>
    <w:p>
      <w:pPr>
        <w:pStyle w:val="Heading2"/>
        <w:tabs>
          <w:tab w:pos="645" w:val="left" w:leader="none"/>
        </w:tabs>
        <w:spacing w:line="240" w:lineRule="auto" w:before="189"/>
        <w:ind w:left="225" w:right="-18"/>
        <w:jc w:val="left"/>
        <w:rPr>
          <w:b w:val="0"/>
          <w:bCs w:val="0"/>
        </w:rPr>
      </w:pPr>
      <w:r>
        <w:rPr>
          <w:rFonts w:ascii="宋体" w:hAnsi="宋体" w:cs="宋体" w:eastAsia="宋体" w:hint="default"/>
          <w:w w:val="95"/>
        </w:rPr>
        <w:t>3</w:t>
        <w:tab/>
      </w:r>
      <w:r>
        <w:rPr/>
        <w:t>成本</w:t>
      </w:r>
      <w:r>
        <w:rPr>
          <w:b w:val="0"/>
          <w:bCs w:val="0"/>
        </w:rPr>
      </w:r>
    </w:p>
    <w:p>
      <w:pPr>
        <w:pStyle w:val="Heading2"/>
        <w:spacing w:line="240" w:lineRule="auto" w:before="56"/>
        <w:ind w:left="225" w:right="-18"/>
        <w:jc w:val="left"/>
        <w:rPr>
          <w:b w:val="0"/>
          <w:bCs w:val="0"/>
        </w:rPr>
      </w:pPr>
      <w:r>
        <w:rPr>
          <w:rFonts w:ascii="宋体" w:hAnsi="宋体" w:cs="宋体" w:eastAsia="宋体" w:hint="default"/>
        </w:rPr>
        <w:t>(1)</w:t>
      </w:r>
      <w:r>
        <w:rPr>
          <w:rFonts w:ascii="宋体" w:hAnsi="宋体" w:cs="宋体" w:eastAsia="宋体" w:hint="default"/>
          <w:spacing w:val="-64"/>
        </w:rPr>
        <w:t> </w:t>
      </w:r>
      <w:r>
        <w:rPr/>
        <w:t>成本分析表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tabs>
          <w:tab w:pos="1275" w:val="left" w:leader="none"/>
        </w:tabs>
        <w:spacing w:before="149"/>
        <w:ind w:left="225"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300" w:right="1080"/>
          <w:cols w:num="2" w:equalWidth="0">
            <w:col w:w="1852" w:space="4780"/>
            <w:col w:w="2898"/>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036"/>
        <w:gridCol w:w="955"/>
        <w:gridCol w:w="1896"/>
        <w:gridCol w:w="929"/>
        <w:gridCol w:w="1896"/>
        <w:gridCol w:w="858"/>
        <w:gridCol w:w="846"/>
        <w:gridCol w:w="742"/>
      </w:tblGrid>
      <w:tr>
        <w:trPr>
          <w:trHeight w:val="283" w:hRule="exact"/>
        </w:trPr>
        <w:tc>
          <w:tcPr>
            <w:tcW w:w="915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372"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7"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57" w:right="156"/>
              <w:jc w:val="left"/>
              <w:rPr>
                <w:rFonts w:ascii="宋体" w:hAnsi="宋体" w:cs="宋体" w:eastAsia="宋体" w:hint="default"/>
                <w:sz w:val="21"/>
                <w:szCs w:val="21"/>
              </w:rPr>
            </w:pPr>
            <w:r>
              <w:rPr>
                <w:rFonts w:ascii="宋体" w:hAnsi="宋体" w:cs="宋体" w:eastAsia="宋体" w:hint="default"/>
                <w:sz w:val="21"/>
                <w:szCs w:val="21"/>
              </w:rPr>
              <w:t>成本构 成项目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44" w:right="143"/>
              <w:jc w:val="center"/>
              <w:rPr>
                <w:rFonts w:ascii="宋体" w:hAnsi="宋体" w:cs="宋体" w:eastAsia="宋体" w:hint="default"/>
                <w:sz w:val="21"/>
                <w:szCs w:val="21"/>
              </w:rPr>
            </w:pPr>
            <w:r>
              <w:rPr>
                <w:rFonts w:ascii="宋体" w:hAnsi="宋体" w:cs="宋体" w:eastAsia="宋体" w:hint="default"/>
                <w:sz w:val="21"/>
                <w:szCs w:val="21"/>
              </w:rPr>
              <w:t>本期占 总成本 比例 </w:t>
            </w:r>
            <w:r>
              <w:rPr>
                <w:rFonts w:ascii="宋体" w:hAnsi="宋体" w:cs="宋体" w:eastAsia="宋体" w:hint="default"/>
                <w:sz w:val="21"/>
                <w:szCs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7" w:right="108"/>
              <w:jc w:val="both"/>
              <w:rPr>
                <w:rFonts w:ascii="宋体" w:hAnsi="宋体" w:cs="宋体" w:eastAsia="宋体" w:hint="default"/>
                <w:sz w:val="21"/>
                <w:szCs w:val="21"/>
              </w:rPr>
            </w:pPr>
            <w:r>
              <w:rPr>
                <w:rFonts w:ascii="宋体" w:hAnsi="宋体" w:cs="宋体" w:eastAsia="宋体" w:hint="default"/>
                <w:sz w:val="21"/>
                <w:szCs w:val="21"/>
              </w:rPr>
              <w:t>上年同 期占总 成本比 例</w:t>
            </w:r>
            <w:r>
              <w:rPr>
                <w:rFonts w:ascii="宋体" w:hAnsi="宋体" w:cs="宋体" w:eastAsia="宋体" w:hint="default"/>
                <w:sz w:val="21"/>
                <w:szCs w:val="21"/>
              </w:rPr>
              <w:t>(%)</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72" w:lineRule="exact" w:before="26"/>
              <w:ind w:left="102" w:right="102"/>
              <w:jc w:val="both"/>
              <w:rPr>
                <w:rFonts w:ascii="宋体" w:hAnsi="宋体" w:cs="宋体" w:eastAsia="宋体" w:hint="default"/>
                <w:sz w:val="21"/>
                <w:szCs w:val="21"/>
              </w:rPr>
            </w:pPr>
            <w:r>
              <w:rPr>
                <w:rFonts w:ascii="宋体" w:hAnsi="宋体" w:cs="宋体" w:eastAsia="宋体" w:hint="default"/>
                <w:sz w:val="21"/>
                <w:szCs w:val="21"/>
              </w:rPr>
              <w:t>额较上 年同期 变动比 例</w:t>
            </w:r>
            <w:r>
              <w:rPr>
                <w:rFonts w:ascii="宋体" w:hAnsi="宋体" w:cs="宋体" w:eastAsia="宋体" w:hint="default"/>
                <w:sz w:val="21"/>
                <w:szCs w:val="21"/>
              </w:rPr>
              <w:t>(%)</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54" w:right="155"/>
              <w:jc w:val="left"/>
              <w:rPr>
                <w:rFonts w:ascii="宋体" w:hAnsi="宋体" w:cs="宋体" w:eastAsia="宋体" w:hint="default"/>
                <w:sz w:val="21"/>
                <w:szCs w:val="21"/>
              </w:rPr>
            </w:pPr>
            <w:r>
              <w:rPr>
                <w:rFonts w:ascii="宋体" w:hAnsi="宋体" w:cs="宋体" w:eastAsia="宋体" w:hint="default"/>
                <w:sz w:val="21"/>
                <w:szCs w:val="21"/>
              </w:rPr>
              <w:t>情况 说明</w:t>
            </w:r>
          </w:p>
        </w:tc>
      </w:tr>
      <w:tr>
        <w:trPr>
          <w:trHeight w:val="554"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94"/>
                <w:sz w:val="21"/>
                <w:szCs w:val="21"/>
              </w:rPr>
              <w:t>主营</w:t>
            </w:r>
            <w:r>
              <w:rPr>
                <w:rFonts w:ascii="宋体" w:hAnsi="宋体" w:cs="宋体" w:eastAsia="宋体" w:hint="default"/>
                <w:sz w:val="21"/>
                <w:szCs w:val="21"/>
              </w:rPr>
              <w:t>业</w:t>
            </w:r>
            <w:r>
              <w:rPr>
                <w:rFonts w:ascii="宋体" w:hAnsi="宋体" w:cs="宋体" w:eastAsia="宋体" w:hint="default"/>
                <w:spacing w:val="-11"/>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务成本</w:t>
            </w:r>
          </w:p>
        </w:tc>
        <w:tc>
          <w:tcPr>
            <w:tcW w:w="955"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3,475,786,730.14</w:t>
            </w:r>
          </w:p>
        </w:tc>
        <w:tc>
          <w:tcPr>
            <w:tcW w:w="929"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4,050,240,697.64</w:t>
            </w:r>
          </w:p>
        </w:tc>
        <w:tc>
          <w:tcPr>
            <w:tcW w:w="858"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-14.18</w:t>
            </w:r>
          </w:p>
        </w:tc>
        <w:tc>
          <w:tcPr>
            <w:tcW w:w="74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3"/>
          <w:szCs w:val="23"/>
        </w:rPr>
      </w:pPr>
    </w:p>
    <w:p>
      <w:pPr>
        <w:pStyle w:val="Heading2"/>
        <w:spacing w:line="240" w:lineRule="auto"/>
        <w:ind w:left="225" w:right="103"/>
        <w:jc w:val="left"/>
        <w:rPr>
          <w:b w:val="0"/>
          <w:bCs w:val="0"/>
        </w:rPr>
      </w:pPr>
      <w:r>
        <w:rPr>
          <w:rFonts w:ascii="宋体" w:hAnsi="宋体" w:cs="宋体" w:eastAsia="宋体" w:hint="default"/>
        </w:rPr>
        <w:t>(2)</w:t>
      </w:r>
      <w:r>
        <w:rPr>
          <w:rFonts w:ascii="宋体" w:hAnsi="宋体" w:cs="宋体" w:eastAsia="宋体" w:hint="default"/>
          <w:spacing w:val="-71"/>
        </w:rPr>
        <w:t> </w:t>
      </w:r>
      <w:r>
        <w:rPr/>
        <w:t>主要供应商情况</w:t>
      </w:r>
      <w:r>
        <w:rPr>
          <w:b w:val="0"/>
          <w:bCs w:val="0"/>
        </w:rPr>
      </w:r>
    </w:p>
    <w:p>
      <w:pPr>
        <w:pStyle w:val="BodyText"/>
        <w:spacing w:line="310" w:lineRule="exact" w:before="149"/>
        <w:ind w:left="225" w:right="581" w:firstLine="480"/>
        <w:jc w:val="left"/>
      </w:pPr>
      <w:r>
        <w:rPr/>
        <w:t>公司向前五名供应商采购金额合计：</w:t>
      </w:r>
      <w:r>
        <w:rPr>
          <w:rFonts w:ascii="宋体" w:hAnsi="宋体" w:cs="宋体" w:eastAsia="宋体" w:hint="default"/>
        </w:rPr>
        <w:t>1,394,227,020.09</w:t>
      </w:r>
      <w:r>
        <w:rPr>
          <w:rFonts w:ascii="宋体" w:hAnsi="宋体" w:cs="宋体" w:eastAsia="宋体" w:hint="default"/>
          <w:spacing w:val="-60"/>
        </w:rPr>
        <w:t> </w:t>
      </w:r>
      <w:r>
        <w:rPr/>
        <w:t>元，占采购总额比重： </w:t>
      </w:r>
      <w:r>
        <w:rPr>
          <w:rFonts w:ascii="宋体" w:hAnsi="宋体" w:cs="宋体" w:eastAsia="宋体" w:hint="default"/>
        </w:rPr>
        <w:t>37.29%</w:t>
      </w:r>
      <w:r>
        <w:rPr/>
        <w:t>。</w:t>
      </w:r>
    </w:p>
    <w:p>
      <w:pPr>
        <w:spacing w:line="240" w:lineRule="auto" w:before="0"/>
        <w:rPr>
          <w:rFonts w:ascii="宋体" w:hAnsi="宋体" w:cs="宋体" w:eastAsia="宋体" w:hint="default"/>
          <w:sz w:val="20"/>
          <w:szCs w:val="20"/>
        </w:rPr>
      </w:pPr>
    </w:p>
    <w:p>
      <w:pPr>
        <w:pStyle w:val="Heading2"/>
        <w:tabs>
          <w:tab w:pos="645" w:val="left" w:leader="none"/>
        </w:tabs>
        <w:spacing w:line="240" w:lineRule="auto" w:before="198"/>
        <w:ind w:left="225" w:right="103"/>
        <w:jc w:val="left"/>
        <w:rPr>
          <w:b w:val="0"/>
          <w:bCs w:val="0"/>
        </w:rPr>
      </w:pPr>
      <w:r>
        <w:rPr>
          <w:rFonts w:ascii="宋体" w:hAnsi="宋体" w:cs="宋体" w:eastAsia="宋体" w:hint="default"/>
          <w:w w:val="95"/>
        </w:rPr>
        <w:t>4</w:t>
        <w:tab/>
      </w:r>
      <w:r>
        <w:rPr/>
        <w:t>费用</w:t>
      </w:r>
      <w:r>
        <w:rPr>
          <w:b w:val="0"/>
          <w:bCs w:val="0"/>
        </w:rPr>
      </w:r>
    </w:p>
    <w:p>
      <w:pPr>
        <w:pStyle w:val="BodyText"/>
        <w:tabs>
          <w:tab w:pos="6255" w:val="left" w:leader="none"/>
        </w:tabs>
        <w:spacing w:line="240" w:lineRule="auto" w:before="58"/>
        <w:ind w:left="5056" w:right="103"/>
        <w:jc w:val="left"/>
      </w:pPr>
      <w:r>
        <w:rPr/>
        <w:t>单位：元</w:t>
        <w:tab/>
        <w:t>币种人民币</w:t>
      </w:r>
    </w:p>
    <w:p>
      <w:pPr>
        <w:spacing w:line="240" w:lineRule="auto" w:before="10"/>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772"/>
        <w:gridCol w:w="1896"/>
        <w:gridCol w:w="1896"/>
        <w:gridCol w:w="2058"/>
      </w:tblGrid>
      <w:tr>
        <w:trPr>
          <w:trHeight w:val="322"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变动比例（</w:t>
            </w:r>
            <w:r>
              <w:rPr>
                <w:rFonts w:ascii="宋体" w:hAnsi="宋体" w:cs="宋体" w:eastAsia="宋体" w:hint="default"/>
                <w:sz w:val="24"/>
                <w:szCs w:val="24"/>
              </w:rPr>
              <w:t>%</w:t>
            </w:r>
            <w:r>
              <w:rPr>
                <w:rFonts w:ascii="宋体" w:hAnsi="宋体" w:cs="宋体" w:eastAsia="宋体" w:hint="default"/>
                <w:sz w:val="24"/>
                <w:szCs w:val="24"/>
              </w:rPr>
              <w:t>）</w:t>
            </w:r>
          </w:p>
        </w:tc>
      </w:tr>
      <w:tr>
        <w:trPr>
          <w:trHeight w:val="322"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销售费用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378,579,185.90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408,446,739.65</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345" w:right="0"/>
              <w:jc w:val="left"/>
              <w:rPr>
                <w:rFonts w:ascii="宋体" w:hAnsi="宋体" w:cs="宋体" w:eastAsia="宋体" w:hint="default"/>
                <w:sz w:val="24"/>
                <w:szCs w:val="24"/>
              </w:rPr>
            </w:pPr>
            <w:r>
              <w:rPr>
                <w:rFonts w:ascii="宋体"/>
                <w:sz w:val="24"/>
              </w:rPr>
              <w:t>-7.31</w:t>
            </w:r>
          </w:p>
        </w:tc>
      </w:tr>
    </w:tbl>
    <w:p>
      <w:pPr>
        <w:spacing w:after="0" w:line="275" w:lineRule="exact"/>
        <w:jc w:val="left"/>
        <w:rPr>
          <w:rFonts w:ascii="宋体" w:hAnsi="宋体" w:cs="宋体" w:eastAsia="宋体" w:hint="default"/>
          <w:sz w:val="24"/>
          <w:szCs w:val="24"/>
        </w:rPr>
        <w:sectPr>
          <w:type w:val="continuous"/>
          <w:pgSz w:w="11910" w:h="16840"/>
          <w:pgMar w:top="1080" w:bottom="1380" w:left="1300" w:right="1080"/>
        </w:sectPr>
      </w:pPr>
    </w:p>
    <w:p>
      <w:pPr>
        <w:spacing w:line="240" w:lineRule="auto" w:before="8"/>
        <w:rPr>
          <w:rFonts w:ascii="宋体" w:hAnsi="宋体" w:cs="宋体" w:eastAsia="宋体" w:hint="default"/>
          <w:sz w:val="11"/>
          <w:szCs w:val="11"/>
        </w:rPr>
      </w:pPr>
    </w:p>
    <w:tbl>
      <w:tblPr>
        <w:tblW w:w="0" w:type="auto"/>
        <w:jc w:val="left"/>
        <w:tblInd w:w="432" w:type="dxa"/>
        <w:tblLayout w:type="fixed"/>
        <w:tblCellMar>
          <w:top w:w="0" w:type="dxa"/>
          <w:left w:w="0" w:type="dxa"/>
          <w:bottom w:w="0" w:type="dxa"/>
          <w:right w:w="0" w:type="dxa"/>
        </w:tblCellMar>
        <w:tblLook w:val="01E0"/>
      </w:tblPr>
      <w:tblGrid>
        <w:gridCol w:w="1772"/>
        <w:gridCol w:w="1896"/>
        <w:gridCol w:w="1896"/>
        <w:gridCol w:w="2058"/>
      </w:tblGrid>
      <w:tr>
        <w:trPr>
          <w:trHeight w:val="322"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管理费用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257,756,262.81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229,564,952.30</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12.28</w:t>
            </w:r>
          </w:p>
        </w:tc>
      </w:tr>
      <w:tr>
        <w:trPr>
          <w:trHeight w:val="322"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70,582,040.47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51,500,817.25</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37.05</w:t>
            </w:r>
          </w:p>
        </w:tc>
      </w:tr>
    </w:tbl>
    <w:p>
      <w:pPr>
        <w:pStyle w:val="BodyText"/>
        <w:spacing w:line="312" w:lineRule="exact" w:before="81"/>
        <w:ind w:left="1025" w:right="81"/>
        <w:jc w:val="left"/>
      </w:pPr>
      <w:r>
        <w:rPr>
          <w:rFonts w:ascii="宋体" w:hAnsi="宋体" w:cs="宋体" w:eastAsia="宋体" w:hint="default"/>
        </w:rPr>
        <w:t>2014</w:t>
      </w:r>
      <w:r>
        <w:rPr>
          <w:rFonts w:ascii="宋体" w:hAnsi="宋体" w:cs="宋体" w:eastAsia="宋体" w:hint="default"/>
          <w:spacing w:val="-60"/>
        </w:rPr>
        <w:t> </w:t>
      </w:r>
      <w:r>
        <w:rPr/>
        <w:t>年度，公司运营费用支出</w:t>
      </w:r>
      <w:r>
        <w:rPr>
          <w:spacing w:val="-60"/>
        </w:rPr>
        <w:t> </w:t>
      </w:r>
      <w:r>
        <w:rPr>
          <w:rFonts w:ascii="宋体" w:hAnsi="宋体" w:cs="宋体" w:eastAsia="宋体" w:hint="default"/>
        </w:rPr>
        <w:t>70,691.75</w:t>
      </w:r>
      <w:r>
        <w:rPr>
          <w:rFonts w:ascii="宋体" w:hAnsi="宋体" w:cs="宋体" w:eastAsia="宋体" w:hint="default"/>
          <w:spacing w:val="-60"/>
        </w:rPr>
        <w:t> </w:t>
      </w:r>
      <w:r>
        <w:rPr/>
        <w:t>万元，比去年同期</w:t>
      </w:r>
      <w:r>
        <w:rPr>
          <w:spacing w:val="-60"/>
        </w:rPr>
        <w:t> </w:t>
      </w:r>
      <w:r>
        <w:rPr>
          <w:rFonts w:ascii="宋体" w:hAnsi="宋体" w:cs="宋体" w:eastAsia="宋体" w:hint="default"/>
        </w:rPr>
        <w:t>68,951.25</w:t>
      </w:r>
      <w:r>
        <w:rPr>
          <w:rFonts w:ascii="宋体" w:hAnsi="宋体" w:cs="宋体" w:eastAsia="宋体" w:hint="default"/>
          <w:spacing w:val="-60"/>
        </w:rPr>
        <w:t> </w:t>
      </w:r>
      <w:r>
        <w:rPr/>
        <w:t>万元增长</w:t>
      </w:r>
    </w:p>
    <w:p>
      <w:pPr>
        <w:pStyle w:val="BodyText"/>
        <w:spacing w:line="237" w:lineRule="auto" w:before="1"/>
        <w:ind w:left="545" w:right="81"/>
        <w:jc w:val="left"/>
      </w:pPr>
      <w:r>
        <w:rPr>
          <w:rFonts w:ascii="宋体" w:hAnsi="宋体" w:cs="宋体" w:eastAsia="宋体" w:hint="default"/>
        </w:rPr>
        <w:t>2.52%</w:t>
      </w:r>
      <w:r>
        <w:rPr/>
        <w:t>，期间费用率由去年同期的</w:t>
      </w:r>
      <w:r>
        <w:rPr>
          <w:spacing w:val="-60"/>
        </w:rPr>
        <w:t> </w:t>
      </w:r>
      <w:r>
        <w:rPr>
          <w:rFonts w:ascii="宋体" w:hAnsi="宋体" w:cs="宋体" w:eastAsia="宋体" w:hint="default"/>
        </w:rPr>
        <w:t>14.32%</w:t>
      </w:r>
      <w:r>
        <w:rPr/>
        <w:t>上升至</w:t>
      </w:r>
      <w:r>
        <w:rPr>
          <w:spacing w:val="-60"/>
        </w:rPr>
        <w:t> </w:t>
      </w:r>
      <w:r>
        <w:rPr>
          <w:rFonts w:ascii="宋体" w:hAnsi="宋体" w:cs="宋体" w:eastAsia="宋体" w:hint="default"/>
        </w:rPr>
        <w:t>16.52%</w:t>
      </w:r>
      <w:r>
        <w:rPr/>
        <w:t>，上升</w:t>
      </w:r>
      <w:r>
        <w:rPr>
          <w:spacing w:val="-60"/>
        </w:rPr>
        <w:t> </w:t>
      </w:r>
      <w:r>
        <w:rPr>
          <w:rFonts w:ascii="宋体" w:hAnsi="宋体" w:cs="宋体" w:eastAsia="宋体" w:hint="default"/>
        </w:rPr>
        <w:t>2.20</w:t>
      </w:r>
      <w:r>
        <w:rPr>
          <w:rFonts w:ascii="宋体" w:hAnsi="宋体" w:cs="宋体" w:eastAsia="宋体" w:hint="default"/>
          <w:spacing w:val="-60"/>
        </w:rPr>
        <w:t> </w:t>
      </w:r>
      <w:r>
        <w:rPr/>
        <w:t>个百分点</w:t>
      </w:r>
      <w:r>
        <w:rPr>
          <w:rFonts w:ascii="宋体" w:hAnsi="宋体" w:cs="宋体" w:eastAsia="宋体" w:hint="default"/>
        </w:rPr>
        <w:t>,</w:t>
      </w:r>
      <w:r>
        <w:rPr/>
        <w:t>运营费 </w:t>
      </w:r>
      <w:r>
        <w:rPr>
          <w:spacing w:val="-8"/>
        </w:rPr>
        <w:t>用上升主要体现在管理费用、财务费用的增长。</w:t>
      </w:r>
      <w:r>
        <w:rPr>
          <w:rFonts w:ascii="宋体" w:hAnsi="宋体" w:cs="宋体" w:eastAsia="宋体" w:hint="default"/>
          <w:spacing w:val="-8"/>
        </w:rPr>
        <w:t>2014</w:t>
      </w:r>
      <w:r>
        <w:rPr>
          <w:rFonts w:ascii="宋体" w:hAnsi="宋体" w:cs="宋体" w:eastAsia="宋体" w:hint="default"/>
          <w:spacing w:val="-56"/>
        </w:rPr>
        <w:t> </w:t>
      </w:r>
      <w:r>
        <w:rPr/>
        <w:t>年公司销售费用同比下降</w:t>
      </w:r>
      <w:r>
        <w:rPr>
          <w:spacing w:val="-56"/>
        </w:rPr>
        <w:t> </w:t>
      </w:r>
      <w:r>
        <w:rPr>
          <w:rFonts w:ascii="宋体" w:hAnsi="宋体" w:cs="宋体" w:eastAsia="宋体" w:hint="default"/>
        </w:rPr>
        <w:t>7.31%</w:t>
      </w:r>
      <w:r>
        <w:rPr/>
        <w:t>，</w:t>
      </w:r>
      <w:r>
        <w:rPr>
          <w:spacing w:val="-110"/>
        </w:rPr>
        <w:t> </w:t>
      </w:r>
      <w:r>
        <w:rPr/>
        <w:t>公司通过制定一套基于净利润、责权利一致的销售业绩考核方法，扁平化销售体系组</w:t>
      </w:r>
      <w:r>
        <w:rPr/>
        <w:t> 织架构，强化资源投入与业绩贡献匹配控制等管理手段控制销售费用的增长，并取得 显著成效；管理费用同比增长</w:t>
      </w:r>
      <w:r>
        <w:rPr>
          <w:spacing w:val="-60"/>
        </w:rPr>
        <w:t> </w:t>
      </w:r>
      <w:r>
        <w:rPr>
          <w:rFonts w:ascii="宋体" w:hAnsi="宋体" w:cs="宋体" w:eastAsia="宋体" w:hint="default"/>
        </w:rPr>
        <w:t>12.28%</w:t>
      </w:r>
      <w:r>
        <w:rPr/>
        <w:t>，管理费用率由上年同期的</w:t>
      </w:r>
      <w:r>
        <w:rPr>
          <w:spacing w:val="-60"/>
        </w:rPr>
        <w:t> </w:t>
      </w:r>
      <w:r>
        <w:rPr>
          <w:rFonts w:ascii="宋体" w:hAnsi="宋体" w:cs="宋体" w:eastAsia="宋体" w:hint="default"/>
        </w:rPr>
        <w:t>4.77%</w:t>
      </w:r>
      <w:r>
        <w:rPr/>
        <w:t>上升至</w:t>
      </w:r>
      <w:r>
        <w:rPr>
          <w:spacing w:val="-60"/>
        </w:rPr>
        <w:t> </w:t>
      </w:r>
      <w:r>
        <w:rPr>
          <w:rFonts w:ascii="宋体" w:hAnsi="宋体" w:cs="宋体" w:eastAsia="宋体" w:hint="default"/>
        </w:rPr>
        <w:t>6.02%</w:t>
      </w:r>
      <w:r>
        <w:rPr/>
        <w:t>， 管理费用上涨较快主要是由于公司经营规模扩大所致，一方面公司</w:t>
      </w:r>
      <w:r>
        <w:rPr>
          <w:color w:val="4E4E4E"/>
        </w:rPr>
        <w:t>持续在自主研发、</w:t>
      </w:r>
      <w:r>
        <w:rPr>
          <w:color w:val="4E4E4E"/>
        </w:rPr>
        <w:t> 自主创新等方面加大投入</w:t>
      </w:r>
      <w:r>
        <w:rPr/>
        <w:t>，产品研发和市场开发成本增加；另一方面不断进行产业并</w:t>
      </w:r>
      <w:r>
        <w:rPr/>
        <w:t> 购，新设立和并购进入的子公司经营成本带来集团整体管理费用的增加；财务费用从 </w:t>
      </w:r>
      <w:r>
        <w:rPr>
          <w:rFonts w:ascii="宋体" w:hAnsi="宋体" w:cs="宋体" w:eastAsia="宋体" w:hint="default"/>
        </w:rPr>
        <w:t>5,150.08</w:t>
      </w:r>
      <w:r>
        <w:rPr>
          <w:rFonts w:ascii="宋体" w:hAnsi="宋体" w:cs="宋体" w:eastAsia="宋体" w:hint="default"/>
          <w:spacing w:val="-60"/>
        </w:rPr>
        <w:t> </w:t>
      </w:r>
      <w:r>
        <w:rPr/>
        <w:t>万元上升至</w:t>
      </w:r>
      <w:r>
        <w:rPr>
          <w:spacing w:val="-60"/>
        </w:rPr>
        <w:t> </w:t>
      </w:r>
      <w:r>
        <w:rPr>
          <w:rFonts w:ascii="宋体" w:hAnsi="宋体" w:cs="宋体" w:eastAsia="宋体" w:hint="default"/>
        </w:rPr>
        <w:t>7,058.20</w:t>
      </w:r>
      <w:r>
        <w:rPr>
          <w:rFonts w:ascii="宋体" w:hAnsi="宋体" w:cs="宋体" w:eastAsia="宋体" w:hint="default"/>
          <w:spacing w:val="-60"/>
        </w:rPr>
        <w:t> </w:t>
      </w:r>
      <w:r>
        <w:rPr/>
        <w:t>万元，涨幅高达</w:t>
      </w:r>
      <w:r>
        <w:rPr>
          <w:spacing w:val="-60"/>
        </w:rPr>
        <w:t> </w:t>
      </w:r>
      <w:r>
        <w:rPr>
          <w:rFonts w:ascii="宋体" w:hAnsi="宋体" w:cs="宋体" w:eastAsia="宋体" w:hint="default"/>
        </w:rPr>
        <w:t>37.05%</w:t>
      </w:r>
      <w:r>
        <w:rPr/>
        <w:t>，主要由于公司发行债券及银 行借款规模扩大带来的利息支出增长所致。</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980" w:right="1220"/>
        </w:sectPr>
      </w:pPr>
    </w:p>
    <w:p>
      <w:pPr>
        <w:pStyle w:val="Heading2"/>
        <w:tabs>
          <w:tab w:pos="967" w:val="left" w:leader="none"/>
        </w:tabs>
        <w:spacing w:line="240" w:lineRule="auto" w:before="187"/>
        <w:ind w:left="545" w:right="-14"/>
        <w:jc w:val="left"/>
        <w:rPr>
          <w:b w:val="0"/>
          <w:bCs w:val="0"/>
        </w:rPr>
      </w:pPr>
      <w:r>
        <w:rPr>
          <w:rFonts w:ascii="宋体" w:hAnsi="宋体" w:cs="宋体" w:eastAsia="宋体" w:hint="default"/>
          <w:w w:val="95"/>
        </w:rPr>
        <w:t>5</w:t>
        <w:tab/>
      </w:r>
      <w:r>
        <w:rPr/>
        <w:t>研发支出</w:t>
      </w:r>
      <w:r>
        <w:rPr>
          <w:b w:val="0"/>
          <w:bCs w:val="0"/>
        </w:rPr>
      </w:r>
    </w:p>
    <w:p>
      <w:pPr>
        <w:pStyle w:val="Heading2"/>
        <w:spacing w:line="240" w:lineRule="auto" w:before="58"/>
        <w:ind w:left="545" w:right="-14"/>
        <w:jc w:val="left"/>
        <w:rPr>
          <w:b w:val="0"/>
          <w:bCs w:val="0"/>
        </w:rPr>
      </w:pPr>
      <w:r>
        <w:rPr>
          <w:rFonts w:ascii="宋体" w:hAnsi="宋体" w:cs="宋体" w:eastAsia="宋体" w:hint="default"/>
        </w:rPr>
        <w:t>(1)</w:t>
      </w:r>
      <w:r>
        <w:rPr>
          <w:rFonts w:ascii="宋体" w:hAnsi="宋体" w:cs="宋体" w:eastAsia="宋体" w:hint="default"/>
          <w:spacing w:val="-11"/>
        </w:rPr>
        <w:t> </w:t>
      </w:r>
      <w:r>
        <w:rPr/>
        <w:t>研发支出情况表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5"/>
          <w:szCs w:val="15"/>
        </w:rPr>
      </w:pPr>
    </w:p>
    <w:p>
      <w:pPr>
        <w:tabs>
          <w:tab w:pos="1595" w:val="left" w:leader="none"/>
        </w:tabs>
        <w:spacing w:before="0"/>
        <w:ind w:left="545"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980" w:right="1220"/>
          <w:cols w:num="2" w:equalWidth="0">
            <w:col w:w="2711" w:space="4131"/>
            <w:col w:w="2868"/>
          </w:cols>
        </w:sectPr>
      </w:pPr>
    </w:p>
    <w:p>
      <w:pPr>
        <w:spacing w:line="240" w:lineRule="auto" w:before="9"/>
        <w:rPr>
          <w:rFonts w:ascii="宋体" w:hAnsi="宋体" w:cs="宋体" w:eastAsia="宋体" w:hint="default"/>
          <w:sz w:val="11"/>
          <w:szCs w:val="11"/>
        </w:rPr>
      </w:pPr>
    </w:p>
    <w:tbl>
      <w:tblPr>
        <w:tblW w:w="0" w:type="auto"/>
        <w:jc w:val="left"/>
        <w:tblInd w:w="432" w:type="dxa"/>
        <w:tblLayout w:type="fixed"/>
        <w:tblCellMar>
          <w:top w:w="0" w:type="dxa"/>
          <w:left w:w="0" w:type="dxa"/>
          <w:bottom w:w="0" w:type="dxa"/>
          <w:right w:w="0" w:type="dxa"/>
        </w:tblCellMar>
        <w:tblLook w:val="01E0"/>
      </w:tblPr>
      <w:tblGrid>
        <w:gridCol w:w="3841"/>
        <w:gridCol w:w="5318"/>
      </w:tblGrid>
      <w:tr>
        <w:trPr>
          <w:trHeight w:val="282"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本期费用化研发支出</w:t>
            </w:r>
          </w:p>
        </w:tc>
        <w:tc>
          <w:tcPr>
            <w:tcW w:w="53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33,805,909.76</w:t>
            </w:r>
          </w:p>
        </w:tc>
      </w:tr>
      <w:tr>
        <w:trPr>
          <w:trHeight w:val="282"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本期资本化研发支出</w:t>
            </w:r>
          </w:p>
        </w:tc>
        <w:tc>
          <w:tcPr>
            <w:tcW w:w="53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60,049,568.25</w:t>
            </w:r>
          </w:p>
        </w:tc>
      </w:tr>
      <w:tr>
        <w:trPr>
          <w:trHeight w:val="283"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研发支出合计</w:t>
            </w:r>
          </w:p>
        </w:tc>
        <w:tc>
          <w:tcPr>
            <w:tcW w:w="5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93,855,478.01</w:t>
            </w:r>
          </w:p>
        </w:tc>
      </w:tr>
      <w:tr>
        <w:trPr>
          <w:trHeight w:val="282"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研发支出总额占净资产比例（</w:t>
            </w:r>
            <w:r>
              <w:rPr>
                <w:rFonts w:ascii="宋体" w:hAnsi="宋体" w:cs="宋体" w:eastAsia="宋体" w:hint="default"/>
                <w:sz w:val="21"/>
                <w:szCs w:val="21"/>
              </w:rPr>
              <w:t>%</w:t>
            </w:r>
            <w:r>
              <w:rPr>
                <w:rFonts w:ascii="宋体" w:hAnsi="宋体" w:cs="宋体" w:eastAsia="宋体" w:hint="default"/>
                <w:sz w:val="21"/>
                <w:szCs w:val="21"/>
              </w:rPr>
              <w:t>）</w:t>
            </w:r>
          </w:p>
        </w:tc>
        <w:tc>
          <w:tcPr>
            <w:tcW w:w="53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3.53</w:t>
            </w:r>
          </w:p>
        </w:tc>
      </w:tr>
      <w:tr>
        <w:trPr>
          <w:trHeight w:val="284"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3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2.19</w:t>
            </w:r>
          </w:p>
        </w:tc>
      </w:tr>
    </w:tbl>
    <w:p>
      <w:pPr>
        <w:pStyle w:val="Heading2"/>
        <w:spacing w:line="240" w:lineRule="auto" w:before="21"/>
        <w:ind w:left="545" w:right="81"/>
        <w:jc w:val="left"/>
        <w:rPr>
          <w:b w:val="0"/>
          <w:bCs w:val="0"/>
        </w:rPr>
      </w:pPr>
      <w:r>
        <w:rPr>
          <w:rFonts w:ascii="宋体" w:hAnsi="宋体" w:cs="宋体" w:eastAsia="宋体" w:hint="default"/>
        </w:rPr>
        <w:t>(2)</w:t>
      </w:r>
      <w:r>
        <w:rPr>
          <w:rFonts w:ascii="宋体" w:hAnsi="宋体" w:cs="宋体" w:eastAsia="宋体" w:hint="default"/>
          <w:spacing w:val="-4"/>
        </w:rPr>
        <w:t> </w:t>
      </w:r>
      <w:r>
        <w:rPr/>
        <w:t>情况说明</w:t>
      </w:r>
      <w:r>
        <w:rPr>
          <w:b w:val="0"/>
          <w:bCs w:val="0"/>
        </w:rPr>
      </w:r>
    </w:p>
    <w:p>
      <w:pPr>
        <w:pStyle w:val="BodyText"/>
        <w:spacing w:line="312" w:lineRule="exact" w:before="116"/>
        <w:ind w:left="965" w:right="81"/>
        <w:jc w:val="left"/>
      </w:pPr>
      <w:r>
        <w:rPr/>
        <w:t>开发支出年初余额为</w:t>
      </w:r>
      <w:r>
        <w:rPr>
          <w:spacing w:val="-58"/>
        </w:rPr>
        <w:t> </w:t>
      </w:r>
      <w:r>
        <w:rPr>
          <w:rFonts w:ascii="宋体" w:hAnsi="宋体" w:cs="宋体" w:eastAsia="宋体" w:hint="default"/>
        </w:rPr>
        <w:t>6,782.73</w:t>
      </w:r>
      <w:r>
        <w:rPr>
          <w:rFonts w:ascii="宋体" w:hAnsi="宋体" w:cs="宋体" w:eastAsia="宋体" w:hint="default"/>
          <w:spacing w:val="-58"/>
        </w:rPr>
        <w:t> </w:t>
      </w:r>
      <w:r>
        <w:rPr>
          <w:spacing w:val="-6"/>
        </w:rPr>
        <w:t>万元，本年发生</w:t>
      </w:r>
      <w:r>
        <w:rPr>
          <w:spacing w:val="-58"/>
        </w:rPr>
        <w:t> </w:t>
      </w:r>
      <w:r>
        <w:rPr>
          <w:rFonts w:ascii="宋体" w:hAnsi="宋体" w:cs="宋体" w:eastAsia="宋体" w:hint="default"/>
        </w:rPr>
        <w:t>9,385.55</w:t>
      </w:r>
      <w:r>
        <w:rPr>
          <w:rFonts w:ascii="宋体" w:hAnsi="宋体" w:cs="宋体" w:eastAsia="宋体" w:hint="default"/>
          <w:spacing w:val="-58"/>
        </w:rPr>
        <w:t> </w:t>
      </w:r>
      <w:r>
        <w:rPr>
          <w:spacing w:val="-8"/>
        </w:rPr>
        <w:t>万元，其中：计入当期损</w:t>
      </w:r>
    </w:p>
    <w:p>
      <w:pPr>
        <w:pStyle w:val="BodyText"/>
        <w:spacing w:line="312" w:lineRule="exact"/>
        <w:ind w:left="545" w:right="81"/>
        <w:jc w:val="left"/>
      </w:pPr>
      <w:r>
        <w:rPr/>
        <w:t>益</w:t>
      </w:r>
      <w:r>
        <w:rPr>
          <w:spacing w:val="-60"/>
        </w:rPr>
        <w:t> </w:t>
      </w:r>
      <w:r>
        <w:rPr>
          <w:rFonts w:ascii="宋体" w:hAnsi="宋体" w:cs="宋体" w:eastAsia="宋体" w:hint="default"/>
        </w:rPr>
        <w:t>3,380.59</w:t>
      </w:r>
      <w:r>
        <w:rPr>
          <w:rFonts w:ascii="宋体" w:hAnsi="宋体" w:cs="宋体" w:eastAsia="宋体" w:hint="default"/>
          <w:spacing w:val="-60"/>
        </w:rPr>
        <w:t> </w:t>
      </w:r>
      <w:r>
        <w:rPr/>
        <w:t>万元、确认为无形资产</w:t>
      </w:r>
      <w:r>
        <w:rPr>
          <w:spacing w:val="-60"/>
        </w:rPr>
        <w:t> </w:t>
      </w:r>
      <w:r>
        <w:rPr>
          <w:rFonts w:ascii="宋体" w:hAnsi="宋体" w:cs="宋体" w:eastAsia="宋体" w:hint="default"/>
        </w:rPr>
        <w:t>6,675.82</w:t>
      </w:r>
      <w:r>
        <w:rPr>
          <w:rFonts w:ascii="宋体" w:hAnsi="宋体" w:cs="宋体" w:eastAsia="宋体" w:hint="default"/>
          <w:spacing w:val="-60"/>
        </w:rPr>
        <w:t> </w:t>
      </w:r>
      <w:r>
        <w:rPr/>
        <w:t>万元，年末余额为</w:t>
      </w:r>
      <w:r>
        <w:rPr>
          <w:spacing w:val="-60"/>
        </w:rPr>
        <w:t> </w:t>
      </w:r>
      <w:r>
        <w:rPr>
          <w:rFonts w:ascii="宋体" w:hAnsi="宋体" w:cs="宋体" w:eastAsia="宋体" w:hint="default"/>
        </w:rPr>
        <w:t>6,111.87</w:t>
      </w:r>
      <w:r>
        <w:rPr>
          <w:rFonts w:ascii="宋体" w:hAnsi="宋体" w:cs="宋体" w:eastAsia="宋体" w:hint="default"/>
          <w:spacing w:val="-60"/>
        </w:rPr>
        <w:t> </w:t>
      </w:r>
      <w:r>
        <w:rPr/>
        <w:t>万元。</w:t>
      </w:r>
    </w:p>
    <w:p>
      <w:pPr>
        <w:spacing w:line="240" w:lineRule="auto" w:before="0"/>
        <w:rPr>
          <w:rFonts w:ascii="宋体" w:hAnsi="宋体" w:cs="宋体" w:eastAsia="宋体" w:hint="default"/>
          <w:sz w:val="20"/>
          <w:szCs w:val="20"/>
        </w:rPr>
      </w:pPr>
    </w:p>
    <w:p>
      <w:pPr>
        <w:pStyle w:val="Heading2"/>
        <w:tabs>
          <w:tab w:pos="965" w:val="left" w:leader="none"/>
        </w:tabs>
        <w:spacing w:line="240" w:lineRule="auto" w:before="188"/>
        <w:ind w:left="545" w:right="81"/>
        <w:jc w:val="left"/>
        <w:rPr>
          <w:b w:val="0"/>
          <w:bCs w:val="0"/>
        </w:rPr>
      </w:pPr>
      <w:r>
        <w:rPr>
          <w:rFonts w:ascii="宋体" w:hAnsi="宋体" w:cs="宋体" w:eastAsia="宋体" w:hint="default"/>
          <w:w w:val="95"/>
        </w:rPr>
        <w:t>6</w:t>
        <w:tab/>
      </w:r>
      <w:r>
        <w:rPr/>
        <w:t>现金流</w:t>
      </w:r>
      <w:r>
        <w:rPr>
          <w:b w:val="0"/>
          <w:bCs w:val="0"/>
        </w:rPr>
      </w:r>
    </w:p>
    <w:p>
      <w:pPr>
        <w:pStyle w:val="BodyText"/>
        <w:spacing w:line="240" w:lineRule="auto" w:before="116"/>
        <w:ind w:left="0" w:right="574"/>
        <w:jc w:val="right"/>
      </w:pPr>
      <w:r>
        <w:rPr/>
        <w:t>单位：元</w:t>
      </w:r>
    </w:p>
    <w:p>
      <w:pPr>
        <w:spacing w:line="240" w:lineRule="auto" w:before="12"/>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3688"/>
        <w:gridCol w:w="1842"/>
        <w:gridCol w:w="1985"/>
        <w:gridCol w:w="1559"/>
      </w:tblGrid>
      <w:tr>
        <w:trPr>
          <w:trHeight w:val="283" w:hRule="exact"/>
        </w:trPr>
        <w:tc>
          <w:tcPr>
            <w:tcW w:w="3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0"/>
              <w:jc w:val="right"/>
              <w:rPr>
                <w:rFonts w:ascii="宋体" w:hAnsi="宋体" w:cs="宋体" w:eastAsia="宋体" w:hint="default"/>
                <w:sz w:val="21"/>
                <w:szCs w:val="21"/>
              </w:rPr>
            </w:pPr>
            <w:r>
              <w:rPr>
                <w:rFonts w:ascii="宋体" w:hAnsi="宋体" w:cs="宋体" w:eastAsia="宋体" w:hint="default"/>
                <w:spacing w:val="-1"/>
                <w:sz w:val="21"/>
                <w:szCs w:val="21"/>
              </w:rPr>
              <w:t>变动比例（</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r>
      <w:tr>
        <w:trPr>
          <w:trHeight w:val="282" w:hRule="exact"/>
        </w:trPr>
        <w:tc>
          <w:tcPr>
            <w:tcW w:w="3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经营活动产生的现金流量净额（元）</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276,488,016.32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323,936,080.37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-14.65</w:t>
            </w:r>
          </w:p>
        </w:tc>
      </w:tr>
      <w:tr>
        <w:trPr>
          <w:trHeight w:val="282" w:hRule="exact"/>
        </w:trPr>
        <w:tc>
          <w:tcPr>
            <w:tcW w:w="3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投资活动产生的现金流量净额（元）</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jc w:val="left"/>
              <w:rPr>
                <w:rFonts w:ascii="宋体" w:hAnsi="宋体" w:cs="宋体" w:eastAsia="宋体" w:hint="default"/>
                <w:sz w:val="21"/>
                <w:szCs w:val="21"/>
              </w:rPr>
            </w:pPr>
            <w:r>
              <w:rPr>
                <w:rFonts w:ascii="宋体"/>
                <w:sz w:val="21"/>
              </w:rPr>
              <w:t>-487,670,567.74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-686,872,720.07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29.00</w:t>
            </w:r>
          </w:p>
        </w:tc>
      </w:tr>
      <w:tr>
        <w:trPr>
          <w:trHeight w:val="283" w:hRule="exact"/>
        </w:trPr>
        <w:tc>
          <w:tcPr>
            <w:tcW w:w="3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筹资活动产生的现金流量净额（元）</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592,252,323.52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960,566,418.57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-38.34</w:t>
            </w:r>
          </w:p>
        </w:tc>
      </w:tr>
    </w:tbl>
    <w:p>
      <w:pPr>
        <w:pStyle w:val="BodyText"/>
        <w:spacing w:line="312" w:lineRule="exact" w:before="81"/>
        <w:ind w:left="885" w:right="80"/>
        <w:jc w:val="center"/>
      </w:pPr>
      <w:r>
        <w:rPr>
          <w:rFonts w:ascii="宋体" w:hAnsi="宋体" w:cs="宋体" w:eastAsia="宋体" w:hint="default"/>
        </w:rPr>
        <w:t>2014</w:t>
      </w:r>
      <w:r>
        <w:rPr>
          <w:rFonts w:ascii="宋体" w:hAnsi="宋体" w:cs="宋体" w:eastAsia="宋体" w:hint="default"/>
          <w:spacing w:val="-60"/>
        </w:rPr>
        <w:t> </w:t>
      </w:r>
      <w:r>
        <w:rPr/>
        <w:t>年公司现金净流量为</w:t>
      </w:r>
      <w:r>
        <w:rPr>
          <w:spacing w:val="-60"/>
        </w:rPr>
        <w:t> </w:t>
      </w:r>
      <w:r>
        <w:rPr>
          <w:rFonts w:ascii="宋体" w:hAnsi="宋体" w:cs="宋体" w:eastAsia="宋体" w:hint="default"/>
        </w:rPr>
        <w:t>38,143.60</w:t>
      </w:r>
      <w:r>
        <w:rPr>
          <w:rFonts w:ascii="宋体" w:hAnsi="宋体" w:cs="宋体" w:eastAsia="宋体" w:hint="default"/>
          <w:spacing w:val="-60"/>
        </w:rPr>
        <w:t> </w:t>
      </w:r>
      <w:r>
        <w:rPr/>
        <w:t>万元</w:t>
      </w:r>
      <w:r>
        <w:rPr>
          <w:spacing w:val="-120"/>
        </w:rPr>
        <w:t>，</w:t>
      </w:r>
      <w:r>
        <w:rPr/>
        <w:t>同比大幅减少</w:t>
      </w:r>
      <w:r>
        <w:rPr>
          <w:spacing w:val="-60"/>
        </w:rPr>
        <w:t> </w:t>
      </w:r>
      <w:r>
        <w:rPr>
          <w:rFonts w:ascii="宋体" w:hAnsi="宋体" w:cs="宋体" w:eastAsia="宋体" w:hint="default"/>
        </w:rPr>
        <w:t>21,138.08</w:t>
      </w:r>
      <w:r>
        <w:rPr>
          <w:rFonts w:ascii="宋体" w:hAnsi="宋体" w:cs="宋体" w:eastAsia="宋体" w:hint="default"/>
          <w:spacing w:val="-60"/>
        </w:rPr>
        <w:t> </w:t>
      </w:r>
      <w:r>
        <w:rPr/>
        <w:t>万元</w:t>
      </w:r>
      <w:r>
        <w:rPr>
          <w:spacing w:val="-120"/>
        </w:rPr>
        <w:t>。</w:t>
      </w:r>
      <w:r>
        <w:rPr/>
        <w:t>其中，</w:t>
      </w:r>
    </w:p>
    <w:p>
      <w:pPr>
        <w:pStyle w:val="BodyText"/>
        <w:spacing w:line="237" w:lineRule="auto" w:before="1"/>
        <w:ind w:left="545" w:right="278"/>
        <w:jc w:val="left"/>
      </w:pPr>
      <w:r>
        <w:rPr/>
        <w:t>经营活动现金净流量为</w:t>
      </w:r>
      <w:r>
        <w:rPr>
          <w:spacing w:val="-60"/>
        </w:rPr>
        <w:t> </w:t>
      </w:r>
      <w:r>
        <w:rPr>
          <w:rFonts w:ascii="宋体" w:hAnsi="宋体" w:cs="宋体" w:eastAsia="宋体" w:hint="default"/>
        </w:rPr>
        <w:t>27,648.80</w:t>
      </w:r>
      <w:r>
        <w:rPr>
          <w:rFonts w:ascii="宋体" w:hAnsi="宋体" w:cs="宋体" w:eastAsia="宋体" w:hint="default"/>
          <w:spacing w:val="-60"/>
        </w:rPr>
        <w:t> </w:t>
      </w:r>
      <w:r>
        <w:rPr/>
        <w:t>万元</w:t>
      </w:r>
      <w:r>
        <w:rPr>
          <w:rFonts w:ascii="宋体" w:hAnsi="宋体" w:cs="宋体" w:eastAsia="宋体" w:hint="default"/>
        </w:rPr>
        <w:t>,</w:t>
      </w:r>
      <w:r>
        <w:rPr/>
        <w:t>同比下降</w:t>
      </w:r>
      <w:r>
        <w:rPr>
          <w:spacing w:val="-60"/>
        </w:rPr>
        <w:t> </w:t>
      </w:r>
      <w:r>
        <w:rPr>
          <w:rFonts w:ascii="宋体" w:hAnsi="宋体" w:cs="宋体" w:eastAsia="宋体" w:hint="default"/>
        </w:rPr>
        <w:t>4,744.81</w:t>
      </w:r>
      <w:r>
        <w:rPr>
          <w:rFonts w:ascii="宋体" w:hAnsi="宋体" w:cs="宋体" w:eastAsia="宋体" w:hint="default"/>
          <w:spacing w:val="-60"/>
        </w:rPr>
        <w:t> </w:t>
      </w:r>
      <w:r>
        <w:rPr/>
        <w:t>万元；投资活动现金净流 量为</w:t>
      </w:r>
      <w:r>
        <w:rPr>
          <w:rFonts w:ascii="宋体" w:hAnsi="宋体" w:cs="宋体" w:eastAsia="宋体" w:hint="default"/>
        </w:rPr>
        <w:t>-48,767.06</w:t>
      </w:r>
      <w:r>
        <w:rPr>
          <w:rFonts w:ascii="宋体" w:hAnsi="宋体" w:cs="宋体" w:eastAsia="宋体" w:hint="default"/>
          <w:spacing w:val="-60"/>
        </w:rPr>
        <w:t> </w:t>
      </w:r>
      <w:r>
        <w:rPr/>
        <w:t>万元</w:t>
      </w:r>
      <w:r>
        <w:rPr>
          <w:rFonts w:ascii="宋体" w:hAnsi="宋体" w:cs="宋体" w:eastAsia="宋体" w:hint="default"/>
        </w:rPr>
        <w:t>,</w:t>
      </w:r>
      <w:r>
        <w:rPr/>
        <w:t>同比大幅上升</w:t>
      </w:r>
      <w:r>
        <w:rPr>
          <w:spacing w:val="-60"/>
        </w:rPr>
        <w:t> </w:t>
      </w:r>
      <w:r>
        <w:rPr>
          <w:rFonts w:ascii="宋体" w:hAnsi="宋体" w:cs="宋体" w:eastAsia="宋体" w:hint="default"/>
        </w:rPr>
        <w:t>19,920.21</w:t>
      </w:r>
      <w:r>
        <w:rPr>
          <w:rFonts w:ascii="宋体" w:hAnsi="宋体" w:cs="宋体" w:eastAsia="宋体" w:hint="default"/>
          <w:spacing w:val="-60"/>
        </w:rPr>
        <w:t> </w:t>
      </w:r>
      <w:r>
        <w:rPr/>
        <w:t>万元，筹资活动现金净流量为 </w:t>
      </w:r>
      <w:r>
        <w:rPr>
          <w:rFonts w:ascii="宋体" w:hAnsi="宋体" w:cs="宋体" w:eastAsia="宋体" w:hint="default"/>
        </w:rPr>
        <w:t>59,225.23</w:t>
      </w:r>
      <w:r>
        <w:rPr>
          <w:rFonts w:ascii="宋体" w:hAnsi="宋体" w:cs="宋体" w:eastAsia="宋体" w:hint="default"/>
          <w:spacing w:val="-60"/>
        </w:rPr>
        <w:t> </w:t>
      </w:r>
      <w:r>
        <w:rPr/>
        <w:t>万元</w:t>
      </w:r>
      <w:r>
        <w:rPr>
          <w:rFonts w:ascii="宋体" w:hAnsi="宋体" w:cs="宋体" w:eastAsia="宋体" w:hint="default"/>
        </w:rPr>
        <w:t>,</w:t>
      </w:r>
      <w:r>
        <w:rPr/>
        <w:t>同比大幅减少</w:t>
      </w:r>
      <w:r>
        <w:rPr>
          <w:spacing w:val="-60"/>
        </w:rPr>
        <w:t> </w:t>
      </w:r>
      <w:r>
        <w:rPr>
          <w:rFonts w:ascii="宋体" w:hAnsi="宋体" w:cs="宋体" w:eastAsia="宋体" w:hint="default"/>
        </w:rPr>
        <w:t>36,831.41</w:t>
      </w:r>
      <w:r>
        <w:rPr>
          <w:rFonts w:ascii="宋体" w:hAnsi="宋体" w:cs="宋体" w:eastAsia="宋体" w:hint="default"/>
          <w:spacing w:val="-60"/>
        </w:rPr>
        <w:t> </w:t>
      </w:r>
      <w:r>
        <w:rPr/>
        <w:t>万元。</w:t>
      </w:r>
    </w:p>
    <w:p>
      <w:pPr>
        <w:pStyle w:val="BodyText"/>
        <w:spacing w:line="313" w:lineRule="exact" w:before="117"/>
        <w:ind w:left="885" w:right="199"/>
        <w:jc w:val="center"/>
      </w:pPr>
      <w:r>
        <w:rPr>
          <w:rFonts w:ascii="宋体" w:hAnsi="宋体" w:cs="宋体" w:eastAsia="宋体" w:hint="default"/>
        </w:rPr>
        <w:t>2014</w:t>
      </w:r>
      <w:r>
        <w:rPr>
          <w:rFonts w:ascii="宋体" w:hAnsi="宋体" w:cs="宋体" w:eastAsia="宋体" w:hint="default"/>
          <w:spacing w:val="-60"/>
        </w:rPr>
        <w:t> </w:t>
      </w:r>
      <w:r>
        <w:rPr/>
        <w:t>年公司经营活动净现金流为</w:t>
      </w:r>
      <w:r>
        <w:rPr>
          <w:spacing w:val="-60"/>
        </w:rPr>
        <w:t> </w:t>
      </w:r>
      <w:r>
        <w:rPr>
          <w:rFonts w:ascii="宋体" w:hAnsi="宋体" w:cs="宋体" w:eastAsia="宋体" w:hint="default"/>
        </w:rPr>
        <w:t>27,648.80</w:t>
      </w:r>
      <w:r>
        <w:rPr>
          <w:rFonts w:ascii="宋体" w:hAnsi="宋体" w:cs="宋体" w:eastAsia="宋体" w:hint="default"/>
          <w:spacing w:val="-60"/>
        </w:rPr>
        <w:t> </w:t>
      </w:r>
      <w:r>
        <w:rPr/>
        <w:t>万元</w:t>
      </w:r>
      <w:r>
        <w:rPr>
          <w:rFonts w:ascii="宋体" w:hAnsi="宋体" w:cs="宋体" w:eastAsia="宋体" w:hint="default"/>
        </w:rPr>
        <w:t>,</w:t>
      </w:r>
      <w:r>
        <w:rPr/>
        <w:t>同比下降</w:t>
      </w:r>
      <w:r>
        <w:rPr>
          <w:spacing w:val="-60"/>
        </w:rPr>
        <w:t> </w:t>
      </w:r>
      <w:r>
        <w:rPr>
          <w:rFonts w:ascii="宋体" w:hAnsi="宋体" w:cs="宋体" w:eastAsia="宋体" w:hint="default"/>
        </w:rPr>
        <w:t>4,744.81</w:t>
      </w:r>
      <w:r>
        <w:rPr>
          <w:rFonts w:ascii="宋体" w:hAnsi="宋体" w:cs="宋体" w:eastAsia="宋体" w:hint="default"/>
          <w:spacing w:val="-60"/>
        </w:rPr>
        <w:t> </w:t>
      </w:r>
      <w:r>
        <w:rPr/>
        <w:t>万元</w:t>
      </w:r>
      <w:r>
        <w:rPr>
          <w:spacing w:val="-119"/>
        </w:rPr>
        <w:t>，</w:t>
      </w:r>
      <w:r>
        <w:rPr/>
        <w:t>经营活</w:t>
      </w:r>
    </w:p>
    <w:p>
      <w:pPr>
        <w:pStyle w:val="BodyText"/>
        <w:spacing w:line="310" w:lineRule="exact" w:before="31"/>
        <w:ind w:left="545" w:right="97"/>
        <w:jc w:val="left"/>
      </w:pPr>
      <w:r>
        <w:rPr/>
        <w:t>动现金流下降主要是由于</w:t>
      </w:r>
      <w:r>
        <w:rPr>
          <w:spacing w:val="-38"/>
        </w:rPr>
        <w:t> </w:t>
      </w:r>
      <w:r>
        <w:rPr>
          <w:rFonts w:ascii="宋体" w:hAnsi="宋体" w:cs="宋体" w:eastAsia="宋体" w:hint="default"/>
        </w:rPr>
        <w:t>2014</w:t>
      </w:r>
      <w:r>
        <w:rPr>
          <w:rFonts w:ascii="宋体" w:hAnsi="宋体" w:cs="宋体" w:eastAsia="宋体" w:hint="default"/>
          <w:spacing w:val="-38"/>
        </w:rPr>
        <w:t> </w:t>
      </w:r>
      <w:r>
        <w:rPr/>
        <w:t>年仍是公司转型和新业务布局年，新业务资源投入大，</w:t>
      </w:r>
      <w:r>
        <w:rPr>
          <w:spacing w:val="-116"/>
        </w:rPr>
        <w:t> </w:t>
      </w:r>
      <w:r>
        <w:rPr>
          <w:spacing w:val="-116"/>
        </w:rPr>
      </w:r>
      <w:r>
        <w:rPr/>
        <w:t>尚无法抵补传统业务下降的业绩影响。投资活动现金净流量上升的主要原因由于公司</w:t>
      </w:r>
    </w:p>
    <w:p>
      <w:pPr>
        <w:spacing w:after="0" w:line="310" w:lineRule="exact"/>
        <w:jc w:val="left"/>
        <w:sectPr>
          <w:type w:val="continuous"/>
          <w:pgSz w:w="11910" w:h="16840"/>
          <w:pgMar w:top="1080" w:bottom="1380" w:left="980" w:right="1220"/>
        </w:sectPr>
      </w:pPr>
    </w:p>
    <w:p>
      <w:pPr>
        <w:pStyle w:val="BodyText"/>
        <w:spacing w:line="312" w:lineRule="exact" w:before="144"/>
        <w:ind w:left="145" w:right="261"/>
        <w:jc w:val="left"/>
      </w:pPr>
      <w:r>
        <w:rPr/>
        <w:t>购置固定资产投资、无形资产以及投资支付现金减少所致；筹资活动现金净流量大幅 下降，主要由于去年同期发行债券导致</w:t>
      </w:r>
      <w:r>
        <w:rPr>
          <w:spacing w:val="-60"/>
        </w:rPr>
        <w:t> </w:t>
      </w:r>
      <w:r>
        <w:rPr>
          <w:rFonts w:ascii="宋体" w:hAnsi="宋体" w:cs="宋体" w:eastAsia="宋体" w:hint="default"/>
        </w:rPr>
        <w:t>2013</w:t>
      </w:r>
      <w:r>
        <w:rPr>
          <w:rFonts w:ascii="宋体" w:hAnsi="宋体" w:cs="宋体" w:eastAsia="宋体" w:hint="default"/>
          <w:spacing w:val="-60"/>
        </w:rPr>
        <w:t> </w:t>
      </w:r>
      <w:r>
        <w:rPr/>
        <w:t>年筹资活动现金流入大幅增加。</w:t>
      </w:r>
    </w:p>
    <w:p>
      <w:pPr>
        <w:spacing w:line="240" w:lineRule="auto" w:before="2"/>
        <w:rPr>
          <w:rFonts w:ascii="宋体" w:hAnsi="宋体" w:cs="宋体" w:eastAsia="宋体" w:hint="default"/>
          <w:sz w:val="32"/>
          <w:szCs w:val="32"/>
        </w:rPr>
      </w:pPr>
    </w:p>
    <w:p>
      <w:pPr>
        <w:pStyle w:val="Heading2"/>
        <w:spacing w:line="240" w:lineRule="auto" w:before="0"/>
        <w:ind w:left="145" w:right="0"/>
        <w:jc w:val="both"/>
        <w:rPr>
          <w:b w:val="0"/>
          <w:bCs w:val="0"/>
        </w:rPr>
      </w:pPr>
      <w:r>
        <w:rPr>
          <w:rFonts w:ascii="宋体" w:hAnsi="宋体" w:cs="宋体" w:eastAsia="宋体" w:hint="default"/>
        </w:rPr>
        <w:t>7 </w:t>
      </w:r>
      <w:r>
        <w:rPr>
          <w:rFonts w:ascii="宋体" w:hAnsi="宋体" w:cs="宋体" w:eastAsia="宋体" w:hint="default"/>
          <w:spacing w:val="57"/>
        </w:rPr>
        <w:t> </w:t>
      </w:r>
      <w:r>
        <w:rPr/>
        <w:t>其他</w:t>
      </w:r>
      <w:r>
        <w:rPr>
          <w:b w:val="0"/>
          <w:bCs w:val="0"/>
        </w:rPr>
      </w:r>
    </w:p>
    <w:p>
      <w:pPr>
        <w:pStyle w:val="Heading2"/>
        <w:spacing w:line="283" w:lineRule="auto" w:before="57"/>
        <w:ind w:left="145" w:right="3436"/>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79"/>
        </w:rPr>
        <w:t> </w:t>
      </w:r>
      <w:r>
        <w:rPr/>
        <w:t>公司利润构成或利润来源发生重大变动的详细说明</w:t>
      </w:r>
      <w:r>
        <w:rPr>
          <w:w w:val="99"/>
        </w:rPr>
        <w:t> </w:t>
      </w:r>
      <w:r>
        <w:rPr>
          <w:rFonts w:ascii="宋体" w:hAnsi="宋体" w:cs="宋体" w:eastAsia="宋体" w:hint="default"/>
          <w:b w:val="0"/>
          <w:bCs w:val="0"/>
        </w:rPr>
        <w:t>无</w:t>
      </w:r>
    </w:p>
    <w:p>
      <w:pPr>
        <w:spacing w:line="240" w:lineRule="auto" w:before="11"/>
        <w:rPr>
          <w:rFonts w:ascii="宋体" w:hAnsi="宋体" w:cs="宋体" w:eastAsia="宋体" w:hint="default"/>
          <w:sz w:val="24"/>
          <w:szCs w:val="24"/>
        </w:rPr>
      </w:pPr>
    </w:p>
    <w:p>
      <w:pPr>
        <w:pStyle w:val="Heading2"/>
        <w:spacing w:line="240" w:lineRule="auto" w:before="0"/>
        <w:ind w:left="145" w:right="0"/>
        <w:jc w:val="both"/>
        <w:rPr>
          <w:b w:val="0"/>
          <w:bCs w:val="0"/>
        </w:rPr>
      </w:pPr>
      <w:r>
        <w:rPr>
          <w:rFonts w:ascii="宋体" w:hAnsi="宋体" w:cs="宋体" w:eastAsia="宋体" w:hint="default"/>
        </w:rPr>
        <w:t>(2)</w:t>
      </w:r>
      <w:r>
        <w:rPr>
          <w:rFonts w:ascii="宋体" w:hAnsi="宋体" w:cs="宋体" w:eastAsia="宋体" w:hint="default"/>
          <w:spacing w:val="-88"/>
        </w:rPr>
        <w:t> </w:t>
      </w:r>
      <w:r>
        <w:rPr/>
        <w:t>公司前期各类融资、重大资产重组事项实施进度分析说明</w:t>
      </w:r>
      <w:r>
        <w:rPr>
          <w:b w:val="0"/>
          <w:bCs w:val="0"/>
        </w:rPr>
      </w:r>
    </w:p>
    <w:p>
      <w:pPr>
        <w:pStyle w:val="BodyText"/>
        <w:spacing w:line="312" w:lineRule="exact" w:before="116"/>
        <w:ind w:left="625" w:right="81"/>
        <w:jc w:val="left"/>
      </w:pPr>
      <w:r>
        <w:rPr/>
        <w:t>公司于</w:t>
      </w:r>
      <w:r>
        <w:rPr>
          <w:spacing w:val="-68"/>
        </w:rPr>
        <w:t> </w:t>
      </w:r>
      <w:r>
        <w:rPr>
          <w:rFonts w:ascii="宋体" w:hAnsi="宋体" w:cs="宋体" w:eastAsia="宋体" w:hint="default"/>
        </w:rPr>
        <w:t>2013</w:t>
      </w:r>
      <w:r>
        <w:rPr>
          <w:rFonts w:ascii="宋体" w:hAnsi="宋体" w:cs="宋体" w:eastAsia="宋体" w:hint="default"/>
          <w:spacing w:val="-68"/>
        </w:rPr>
        <w:t> </w:t>
      </w:r>
      <w:r>
        <w:rPr/>
        <w:t>年</w:t>
      </w:r>
      <w:r>
        <w:rPr>
          <w:spacing w:val="-68"/>
        </w:rPr>
        <w:t> </w:t>
      </w:r>
      <w:r>
        <w:rPr>
          <w:rFonts w:ascii="宋体" w:hAnsi="宋体" w:cs="宋体" w:eastAsia="宋体" w:hint="default"/>
        </w:rPr>
        <w:t>3</w:t>
      </w:r>
      <w:r>
        <w:rPr>
          <w:rFonts w:ascii="宋体" w:hAnsi="宋体" w:cs="宋体" w:eastAsia="宋体" w:hint="default"/>
          <w:spacing w:val="-68"/>
        </w:rPr>
        <w:t> </w:t>
      </w:r>
      <w:r>
        <w:rPr/>
        <w:t>月</w:t>
      </w:r>
      <w:r>
        <w:rPr>
          <w:spacing w:val="-68"/>
        </w:rPr>
        <w:t> </w:t>
      </w:r>
      <w:r>
        <w:rPr>
          <w:rFonts w:ascii="宋体" w:hAnsi="宋体" w:cs="宋体" w:eastAsia="宋体" w:hint="default"/>
        </w:rPr>
        <w:t>13</w:t>
      </w:r>
      <w:r>
        <w:rPr>
          <w:rFonts w:ascii="宋体" w:hAnsi="宋体" w:cs="宋体" w:eastAsia="宋体" w:hint="default"/>
          <w:spacing w:val="-69"/>
        </w:rPr>
        <w:t> </w:t>
      </w:r>
      <w:r>
        <w:rPr/>
        <w:t>日发行的“北京华胜天成科技股份有限公司</w:t>
      </w:r>
      <w:r>
        <w:rPr>
          <w:spacing w:val="-67"/>
        </w:rPr>
        <w:t> </w:t>
      </w:r>
      <w:r>
        <w:rPr>
          <w:rFonts w:ascii="宋体" w:hAnsi="宋体" w:cs="宋体" w:eastAsia="宋体" w:hint="default"/>
        </w:rPr>
        <w:t>2012</w:t>
      </w:r>
      <w:r>
        <w:rPr>
          <w:rFonts w:ascii="宋体" w:hAnsi="宋体" w:cs="宋体" w:eastAsia="宋体" w:hint="default"/>
          <w:spacing w:val="-68"/>
        </w:rPr>
        <w:t> </w:t>
      </w:r>
      <w:r>
        <w:rPr/>
        <w:t>年公司债</w:t>
      </w:r>
    </w:p>
    <w:p>
      <w:pPr>
        <w:pStyle w:val="BodyText"/>
        <w:spacing w:line="311" w:lineRule="exact"/>
        <w:ind w:left="145" w:right="0"/>
        <w:jc w:val="both"/>
        <w:rPr>
          <w:rFonts w:ascii="宋体" w:hAnsi="宋体" w:cs="宋体" w:eastAsia="宋体" w:hint="default"/>
        </w:rPr>
      </w:pPr>
      <w:r>
        <w:rPr/>
        <w:t>券（第一期）”，于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13</w:t>
      </w:r>
      <w:r>
        <w:rPr>
          <w:rFonts w:ascii="宋体" w:hAnsi="宋体" w:cs="宋体" w:eastAsia="宋体" w:hint="default"/>
          <w:spacing w:val="-60"/>
        </w:rPr>
        <w:t> </w:t>
      </w:r>
      <w:r>
        <w:rPr/>
        <w:t>日开始支付</w:t>
      </w:r>
      <w:r>
        <w:rPr>
          <w:spacing w:val="-60"/>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13</w:t>
      </w:r>
      <w:r>
        <w:rPr>
          <w:rFonts w:ascii="宋体" w:hAnsi="宋体" w:cs="宋体" w:eastAsia="宋体" w:hint="default"/>
          <w:spacing w:val="-60"/>
        </w:rPr>
        <w:t> </w:t>
      </w:r>
      <w:r>
        <w:rPr/>
        <w:t>日至</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12</w:t>
      </w:r>
    </w:p>
    <w:p>
      <w:pPr>
        <w:pStyle w:val="BodyText"/>
        <w:spacing w:line="310" w:lineRule="exact" w:before="31"/>
        <w:ind w:left="145" w:right="217"/>
        <w:jc w:val="both"/>
        <w:rPr>
          <w:rFonts w:ascii="宋体" w:hAnsi="宋体" w:cs="宋体" w:eastAsia="宋体" w:hint="default"/>
        </w:rPr>
      </w:pPr>
      <w:r>
        <w:rPr/>
        <w:t>日期间的利息。按照《北京华胜天成科技股份有限公司</w:t>
      </w:r>
      <w:r>
        <w:rPr>
          <w:spacing w:val="-74"/>
        </w:rPr>
        <w:t> </w:t>
      </w:r>
      <w:r>
        <w:rPr>
          <w:rFonts w:ascii="宋体" w:hAnsi="宋体" w:cs="宋体" w:eastAsia="宋体" w:hint="default"/>
        </w:rPr>
        <w:t>2012</w:t>
      </w:r>
      <w:r>
        <w:rPr>
          <w:rFonts w:ascii="宋体" w:hAnsi="宋体" w:cs="宋体" w:eastAsia="宋体" w:hint="default"/>
          <w:spacing w:val="-74"/>
        </w:rPr>
        <w:t> </w:t>
      </w:r>
      <w:r>
        <w:rPr>
          <w:spacing w:val="-3"/>
        </w:rPr>
        <w:t>年公司债券（第一期）票</w:t>
      </w:r>
      <w:r>
        <w:rPr/>
        <w:t> 面利率公告》（临</w:t>
      </w:r>
      <w:r>
        <w:rPr>
          <w:spacing w:val="-60"/>
        </w:rPr>
        <w:t> </w:t>
      </w:r>
      <w:r>
        <w:rPr>
          <w:rFonts w:ascii="宋体" w:hAnsi="宋体" w:cs="宋体" w:eastAsia="宋体" w:hint="default"/>
        </w:rPr>
        <w:t>2013-002</w:t>
      </w:r>
      <w:r>
        <w:rPr/>
        <w:t>），本期债券票面利率为</w:t>
      </w:r>
      <w:r>
        <w:rPr>
          <w:spacing w:val="-60"/>
        </w:rPr>
        <w:t> </w:t>
      </w:r>
      <w:r>
        <w:rPr>
          <w:rFonts w:ascii="宋体" w:hAnsi="宋体" w:cs="宋体" w:eastAsia="宋体" w:hint="default"/>
        </w:rPr>
        <w:t>5.80%</w:t>
      </w:r>
      <w:r>
        <w:rPr/>
        <w:t>。每手“12</w:t>
      </w:r>
      <w:r>
        <w:rPr>
          <w:spacing w:val="-60"/>
        </w:rPr>
        <w:t> </w:t>
      </w:r>
      <w:r>
        <w:rPr/>
        <w:t>华天成”面值</w:t>
      </w:r>
      <w:r>
        <w:rPr/>
        <w:t> </w:t>
      </w:r>
      <w:r>
        <w:rPr>
          <w:rFonts w:ascii="宋体" w:hAnsi="宋体" w:cs="宋体" w:eastAsia="宋体" w:hint="default"/>
        </w:rPr>
        <w:t>1000</w:t>
      </w:r>
      <w:r>
        <w:rPr>
          <w:rFonts w:ascii="宋体" w:hAnsi="宋体" w:cs="宋体" w:eastAsia="宋体" w:hint="default"/>
          <w:spacing w:val="-60"/>
        </w:rPr>
        <w:t> </w:t>
      </w:r>
      <w:r>
        <w:rPr/>
        <w:t>元，派发利息为人民币</w:t>
      </w:r>
      <w:r>
        <w:rPr>
          <w:spacing w:val="-60"/>
        </w:rPr>
        <w:t> </w:t>
      </w:r>
      <w:r>
        <w:rPr>
          <w:rFonts w:ascii="宋体" w:hAnsi="宋体" w:cs="宋体" w:eastAsia="宋体" w:hint="default"/>
        </w:rPr>
        <w:t>58.00</w:t>
      </w:r>
      <w:r>
        <w:rPr>
          <w:rFonts w:ascii="宋体" w:hAnsi="宋体" w:cs="宋体" w:eastAsia="宋体" w:hint="default"/>
          <w:spacing w:val="-60"/>
        </w:rPr>
        <w:t> </w:t>
      </w:r>
      <w:r>
        <w:rPr/>
        <w:t>元（含税），扣税后个人债券持有人实际每</w:t>
      </w:r>
      <w:r>
        <w:rPr>
          <w:spacing w:val="-60"/>
        </w:rPr>
        <w:t> </w:t>
      </w:r>
      <w:r>
        <w:rPr>
          <w:rFonts w:ascii="宋体" w:hAnsi="宋体" w:cs="宋体" w:eastAsia="宋体" w:hint="default"/>
        </w:rPr>
        <w:t>1000</w:t>
      </w:r>
    </w:p>
    <w:p>
      <w:pPr>
        <w:pStyle w:val="BodyText"/>
        <w:spacing w:line="310" w:lineRule="exact" w:before="2"/>
        <w:ind w:left="145" w:right="202"/>
        <w:jc w:val="left"/>
      </w:pPr>
      <w:r>
        <w:rPr/>
        <w:t>元派发利息为人民币</w:t>
      </w:r>
      <w:r>
        <w:rPr>
          <w:spacing w:val="-83"/>
        </w:rPr>
        <w:t> </w:t>
      </w:r>
      <w:r>
        <w:rPr>
          <w:rFonts w:ascii="宋体" w:hAnsi="宋体" w:cs="宋体" w:eastAsia="宋体" w:hint="default"/>
        </w:rPr>
        <w:t>46.40</w:t>
      </w:r>
      <w:r>
        <w:rPr>
          <w:rFonts w:ascii="宋体" w:hAnsi="宋体" w:cs="宋体" w:eastAsia="宋体" w:hint="default"/>
          <w:spacing w:val="-83"/>
        </w:rPr>
        <w:t> </w:t>
      </w:r>
      <w:r>
        <w:rPr>
          <w:spacing w:val="-10"/>
        </w:rPr>
        <w:t>元。债券发行总额：人民币</w:t>
      </w:r>
      <w:r>
        <w:rPr>
          <w:spacing w:val="-83"/>
        </w:rPr>
        <w:t> </w:t>
      </w:r>
      <w:r>
        <w:rPr>
          <w:rFonts w:ascii="宋体" w:hAnsi="宋体" w:cs="宋体" w:eastAsia="宋体" w:hint="default"/>
        </w:rPr>
        <w:t>9</w:t>
      </w:r>
      <w:r>
        <w:rPr>
          <w:rFonts w:ascii="宋体" w:hAnsi="宋体" w:cs="宋体" w:eastAsia="宋体" w:hint="default"/>
          <w:spacing w:val="-83"/>
        </w:rPr>
        <w:t> </w:t>
      </w:r>
      <w:r>
        <w:rPr>
          <w:spacing w:val="-14"/>
        </w:rPr>
        <w:t>亿元。支付票面利息</w:t>
      </w:r>
      <w:r>
        <w:rPr>
          <w:spacing w:val="-83"/>
        </w:rPr>
        <w:t> </w:t>
      </w:r>
      <w:r>
        <w:rPr>
          <w:rFonts w:ascii="宋体" w:hAnsi="宋体" w:cs="宋体" w:eastAsia="宋体" w:hint="default"/>
        </w:rPr>
        <w:t>5,220.261 </w:t>
      </w:r>
      <w:r>
        <w:rPr/>
        <w:t>万元。</w:t>
      </w:r>
    </w:p>
    <w:p>
      <w:pPr>
        <w:pStyle w:val="BodyText"/>
        <w:spacing w:line="237" w:lineRule="auto" w:before="92"/>
        <w:ind w:left="145" w:right="201" w:firstLine="480"/>
        <w:jc w:val="left"/>
      </w:pPr>
      <w:r>
        <w:rPr>
          <w:rFonts w:ascii="宋体" w:hAnsi="宋体" w:cs="宋体" w:eastAsia="宋体" w:hint="default"/>
        </w:rPr>
        <w:t>2014</w:t>
      </w:r>
      <w:r>
        <w:rPr>
          <w:rFonts w:ascii="宋体" w:hAnsi="宋体" w:cs="宋体" w:eastAsia="宋体" w:hint="default"/>
          <w:spacing w:val="-56"/>
        </w:rPr>
        <w:t> </w:t>
      </w:r>
      <w:r>
        <w:rPr/>
        <w:t>年</w:t>
      </w:r>
      <w:r>
        <w:rPr>
          <w:spacing w:val="-56"/>
        </w:rPr>
        <w:t> </w:t>
      </w:r>
      <w:r>
        <w:rPr>
          <w:rFonts w:ascii="宋体" w:hAnsi="宋体" w:cs="宋体" w:eastAsia="宋体" w:hint="default"/>
        </w:rPr>
        <w:t>5</w:t>
      </w:r>
      <w:r>
        <w:rPr>
          <w:rFonts w:ascii="宋体" w:hAnsi="宋体" w:cs="宋体" w:eastAsia="宋体" w:hint="default"/>
          <w:spacing w:val="-56"/>
        </w:rPr>
        <w:t> </w:t>
      </w:r>
      <w:r>
        <w:rPr>
          <w:spacing w:val="-6"/>
        </w:rPr>
        <w:t>月，中诚信证券评估有限公司对本公司发行的“</w:t>
      </w:r>
      <w:r>
        <w:rPr>
          <w:rFonts w:ascii="宋体" w:hAnsi="宋体" w:cs="宋体" w:eastAsia="宋体" w:hint="default"/>
          <w:spacing w:val="-6"/>
        </w:rPr>
        <w:t>12</w:t>
      </w:r>
      <w:r>
        <w:rPr>
          <w:rFonts w:ascii="宋体" w:hAnsi="宋体" w:cs="宋体" w:eastAsia="宋体" w:hint="default"/>
          <w:spacing w:val="-56"/>
        </w:rPr>
        <w:t> </w:t>
      </w:r>
      <w:r>
        <w:rPr>
          <w:spacing w:val="-6"/>
        </w:rPr>
        <w:t>华天成”公司债券</w:t>
      </w:r>
      <w:r>
        <w:rPr>
          <w:rFonts w:ascii="宋体" w:hAnsi="宋体" w:cs="宋体" w:eastAsia="宋体" w:hint="default"/>
          <w:spacing w:val="-6"/>
        </w:rPr>
        <w:t>(</w:t>
      </w:r>
      <w:r>
        <w:rPr>
          <w:spacing w:val="-6"/>
        </w:rPr>
        <w:t>债</w:t>
      </w:r>
      <w:r>
        <w:rPr/>
        <w:t> 券代码</w:t>
      </w:r>
      <w:r>
        <w:rPr>
          <w:rFonts w:ascii="宋体" w:hAnsi="宋体" w:cs="宋体" w:eastAsia="宋体" w:hint="default"/>
        </w:rPr>
        <w:t>:122197)</w:t>
      </w:r>
      <w:r>
        <w:rPr/>
        <w:t>的信用状况进行了跟踪分析。中诚信证券评估有限公司在对本公司 </w:t>
      </w:r>
      <w:r>
        <w:rPr>
          <w:rFonts w:ascii="宋体" w:hAnsi="宋体" w:cs="宋体" w:eastAsia="宋体" w:hint="default"/>
        </w:rPr>
        <w:t>2013</w:t>
      </w:r>
      <w:r>
        <w:rPr>
          <w:rFonts w:ascii="宋体" w:hAnsi="宋体" w:cs="宋体" w:eastAsia="宋体" w:hint="default"/>
          <w:spacing w:val="-60"/>
        </w:rPr>
        <w:t> </w:t>
      </w:r>
      <w:r>
        <w:rPr/>
        <w:t>年经营状况及相关行业进行综合分析与评估的基础上，出具了中诚信信评委函字 </w:t>
      </w:r>
      <w:r>
        <w:rPr>
          <w:rFonts w:ascii="宋体" w:hAnsi="宋体" w:cs="宋体" w:eastAsia="宋体" w:hint="default"/>
        </w:rPr>
        <w:t>[2014]</w:t>
      </w:r>
      <w:r>
        <w:rPr/>
        <w:t>跟踪</w:t>
      </w:r>
      <w:r>
        <w:rPr>
          <w:spacing w:val="-60"/>
        </w:rPr>
        <w:t> </w:t>
      </w:r>
      <w:r>
        <w:rPr>
          <w:rFonts w:ascii="宋体" w:hAnsi="宋体" w:cs="宋体" w:eastAsia="宋体" w:hint="default"/>
        </w:rPr>
        <w:t>064</w:t>
      </w:r>
      <w:r>
        <w:rPr>
          <w:rFonts w:ascii="宋体" w:hAnsi="宋体" w:cs="宋体" w:eastAsia="宋体" w:hint="default"/>
          <w:spacing w:val="-60"/>
        </w:rPr>
        <w:t> </w:t>
      </w:r>
      <w:r>
        <w:rPr>
          <w:spacing w:val="-5"/>
        </w:rPr>
        <w:t>号信用等级跟踪评级报告，维持本公司主体信用等级为</w:t>
      </w:r>
      <w:r>
        <w:rPr>
          <w:spacing w:val="-60"/>
        </w:rPr>
        <w:t> </w:t>
      </w:r>
      <w:r>
        <w:rPr>
          <w:rFonts w:ascii="宋体" w:hAnsi="宋体" w:cs="宋体" w:eastAsia="宋体" w:hint="default"/>
        </w:rPr>
        <w:t>AA,</w:t>
      </w:r>
      <w:r>
        <w:rPr/>
        <w:t>评级展望为 稳定</w:t>
      </w:r>
      <w:r>
        <w:rPr>
          <w:rFonts w:ascii="宋体" w:hAnsi="宋体" w:cs="宋体" w:eastAsia="宋体" w:hint="default"/>
        </w:rPr>
        <w:t>;</w:t>
      </w:r>
      <w:r>
        <w:rPr/>
        <w:t>维持本公司本期债券信用等级为</w:t>
      </w:r>
      <w:r>
        <w:rPr>
          <w:spacing w:val="-60"/>
        </w:rPr>
        <w:t> </w:t>
      </w:r>
      <w:r>
        <w:rPr>
          <w:rFonts w:ascii="宋体" w:hAnsi="宋体" w:cs="宋体" w:eastAsia="宋体" w:hint="default"/>
        </w:rPr>
        <w:t>AA</w:t>
      </w:r>
      <w:r>
        <w:rPr/>
        <w:t>。</w:t>
      </w:r>
    </w:p>
    <w:p>
      <w:pPr>
        <w:pStyle w:val="BodyText"/>
        <w:spacing w:line="240" w:lineRule="auto" w:before="117"/>
        <w:ind w:left="625" w:right="261"/>
        <w:jc w:val="left"/>
      </w:pPr>
      <w:r>
        <w:rPr/>
        <w:t>公司本报告期公司不存在影响债券本息偿付的情况。</w:t>
      </w:r>
    </w:p>
    <w:p>
      <w:pPr>
        <w:spacing w:line="240" w:lineRule="auto" w:before="0"/>
        <w:rPr>
          <w:rFonts w:ascii="宋体" w:hAnsi="宋体" w:cs="宋体" w:eastAsia="宋体" w:hint="default"/>
          <w:sz w:val="24"/>
          <w:szCs w:val="24"/>
        </w:rPr>
      </w:pPr>
    </w:p>
    <w:p>
      <w:pPr>
        <w:pStyle w:val="Heading2"/>
        <w:spacing w:line="240" w:lineRule="auto" w:before="174"/>
        <w:ind w:left="145" w:right="0"/>
        <w:jc w:val="both"/>
        <w:rPr>
          <w:b w:val="0"/>
          <w:bCs w:val="0"/>
        </w:rPr>
      </w:pPr>
      <w:r>
        <w:rPr>
          <w:rFonts w:ascii="宋体" w:hAnsi="宋体" w:cs="宋体" w:eastAsia="宋体" w:hint="default"/>
        </w:rPr>
        <w:t>(3)</w:t>
      </w:r>
      <w:r>
        <w:rPr>
          <w:rFonts w:ascii="宋体" w:hAnsi="宋体" w:cs="宋体" w:eastAsia="宋体" w:hint="default"/>
          <w:spacing w:val="-76"/>
        </w:rPr>
        <w:t> </w:t>
      </w:r>
      <w:r>
        <w:rPr/>
        <w:t>发展战略和经营计划进展说明</w:t>
      </w:r>
      <w:r>
        <w:rPr>
          <w:b w:val="0"/>
          <w:bCs w:val="0"/>
        </w:rPr>
      </w:r>
    </w:p>
    <w:p>
      <w:pPr>
        <w:pStyle w:val="BodyText"/>
        <w:spacing w:line="310" w:lineRule="exact" w:before="150"/>
        <w:ind w:left="145" w:right="81" w:firstLine="420"/>
        <w:jc w:val="left"/>
      </w:pPr>
      <w:r>
        <w:rPr/>
        <w:t>报告期内，公司注资</w:t>
      </w:r>
      <w:r>
        <w:rPr>
          <w:spacing w:val="-60"/>
        </w:rPr>
        <w:t> </w:t>
      </w:r>
      <w:r>
        <w:rPr>
          <w:rFonts w:ascii="宋体" w:hAnsi="宋体" w:cs="宋体" w:eastAsia="宋体" w:hint="default"/>
        </w:rPr>
        <w:t>5</w:t>
      </w:r>
      <w:r>
        <w:rPr>
          <w:rFonts w:ascii="宋体" w:hAnsi="宋体" w:cs="宋体" w:eastAsia="宋体" w:hint="default"/>
          <w:spacing w:val="-60"/>
        </w:rPr>
        <w:t> </w:t>
      </w:r>
      <w:r>
        <w:rPr/>
        <w:t>亿元成立了北京华胜信泰科技有限公司。通过与</w:t>
      </w:r>
      <w:r>
        <w:rPr>
          <w:spacing w:val="-60"/>
        </w:rPr>
        <w:t> </w:t>
      </w:r>
      <w:r>
        <w:rPr>
          <w:rFonts w:ascii="宋体" w:hAnsi="宋体" w:cs="宋体" w:eastAsia="宋体" w:hint="default"/>
        </w:rPr>
        <w:t>IBM</w:t>
      </w:r>
      <w:r>
        <w:rPr>
          <w:rFonts w:ascii="宋体" w:hAnsi="宋体" w:cs="宋体" w:eastAsia="宋体" w:hint="default"/>
          <w:spacing w:val="-60"/>
        </w:rPr>
        <w:t> </w:t>
      </w:r>
      <w:r>
        <w:rPr/>
        <w:t>合作， 消化吸收高性能服务器、操作系统、数据库和中间件软件等核心信息技术，快速构建 自主可控的核心信息技术产业体系和生态环境。</w:t>
      </w:r>
    </w:p>
    <w:p>
      <w:pPr>
        <w:pStyle w:val="BodyText"/>
        <w:spacing w:line="237" w:lineRule="auto" w:before="92"/>
        <w:ind w:left="145" w:right="215" w:firstLine="480"/>
        <w:jc w:val="right"/>
      </w:pPr>
      <w:r>
        <w:rPr/>
        <w:t>报告期内，公司继续突破自主软件产品的应用市场。子公司兰德、摩卡的信息管 理软件，广泛服务于政府、电信、金融、电力等重要行业客户，</w:t>
      </w:r>
      <w:r>
        <w:rPr>
          <w:rFonts w:ascii="宋体" w:hAnsi="宋体" w:cs="宋体" w:eastAsia="宋体" w:hint="default"/>
        </w:rPr>
        <w:t>2014</w:t>
      </w:r>
      <w:r>
        <w:rPr>
          <w:rFonts w:ascii="宋体" w:hAnsi="宋体" w:cs="宋体" w:eastAsia="宋体" w:hint="default"/>
          <w:spacing w:val="-60"/>
        </w:rPr>
        <w:t> </w:t>
      </w:r>
      <w:r>
        <w:rPr/>
        <w:t>年在运营商</w:t>
      </w:r>
      <w:r>
        <w:rPr>
          <w:spacing w:val="-60"/>
        </w:rPr>
        <w:t> </w:t>
      </w:r>
      <w:r>
        <w:rPr>
          <w:rFonts w:ascii="宋体" w:hAnsi="宋体" w:cs="宋体" w:eastAsia="宋体" w:hint="default"/>
        </w:rPr>
        <w:t>MSS </w:t>
      </w:r>
      <w:r>
        <w:rPr>
          <w:spacing w:val="-9"/>
        </w:rPr>
        <w:t>域市场份额第一。公司 </w:t>
      </w:r>
      <w:r>
        <w:rPr>
          <w:rFonts w:ascii="宋体" w:hAnsi="宋体" w:cs="宋体" w:eastAsia="宋体" w:hint="default"/>
        </w:rPr>
        <w:t>BSM</w:t>
      </w:r>
      <w:r>
        <w:rPr>
          <w:rFonts w:ascii="宋体" w:hAnsi="宋体" w:cs="宋体" w:eastAsia="宋体" w:hint="default"/>
          <w:spacing w:val="-97"/>
        </w:rPr>
        <w:t> </w:t>
      </w:r>
      <w:r>
        <w:rPr>
          <w:spacing w:val="-4"/>
        </w:rPr>
        <w:t>业务发展良好，是国内第一家通过国产化适配运维的软件，</w:t>
      </w:r>
      <w:r>
        <w:rPr/>
        <w:t> 为客户提供涵盖国际主流和国产自主基础平台的运维管理解决方案：为北京电视台提 供了全</w:t>
      </w:r>
      <w:r>
        <w:rPr>
          <w:spacing w:val="-90"/>
        </w:rPr>
        <w:t> </w:t>
      </w:r>
      <w:r>
        <w:rPr>
          <w:rFonts w:ascii="宋体" w:hAnsi="宋体" w:cs="宋体" w:eastAsia="宋体" w:hint="default"/>
        </w:rPr>
        <w:t>IT</w:t>
      </w:r>
      <w:r>
        <w:rPr>
          <w:rFonts w:ascii="宋体" w:hAnsi="宋体" w:cs="宋体" w:eastAsia="宋体" w:hint="default"/>
          <w:spacing w:val="-90"/>
        </w:rPr>
        <w:t> </w:t>
      </w:r>
      <w:r>
        <w:rPr/>
        <w:t>系统的运维监控管理，为浙江移动、贵州移动、阳光保险、北京航空航天大 </w:t>
      </w:r>
      <w:r>
        <w:rPr>
          <w:spacing w:val="-3"/>
        </w:rPr>
        <w:t>学、新疆平安城市、河南电视台等提供</w:t>
      </w:r>
      <w:r>
        <w:rPr>
          <w:spacing w:val="-65"/>
        </w:rPr>
        <w:t> </w:t>
      </w:r>
      <w:r>
        <w:rPr>
          <w:rFonts w:ascii="宋体" w:hAnsi="宋体" w:cs="宋体" w:eastAsia="宋体" w:hint="default"/>
        </w:rPr>
        <w:t>IT</w:t>
      </w:r>
      <w:r>
        <w:rPr>
          <w:rFonts w:ascii="宋体" w:hAnsi="宋体" w:cs="宋体" w:eastAsia="宋体" w:hint="default"/>
          <w:spacing w:val="-65"/>
        </w:rPr>
        <w:t> </w:t>
      </w:r>
      <w:r>
        <w:rPr/>
        <w:t>运维管理。子公司石竹的数据挖掘和治理产 品，除应用于电信行业，更进入了政府、银行、烟草等重要市场，为客户提供了强大 的主数据、元数据、数据质量等管理能力，产品及服务在国内同业中处于领先水平。</w:t>
      </w:r>
    </w:p>
    <w:p>
      <w:pPr>
        <w:pStyle w:val="BodyText"/>
        <w:spacing w:line="237" w:lineRule="auto" w:before="121"/>
        <w:ind w:left="145" w:right="217" w:firstLine="480"/>
        <w:jc w:val="both"/>
      </w:pPr>
      <w:r>
        <w:rPr/>
        <w:t>报告期内，公司继续纵向发展智慧城市业务。公司已经与武汉、银川等城市建立 </w:t>
      </w:r>
      <w:r>
        <w:rPr>
          <w:spacing w:val="-2"/>
        </w:rPr>
        <w:t>了良好的智慧城市项目合作，加强在智慧</w:t>
      </w:r>
      <w:r>
        <w:rPr>
          <w:rFonts w:ascii="宋体" w:hAnsi="宋体" w:cs="宋体" w:eastAsia="宋体" w:hint="default"/>
          <w:spacing w:val="-2"/>
        </w:rPr>
        <w:t>+</w:t>
      </w:r>
      <w:r>
        <w:rPr>
          <w:spacing w:val="-2"/>
        </w:rPr>
        <w:t>行业领域的技术实践，如：国家旅游局大数</w:t>
      </w:r>
      <w:r>
        <w:rPr>
          <w:spacing w:val="-104"/>
        </w:rPr>
        <w:t> </w:t>
      </w:r>
      <w:r>
        <w:rPr>
          <w:spacing w:val="-104"/>
        </w:rPr>
      </w:r>
      <w:r>
        <w:rPr/>
        <w:t>据项目、北京市旅游局和银川市旅游局智慧旅游项目，为公司在智慧旅游行业树立了 标杆。</w:t>
      </w:r>
    </w:p>
    <w:p>
      <w:pPr>
        <w:spacing w:after="0" w:line="237" w:lineRule="auto"/>
        <w:jc w:val="both"/>
        <w:sectPr>
          <w:pgSz w:w="11910" w:h="16840"/>
          <w:pgMar w:header="882" w:footer="1194" w:top="1120" w:bottom="1380" w:left="1380" w:right="1220"/>
        </w:sectPr>
      </w:pPr>
    </w:p>
    <w:p>
      <w:pPr>
        <w:pStyle w:val="BodyText"/>
        <w:spacing w:line="237" w:lineRule="auto" w:before="116"/>
        <w:ind w:left="545" w:right="738" w:firstLine="480"/>
        <w:jc w:val="right"/>
      </w:pPr>
      <w:r>
        <w:rPr/>
        <w:t>报告期内，公司持续深化大数据业务。公司利用技术和资源优势帮助国家旅游局 建设了全国旅游大数据监控平台，公司的大数据实验室经过两年的建设成为“北京市 大数据工程重点实验室”，在大数据方面的技术积累为公司下一步的发展打下基础。</w:t>
      </w:r>
    </w:p>
    <w:p>
      <w:pPr>
        <w:pStyle w:val="BodyText"/>
        <w:spacing w:line="240" w:lineRule="auto" w:before="117"/>
        <w:ind w:left="545" w:right="721" w:firstLine="480"/>
        <w:jc w:val="left"/>
      </w:pPr>
      <w:r>
        <w:rPr/>
        <w:t>报告期内，公司大力发展供应链金融业务，将金融结算手段通过信息化与交易流 程结合，围绕核心企业的上下游提供快捷的信息和融资服务。</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4" w:top="1120" w:bottom="1380" w:left="980" w:right="760"/>
        </w:sectPr>
      </w:pPr>
    </w:p>
    <w:p>
      <w:pPr>
        <w:pStyle w:val="Heading2"/>
        <w:spacing w:line="259" w:lineRule="auto"/>
        <w:ind w:left="545" w:right="-12"/>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3"/>
        </w:rPr>
        <w:t> </w:t>
      </w:r>
      <w:r>
        <w:rPr/>
        <w:t>行业、产品或地区经营情况分析</w:t>
      </w:r>
      <w:r>
        <w:rPr>
          <w:w w:val="99"/>
        </w:rPr>
        <w:t> </w:t>
      </w:r>
      <w:r>
        <w:rPr>
          <w:rFonts w:ascii="宋体" w:hAnsi="宋体" w:cs="宋体" w:eastAsia="宋体" w:hint="default"/>
        </w:rPr>
        <w:t>1</w:t>
      </w:r>
      <w:r>
        <w:rPr/>
        <w:t>、</w:t>
      </w:r>
      <w:r>
        <w:rPr>
          <w:spacing w:val="-66"/>
        </w:rPr>
        <w:t> </w:t>
      </w:r>
      <w:r>
        <w:rPr/>
        <w:t>主营业务分行业、分产品情况</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9"/>
        <w:rPr>
          <w:rFonts w:ascii="宋体" w:hAnsi="宋体" w:cs="宋体" w:eastAsia="宋体" w:hint="default"/>
          <w:b/>
          <w:bCs/>
          <w:sz w:val="34"/>
          <w:szCs w:val="34"/>
        </w:rPr>
      </w:pPr>
    </w:p>
    <w:p>
      <w:pPr>
        <w:pStyle w:val="BodyText"/>
        <w:tabs>
          <w:tab w:pos="1625" w:val="left" w:leader="none"/>
        </w:tabs>
        <w:spacing w:line="240" w:lineRule="auto"/>
        <w:ind w:left="545"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080" w:bottom="1380" w:left="980" w:right="760"/>
          <w:cols w:num="2" w:equalWidth="0">
            <w:col w:w="4339" w:space="2203"/>
            <w:col w:w="3628"/>
          </w:cols>
        </w:sectPr>
      </w:pPr>
    </w:p>
    <w:p>
      <w:pPr>
        <w:spacing w:line="240" w:lineRule="auto" w:before="11"/>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678"/>
        <w:gridCol w:w="1726"/>
        <w:gridCol w:w="1703"/>
        <w:gridCol w:w="848"/>
        <w:gridCol w:w="1076"/>
        <w:gridCol w:w="1076"/>
        <w:gridCol w:w="1818"/>
      </w:tblGrid>
      <w:tr>
        <w:trPr>
          <w:trHeight w:val="282" w:hRule="exact"/>
        </w:trPr>
        <w:tc>
          <w:tcPr>
            <w:tcW w:w="992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710"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分产品</w:t>
            </w:r>
            <w:r>
              <w:rPr>
                <w:rFonts w:ascii="宋体" w:hAnsi="宋体" w:cs="宋体" w:eastAsia="宋体" w:hint="default"/>
                <w:sz w:val="18"/>
                <w:szCs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95"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47" w:right="0"/>
              <w:jc w:val="left"/>
              <w:rPr>
                <w:rFonts w:ascii="宋体" w:hAnsi="宋体" w:cs="宋体" w:eastAsia="宋体" w:hint="default"/>
                <w:sz w:val="18"/>
                <w:szCs w:val="18"/>
              </w:rPr>
            </w:pPr>
            <w:r>
              <w:rPr>
                <w:rFonts w:ascii="宋体" w:hAnsi="宋体" w:cs="宋体" w:eastAsia="宋体" w:hint="default"/>
                <w:b/>
                <w:bCs/>
                <w:sz w:val="18"/>
                <w:szCs w:val="18"/>
              </w:rPr>
              <w:t>毛利率</w:t>
            </w:r>
            <w:r>
              <w:rPr>
                <w:rFonts w:ascii="宋体" w:hAnsi="宋体" w:cs="宋体" w:eastAsia="宋体" w:hint="default"/>
                <w:sz w:val="18"/>
                <w:szCs w:val="18"/>
              </w:rPr>
            </w:r>
          </w:p>
          <w:p>
            <w:pPr>
              <w:pStyle w:val="TableParagraph"/>
              <w:spacing w:line="234" w:lineRule="exact"/>
              <w:ind w:left="193"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p>
            <w:pPr>
              <w:pStyle w:val="TableParagraph"/>
              <w:spacing w:line="232" w:lineRule="exact" w:before="24"/>
              <w:ind w:left="215" w:right="171" w:hanging="46"/>
              <w:jc w:val="left"/>
              <w:rPr>
                <w:rFonts w:ascii="宋体" w:hAnsi="宋体" w:cs="宋体" w:eastAsia="宋体" w:hint="default"/>
                <w:sz w:val="18"/>
                <w:szCs w:val="18"/>
              </w:rPr>
            </w:pPr>
            <w:r>
              <w:rPr>
                <w:rFonts w:ascii="宋体" w:hAnsi="宋体" w:cs="宋体" w:eastAsia="宋体" w:hint="default"/>
                <w:b/>
                <w:bCs/>
                <w:sz w:val="18"/>
                <w:szCs w:val="18"/>
              </w:rPr>
              <w:t>比上年增</w:t>
            </w:r>
            <w:r>
              <w:rPr>
                <w:rFonts w:ascii="宋体" w:hAnsi="宋体" w:cs="宋体" w:eastAsia="宋体" w:hint="default"/>
                <w:b/>
                <w:bCs/>
                <w:w w:val="99"/>
                <w:sz w:val="18"/>
                <w:szCs w:val="18"/>
              </w:rPr>
              <w:t> </w:t>
            </w:r>
            <w:r>
              <w:rPr>
                <w:rFonts w:ascii="宋体" w:hAnsi="宋体" w:cs="宋体" w:eastAsia="宋体" w:hint="default"/>
                <w:b/>
                <w:bCs/>
                <w:sz w:val="18"/>
                <w:szCs w:val="18"/>
              </w:rPr>
              <w:t>减（</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p>
            <w:pPr>
              <w:pStyle w:val="TableParagraph"/>
              <w:spacing w:line="232" w:lineRule="exact" w:before="24"/>
              <w:ind w:left="217" w:right="171" w:hanging="46"/>
              <w:jc w:val="left"/>
              <w:rPr>
                <w:rFonts w:ascii="宋体" w:hAnsi="宋体" w:cs="宋体" w:eastAsia="宋体" w:hint="default"/>
                <w:sz w:val="18"/>
                <w:szCs w:val="18"/>
              </w:rPr>
            </w:pPr>
            <w:r>
              <w:rPr>
                <w:rFonts w:ascii="宋体" w:hAnsi="宋体" w:cs="宋体" w:eastAsia="宋体" w:hint="default"/>
                <w:b/>
                <w:bCs/>
                <w:sz w:val="18"/>
                <w:szCs w:val="18"/>
              </w:rPr>
              <w:t>比上年增</w:t>
            </w:r>
            <w:r>
              <w:rPr>
                <w:rFonts w:ascii="宋体" w:hAnsi="宋体" w:cs="宋体" w:eastAsia="宋体" w:hint="default"/>
                <w:b/>
                <w:bCs/>
                <w:w w:val="99"/>
                <w:sz w:val="18"/>
                <w:szCs w:val="18"/>
              </w:rPr>
              <w:t> </w:t>
            </w:r>
            <w:r>
              <w:rPr>
                <w:rFonts w:ascii="宋体" w:hAnsi="宋体" w:cs="宋体" w:eastAsia="宋体" w:hint="default"/>
                <w:b/>
                <w:bCs/>
                <w:sz w:val="18"/>
                <w:szCs w:val="18"/>
              </w:rPr>
              <w:t>减（</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right="1"/>
              <w:jc w:val="center"/>
              <w:rPr>
                <w:rFonts w:ascii="宋体" w:hAnsi="宋体" w:cs="宋体" w:eastAsia="宋体" w:hint="default"/>
                <w:sz w:val="18"/>
                <w:szCs w:val="18"/>
              </w:rPr>
            </w:pPr>
            <w:r>
              <w:rPr>
                <w:rFonts w:ascii="宋体" w:hAnsi="宋体" w:cs="宋体" w:eastAsia="宋体" w:hint="default"/>
                <w:b/>
                <w:bCs/>
                <w:sz w:val="18"/>
                <w:szCs w:val="18"/>
              </w:rPr>
              <w:t>毛利率比上年增减</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76"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系统产品及系统集</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成服务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2,357,540,829.21</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2,148,731,307.89</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8.86</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-10.11</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-13.14</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3.18</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244"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软件及软件开发</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649,044,818.51</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469,812,342.01</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27.61</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-23.24</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-28.10</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4.88</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244"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专业服务收入</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1,146,379,606.33</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792,878,424.54</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30.84</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-12.44</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-12.85</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0.32</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244"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金融服务类收入</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113,082,268.79</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62,463,990.79</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44.76</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304.64</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470.83</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54"/>
                <w:sz w:val="18"/>
                <w:szCs w:val="18"/>
              </w:rPr>
              <w:t> </w:t>
            </w:r>
            <w:r>
              <w:rPr>
                <w:rFonts w:ascii="宋体" w:hAnsi="宋体" w:cs="宋体" w:eastAsia="宋体" w:hint="default"/>
                <w:sz w:val="18"/>
                <w:szCs w:val="18"/>
              </w:rPr>
              <w:t>16.08</w:t>
            </w:r>
            <w:r>
              <w:rPr>
                <w:rFonts w:ascii="宋体" w:hAnsi="宋体" w:cs="宋体" w:eastAsia="宋体" w:hint="default"/>
                <w:spacing w:val="-54"/>
                <w:sz w:val="18"/>
                <w:szCs w:val="18"/>
              </w:rPr>
              <w:t> </w:t>
            </w:r>
            <w:r>
              <w:rPr>
                <w:rFonts w:ascii="宋体" w:hAnsi="宋体" w:cs="宋体" w:eastAsia="宋体" w:hint="default"/>
                <w:sz w:val="18"/>
                <w:szCs w:val="18"/>
              </w:rPr>
              <w:t>个百分点</w:t>
            </w:r>
          </w:p>
        </w:tc>
      </w:tr>
      <w:tr>
        <w:trPr>
          <w:trHeight w:val="244"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b/>
                <w:w w:val="95"/>
                <w:sz w:val="18"/>
              </w:rPr>
              <w:t>4,266,047,522.84</w:t>
            </w:r>
            <w:r>
              <w:rPr>
                <w:rFonts w:ascii="宋体"/>
                <w:sz w:val="18"/>
              </w:rPr>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b/>
                <w:w w:val="95"/>
                <w:sz w:val="18"/>
              </w:rPr>
              <w:t>3,473,886,065.23</w:t>
            </w:r>
            <w:r>
              <w:rPr>
                <w:rFonts w:ascii="宋体"/>
                <w:sz w:val="18"/>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b/>
                <w:w w:val="95"/>
                <w:sz w:val="18"/>
              </w:rPr>
              <w:t>18.57</w:t>
            </w:r>
            <w:r>
              <w:rPr>
                <w:rFonts w:ascii="宋体"/>
                <w:sz w:val="18"/>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b/>
                <w:w w:val="95"/>
                <w:sz w:val="18"/>
              </w:rPr>
              <w:t>-11.22</w:t>
            </w:r>
            <w:r>
              <w:rPr>
                <w:rFonts w:ascii="宋体"/>
                <w:sz w:val="18"/>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b/>
                <w:w w:val="95"/>
                <w:sz w:val="18"/>
              </w:rPr>
              <w:t>-14.18</w:t>
            </w:r>
            <w:r>
              <w:rPr>
                <w:rFonts w:ascii="宋体"/>
                <w:sz w:val="18"/>
              </w:rPr>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b/>
                <w:bCs/>
                <w:sz w:val="18"/>
                <w:szCs w:val="18"/>
              </w:rPr>
              <w:t>增加</w:t>
            </w:r>
            <w:r>
              <w:rPr>
                <w:rFonts w:ascii="宋体" w:hAnsi="宋体" w:cs="宋体" w:eastAsia="宋体" w:hint="default"/>
                <w:b/>
                <w:bCs/>
                <w:spacing w:val="-47"/>
                <w:sz w:val="18"/>
                <w:szCs w:val="18"/>
              </w:rPr>
              <w:t> </w:t>
            </w:r>
            <w:r>
              <w:rPr>
                <w:rFonts w:ascii="宋体" w:hAnsi="宋体" w:cs="宋体" w:eastAsia="宋体" w:hint="default"/>
                <w:b/>
                <w:bCs/>
                <w:sz w:val="18"/>
                <w:szCs w:val="18"/>
              </w:rPr>
              <w:t>2.81</w:t>
            </w:r>
            <w:r>
              <w:rPr>
                <w:rFonts w:ascii="宋体" w:hAnsi="宋体" w:cs="宋体" w:eastAsia="宋体" w:hint="default"/>
                <w:b/>
                <w:bCs/>
                <w:spacing w:val="-47"/>
                <w:sz w:val="18"/>
                <w:szCs w:val="18"/>
              </w:rPr>
              <w:t> </w:t>
            </w:r>
            <w:r>
              <w:rPr>
                <w:rFonts w:ascii="宋体" w:hAnsi="宋体" w:cs="宋体" w:eastAsia="宋体" w:hint="default"/>
                <w:b/>
                <w:bCs/>
                <w:sz w:val="18"/>
                <w:szCs w:val="18"/>
              </w:rPr>
              <w:t>个百分点</w:t>
            </w:r>
            <w:r>
              <w:rPr>
                <w:rFonts w:ascii="宋体" w:hAnsi="宋体" w:cs="宋体" w:eastAsia="宋体" w:hint="default"/>
                <w:sz w:val="18"/>
                <w:szCs w:val="18"/>
              </w:rPr>
            </w:r>
          </w:p>
        </w:tc>
      </w:tr>
    </w:tbl>
    <w:p>
      <w:pPr>
        <w:spacing w:line="240" w:lineRule="auto" w:before="6"/>
        <w:rPr>
          <w:rFonts w:ascii="宋体" w:hAnsi="宋体" w:cs="宋体" w:eastAsia="宋体" w:hint="default"/>
          <w:sz w:val="18"/>
          <w:szCs w:val="18"/>
        </w:rPr>
      </w:pPr>
    </w:p>
    <w:p>
      <w:pPr>
        <w:spacing w:line="20" w:lineRule="exact"/>
        <w:ind w:left="539" w:right="0" w:firstLine="0"/>
        <w:rPr>
          <w:rFonts w:ascii="宋体" w:hAnsi="宋体" w:cs="宋体" w:eastAsia="宋体" w:hint="default"/>
          <w:sz w:val="2"/>
          <w:szCs w:val="2"/>
        </w:rPr>
      </w:pPr>
      <w:r>
        <w:rPr>
          <w:rFonts w:ascii="宋体" w:hAnsi="宋体" w:cs="宋体" w:eastAsia="宋体" w:hint="default"/>
          <w:sz w:val="2"/>
          <w:szCs w:val="2"/>
        </w:rPr>
        <w:pict>
          <v:group style="width:32.1pt;height:.550pt;mso-position-horizontal-relative:char;mso-position-vertical-relative:line" coordorigin="0,0" coordsize="642,11">
            <v:group style="position:absolute;left:5;top:5;width:631;height:2" coordorigin="5,5" coordsize="631,2">
              <v:shape style="position:absolute;left:5;top:5;width:631;height:2" coordorigin="5,5" coordsize="631,0" path="m5,5l636,5e" filled="false" stroked="true" strokeweight=".53998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080" w:bottom="1380" w:left="980" w:right="760"/>
        </w:sectPr>
      </w:pPr>
    </w:p>
    <w:p>
      <w:pPr>
        <w:pStyle w:val="Heading2"/>
        <w:spacing w:line="240" w:lineRule="auto"/>
        <w:ind w:left="545" w:right="-11"/>
        <w:jc w:val="left"/>
        <w:rPr>
          <w:b w:val="0"/>
          <w:bCs w:val="0"/>
        </w:rPr>
      </w:pPr>
      <w:r>
        <w:rPr>
          <w:rFonts w:ascii="宋体" w:hAnsi="宋体" w:cs="宋体" w:eastAsia="宋体" w:hint="default"/>
        </w:rPr>
        <w:t>2</w:t>
      </w:r>
      <w:r>
        <w:rPr/>
        <w:t>、</w:t>
      </w:r>
      <w:r>
        <w:rPr>
          <w:spacing w:val="-73"/>
        </w:rPr>
        <w:t> </w:t>
      </w:r>
      <w:r>
        <w:rPr/>
        <w:t>主营业务分地区情况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3"/>
        <w:rPr>
          <w:rFonts w:ascii="宋体" w:hAnsi="宋体" w:cs="宋体" w:eastAsia="宋体" w:hint="default"/>
          <w:b/>
          <w:bCs/>
          <w:sz w:val="15"/>
          <w:szCs w:val="15"/>
        </w:rPr>
      </w:pPr>
    </w:p>
    <w:p>
      <w:pPr>
        <w:tabs>
          <w:tab w:pos="1595" w:val="left" w:leader="none"/>
        </w:tabs>
        <w:spacing w:before="0"/>
        <w:ind w:left="545"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980" w:right="760"/>
          <w:cols w:num="2" w:equalWidth="0">
            <w:col w:w="3133" w:space="3500"/>
            <w:col w:w="3537"/>
          </w:cols>
        </w:sectPr>
      </w:pPr>
    </w:p>
    <w:p>
      <w:pPr>
        <w:spacing w:line="240" w:lineRule="auto" w:before="9"/>
        <w:rPr>
          <w:rFonts w:ascii="宋体" w:hAnsi="宋体" w:cs="宋体" w:eastAsia="宋体" w:hint="default"/>
          <w:sz w:val="11"/>
          <w:szCs w:val="11"/>
        </w:rPr>
      </w:pPr>
    </w:p>
    <w:tbl>
      <w:tblPr>
        <w:tblW w:w="0" w:type="auto"/>
        <w:jc w:val="left"/>
        <w:tblInd w:w="432" w:type="dxa"/>
        <w:tblLayout w:type="fixed"/>
        <w:tblCellMar>
          <w:top w:w="0" w:type="dxa"/>
          <w:left w:w="0" w:type="dxa"/>
          <w:bottom w:w="0" w:type="dxa"/>
          <w:right w:w="0" w:type="dxa"/>
        </w:tblCellMar>
        <w:tblLook w:val="01E0"/>
      </w:tblPr>
      <w:tblGrid>
        <w:gridCol w:w="3016"/>
        <w:gridCol w:w="3017"/>
        <w:gridCol w:w="3016"/>
      </w:tblGrid>
      <w:tr>
        <w:trPr>
          <w:trHeight w:val="284"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地区</w:t>
            </w:r>
            <w:r>
              <w:rPr>
                <w:rFonts w:ascii="宋体" w:hAnsi="宋体" w:cs="宋体" w:eastAsia="宋体" w:hint="default"/>
                <w:sz w:val="21"/>
                <w:szCs w:val="21"/>
              </w:rPr>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9" w:right="0"/>
              <w:jc w:val="left"/>
              <w:rPr>
                <w:rFonts w:ascii="宋体" w:hAnsi="宋体" w:cs="宋体" w:eastAsia="宋体" w:hint="default"/>
                <w:sz w:val="21"/>
                <w:szCs w:val="21"/>
              </w:rPr>
            </w:pPr>
            <w:r>
              <w:rPr>
                <w:rFonts w:ascii="宋体" w:hAnsi="宋体" w:cs="宋体" w:eastAsia="宋体" w:hint="default"/>
                <w:b/>
                <w:bCs/>
                <w:sz w:val="21"/>
                <w:szCs w:val="21"/>
              </w:rPr>
              <w:t>营业收入比上年增减（</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北方区</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2,111,564,390.41</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-16.19</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华东区</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251,450,615.36</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44.48</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华南区</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223,163,238.64</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-37.91</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西区</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553,985,821.14</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-1.26</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港澳台及东南亚地区</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1,125,883,457.29</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-5.49</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4"/>
              <w:jc w:val="right"/>
              <w:rPr>
                <w:rFonts w:ascii="宋体" w:hAnsi="宋体" w:cs="宋体" w:eastAsia="宋体" w:hint="default"/>
                <w:sz w:val="21"/>
                <w:szCs w:val="21"/>
              </w:rPr>
            </w:pPr>
            <w:r>
              <w:rPr>
                <w:rFonts w:ascii="宋体"/>
                <w:b/>
                <w:w w:val="95"/>
                <w:sz w:val="21"/>
              </w:rPr>
              <w:t>4,266,047,522.84</w:t>
            </w:r>
            <w:r>
              <w:rPr>
                <w:rFonts w:ascii="宋体"/>
                <w:sz w:val="21"/>
              </w:rPr>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b/>
                <w:w w:val="95"/>
                <w:sz w:val="21"/>
              </w:rPr>
              <w:t>-11.22</w:t>
            </w:r>
            <w:r>
              <w:rPr>
                <w:rFonts w:ascii="宋体"/>
                <w:sz w:val="21"/>
              </w:rPr>
            </w:r>
          </w:p>
        </w:tc>
      </w:tr>
    </w:tbl>
    <w:p>
      <w:pPr>
        <w:spacing w:line="240" w:lineRule="exact" w:before="0"/>
        <w:ind w:left="545" w:right="721" w:firstLine="0"/>
        <w:jc w:val="left"/>
        <w:rPr>
          <w:rFonts w:ascii="宋体" w:hAnsi="宋体" w:cs="宋体" w:eastAsia="宋体" w:hint="default"/>
          <w:sz w:val="21"/>
          <w:szCs w:val="21"/>
        </w:rPr>
      </w:pPr>
      <w:r>
        <w:rPr>
          <w:rFonts w:ascii="宋体" w:hAnsi="宋体" w:cs="宋体" w:eastAsia="宋体" w:hint="default"/>
          <w:sz w:val="21"/>
          <w:szCs w:val="21"/>
        </w:rPr>
        <w:t>主营业务分地区情况的说明</w:t>
      </w:r>
    </w:p>
    <w:p>
      <w:pPr>
        <w:spacing w:line="240" w:lineRule="auto" w:before="12"/>
        <w:rPr>
          <w:rFonts w:ascii="宋体" w:hAnsi="宋体" w:cs="宋体" w:eastAsia="宋体" w:hint="default"/>
          <w:sz w:val="20"/>
          <w:szCs w:val="20"/>
        </w:rPr>
      </w:pPr>
    </w:p>
    <w:p>
      <w:pPr>
        <w:spacing w:line="20" w:lineRule="exact"/>
        <w:ind w:left="539" w:right="0" w:firstLine="0"/>
        <w:rPr>
          <w:rFonts w:ascii="宋体" w:hAnsi="宋体" w:cs="宋体" w:eastAsia="宋体" w:hint="default"/>
          <w:sz w:val="2"/>
          <w:szCs w:val="2"/>
        </w:rPr>
      </w:pPr>
      <w:r>
        <w:rPr>
          <w:rFonts w:ascii="宋体" w:hAnsi="宋体" w:cs="宋体" w:eastAsia="宋体" w:hint="default"/>
          <w:sz w:val="2"/>
          <w:szCs w:val="2"/>
        </w:rPr>
        <w:pict>
          <v:group style="width:32.1pt;height:.550pt;mso-position-horizontal-relative:char;mso-position-vertical-relative:line" coordorigin="0,0" coordsize="642,11">
            <v:group style="position:absolute;left:5;top:5;width:631;height:2" coordorigin="5,5" coordsize="631,2">
              <v:shape style="position:absolute;left:5;top:5;width:631;height:2" coordorigin="5,5" coordsize="631,0" path="m5,5l636,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80" w:bottom="1380" w:left="980" w:right="760"/>
        </w:sectPr>
      </w:pPr>
    </w:p>
    <w:p>
      <w:pPr>
        <w:tabs>
          <w:tab w:pos="965" w:val="left" w:leader="none"/>
        </w:tabs>
        <w:spacing w:line="264" w:lineRule="auto" w:before="35"/>
        <w:ind w:left="545" w:right="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三</w:t>
      </w:r>
      <w:r>
        <w:rPr>
          <w:rFonts w:ascii="Calibri" w:hAnsi="Calibri" w:cs="Calibri" w:eastAsia="Calibri" w:hint="default"/>
          <w:b/>
          <w:bCs/>
          <w:sz w:val="21"/>
          <w:szCs w:val="21"/>
        </w:rPr>
        <w:t>)</w:t>
      </w:r>
      <w:r>
        <w:rPr>
          <w:rFonts w:ascii="Calibri" w:hAnsi="Calibri" w:cs="Calibri" w:eastAsia="Calibri" w:hint="default"/>
          <w:b/>
          <w:bCs/>
          <w:spacing w:val="28"/>
          <w:sz w:val="21"/>
          <w:szCs w:val="21"/>
        </w:rPr>
        <w:t> </w:t>
      </w:r>
      <w:r>
        <w:rPr>
          <w:rFonts w:ascii="宋体" w:hAnsi="宋体" w:cs="宋体" w:eastAsia="宋体" w:hint="default"/>
          <w:b/>
          <w:bCs/>
          <w:sz w:val="21"/>
          <w:szCs w:val="21"/>
        </w:rPr>
        <w:t>资产、负债情况分析</w:t>
      </w:r>
      <w:r>
        <w:rPr>
          <w:rFonts w:ascii="宋体" w:hAnsi="宋体" w:cs="宋体" w:eastAsia="宋体" w:hint="default"/>
          <w:b/>
          <w:bCs/>
          <w:w w:val="99"/>
          <w:sz w:val="21"/>
          <w:szCs w:val="21"/>
        </w:rPr>
        <w:t> </w:t>
      </w:r>
      <w:r>
        <w:rPr>
          <w:rFonts w:ascii="宋体" w:hAnsi="宋体" w:cs="宋体" w:eastAsia="宋体" w:hint="default"/>
          <w:b/>
          <w:bCs/>
          <w:w w:val="95"/>
          <w:sz w:val="21"/>
          <w:szCs w:val="21"/>
        </w:rPr>
        <w:t>1</w:t>
        <w:tab/>
      </w:r>
      <w:r>
        <w:rPr>
          <w:rFonts w:ascii="宋体" w:hAnsi="宋体" w:cs="宋体" w:eastAsia="宋体" w:hint="default"/>
          <w:b/>
          <w:bCs/>
          <w:w w:val="95"/>
          <w:sz w:val="21"/>
          <w:szCs w:val="21"/>
        </w:rPr>
        <w:t>资产负债情况分析表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tabs>
          <w:tab w:pos="1595" w:val="left" w:leader="none"/>
        </w:tabs>
        <w:spacing w:before="175"/>
        <w:ind w:left="545"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w:t>
      </w:r>
      <w:r>
        <w:rPr>
          <w:rFonts w:ascii="宋体" w:hAnsi="宋体" w:cs="宋体" w:eastAsia="宋体" w:hint="default"/>
          <w:sz w:val="21"/>
          <w:szCs w:val="21"/>
        </w:rPr>
        <w:t>:</w:t>
      </w:r>
      <w:r>
        <w:rPr>
          <w:rFonts w:ascii="宋体" w:hAnsi="宋体" w:cs="宋体" w:eastAsia="宋体" w:hint="default"/>
          <w:sz w:val="21"/>
          <w:szCs w:val="21"/>
        </w:rPr>
        <w:t>人民币</w:t>
      </w:r>
    </w:p>
    <w:p>
      <w:pPr>
        <w:spacing w:after="0"/>
        <w:jc w:val="left"/>
        <w:rPr>
          <w:rFonts w:ascii="宋体" w:hAnsi="宋体" w:cs="宋体" w:eastAsia="宋体" w:hint="default"/>
          <w:sz w:val="21"/>
          <w:szCs w:val="21"/>
        </w:rPr>
        <w:sectPr>
          <w:type w:val="continuous"/>
          <w:pgSz w:w="11910" w:h="16840"/>
          <w:pgMar w:top="1080" w:bottom="1380" w:left="980" w:right="760"/>
          <w:cols w:num="2" w:equalWidth="0">
            <w:col w:w="2862" w:space="3876"/>
            <w:col w:w="3432"/>
          </w:cols>
        </w:sectPr>
      </w:pPr>
    </w:p>
    <w:p>
      <w:pPr>
        <w:spacing w:line="240" w:lineRule="auto" w:before="7"/>
        <w:rPr>
          <w:rFonts w:ascii="宋体" w:hAnsi="宋体" w:cs="宋体" w:eastAsia="宋体" w:hint="default"/>
          <w:sz w:val="2"/>
          <w:szCs w:val="2"/>
        </w:rPr>
      </w:pPr>
    </w:p>
    <w:tbl>
      <w:tblPr>
        <w:tblW w:w="0" w:type="auto"/>
        <w:jc w:val="left"/>
        <w:tblInd w:w="432" w:type="dxa"/>
        <w:tblLayout w:type="fixed"/>
        <w:tblCellMar>
          <w:top w:w="0" w:type="dxa"/>
          <w:left w:w="0" w:type="dxa"/>
          <w:bottom w:w="0" w:type="dxa"/>
          <w:right w:w="0" w:type="dxa"/>
        </w:tblCellMar>
        <w:tblLook w:val="01E0"/>
      </w:tblPr>
      <w:tblGrid>
        <w:gridCol w:w="1264"/>
        <w:gridCol w:w="1909"/>
        <w:gridCol w:w="1139"/>
        <w:gridCol w:w="1909"/>
        <w:gridCol w:w="1095"/>
        <w:gridCol w:w="1160"/>
        <w:gridCol w:w="682"/>
      </w:tblGrid>
      <w:tr>
        <w:trPr>
          <w:trHeight w:val="1100"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23"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72" w:lineRule="exact" w:before="26"/>
              <w:ind w:left="144" w:right="143"/>
              <w:jc w:val="center"/>
              <w:rPr>
                <w:rFonts w:ascii="宋体" w:hAnsi="宋体" w:cs="宋体" w:eastAsia="宋体" w:hint="default"/>
                <w:sz w:val="21"/>
                <w:szCs w:val="21"/>
              </w:rPr>
            </w:pPr>
            <w:r>
              <w:rPr>
                <w:rFonts w:ascii="宋体" w:hAnsi="宋体" w:cs="宋体" w:eastAsia="宋体" w:hint="default"/>
                <w:sz w:val="21"/>
                <w:szCs w:val="21"/>
              </w:rPr>
              <w:t>数占总资 产的比例</w:t>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23"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上期期末</w:t>
            </w:r>
          </w:p>
          <w:p>
            <w:pPr>
              <w:pStyle w:val="TableParagraph"/>
              <w:spacing w:line="272" w:lineRule="exact" w:before="26"/>
              <w:ind w:left="122" w:right="120"/>
              <w:jc w:val="center"/>
              <w:rPr>
                <w:rFonts w:ascii="宋体" w:hAnsi="宋体" w:cs="宋体" w:eastAsia="宋体" w:hint="default"/>
                <w:sz w:val="21"/>
                <w:szCs w:val="21"/>
              </w:rPr>
            </w:pPr>
            <w:r>
              <w:rPr>
                <w:rFonts w:ascii="宋体" w:hAnsi="宋体" w:cs="宋体" w:eastAsia="宋体" w:hint="default"/>
                <w:sz w:val="21"/>
                <w:szCs w:val="21"/>
              </w:rPr>
              <w:t>数占总资 产的比例</w:t>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 w:right="0"/>
              <w:jc w:val="left"/>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72" w:lineRule="exact" w:before="26"/>
              <w:ind w:left="103" w:right="-3" w:firstLine="52"/>
              <w:jc w:val="left"/>
              <w:rPr>
                <w:rFonts w:ascii="宋体" w:hAnsi="宋体" w:cs="宋体" w:eastAsia="宋体" w:hint="default"/>
                <w:sz w:val="21"/>
                <w:szCs w:val="21"/>
              </w:rPr>
            </w:pPr>
            <w:r>
              <w:rPr>
                <w:rFonts w:ascii="宋体" w:hAnsi="宋体" w:cs="宋体" w:eastAsia="宋体" w:hint="default"/>
                <w:sz w:val="21"/>
                <w:szCs w:val="21"/>
              </w:rPr>
              <w:t>金额较上 期期末变 </w:t>
            </w:r>
            <w:r>
              <w:rPr>
                <w:rFonts w:ascii="宋体" w:hAnsi="宋体" w:cs="宋体" w:eastAsia="宋体" w:hint="default"/>
                <w:spacing w:val="-18"/>
                <w:sz w:val="21"/>
                <w:szCs w:val="21"/>
              </w:rPr>
              <w:t>动比例（</w:t>
            </w:r>
            <w:r>
              <w:rPr>
                <w:rFonts w:ascii="宋体" w:hAnsi="宋体" w:cs="宋体" w:eastAsia="宋体" w:hint="default"/>
                <w:spacing w:val="-18"/>
                <w:sz w:val="21"/>
                <w:szCs w:val="21"/>
              </w:rPr>
              <w:t>%</w:t>
            </w:r>
            <w:r>
              <w:rPr>
                <w:rFonts w:ascii="宋体" w:hAnsi="宋体" w:cs="宋体" w:eastAsia="宋体" w:hint="default"/>
                <w:spacing w:val="-18"/>
                <w:sz w:val="21"/>
                <w:szCs w:val="21"/>
              </w:rPr>
              <w:t>）</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25" w:right="125"/>
              <w:jc w:val="left"/>
              <w:rPr>
                <w:rFonts w:ascii="宋体" w:hAnsi="宋体" w:cs="宋体" w:eastAsia="宋体" w:hint="default"/>
                <w:sz w:val="21"/>
                <w:szCs w:val="21"/>
              </w:rPr>
            </w:pPr>
            <w:r>
              <w:rPr>
                <w:rFonts w:ascii="宋体" w:hAnsi="宋体" w:cs="宋体" w:eastAsia="宋体" w:hint="default"/>
                <w:sz w:val="21"/>
                <w:szCs w:val="21"/>
              </w:rPr>
              <w:t>情况 说明</w:t>
            </w:r>
          </w:p>
        </w:tc>
      </w:tr>
      <w:tr>
        <w:trPr>
          <w:trHeight w:val="282"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57,684,318.55</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0.87</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116,419,143.06</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2.04</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-50.45</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划</w:t>
            </w:r>
            <w:r>
              <w:rPr>
                <w:rFonts w:ascii="宋体" w:hAnsi="宋体" w:cs="宋体" w:eastAsia="宋体" w:hint="default"/>
                <w:spacing w:val="-36"/>
                <w:sz w:val="21"/>
                <w:szCs w:val="21"/>
              </w:rPr>
              <w:t> </w:t>
            </w:r>
            <w:r>
              <w:rPr>
                <w:rFonts w:ascii="宋体" w:hAnsi="宋体" w:cs="宋体" w:eastAsia="宋体" w:hint="default"/>
                <w:sz w:val="21"/>
                <w:szCs w:val="21"/>
              </w:rPr>
              <w:t>分</w:t>
            </w:r>
            <w:r>
              <w:rPr>
                <w:rFonts w:ascii="宋体" w:hAnsi="宋体" w:cs="宋体" w:eastAsia="宋体" w:hint="default"/>
                <w:spacing w:val="-37"/>
                <w:sz w:val="21"/>
                <w:szCs w:val="21"/>
              </w:rPr>
              <w:t> </w:t>
            </w:r>
            <w:r>
              <w:rPr>
                <w:rFonts w:ascii="宋体" w:hAnsi="宋体" w:cs="宋体" w:eastAsia="宋体" w:hint="default"/>
                <w:sz w:val="21"/>
                <w:szCs w:val="21"/>
              </w:rPr>
              <w:t>为</w:t>
            </w:r>
            <w:r>
              <w:rPr>
                <w:rFonts w:ascii="宋体" w:hAnsi="宋体" w:cs="宋体" w:eastAsia="宋体" w:hint="default"/>
                <w:spacing w:val="-37"/>
                <w:sz w:val="21"/>
                <w:szCs w:val="21"/>
              </w:rPr>
              <w:t> </w:t>
            </w:r>
            <w:r>
              <w:rPr>
                <w:rFonts w:ascii="宋体" w:hAnsi="宋体" w:cs="宋体" w:eastAsia="宋体" w:hint="default"/>
                <w:sz w:val="21"/>
                <w:szCs w:val="21"/>
              </w:rPr>
              <w:t>持</w:t>
            </w:r>
          </w:p>
          <w:p>
            <w:pPr>
              <w:pStyle w:val="TableParagraph"/>
              <w:spacing w:line="272" w:lineRule="exact" w:before="26"/>
              <w:ind w:left="103" w:right="103"/>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36"/>
                <w:sz w:val="21"/>
                <w:szCs w:val="21"/>
              </w:rPr>
              <w:t> </w:t>
            </w:r>
            <w:r>
              <w:rPr>
                <w:rFonts w:ascii="宋体" w:hAnsi="宋体" w:cs="宋体" w:eastAsia="宋体" w:hint="default"/>
                <w:sz w:val="21"/>
                <w:szCs w:val="21"/>
              </w:rPr>
              <w:t>待</w:t>
            </w:r>
            <w:r>
              <w:rPr>
                <w:rFonts w:ascii="宋体" w:hAnsi="宋体" w:cs="宋体" w:eastAsia="宋体" w:hint="default"/>
                <w:spacing w:val="-37"/>
                <w:sz w:val="21"/>
                <w:szCs w:val="21"/>
              </w:rPr>
              <w:t> </w:t>
            </w:r>
            <w:r>
              <w:rPr>
                <w:rFonts w:ascii="宋体" w:hAnsi="宋体" w:cs="宋体" w:eastAsia="宋体" w:hint="default"/>
                <w:sz w:val="21"/>
                <w:szCs w:val="21"/>
              </w:rPr>
              <w:t>售</w:t>
            </w:r>
            <w:r>
              <w:rPr>
                <w:rFonts w:ascii="宋体" w:hAnsi="宋体" w:cs="宋体" w:eastAsia="宋体" w:hint="default"/>
                <w:spacing w:val="-37"/>
                <w:sz w:val="21"/>
                <w:szCs w:val="21"/>
              </w:rPr>
              <w:t> </w:t>
            </w:r>
            <w:r>
              <w:rPr>
                <w:rFonts w:ascii="宋体" w:hAnsi="宋体" w:cs="宋体" w:eastAsia="宋体" w:hint="default"/>
                <w:sz w:val="21"/>
                <w:szCs w:val="21"/>
              </w:rPr>
              <w:t>的</w:t>
            </w:r>
            <w:r>
              <w:rPr>
                <w:rFonts w:ascii="宋体" w:hAnsi="宋体" w:cs="宋体" w:eastAsia="宋体" w:hint="default"/>
                <w:sz w:val="21"/>
                <w:szCs w:val="21"/>
              </w:rPr>
              <w:t> 资产</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66,198,928.99</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1.16</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内</w:t>
            </w:r>
            <w:r>
              <w:rPr>
                <w:rFonts w:ascii="宋体" w:hAnsi="宋体" w:cs="宋体" w:eastAsia="宋体" w:hint="default"/>
                <w:spacing w:val="-37"/>
                <w:sz w:val="21"/>
                <w:szCs w:val="21"/>
              </w:rPr>
              <w:t> </w:t>
            </w:r>
            <w:r>
              <w:rPr>
                <w:rFonts w:ascii="宋体" w:hAnsi="宋体" w:cs="宋体" w:eastAsia="宋体" w:hint="default"/>
                <w:sz w:val="21"/>
                <w:szCs w:val="21"/>
              </w:rPr>
              <w:t>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pacing w:val="-36"/>
                <w:sz w:val="21"/>
                <w:szCs w:val="21"/>
              </w:rPr>
              <w:t> </w:t>
            </w:r>
            <w:r>
              <w:rPr>
                <w:rFonts w:ascii="宋体" w:hAnsi="宋体" w:cs="宋体" w:eastAsia="宋体" w:hint="default"/>
                <w:sz w:val="21"/>
                <w:szCs w:val="21"/>
              </w:rPr>
              <w:t>的</w:t>
            </w:r>
            <w:r>
              <w:rPr>
                <w:rFonts w:ascii="宋体" w:hAnsi="宋体" w:cs="宋体" w:eastAsia="宋体" w:hint="default"/>
                <w:spacing w:val="-37"/>
                <w:sz w:val="21"/>
                <w:szCs w:val="21"/>
              </w:rPr>
              <w:t> </w:t>
            </w:r>
            <w:r>
              <w:rPr>
                <w:rFonts w:ascii="宋体" w:hAnsi="宋体" w:cs="宋体" w:eastAsia="宋体" w:hint="default"/>
                <w:sz w:val="21"/>
                <w:szCs w:val="21"/>
              </w:rPr>
              <w:t>非</w:t>
            </w:r>
            <w:r>
              <w:rPr>
                <w:rFonts w:ascii="宋体" w:hAnsi="宋体" w:cs="宋体" w:eastAsia="宋体" w:hint="default"/>
                <w:spacing w:val="-37"/>
                <w:sz w:val="21"/>
                <w:szCs w:val="21"/>
              </w:rPr>
              <w:t> </w:t>
            </w:r>
            <w:r>
              <w:rPr>
                <w:rFonts w:ascii="宋体" w:hAnsi="宋体" w:cs="宋体" w:eastAsia="宋体" w:hint="default"/>
                <w:sz w:val="21"/>
                <w:szCs w:val="21"/>
              </w:rPr>
              <w:t>流</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301,150,743.41</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4.56</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231,365,636.64</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4.05</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30.16</w:t>
            </w:r>
          </w:p>
        </w:tc>
        <w:tc>
          <w:tcPr>
            <w:tcW w:w="68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80" w:bottom="1380" w:left="980" w:right="760"/>
        </w:sectPr>
      </w:pPr>
    </w:p>
    <w:p>
      <w:pPr>
        <w:spacing w:line="240" w:lineRule="auto" w:before="3"/>
        <w:rPr>
          <w:rFonts w:ascii="Times New Roman" w:hAnsi="Times New Roman" w:cs="Times New Roman" w:eastAsia="Times New Roman" w:hint="default"/>
          <w:sz w:val="13"/>
          <w:szCs w:val="13"/>
        </w:rPr>
      </w:pPr>
    </w:p>
    <w:tbl>
      <w:tblPr>
        <w:tblW w:w="0" w:type="auto"/>
        <w:jc w:val="left"/>
        <w:tblInd w:w="112" w:type="dxa"/>
        <w:tblLayout w:type="fixed"/>
        <w:tblCellMar>
          <w:top w:w="0" w:type="dxa"/>
          <w:left w:w="0" w:type="dxa"/>
          <w:bottom w:w="0" w:type="dxa"/>
          <w:right w:w="0" w:type="dxa"/>
        </w:tblCellMar>
        <w:tblLook w:val="01E0"/>
      </w:tblPr>
      <w:tblGrid>
        <w:gridCol w:w="1264"/>
        <w:gridCol w:w="1909"/>
        <w:gridCol w:w="1139"/>
        <w:gridCol w:w="1909"/>
        <w:gridCol w:w="1095"/>
        <w:gridCol w:w="1160"/>
        <w:gridCol w:w="682"/>
      </w:tblGrid>
      <w:tr>
        <w:trPr>
          <w:trHeight w:val="283"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动资产</w:t>
            </w:r>
          </w:p>
        </w:tc>
        <w:tc>
          <w:tcPr>
            <w:tcW w:w="1909"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36"/>
                <w:sz w:val="21"/>
                <w:szCs w:val="21"/>
              </w:rPr>
              <w:t> </w:t>
            </w:r>
            <w:r>
              <w:rPr>
                <w:rFonts w:ascii="宋体" w:hAnsi="宋体" w:cs="宋体" w:eastAsia="宋体" w:hint="default"/>
                <w:sz w:val="21"/>
                <w:szCs w:val="21"/>
              </w:rPr>
              <w:t>他</w:t>
            </w:r>
            <w:r>
              <w:rPr>
                <w:rFonts w:ascii="宋体" w:hAnsi="宋体" w:cs="宋体" w:eastAsia="宋体" w:hint="default"/>
                <w:spacing w:val="-37"/>
                <w:sz w:val="21"/>
                <w:szCs w:val="21"/>
              </w:rPr>
              <w:t> </w:t>
            </w:r>
            <w:r>
              <w:rPr>
                <w:rFonts w:ascii="宋体" w:hAnsi="宋体" w:cs="宋体" w:eastAsia="宋体" w:hint="default"/>
                <w:sz w:val="21"/>
                <w:szCs w:val="21"/>
              </w:rPr>
              <w:t>流</w:t>
            </w:r>
            <w:r>
              <w:rPr>
                <w:rFonts w:ascii="宋体" w:hAnsi="宋体" w:cs="宋体" w:eastAsia="宋体" w:hint="default"/>
                <w:spacing w:val="-37"/>
                <w:sz w:val="21"/>
                <w:szCs w:val="21"/>
              </w:rPr>
              <w:t> </w:t>
            </w:r>
            <w:r>
              <w:rPr>
                <w:rFonts w:ascii="宋体" w:hAnsi="宋体" w:cs="宋体" w:eastAsia="宋体" w:hint="default"/>
                <w:sz w:val="21"/>
                <w:szCs w:val="21"/>
              </w:rPr>
              <w:t>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71,319,046.23</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1.08</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42,116,185.17</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0.74</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69.34</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pacing w:val="-36"/>
                <w:sz w:val="21"/>
                <w:szCs w:val="21"/>
              </w:rPr>
              <w:t> </w:t>
            </w:r>
            <w:r>
              <w:rPr>
                <w:rFonts w:ascii="宋体" w:hAnsi="宋体" w:cs="宋体" w:eastAsia="宋体" w:hint="default"/>
                <w:sz w:val="21"/>
                <w:szCs w:val="21"/>
              </w:rPr>
              <w:t>供</w:t>
            </w:r>
            <w:r>
              <w:rPr>
                <w:rFonts w:ascii="宋体" w:hAnsi="宋体" w:cs="宋体" w:eastAsia="宋体" w:hint="default"/>
                <w:spacing w:val="-37"/>
                <w:sz w:val="21"/>
                <w:szCs w:val="21"/>
              </w:rPr>
              <w:t> </w:t>
            </w:r>
            <w:r>
              <w:rPr>
                <w:rFonts w:ascii="宋体" w:hAnsi="宋体" w:cs="宋体" w:eastAsia="宋体" w:hint="default"/>
                <w:sz w:val="21"/>
                <w:szCs w:val="21"/>
              </w:rPr>
              <w:t>出</w:t>
            </w:r>
            <w:r>
              <w:rPr>
                <w:rFonts w:ascii="宋体" w:hAnsi="宋体" w:cs="宋体" w:eastAsia="宋体" w:hint="default"/>
                <w:spacing w:val="-37"/>
                <w:sz w:val="21"/>
                <w:szCs w:val="21"/>
              </w:rPr>
              <w:t> </w:t>
            </w:r>
            <w:r>
              <w:rPr>
                <w:rFonts w:ascii="宋体" w:hAnsi="宋体" w:cs="宋体" w:eastAsia="宋体" w:hint="default"/>
                <w:sz w:val="21"/>
                <w:szCs w:val="21"/>
              </w:rPr>
              <w:t>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67,400,000.00</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1.02</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300,000.00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0.01</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22,366.67</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36"/>
                <w:sz w:val="21"/>
                <w:szCs w:val="21"/>
              </w:rPr>
              <w:t> </w:t>
            </w:r>
            <w:r>
              <w:rPr>
                <w:rFonts w:ascii="宋体" w:hAnsi="宋体" w:cs="宋体" w:eastAsia="宋体" w:hint="default"/>
                <w:sz w:val="21"/>
                <w:szCs w:val="21"/>
              </w:rPr>
              <w:t>期</w:t>
            </w:r>
            <w:r>
              <w:rPr>
                <w:rFonts w:ascii="宋体" w:hAnsi="宋体" w:cs="宋体" w:eastAsia="宋体" w:hint="default"/>
                <w:spacing w:val="-37"/>
                <w:sz w:val="21"/>
                <w:szCs w:val="21"/>
              </w:rPr>
              <w:t> </w:t>
            </w:r>
            <w:r>
              <w:rPr>
                <w:rFonts w:ascii="宋体" w:hAnsi="宋体" w:cs="宋体" w:eastAsia="宋体" w:hint="default"/>
                <w:sz w:val="21"/>
                <w:szCs w:val="21"/>
              </w:rPr>
              <w:t>应</w:t>
            </w:r>
            <w:r>
              <w:rPr>
                <w:rFonts w:ascii="宋体" w:hAnsi="宋体" w:cs="宋体" w:eastAsia="宋体" w:hint="default"/>
                <w:spacing w:val="-37"/>
                <w:sz w:val="21"/>
                <w:szCs w:val="21"/>
              </w:rPr>
              <w:t> </w:t>
            </w:r>
            <w:r>
              <w:rPr>
                <w:rFonts w:ascii="宋体" w:hAnsi="宋体" w:cs="宋体" w:eastAsia="宋体" w:hint="default"/>
                <w:sz w:val="21"/>
                <w:szCs w:val="21"/>
              </w:rPr>
              <w:t>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款</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585,903,776.55</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8.87</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321,880,944.02</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5.64</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82.02</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36"/>
                <w:sz w:val="21"/>
                <w:szCs w:val="21"/>
              </w:rPr>
              <w:t> </w:t>
            </w:r>
            <w:r>
              <w:rPr>
                <w:rFonts w:ascii="宋体" w:hAnsi="宋体" w:cs="宋体" w:eastAsia="宋体" w:hint="default"/>
                <w:sz w:val="21"/>
                <w:szCs w:val="21"/>
              </w:rPr>
              <w:t>期</w:t>
            </w:r>
            <w:r>
              <w:rPr>
                <w:rFonts w:ascii="宋体" w:hAnsi="宋体" w:cs="宋体" w:eastAsia="宋体" w:hint="default"/>
                <w:spacing w:val="-37"/>
                <w:sz w:val="21"/>
                <w:szCs w:val="21"/>
              </w:rPr>
              <w:t> </w:t>
            </w:r>
            <w:r>
              <w:rPr>
                <w:rFonts w:ascii="宋体" w:hAnsi="宋体" w:cs="宋体" w:eastAsia="宋体" w:hint="default"/>
                <w:sz w:val="21"/>
                <w:szCs w:val="21"/>
              </w:rPr>
              <w:t>股</w:t>
            </w:r>
            <w:r>
              <w:rPr>
                <w:rFonts w:ascii="宋体" w:hAnsi="宋体" w:cs="宋体" w:eastAsia="宋体" w:hint="default"/>
                <w:spacing w:val="-37"/>
                <w:sz w:val="21"/>
                <w:szCs w:val="21"/>
              </w:rPr>
              <w:t> </w:t>
            </w:r>
            <w:r>
              <w:rPr>
                <w:rFonts w:ascii="宋体" w:hAnsi="宋体" w:cs="宋体" w:eastAsia="宋体" w:hint="default"/>
                <w:sz w:val="21"/>
                <w:szCs w:val="21"/>
              </w:rPr>
              <w:t>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63,845,660.81</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0.97</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14,947,639.28</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0.26</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327.13</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213,051,760.55</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3.22</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55,665,333.73</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0.98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282.74</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36"/>
                <w:sz w:val="21"/>
                <w:szCs w:val="21"/>
              </w:rPr>
              <w:t> </w:t>
            </w:r>
            <w:r>
              <w:rPr>
                <w:rFonts w:ascii="宋体" w:hAnsi="宋体" w:cs="宋体" w:eastAsia="宋体" w:hint="default"/>
                <w:sz w:val="21"/>
                <w:szCs w:val="21"/>
              </w:rPr>
              <w:t>期</w:t>
            </w:r>
            <w:r>
              <w:rPr>
                <w:rFonts w:ascii="宋体" w:hAnsi="宋体" w:cs="宋体" w:eastAsia="宋体" w:hint="default"/>
                <w:spacing w:val="-37"/>
                <w:sz w:val="21"/>
                <w:szCs w:val="21"/>
              </w:rPr>
              <w:t> </w:t>
            </w:r>
            <w:r>
              <w:rPr>
                <w:rFonts w:ascii="宋体" w:hAnsi="宋体" w:cs="宋体" w:eastAsia="宋体" w:hint="default"/>
                <w:sz w:val="21"/>
                <w:szCs w:val="21"/>
              </w:rPr>
              <w:t>待</w:t>
            </w:r>
            <w:r>
              <w:rPr>
                <w:rFonts w:ascii="宋体" w:hAnsi="宋体" w:cs="宋体" w:eastAsia="宋体" w:hint="default"/>
                <w:spacing w:val="-37"/>
                <w:sz w:val="21"/>
                <w:szCs w:val="21"/>
              </w:rPr>
              <w:t> </w:t>
            </w:r>
            <w:r>
              <w:rPr>
                <w:rFonts w:ascii="宋体" w:hAnsi="宋体" w:cs="宋体" w:eastAsia="宋体" w:hint="default"/>
                <w:sz w:val="21"/>
                <w:szCs w:val="21"/>
              </w:rPr>
              <w:t>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4,616,879.92</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0.07</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2,245,080.95</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0.04</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105.64</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递</w:t>
            </w:r>
            <w:r>
              <w:rPr>
                <w:rFonts w:ascii="宋体" w:hAnsi="宋体" w:cs="宋体" w:eastAsia="宋体" w:hint="default"/>
                <w:spacing w:val="-36"/>
                <w:sz w:val="21"/>
                <w:szCs w:val="21"/>
              </w:rPr>
              <w:t> </w:t>
            </w:r>
            <w:r>
              <w:rPr>
                <w:rFonts w:ascii="宋体" w:hAnsi="宋体" w:cs="宋体" w:eastAsia="宋体" w:hint="default"/>
                <w:sz w:val="21"/>
                <w:szCs w:val="21"/>
              </w:rPr>
              <w:t>延</w:t>
            </w:r>
            <w:r>
              <w:rPr>
                <w:rFonts w:ascii="宋体" w:hAnsi="宋体" w:cs="宋体" w:eastAsia="宋体" w:hint="default"/>
                <w:spacing w:val="-37"/>
                <w:sz w:val="21"/>
                <w:szCs w:val="21"/>
              </w:rPr>
              <w:t> </w:t>
            </w:r>
            <w:r>
              <w:rPr>
                <w:rFonts w:ascii="宋体" w:hAnsi="宋体" w:cs="宋体" w:eastAsia="宋体" w:hint="default"/>
                <w:sz w:val="21"/>
                <w:szCs w:val="21"/>
              </w:rPr>
              <w:t>所</w:t>
            </w:r>
            <w:r>
              <w:rPr>
                <w:rFonts w:ascii="宋体" w:hAnsi="宋体" w:cs="宋体" w:eastAsia="宋体" w:hint="default"/>
                <w:spacing w:val="-37"/>
                <w:sz w:val="21"/>
                <w:szCs w:val="21"/>
              </w:rPr>
              <w:t> </w:t>
            </w:r>
            <w:r>
              <w:rPr>
                <w:rFonts w:ascii="宋体" w:hAnsi="宋体" w:cs="宋体" w:eastAsia="宋体" w:hint="default"/>
                <w:sz w:val="21"/>
                <w:szCs w:val="21"/>
              </w:rPr>
              <w:t>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税资产</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35,302,223.16</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0.53</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26,739,377.13</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0.47</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32.02</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36"/>
                <w:sz w:val="21"/>
                <w:szCs w:val="21"/>
              </w:rPr>
              <w:t> </w:t>
            </w:r>
            <w:r>
              <w:rPr>
                <w:rFonts w:ascii="宋体" w:hAnsi="宋体" w:cs="宋体" w:eastAsia="宋体" w:hint="default"/>
                <w:sz w:val="21"/>
                <w:szCs w:val="21"/>
              </w:rPr>
              <w:t>他</w:t>
            </w:r>
            <w:r>
              <w:rPr>
                <w:rFonts w:ascii="宋体" w:hAnsi="宋体" w:cs="宋体" w:eastAsia="宋体" w:hint="default"/>
                <w:spacing w:val="-37"/>
                <w:sz w:val="21"/>
                <w:szCs w:val="21"/>
              </w:rPr>
              <w:t> </w:t>
            </w:r>
            <w:r>
              <w:rPr>
                <w:rFonts w:ascii="宋体" w:hAnsi="宋体" w:cs="宋体" w:eastAsia="宋体" w:hint="default"/>
                <w:sz w:val="21"/>
                <w:szCs w:val="21"/>
              </w:rPr>
              <w:t>非</w:t>
            </w:r>
            <w:r>
              <w:rPr>
                <w:rFonts w:ascii="宋体" w:hAnsi="宋体" w:cs="宋体" w:eastAsia="宋体" w:hint="default"/>
                <w:spacing w:val="-37"/>
                <w:sz w:val="21"/>
                <w:szCs w:val="21"/>
              </w:rPr>
              <w:t> </w:t>
            </w:r>
            <w:r>
              <w:rPr>
                <w:rFonts w:ascii="宋体" w:hAnsi="宋体" w:cs="宋体" w:eastAsia="宋体" w:hint="default"/>
                <w:sz w:val="21"/>
                <w:szCs w:val="21"/>
              </w:rPr>
              <w:t>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动资产</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77,520,850.83</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1.17</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200,603,938.38</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3.51</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-61.36</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511,316,420.55</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7.74</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228,370,110.30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123.9</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94,158,175.20</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1.42</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226,316,870.98</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3.97</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-58.4</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384,086,573.53</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5.81</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281,688,516.42</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4.94</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36.35</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划</w:t>
            </w:r>
            <w:r>
              <w:rPr>
                <w:rFonts w:ascii="宋体" w:hAnsi="宋体" w:cs="宋体" w:eastAsia="宋体" w:hint="default"/>
                <w:spacing w:val="-36"/>
                <w:sz w:val="21"/>
                <w:szCs w:val="21"/>
              </w:rPr>
              <w:t> </w:t>
            </w:r>
            <w:r>
              <w:rPr>
                <w:rFonts w:ascii="宋体" w:hAnsi="宋体" w:cs="宋体" w:eastAsia="宋体" w:hint="default"/>
                <w:sz w:val="21"/>
                <w:szCs w:val="21"/>
              </w:rPr>
              <w:t>分</w:t>
            </w:r>
            <w:r>
              <w:rPr>
                <w:rFonts w:ascii="宋体" w:hAnsi="宋体" w:cs="宋体" w:eastAsia="宋体" w:hint="default"/>
                <w:spacing w:val="-37"/>
                <w:sz w:val="21"/>
                <w:szCs w:val="21"/>
              </w:rPr>
              <w:t> </w:t>
            </w:r>
            <w:r>
              <w:rPr>
                <w:rFonts w:ascii="宋体" w:hAnsi="宋体" w:cs="宋体" w:eastAsia="宋体" w:hint="default"/>
                <w:sz w:val="21"/>
                <w:szCs w:val="21"/>
              </w:rPr>
              <w:t>为</w:t>
            </w:r>
            <w:r>
              <w:rPr>
                <w:rFonts w:ascii="宋体" w:hAnsi="宋体" w:cs="宋体" w:eastAsia="宋体" w:hint="default"/>
                <w:spacing w:val="-37"/>
                <w:sz w:val="21"/>
                <w:szCs w:val="21"/>
              </w:rPr>
              <w:t> </w:t>
            </w:r>
            <w:r>
              <w:rPr>
                <w:rFonts w:ascii="宋体" w:hAnsi="宋体" w:cs="宋体" w:eastAsia="宋体" w:hint="default"/>
                <w:sz w:val="21"/>
                <w:szCs w:val="21"/>
              </w:rPr>
              <w:t>持</w:t>
            </w:r>
          </w:p>
          <w:p>
            <w:pPr>
              <w:pStyle w:val="TableParagraph"/>
              <w:spacing w:line="272" w:lineRule="exact" w:before="26"/>
              <w:ind w:left="103" w:right="103"/>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36"/>
                <w:sz w:val="21"/>
                <w:szCs w:val="21"/>
              </w:rPr>
              <w:t> </w:t>
            </w:r>
            <w:r>
              <w:rPr>
                <w:rFonts w:ascii="宋体" w:hAnsi="宋体" w:cs="宋体" w:eastAsia="宋体" w:hint="default"/>
                <w:sz w:val="21"/>
                <w:szCs w:val="21"/>
              </w:rPr>
              <w:t>待</w:t>
            </w:r>
            <w:r>
              <w:rPr>
                <w:rFonts w:ascii="宋体" w:hAnsi="宋体" w:cs="宋体" w:eastAsia="宋体" w:hint="default"/>
                <w:spacing w:val="-37"/>
                <w:sz w:val="21"/>
                <w:szCs w:val="21"/>
              </w:rPr>
              <w:t> </w:t>
            </w:r>
            <w:r>
              <w:rPr>
                <w:rFonts w:ascii="宋体" w:hAnsi="宋体" w:cs="宋体" w:eastAsia="宋体" w:hint="default"/>
                <w:sz w:val="21"/>
                <w:szCs w:val="21"/>
              </w:rPr>
              <w:t>售</w:t>
            </w:r>
            <w:r>
              <w:rPr>
                <w:rFonts w:ascii="宋体" w:hAnsi="宋体" w:cs="宋体" w:eastAsia="宋体" w:hint="default"/>
                <w:spacing w:val="-37"/>
                <w:sz w:val="21"/>
                <w:szCs w:val="21"/>
              </w:rPr>
              <w:t> </w:t>
            </w:r>
            <w:r>
              <w:rPr>
                <w:rFonts w:ascii="宋体" w:hAnsi="宋体" w:cs="宋体" w:eastAsia="宋体" w:hint="default"/>
                <w:sz w:val="21"/>
                <w:szCs w:val="21"/>
              </w:rPr>
              <w:t>的</w:t>
            </w:r>
            <w:r>
              <w:rPr>
                <w:rFonts w:ascii="宋体" w:hAnsi="宋体" w:cs="宋体" w:eastAsia="宋体" w:hint="default"/>
                <w:sz w:val="21"/>
                <w:szCs w:val="21"/>
              </w:rPr>
              <w:t> 负债</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25,103,938.01</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0.44</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内</w:t>
            </w:r>
            <w:r>
              <w:rPr>
                <w:rFonts w:ascii="宋体" w:hAnsi="宋体" w:cs="宋体" w:eastAsia="宋体" w:hint="default"/>
                <w:spacing w:val="-37"/>
                <w:sz w:val="21"/>
                <w:szCs w:val="21"/>
              </w:rPr>
              <w:t> </w:t>
            </w:r>
            <w:r>
              <w:rPr>
                <w:rFonts w:ascii="宋体" w:hAnsi="宋体" w:cs="宋体" w:eastAsia="宋体" w:hint="default"/>
                <w:sz w:val="21"/>
                <w:szCs w:val="21"/>
              </w:rPr>
              <w:t>到</w:t>
            </w:r>
          </w:p>
          <w:p>
            <w:pPr>
              <w:pStyle w:val="TableParagraph"/>
              <w:spacing w:line="272" w:lineRule="exact" w:before="26"/>
              <w:ind w:left="103" w:right="103"/>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pacing w:val="-36"/>
                <w:sz w:val="21"/>
                <w:szCs w:val="21"/>
              </w:rPr>
              <w:t> </w:t>
            </w:r>
            <w:r>
              <w:rPr>
                <w:rFonts w:ascii="宋体" w:hAnsi="宋体" w:cs="宋体" w:eastAsia="宋体" w:hint="default"/>
                <w:sz w:val="21"/>
                <w:szCs w:val="21"/>
              </w:rPr>
              <w:t>的</w:t>
            </w:r>
            <w:r>
              <w:rPr>
                <w:rFonts w:ascii="宋体" w:hAnsi="宋体" w:cs="宋体" w:eastAsia="宋体" w:hint="default"/>
                <w:spacing w:val="-37"/>
                <w:sz w:val="21"/>
                <w:szCs w:val="21"/>
              </w:rPr>
              <w:t> </w:t>
            </w:r>
            <w:r>
              <w:rPr>
                <w:rFonts w:ascii="宋体" w:hAnsi="宋体" w:cs="宋体" w:eastAsia="宋体" w:hint="default"/>
                <w:sz w:val="21"/>
                <w:szCs w:val="21"/>
              </w:rPr>
              <w:t>非</w:t>
            </w:r>
            <w:r>
              <w:rPr>
                <w:rFonts w:ascii="宋体" w:hAnsi="宋体" w:cs="宋体" w:eastAsia="宋体" w:hint="default"/>
                <w:spacing w:val="-37"/>
                <w:sz w:val="21"/>
                <w:szCs w:val="21"/>
              </w:rPr>
              <w:t> </w:t>
            </w:r>
            <w:r>
              <w:rPr>
                <w:rFonts w:ascii="宋体" w:hAnsi="宋体" w:cs="宋体" w:eastAsia="宋体" w:hint="default"/>
                <w:sz w:val="21"/>
                <w:szCs w:val="21"/>
              </w:rPr>
              <w:t>流</w:t>
            </w:r>
            <w:r>
              <w:rPr>
                <w:rFonts w:ascii="宋体" w:hAnsi="宋体" w:cs="宋体" w:eastAsia="宋体" w:hint="default"/>
                <w:sz w:val="21"/>
                <w:szCs w:val="21"/>
              </w:rPr>
              <w:t> 动负债</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293,043,134.50</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4.43</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159,184,460.03</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2.79</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84.09</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445,984,217.28</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6.75</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215,928,624.54</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106.54</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3,350,412.86</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0.05</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1,551,347.91</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0.03</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115.97</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36"/>
                <w:sz w:val="21"/>
                <w:szCs w:val="21"/>
              </w:rPr>
              <w:t> </w:t>
            </w:r>
            <w:r>
              <w:rPr>
                <w:rFonts w:ascii="宋体" w:hAnsi="宋体" w:cs="宋体" w:eastAsia="宋体" w:hint="default"/>
                <w:sz w:val="21"/>
                <w:szCs w:val="21"/>
              </w:rPr>
              <w:t>他</w:t>
            </w:r>
            <w:r>
              <w:rPr>
                <w:rFonts w:ascii="宋体" w:hAnsi="宋体" w:cs="宋体" w:eastAsia="宋体" w:hint="default"/>
                <w:spacing w:val="-37"/>
                <w:sz w:val="21"/>
                <w:szCs w:val="21"/>
              </w:rPr>
              <w:t> </w:t>
            </w:r>
            <w:r>
              <w:rPr>
                <w:rFonts w:ascii="宋体" w:hAnsi="宋体" w:cs="宋体" w:eastAsia="宋体" w:hint="default"/>
                <w:sz w:val="21"/>
                <w:szCs w:val="21"/>
              </w:rPr>
              <w:t>非</w:t>
            </w:r>
            <w:r>
              <w:rPr>
                <w:rFonts w:ascii="宋体" w:hAnsi="宋体" w:cs="宋体" w:eastAsia="宋体" w:hint="default"/>
                <w:spacing w:val="-37"/>
                <w:sz w:val="21"/>
                <w:szCs w:val="21"/>
              </w:rPr>
              <w:t> </w:t>
            </w:r>
            <w:r>
              <w:rPr>
                <w:rFonts w:ascii="宋体" w:hAnsi="宋体" w:cs="宋体" w:eastAsia="宋体" w:hint="default"/>
                <w:sz w:val="21"/>
                <w:szCs w:val="21"/>
              </w:rPr>
              <w:t>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动负债</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57,972,861.00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库存股</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27,555,953.85</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0.42</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57,972,861.00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-52.47</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少</w:t>
            </w:r>
            <w:r>
              <w:rPr>
                <w:rFonts w:ascii="宋体" w:hAnsi="宋体" w:cs="宋体" w:eastAsia="宋体" w:hint="default"/>
                <w:spacing w:val="-36"/>
                <w:sz w:val="21"/>
                <w:szCs w:val="21"/>
              </w:rPr>
              <w:t> </w:t>
            </w:r>
            <w:r>
              <w:rPr>
                <w:rFonts w:ascii="宋体" w:hAnsi="宋体" w:cs="宋体" w:eastAsia="宋体" w:hint="default"/>
                <w:sz w:val="21"/>
                <w:szCs w:val="21"/>
              </w:rPr>
              <w:t>数</w:t>
            </w:r>
            <w:r>
              <w:rPr>
                <w:rFonts w:ascii="宋体" w:hAnsi="宋体" w:cs="宋体" w:eastAsia="宋体" w:hint="default"/>
                <w:spacing w:val="-37"/>
                <w:sz w:val="21"/>
                <w:szCs w:val="21"/>
              </w:rPr>
              <w:t> </w:t>
            </w:r>
            <w:r>
              <w:rPr>
                <w:rFonts w:ascii="宋体" w:hAnsi="宋体" w:cs="宋体" w:eastAsia="宋体" w:hint="default"/>
                <w:sz w:val="21"/>
                <w:szCs w:val="21"/>
              </w:rPr>
              <w:t>股</w:t>
            </w:r>
            <w:r>
              <w:rPr>
                <w:rFonts w:ascii="宋体" w:hAnsi="宋体" w:cs="宋体" w:eastAsia="宋体" w:hint="default"/>
                <w:spacing w:val="-37"/>
                <w:sz w:val="21"/>
                <w:szCs w:val="21"/>
              </w:rPr>
              <w:t> </w:t>
            </w:r>
            <w:r>
              <w:rPr>
                <w:rFonts w:ascii="宋体" w:hAnsi="宋体" w:cs="宋体" w:eastAsia="宋体" w:hint="default"/>
                <w:sz w:val="21"/>
                <w:szCs w:val="21"/>
              </w:rPr>
              <w:t>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342,933,125.20</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5.19</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178,510,561.18</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3.13</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92.11</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负</w:t>
            </w:r>
            <w:r>
              <w:rPr>
                <w:rFonts w:ascii="宋体" w:hAnsi="宋体" w:cs="宋体" w:eastAsia="宋体" w:hint="default"/>
                <w:b/>
                <w:bCs/>
                <w:spacing w:val="-39"/>
                <w:sz w:val="21"/>
                <w:szCs w:val="21"/>
              </w:rPr>
              <w:t> </w:t>
            </w:r>
            <w:r>
              <w:rPr>
                <w:rFonts w:ascii="宋体" w:hAnsi="宋体" w:cs="宋体" w:eastAsia="宋体" w:hint="default"/>
                <w:b/>
                <w:bCs/>
                <w:sz w:val="21"/>
                <w:szCs w:val="21"/>
              </w:rPr>
              <w:t>债</w:t>
            </w:r>
            <w:r>
              <w:rPr>
                <w:rFonts w:ascii="宋体" w:hAnsi="宋体" w:cs="宋体" w:eastAsia="宋体" w:hint="default"/>
                <w:b/>
                <w:bCs/>
                <w:spacing w:val="-40"/>
                <w:sz w:val="21"/>
                <w:szCs w:val="21"/>
              </w:rPr>
              <w:t> </w:t>
            </w:r>
            <w:r>
              <w:rPr>
                <w:rFonts w:ascii="宋体" w:hAnsi="宋体" w:cs="宋体" w:eastAsia="宋体" w:hint="default"/>
                <w:b/>
                <w:bCs/>
                <w:sz w:val="21"/>
                <w:szCs w:val="21"/>
              </w:rPr>
              <w:t>和</w:t>
            </w:r>
            <w:r>
              <w:rPr>
                <w:rFonts w:ascii="宋体" w:hAnsi="宋体" w:cs="宋体" w:eastAsia="宋体" w:hint="default"/>
                <w:b/>
                <w:bCs/>
                <w:spacing w:val="-40"/>
                <w:sz w:val="21"/>
                <w:szCs w:val="21"/>
              </w:rPr>
              <w:t> </w:t>
            </w:r>
            <w:r>
              <w:rPr>
                <w:rFonts w:ascii="宋体" w:hAnsi="宋体" w:cs="宋体" w:eastAsia="宋体" w:hint="default"/>
                <w:b/>
                <w:bCs/>
                <w:sz w:val="21"/>
                <w:szCs w:val="21"/>
              </w:rPr>
              <w:t>所</w:t>
            </w:r>
            <w:r>
              <w:rPr>
                <w:rFonts w:ascii="宋体" w:hAnsi="宋体" w:cs="宋体" w:eastAsia="宋体" w:hint="default"/>
                <w:sz w:val="21"/>
                <w:szCs w:val="21"/>
              </w:rPr>
            </w:r>
          </w:p>
          <w:p>
            <w:pPr>
              <w:pStyle w:val="TableParagraph"/>
              <w:spacing w:line="272" w:lineRule="exact" w:before="26"/>
              <w:ind w:left="103" w:right="103"/>
              <w:jc w:val="left"/>
              <w:rPr>
                <w:rFonts w:ascii="宋体" w:hAnsi="宋体" w:cs="宋体" w:eastAsia="宋体" w:hint="default"/>
                <w:sz w:val="21"/>
                <w:szCs w:val="21"/>
              </w:rPr>
            </w:pPr>
            <w:r>
              <w:rPr>
                <w:rFonts w:ascii="宋体" w:hAnsi="宋体" w:cs="宋体" w:eastAsia="宋体" w:hint="default"/>
                <w:b/>
                <w:bCs/>
                <w:sz w:val="21"/>
                <w:szCs w:val="21"/>
              </w:rPr>
              <w:t>有</w:t>
            </w:r>
            <w:r>
              <w:rPr>
                <w:rFonts w:ascii="宋体" w:hAnsi="宋体" w:cs="宋体" w:eastAsia="宋体" w:hint="default"/>
                <w:b/>
                <w:bCs/>
                <w:spacing w:val="-39"/>
                <w:sz w:val="21"/>
                <w:szCs w:val="21"/>
              </w:rPr>
              <w:t> </w:t>
            </w:r>
            <w:r>
              <w:rPr>
                <w:rFonts w:ascii="宋体" w:hAnsi="宋体" w:cs="宋体" w:eastAsia="宋体" w:hint="default"/>
                <w:b/>
                <w:bCs/>
                <w:sz w:val="21"/>
                <w:szCs w:val="21"/>
              </w:rPr>
              <w:t>者</w:t>
            </w:r>
            <w:r>
              <w:rPr>
                <w:rFonts w:ascii="宋体" w:hAnsi="宋体" w:cs="宋体" w:eastAsia="宋体" w:hint="default"/>
                <w:b/>
                <w:bCs/>
                <w:spacing w:val="-39"/>
                <w:sz w:val="21"/>
                <w:szCs w:val="21"/>
              </w:rPr>
              <w:t> </w:t>
            </w:r>
            <w:r>
              <w:rPr>
                <w:rFonts w:ascii="宋体" w:hAnsi="宋体" w:cs="宋体" w:eastAsia="宋体" w:hint="default"/>
                <w:b/>
                <w:bCs/>
                <w:sz w:val="21"/>
                <w:szCs w:val="21"/>
              </w:rPr>
              <w:t>权</w:t>
            </w:r>
            <w:r>
              <w:rPr>
                <w:rFonts w:ascii="宋体" w:hAnsi="宋体" w:cs="宋体" w:eastAsia="宋体" w:hint="default"/>
                <w:b/>
                <w:bCs/>
                <w:spacing w:val="-39"/>
                <w:sz w:val="21"/>
                <w:szCs w:val="21"/>
              </w:rPr>
              <w:t> </w:t>
            </w:r>
            <w:r>
              <w:rPr>
                <w:rFonts w:ascii="宋体" w:hAnsi="宋体" w:cs="宋体" w:eastAsia="宋体" w:hint="default"/>
                <w:b/>
                <w:bCs/>
                <w:sz w:val="21"/>
                <w:szCs w:val="21"/>
              </w:rPr>
              <w:t>益</w:t>
            </w:r>
            <w:r>
              <w:rPr>
                <w:rFonts w:ascii="宋体" w:hAnsi="宋体" w:cs="宋体" w:eastAsia="宋体" w:hint="default"/>
                <w:b/>
                <w:bCs/>
                <w:w w:val="99"/>
                <w:sz w:val="21"/>
                <w:szCs w:val="21"/>
              </w:rPr>
              <w:t> </w:t>
            </w:r>
            <w:r>
              <w:rPr>
                <w:rFonts w:ascii="宋体" w:hAnsi="宋体" w:cs="宋体" w:eastAsia="宋体" w:hint="default"/>
                <w:b/>
                <w:bCs/>
                <w:sz w:val="21"/>
                <w:szCs w:val="21"/>
              </w:rPr>
              <w:t>总计</w:t>
            </w:r>
            <w:r>
              <w:rPr>
                <w:rFonts w:ascii="宋体" w:hAnsi="宋体" w:cs="宋体" w:eastAsia="宋体" w:hint="default"/>
                <w:sz w:val="21"/>
                <w:szCs w:val="21"/>
              </w:rPr>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b/>
                <w:w w:val="95"/>
                <w:sz w:val="21"/>
              </w:rPr>
              <w:t>6,608,118,573.04</w:t>
            </w:r>
            <w:r>
              <w:rPr>
                <w:rFonts w:ascii="宋体"/>
                <w:sz w:val="21"/>
              </w:rPr>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b/>
                <w:w w:val="95"/>
                <w:sz w:val="21"/>
              </w:rPr>
              <w:t>100</w:t>
            </w:r>
            <w:r>
              <w:rPr>
                <w:rFonts w:ascii="宋体"/>
                <w:sz w:val="21"/>
              </w:rPr>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b/>
                <w:w w:val="95"/>
                <w:sz w:val="21"/>
              </w:rPr>
              <w:t>5,707,364,544.06</w:t>
            </w:r>
            <w:r>
              <w:rPr>
                <w:rFonts w:ascii="宋体"/>
                <w:sz w:val="21"/>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b/>
                <w:w w:val="95"/>
                <w:sz w:val="21"/>
              </w:rPr>
              <w:t>100</w:t>
            </w:r>
            <w:r>
              <w:rPr>
                <w:rFonts w:ascii="宋体"/>
                <w:sz w:val="21"/>
              </w:rPr>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b/>
                <w:w w:val="95"/>
                <w:sz w:val="21"/>
              </w:rPr>
              <w:t>15.78</w:t>
            </w:r>
            <w:r>
              <w:rPr>
                <w:rFonts w:ascii="宋体"/>
                <w:sz w:val="21"/>
              </w:rPr>
            </w:r>
          </w:p>
        </w:tc>
        <w:tc>
          <w:tcPr>
            <w:tcW w:w="68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tbl>
      <w:tblPr>
        <w:tblW w:w="0" w:type="auto"/>
        <w:jc w:val="left"/>
        <w:tblInd w:w="117" w:type="dxa"/>
        <w:tblLayout w:type="fixed"/>
        <w:tblCellMar>
          <w:top w:w="0" w:type="dxa"/>
          <w:left w:w="0" w:type="dxa"/>
          <w:bottom w:w="0" w:type="dxa"/>
          <w:right w:w="0" w:type="dxa"/>
        </w:tblCellMar>
        <w:tblLook w:val="01E0"/>
      </w:tblPr>
      <w:tblGrid>
        <w:gridCol w:w="9316"/>
      </w:tblGrid>
      <w:tr>
        <w:trPr>
          <w:trHeight w:val="706" w:hRule="exact"/>
        </w:trPr>
        <w:tc>
          <w:tcPr>
            <w:tcW w:w="9316"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）应收票据期末余额</w:t>
            </w:r>
            <w:r>
              <w:rPr>
                <w:rFonts w:ascii="宋体" w:hAnsi="宋体" w:cs="宋体" w:eastAsia="宋体" w:hint="default"/>
                <w:spacing w:val="-60"/>
                <w:sz w:val="24"/>
                <w:szCs w:val="24"/>
              </w:rPr>
              <w:t> </w:t>
            </w:r>
            <w:r>
              <w:rPr>
                <w:rFonts w:ascii="宋体" w:hAnsi="宋体" w:cs="宋体" w:eastAsia="宋体" w:hint="default"/>
                <w:sz w:val="24"/>
                <w:szCs w:val="24"/>
              </w:rPr>
              <w:t>57,684,318.55</w:t>
            </w:r>
            <w:r>
              <w:rPr>
                <w:rFonts w:ascii="宋体" w:hAnsi="宋体" w:cs="宋体" w:eastAsia="宋体" w:hint="default"/>
                <w:spacing w:val="-60"/>
                <w:sz w:val="24"/>
                <w:szCs w:val="24"/>
              </w:rPr>
              <w:t> </w:t>
            </w:r>
            <w:r>
              <w:rPr>
                <w:rFonts w:ascii="宋体" w:hAnsi="宋体" w:cs="宋体" w:eastAsia="宋体" w:hint="default"/>
                <w:sz w:val="24"/>
                <w:szCs w:val="24"/>
              </w:rPr>
              <w:t>元，较期初减少</w:t>
            </w:r>
            <w:r>
              <w:rPr>
                <w:rFonts w:ascii="宋体" w:hAnsi="宋体" w:cs="宋体" w:eastAsia="宋体" w:hint="default"/>
                <w:spacing w:val="-60"/>
                <w:sz w:val="24"/>
                <w:szCs w:val="24"/>
              </w:rPr>
              <w:t> </w:t>
            </w:r>
            <w:r>
              <w:rPr>
                <w:rFonts w:ascii="宋体" w:hAnsi="宋体" w:cs="宋体" w:eastAsia="宋体" w:hint="default"/>
                <w:sz w:val="24"/>
                <w:szCs w:val="24"/>
              </w:rPr>
              <w:t>50.45%</w:t>
            </w:r>
            <w:r>
              <w:rPr>
                <w:rFonts w:ascii="宋体" w:hAnsi="宋体" w:cs="宋体" w:eastAsia="宋体" w:hint="default"/>
                <w:sz w:val="24"/>
                <w:szCs w:val="24"/>
              </w:rPr>
              <w:t>，主要是本期票据到</w:t>
            </w:r>
          </w:p>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期所致；</w:t>
            </w:r>
          </w:p>
        </w:tc>
      </w:tr>
      <w:tr>
        <w:trPr>
          <w:trHeight w:val="863" w:hRule="exact"/>
        </w:trPr>
        <w:tc>
          <w:tcPr>
            <w:tcW w:w="9316" w:type="dxa"/>
            <w:tcBorders>
              <w:top w:val="nil" w:sz="6" w:space="0" w:color="auto"/>
              <w:left w:val="nil" w:sz="6" w:space="0" w:color="auto"/>
              <w:bottom w:val="nil" w:sz="6" w:space="0" w:color="auto"/>
              <w:right w:val="nil" w:sz="6" w:space="0" w:color="auto"/>
            </w:tcBorders>
          </w:tcPr>
          <w:p>
            <w:pPr>
              <w:pStyle w:val="TableParagraph"/>
              <w:spacing w:line="312" w:lineRule="exact" w:before="112"/>
              <w:ind w:left="200" w:right="198"/>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）划分为持有待售的资产期末余额</w:t>
            </w:r>
            <w:r>
              <w:rPr>
                <w:rFonts w:ascii="宋体" w:hAnsi="宋体" w:cs="宋体" w:eastAsia="宋体" w:hint="default"/>
                <w:spacing w:val="-69"/>
                <w:sz w:val="24"/>
                <w:szCs w:val="24"/>
              </w:rPr>
              <w:t> </w:t>
            </w:r>
            <w:r>
              <w:rPr>
                <w:rFonts w:ascii="宋体" w:hAnsi="宋体" w:cs="宋体" w:eastAsia="宋体" w:hint="default"/>
                <w:sz w:val="24"/>
                <w:szCs w:val="24"/>
              </w:rPr>
              <w:t>0</w:t>
            </w:r>
            <w:r>
              <w:rPr>
                <w:rFonts w:ascii="宋体" w:hAnsi="宋体" w:cs="宋体" w:eastAsia="宋体" w:hint="default"/>
                <w:spacing w:val="-69"/>
                <w:sz w:val="24"/>
                <w:szCs w:val="24"/>
              </w:rPr>
              <w:t> </w:t>
            </w:r>
            <w:r>
              <w:rPr>
                <w:rFonts w:ascii="宋体" w:hAnsi="宋体" w:cs="宋体" w:eastAsia="宋体" w:hint="default"/>
                <w:sz w:val="24"/>
                <w:szCs w:val="24"/>
              </w:rPr>
              <w:t>元，较期初减少</w:t>
            </w:r>
            <w:r>
              <w:rPr>
                <w:rFonts w:ascii="宋体" w:hAnsi="宋体" w:cs="宋体" w:eastAsia="宋体" w:hint="default"/>
                <w:spacing w:val="-69"/>
                <w:sz w:val="24"/>
                <w:szCs w:val="24"/>
              </w:rPr>
              <w:t> </w:t>
            </w:r>
            <w:r>
              <w:rPr>
                <w:rFonts w:ascii="宋体" w:hAnsi="宋体" w:cs="宋体" w:eastAsia="宋体" w:hint="default"/>
                <w:sz w:val="24"/>
                <w:szCs w:val="24"/>
              </w:rPr>
              <w:t>100.00%</w:t>
            </w:r>
            <w:r>
              <w:rPr>
                <w:rFonts w:ascii="宋体" w:hAnsi="宋体" w:cs="宋体" w:eastAsia="宋体" w:hint="default"/>
                <w:sz w:val="24"/>
                <w:szCs w:val="24"/>
              </w:rPr>
              <w:t>，主要是本期转让子 公司所致；</w:t>
            </w:r>
          </w:p>
        </w:tc>
      </w:tr>
      <w:tr>
        <w:trPr>
          <w:trHeight w:val="863" w:hRule="exact"/>
        </w:trPr>
        <w:tc>
          <w:tcPr>
            <w:tcW w:w="9316" w:type="dxa"/>
            <w:tcBorders>
              <w:top w:val="nil" w:sz="6" w:space="0" w:color="auto"/>
              <w:left w:val="nil" w:sz="6" w:space="0" w:color="auto"/>
              <w:bottom w:val="nil" w:sz="6" w:space="0" w:color="auto"/>
              <w:right w:val="nil" w:sz="6" w:space="0" w:color="auto"/>
            </w:tcBorders>
          </w:tcPr>
          <w:p>
            <w:pPr>
              <w:pStyle w:val="TableParagraph"/>
              <w:spacing w:line="312" w:lineRule="exact" w:before="112"/>
              <w:ind w:left="200" w:right="206"/>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）一年内到期的非流动资产期末余额</w:t>
            </w:r>
            <w:r>
              <w:rPr>
                <w:rFonts w:ascii="宋体" w:hAnsi="宋体" w:cs="宋体" w:eastAsia="宋体" w:hint="default"/>
                <w:spacing w:val="-64"/>
                <w:sz w:val="24"/>
                <w:szCs w:val="24"/>
              </w:rPr>
              <w:t> </w:t>
            </w:r>
            <w:r>
              <w:rPr>
                <w:rFonts w:ascii="宋体" w:hAnsi="宋体" w:cs="宋体" w:eastAsia="宋体" w:hint="default"/>
                <w:sz w:val="24"/>
                <w:szCs w:val="24"/>
              </w:rPr>
              <w:t>301,150,743.41</w:t>
            </w:r>
            <w:r>
              <w:rPr>
                <w:rFonts w:ascii="宋体" w:hAnsi="宋体" w:cs="宋体" w:eastAsia="宋体" w:hint="default"/>
                <w:spacing w:val="-64"/>
                <w:sz w:val="24"/>
                <w:szCs w:val="24"/>
              </w:rPr>
              <w:t> </w:t>
            </w:r>
            <w:r>
              <w:rPr>
                <w:rFonts w:ascii="宋体" w:hAnsi="宋体" w:cs="宋体" w:eastAsia="宋体" w:hint="default"/>
                <w:sz w:val="24"/>
                <w:szCs w:val="24"/>
              </w:rPr>
              <w:t>元，较期初增加</w:t>
            </w:r>
            <w:r>
              <w:rPr>
                <w:rFonts w:ascii="宋体" w:hAnsi="宋体" w:cs="宋体" w:eastAsia="宋体" w:hint="default"/>
                <w:spacing w:val="-64"/>
                <w:sz w:val="24"/>
                <w:szCs w:val="24"/>
              </w:rPr>
              <w:t> </w:t>
            </w:r>
            <w:r>
              <w:rPr>
                <w:rFonts w:ascii="宋体" w:hAnsi="宋体" w:cs="宋体" w:eastAsia="宋体" w:hint="default"/>
                <w:spacing w:val="-3"/>
                <w:sz w:val="24"/>
                <w:szCs w:val="24"/>
              </w:rPr>
              <w:t>30.16%</w:t>
            </w:r>
            <w:r>
              <w:rPr>
                <w:rFonts w:ascii="宋体" w:hAnsi="宋体" w:cs="宋体" w:eastAsia="宋体" w:hint="default"/>
                <w:spacing w:val="-3"/>
                <w:sz w:val="24"/>
                <w:szCs w:val="24"/>
              </w:rPr>
              <w:t>，主</w:t>
            </w:r>
            <w:r>
              <w:rPr>
                <w:rFonts w:ascii="宋体" w:hAnsi="宋体" w:cs="宋体" w:eastAsia="宋体" w:hint="default"/>
                <w:spacing w:val="-9"/>
                <w:sz w:val="24"/>
                <w:szCs w:val="24"/>
              </w:rPr>
              <w:t> </w:t>
            </w:r>
            <w:r>
              <w:rPr>
                <w:rFonts w:ascii="宋体" w:hAnsi="宋体" w:cs="宋体" w:eastAsia="宋体" w:hint="default"/>
                <w:sz w:val="24"/>
                <w:szCs w:val="24"/>
              </w:rPr>
              <w:t>要是本期一年到期的融资租赁应收款增加所致；</w:t>
            </w:r>
          </w:p>
        </w:tc>
      </w:tr>
      <w:tr>
        <w:trPr>
          <w:trHeight w:val="706" w:hRule="exact"/>
        </w:trPr>
        <w:tc>
          <w:tcPr>
            <w:tcW w:w="9316" w:type="dxa"/>
            <w:tcBorders>
              <w:top w:val="nil" w:sz="6" w:space="0" w:color="auto"/>
              <w:left w:val="nil" w:sz="6" w:space="0" w:color="auto"/>
              <w:bottom w:val="nil" w:sz="6" w:space="0" w:color="auto"/>
              <w:right w:val="nil" w:sz="6" w:space="0" w:color="auto"/>
            </w:tcBorders>
          </w:tcPr>
          <w:p>
            <w:pPr>
              <w:pStyle w:val="TableParagraph"/>
              <w:spacing w:line="310" w:lineRule="exact" w:before="114"/>
              <w:ind w:left="200" w:right="292"/>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4</w:t>
            </w:r>
            <w:r>
              <w:rPr>
                <w:rFonts w:ascii="宋体" w:hAnsi="宋体" w:cs="宋体" w:eastAsia="宋体" w:hint="default"/>
                <w:sz w:val="24"/>
                <w:szCs w:val="24"/>
              </w:rPr>
              <w:t>）其他流动资产期末余额</w:t>
            </w:r>
            <w:r>
              <w:rPr>
                <w:rFonts w:ascii="宋体" w:hAnsi="宋体" w:cs="宋体" w:eastAsia="宋体" w:hint="default"/>
                <w:spacing w:val="-60"/>
                <w:sz w:val="24"/>
                <w:szCs w:val="24"/>
              </w:rPr>
              <w:t> </w:t>
            </w:r>
            <w:r>
              <w:rPr>
                <w:rFonts w:ascii="宋体" w:hAnsi="宋体" w:cs="宋体" w:eastAsia="宋体" w:hint="default"/>
                <w:sz w:val="24"/>
                <w:szCs w:val="24"/>
              </w:rPr>
              <w:t>71,319,046.23</w:t>
            </w:r>
            <w:r>
              <w:rPr>
                <w:rFonts w:ascii="宋体" w:hAnsi="宋体" w:cs="宋体" w:eastAsia="宋体" w:hint="default"/>
                <w:spacing w:val="-60"/>
                <w:sz w:val="24"/>
                <w:szCs w:val="24"/>
              </w:rPr>
              <w:t> </w:t>
            </w:r>
            <w:r>
              <w:rPr>
                <w:rFonts w:ascii="宋体" w:hAnsi="宋体" w:cs="宋体" w:eastAsia="宋体" w:hint="default"/>
                <w:sz w:val="24"/>
                <w:szCs w:val="24"/>
              </w:rPr>
              <w:t>元，较期初增加</w:t>
            </w:r>
            <w:r>
              <w:rPr>
                <w:rFonts w:ascii="宋体" w:hAnsi="宋体" w:cs="宋体" w:eastAsia="宋体" w:hint="default"/>
                <w:spacing w:val="-60"/>
                <w:sz w:val="24"/>
                <w:szCs w:val="24"/>
              </w:rPr>
              <w:t> </w:t>
            </w:r>
            <w:r>
              <w:rPr>
                <w:rFonts w:ascii="宋体" w:hAnsi="宋体" w:cs="宋体" w:eastAsia="宋体" w:hint="default"/>
                <w:sz w:val="24"/>
                <w:szCs w:val="24"/>
              </w:rPr>
              <w:t>69.34%</w:t>
            </w:r>
            <w:r>
              <w:rPr>
                <w:rFonts w:ascii="宋体" w:hAnsi="宋体" w:cs="宋体" w:eastAsia="宋体" w:hint="default"/>
                <w:sz w:val="24"/>
                <w:szCs w:val="24"/>
              </w:rPr>
              <w:t>，主要是本期购 买理财产品所致；</w:t>
            </w:r>
          </w:p>
        </w:tc>
      </w:tr>
    </w:tbl>
    <w:p>
      <w:pPr>
        <w:spacing w:after="0" w:line="310" w:lineRule="exact"/>
        <w:jc w:val="left"/>
        <w:rPr>
          <w:rFonts w:ascii="宋体" w:hAnsi="宋体" w:cs="宋体" w:eastAsia="宋体" w:hint="default"/>
          <w:sz w:val="24"/>
          <w:szCs w:val="24"/>
        </w:rPr>
        <w:sectPr>
          <w:pgSz w:w="11910" w:h="16840"/>
          <w:pgMar w:header="882" w:footer="1194" w:top="1120" w:bottom="1380" w:left="1300" w:right="1060"/>
        </w:sectPr>
      </w:pPr>
    </w:p>
    <w:p>
      <w:pPr>
        <w:spacing w:line="240" w:lineRule="auto" w:before="4"/>
        <w:rPr>
          <w:rFonts w:ascii="Times New Roman" w:hAnsi="Times New Roman" w:cs="Times New Roman" w:eastAsia="Times New Roman"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9038"/>
      </w:tblGrid>
      <w:tr>
        <w:trPr>
          <w:trHeight w:val="1022" w:hRule="exact"/>
        </w:trPr>
        <w:tc>
          <w:tcPr>
            <w:tcW w:w="9038"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2" w:lineRule="exact"/>
              <w:ind w:left="122" w:right="92"/>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5</w:t>
            </w:r>
            <w:r>
              <w:rPr>
                <w:rFonts w:ascii="宋体" w:hAnsi="宋体" w:cs="宋体" w:eastAsia="宋体" w:hint="default"/>
                <w:sz w:val="24"/>
                <w:szCs w:val="24"/>
              </w:rPr>
              <w:t>）可供出售金融资产期末余额</w:t>
            </w:r>
            <w:r>
              <w:rPr>
                <w:rFonts w:ascii="宋体" w:hAnsi="宋体" w:cs="宋体" w:eastAsia="宋体" w:hint="default"/>
                <w:spacing w:val="-60"/>
                <w:sz w:val="24"/>
                <w:szCs w:val="24"/>
              </w:rPr>
              <w:t> </w:t>
            </w:r>
            <w:r>
              <w:rPr>
                <w:rFonts w:ascii="宋体" w:hAnsi="宋体" w:cs="宋体" w:eastAsia="宋体" w:hint="default"/>
                <w:sz w:val="24"/>
                <w:szCs w:val="24"/>
              </w:rPr>
              <w:t>67,400,000.00</w:t>
            </w:r>
            <w:r>
              <w:rPr>
                <w:rFonts w:ascii="宋体" w:hAnsi="宋体" w:cs="宋体" w:eastAsia="宋体" w:hint="default"/>
                <w:spacing w:val="-60"/>
                <w:sz w:val="24"/>
                <w:szCs w:val="24"/>
              </w:rPr>
              <w:t> </w:t>
            </w:r>
            <w:r>
              <w:rPr>
                <w:rFonts w:ascii="宋体" w:hAnsi="宋体" w:cs="宋体" w:eastAsia="宋体" w:hint="default"/>
                <w:sz w:val="24"/>
                <w:szCs w:val="24"/>
              </w:rPr>
              <w:t>元，较期初增加</w:t>
            </w:r>
            <w:r>
              <w:rPr>
                <w:rFonts w:ascii="宋体" w:hAnsi="宋体" w:cs="宋体" w:eastAsia="宋体" w:hint="default"/>
                <w:spacing w:val="-60"/>
                <w:sz w:val="24"/>
                <w:szCs w:val="24"/>
              </w:rPr>
              <w:t> </w:t>
            </w:r>
            <w:r>
              <w:rPr>
                <w:rFonts w:ascii="宋体" w:hAnsi="宋体" w:cs="宋体" w:eastAsia="宋体" w:hint="default"/>
                <w:sz w:val="24"/>
                <w:szCs w:val="24"/>
              </w:rPr>
              <w:t>22,366.67%</w:t>
            </w:r>
            <w:r>
              <w:rPr>
                <w:rFonts w:ascii="宋体" w:hAnsi="宋体" w:cs="宋体" w:eastAsia="宋体" w:hint="default"/>
                <w:sz w:val="24"/>
                <w:szCs w:val="24"/>
              </w:rPr>
              <w:t>，主要 是本期新增投资所致；</w:t>
            </w:r>
          </w:p>
        </w:tc>
      </w:tr>
      <w:tr>
        <w:trPr>
          <w:trHeight w:val="863" w:hRule="exact"/>
        </w:trPr>
        <w:tc>
          <w:tcPr>
            <w:tcW w:w="9038" w:type="dxa"/>
            <w:tcBorders>
              <w:top w:val="nil" w:sz="6" w:space="0" w:color="auto"/>
              <w:left w:val="nil" w:sz="6" w:space="0" w:color="auto"/>
              <w:bottom w:val="nil" w:sz="6" w:space="0" w:color="auto"/>
              <w:right w:val="nil" w:sz="6" w:space="0" w:color="auto"/>
            </w:tcBorders>
          </w:tcPr>
          <w:p>
            <w:pPr>
              <w:pStyle w:val="TableParagraph"/>
              <w:spacing w:line="312" w:lineRule="exact" w:before="112"/>
              <w:ind w:left="122"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6</w:t>
            </w:r>
            <w:r>
              <w:rPr>
                <w:rFonts w:ascii="宋体" w:hAnsi="宋体" w:cs="宋体" w:eastAsia="宋体" w:hint="default"/>
                <w:sz w:val="24"/>
                <w:szCs w:val="24"/>
              </w:rPr>
              <w:t>）长期应收款期末余额</w:t>
            </w:r>
            <w:r>
              <w:rPr>
                <w:rFonts w:ascii="宋体" w:hAnsi="宋体" w:cs="宋体" w:eastAsia="宋体" w:hint="default"/>
                <w:spacing w:val="-69"/>
                <w:sz w:val="24"/>
                <w:szCs w:val="24"/>
              </w:rPr>
              <w:t> </w:t>
            </w:r>
            <w:r>
              <w:rPr>
                <w:rFonts w:ascii="宋体" w:hAnsi="宋体" w:cs="宋体" w:eastAsia="宋体" w:hint="default"/>
                <w:sz w:val="24"/>
                <w:szCs w:val="24"/>
              </w:rPr>
              <w:t>585,903,776.55</w:t>
            </w:r>
            <w:r>
              <w:rPr>
                <w:rFonts w:ascii="宋体" w:hAnsi="宋体" w:cs="宋体" w:eastAsia="宋体" w:hint="default"/>
                <w:spacing w:val="-69"/>
                <w:sz w:val="24"/>
                <w:szCs w:val="24"/>
              </w:rPr>
              <w:t> </w:t>
            </w:r>
            <w:r>
              <w:rPr>
                <w:rFonts w:ascii="宋体" w:hAnsi="宋体" w:cs="宋体" w:eastAsia="宋体" w:hint="default"/>
                <w:sz w:val="24"/>
                <w:szCs w:val="24"/>
              </w:rPr>
              <w:t>元，较期初增加</w:t>
            </w:r>
            <w:r>
              <w:rPr>
                <w:rFonts w:ascii="宋体" w:hAnsi="宋体" w:cs="宋体" w:eastAsia="宋体" w:hint="default"/>
                <w:spacing w:val="-69"/>
                <w:sz w:val="24"/>
                <w:szCs w:val="24"/>
              </w:rPr>
              <w:t> </w:t>
            </w:r>
            <w:r>
              <w:rPr>
                <w:rFonts w:ascii="宋体" w:hAnsi="宋体" w:cs="宋体" w:eastAsia="宋体" w:hint="default"/>
                <w:sz w:val="24"/>
                <w:szCs w:val="24"/>
              </w:rPr>
              <w:t>82.02%</w:t>
            </w:r>
            <w:r>
              <w:rPr>
                <w:rFonts w:ascii="宋体" w:hAnsi="宋体" w:cs="宋体" w:eastAsia="宋体" w:hint="default"/>
                <w:sz w:val="24"/>
                <w:szCs w:val="24"/>
              </w:rPr>
              <w:t>，主要是本期融资 租赁业务增加所致；</w:t>
            </w:r>
          </w:p>
        </w:tc>
      </w:tr>
      <w:tr>
        <w:trPr>
          <w:trHeight w:val="863" w:hRule="exact"/>
        </w:trPr>
        <w:tc>
          <w:tcPr>
            <w:tcW w:w="9038" w:type="dxa"/>
            <w:tcBorders>
              <w:top w:val="nil" w:sz="6" w:space="0" w:color="auto"/>
              <w:left w:val="nil" w:sz="6" w:space="0" w:color="auto"/>
              <w:bottom w:val="nil" w:sz="6" w:space="0" w:color="auto"/>
              <w:right w:val="nil" w:sz="6" w:space="0" w:color="auto"/>
            </w:tcBorders>
          </w:tcPr>
          <w:p>
            <w:pPr>
              <w:pStyle w:val="TableParagraph"/>
              <w:spacing w:line="310" w:lineRule="exact" w:before="114"/>
              <w:ind w:left="122"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7</w:t>
            </w:r>
            <w:r>
              <w:rPr>
                <w:rFonts w:ascii="宋体" w:hAnsi="宋体" w:cs="宋体" w:eastAsia="宋体" w:hint="default"/>
                <w:sz w:val="24"/>
                <w:szCs w:val="24"/>
              </w:rPr>
              <w:t>）长期股权投资期末余额</w:t>
            </w:r>
            <w:r>
              <w:rPr>
                <w:rFonts w:ascii="宋体" w:hAnsi="宋体" w:cs="宋体" w:eastAsia="宋体" w:hint="default"/>
                <w:spacing w:val="-69"/>
                <w:sz w:val="24"/>
                <w:szCs w:val="24"/>
              </w:rPr>
              <w:t> </w:t>
            </w:r>
            <w:r>
              <w:rPr>
                <w:rFonts w:ascii="宋体" w:hAnsi="宋体" w:cs="宋体" w:eastAsia="宋体" w:hint="default"/>
                <w:sz w:val="24"/>
                <w:szCs w:val="24"/>
              </w:rPr>
              <w:t>63,845,660.81</w:t>
            </w:r>
            <w:r>
              <w:rPr>
                <w:rFonts w:ascii="宋体" w:hAnsi="宋体" w:cs="宋体" w:eastAsia="宋体" w:hint="default"/>
                <w:spacing w:val="-69"/>
                <w:sz w:val="24"/>
                <w:szCs w:val="24"/>
              </w:rPr>
              <w:t> </w:t>
            </w:r>
            <w:r>
              <w:rPr>
                <w:rFonts w:ascii="宋体" w:hAnsi="宋体" w:cs="宋体" w:eastAsia="宋体" w:hint="default"/>
                <w:sz w:val="24"/>
                <w:szCs w:val="24"/>
              </w:rPr>
              <w:t>元，较期初增加</w:t>
            </w:r>
            <w:r>
              <w:rPr>
                <w:rFonts w:ascii="宋体" w:hAnsi="宋体" w:cs="宋体" w:eastAsia="宋体" w:hint="default"/>
                <w:spacing w:val="-69"/>
                <w:sz w:val="24"/>
                <w:szCs w:val="24"/>
              </w:rPr>
              <w:t> </w:t>
            </w:r>
            <w:r>
              <w:rPr>
                <w:rFonts w:ascii="宋体" w:hAnsi="宋体" w:cs="宋体" w:eastAsia="宋体" w:hint="default"/>
                <w:sz w:val="24"/>
                <w:szCs w:val="24"/>
              </w:rPr>
              <w:t>327.13%</w:t>
            </w:r>
            <w:r>
              <w:rPr>
                <w:rFonts w:ascii="宋体" w:hAnsi="宋体" w:cs="宋体" w:eastAsia="宋体" w:hint="default"/>
                <w:sz w:val="24"/>
                <w:szCs w:val="24"/>
              </w:rPr>
              <w:t>，主要是本期新 增联营公司所致；</w:t>
            </w:r>
          </w:p>
        </w:tc>
      </w:tr>
      <w:tr>
        <w:trPr>
          <w:trHeight w:val="862" w:hRule="exact"/>
        </w:trPr>
        <w:tc>
          <w:tcPr>
            <w:tcW w:w="9038" w:type="dxa"/>
            <w:tcBorders>
              <w:top w:val="nil" w:sz="6" w:space="0" w:color="auto"/>
              <w:left w:val="nil" w:sz="6" w:space="0" w:color="auto"/>
              <w:bottom w:val="nil" w:sz="6" w:space="0" w:color="auto"/>
              <w:right w:val="nil" w:sz="6" w:space="0" w:color="auto"/>
            </w:tcBorders>
          </w:tcPr>
          <w:p>
            <w:pPr>
              <w:pStyle w:val="TableParagraph"/>
              <w:spacing w:line="310" w:lineRule="exact" w:before="114"/>
              <w:ind w:left="122" w:right="92"/>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8</w:t>
            </w:r>
            <w:r>
              <w:rPr>
                <w:rFonts w:ascii="宋体" w:hAnsi="宋体" w:cs="宋体" w:eastAsia="宋体" w:hint="default"/>
                <w:sz w:val="24"/>
                <w:szCs w:val="24"/>
              </w:rPr>
              <w:t>）在建工程期末余额</w:t>
            </w:r>
            <w:r>
              <w:rPr>
                <w:rFonts w:ascii="宋体" w:hAnsi="宋体" w:cs="宋体" w:eastAsia="宋体" w:hint="default"/>
                <w:spacing w:val="-60"/>
                <w:sz w:val="24"/>
                <w:szCs w:val="24"/>
              </w:rPr>
              <w:t> </w:t>
            </w:r>
            <w:r>
              <w:rPr>
                <w:rFonts w:ascii="宋体" w:hAnsi="宋体" w:cs="宋体" w:eastAsia="宋体" w:hint="default"/>
                <w:sz w:val="24"/>
                <w:szCs w:val="24"/>
              </w:rPr>
              <w:t>213,051,760.55</w:t>
            </w:r>
            <w:r>
              <w:rPr>
                <w:rFonts w:ascii="宋体" w:hAnsi="宋体" w:cs="宋体" w:eastAsia="宋体" w:hint="default"/>
                <w:spacing w:val="-60"/>
                <w:sz w:val="24"/>
                <w:szCs w:val="24"/>
              </w:rPr>
              <w:t> </w:t>
            </w:r>
            <w:r>
              <w:rPr>
                <w:rFonts w:ascii="宋体" w:hAnsi="宋体" w:cs="宋体" w:eastAsia="宋体" w:hint="default"/>
                <w:sz w:val="24"/>
                <w:szCs w:val="24"/>
              </w:rPr>
              <w:t>元，较期初增加</w:t>
            </w:r>
            <w:r>
              <w:rPr>
                <w:rFonts w:ascii="宋体" w:hAnsi="宋体" w:cs="宋体" w:eastAsia="宋体" w:hint="default"/>
                <w:spacing w:val="-60"/>
                <w:sz w:val="24"/>
                <w:szCs w:val="24"/>
              </w:rPr>
              <w:t> </w:t>
            </w:r>
            <w:r>
              <w:rPr>
                <w:rFonts w:ascii="宋体" w:hAnsi="宋体" w:cs="宋体" w:eastAsia="宋体" w:hint="default"/>
                <w:sz w:val="24"/>
                <w:szCs w:val="24"/>
              </w:rPr>
              <w:t>282.74%</w:t>
            </w:r>
            <w:r>
              <w:rPr>
                <w:rFonts w:ascii="宋体" w:hAnsi="宋体" w:cs="宋体" w:eastAsia="宋体" w:hint="default"/>
                <w:sz w:val="24"/>
                <w:szCs w:val="24"/>
              </w:rPr>
              <w:t>，主要是本期科研 大楼项目所致；</w:t>
            </w:r>
          </w:p>
        </w:tc>
      </w:tr>
      <w:tr>
        <w:trPr>
          <w:trHeight w:val="863" w:hRule="exact"/>
        </w:trPr>
        <w:tc>
          <w:tcPr>
            <w:tcW w:w="9038" w:type="dxa"/>
            <w:tcBorders>
              <w:top w:val="nil" w:sz="6" w:space="0" w:color="auto"/>
              <w:left w:val="nil" w:sz="6" w:space="0" w:color="auto"/>
              <w:bottom w:val="nil" w:sz="6" w:space="0" w:color="auto"/>
              <w:right w:val="nil" w:sz="6" w:space="0" w:color="auto"/>
            </w:tcBorders>
          </w:tcPr>
          <w:p>
            <w:pPr>
              <w:pStyle w:val="TableParagraph"/>
              <w:spacing w:line="312" w:lineRule="exact" w:before="112"/>
              <w:ind w:left="122" w:right="92"/>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9</w:t>
            </w:r>
            <w:r>
              <w:rPr>
                <w:rFonts w:ascii="宋体" w:hAnsi="宋体" w:cs="宋体" w:eastAsia="宋体" w:hint="default"/>
                <w:sz w:val="24"/>
                <w:szCs w:val="24"/>
              </w:rPr>
              <w:t>）长期待摊费用期末余额</w:t>
            </w:r>
            <w:r>
              <w:rPr>
                <w:rFonts w:ascii="宋体" w:hAnsi="宋体" w:cs="宋体" w:eastAsia="宋体" w:hint="default"/>
                <w:spacing w:val="-60"/>
                <w:sz w:val="24"/>
                <w:szCs w:val="24"/>
              </w:rPr>
              <w:t> </w:t>
            </w:r>
            <w:r>
              <w:rPr>
                <w:rFonts w:ascii="宋体" w:hAnsi="宋体" w:cs="宋体" w:eastAsia="宋体" w:hint="default"/>
                <w:sz w:val="24"/>
                <w:szCs w:val="24"/>
              </w:rPr>
              <w:t>4,616,879.92</w:t>
            </w:r>
            <w:r>
              <w:rPr>
                <w:rFonts w:ascii="宋体" w:hAnsi="宋体" w:cs="宋体" w:eastAsia="宋体" w:hint="default"/>
                <w:spacing w:val="-60"/>
                <w:sz w:val="24"/>
                <w:szCs w:val="24"/>
              </w:rPr>
              <w:t> </w:t>
            </w:r>
            <w:r>
              <w:rPr>
                <w:rFonts w:ascii="宋体" w:hAnsi="宋体" w:cs="宋体" w:eastAsia="宋体" w:hint="default"/>
                <w:sz w:val="24"/>
                <w:szCs w:val="24"/>
              </w:rPr>
              <w:t>元，较期初增加</w:t>
            </w:r>
            <w:r>
              <w:rPr>
                <w:rFonts w:ascii="宋体" w:hAnsi="宋体" w:cs="宋体" w:eastAsia="宋体" w:hint="default"/>
                <w:spacing w:val="-60"/>
                <w:sz w:val="24"/>
                <w:szCs w:val="24"/>
              </w:rPr>
              <w:t> </w:t>
            </w:r>
            <w:r>
              <w:rPr>
                <w:rFonts w:ascii="宋体" w:hAnsi="宋体" w:cs="宋体" w:eastAsia="宋体" w:hint="default"/>
                <w:sz w:val="24"/>
                <w:szCs w:val="24"/>
              </w:rPr>
              <w:t>105.64%</w:t>
            </w:r>
            <w:r>
              <w:rPr>
                <w:rFonts w:ascii="宋体" w:hAnsi="宋体" w:cs="宋体" w:eastAsia="宋体" w:hint="default"/>
                <w:sz w:val="24"/>
                <w:szCs w:val="24"/>
              </w:rPr>
              <w:t>，主要是本期租 入房屋装修费增加所致；</w:t>
            </w:r>
          </w:p>
        </w:tc>
      </w:tr>
      <w:tr>
        <w:trPr>
          <w:trHeight w:val="862" w:hRule="exact"/>
        </w:trPr>
        <w:tc>
          <w:tcPr>
            <w:tcW w:w="9038" w:type="dxa"/>
            <w:tcBorders>
              <w:top w:val="nil" w:sz="6" w:space="0" w:color="auto"/>
              <w:left w:val="nil" w:sz="6" w:space="0" w:color="auto"/>
              <w:bottom w:val="nil" w:sz="6" w:space="0" w:color="auto"/>
              <w:right w:val="nil" w:sz="6" w:space="0" w:color="auto"/>
            </w:tcBorders>
          </w:tcPr>
          <w:p>
            <w:pPr>
              <w:pStyle w:val="TableParagraph"/>
              <w:spacing w:line="310" w:lineRule="exact" w:before="113"/>
              <w:ind w:left="122"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10</w:t>
            </w:r>
            <w:r>
              <w:rPr>
                <w:rFonts w:ascii="宋体" w:hAnsi="宋体" w:cs="宋体" w:eastAsia="宋体" w:hint="default"/>
                <w:sz w:val="24"/>
                <w:szCs w:val="24"/>
              </w:rPr>
              <w:t>）递延所得税资产期末余额</w:t>
            </w:r>
            <w:r>
              <w:rPr>
                <w:rFonts w:ascii="宋体" w:hAnsi="宋体" w:cs="宋体" w:eastAsia="宋体" w:hint="default"/>
                <w:spacing w:val="-69"/>
                <w:sz w:val="24"/>
                <w:szCs w:val="24"/>
              </w:rPr>
              <w:t> </w:t>
            </w:r>
            <w:r>
              <w:rPr>
                <w:rFonts w:ascii="宋体" w:hAnsi="宋体" w:cs="宋体" w:eastAsia="宋体" w:hint="default"/>
                <w:sz w:val="24"/>
                <w:szCs w:val="24"/>
              </w:rPr>
              <w:t>35,302,223.16</w:t>
            </w:r>
            <w:r>
              <w:rPr>
                <w:rFonts w:ascii="宋体" w:hAnsi="宋体" w:cs="宋体" w:eastAsia="宋体" w:hint="default"/>
                <w:spacing w:val="-69"/>
                <w:sz w:val="24"/>
                <w:szCs w:val="24"/>
              </w:rPr>
              <w:t> </w:t>
            </w:r>
            <w:r>
              <w:rPr>
                <w:rFonts w:ascii="宋体" w:hAnsi="宋体" w:cs="宋体" w:eastAsia="宋体" w:hint="default"/>
                <w:sz w:val="24"/>
                <w:szCs w:val="24"/>
              </w:rPr>
              <w:t>元，较期初增加</w:t>
            </w:r>
            <w:r>
              <w:rPr>
                <w:rFonts w:ascii="宋体" w:hAnsi="宋体" w:cs="宋体" w:eastAsia="宋体" w:hint="default"/>
                <w:spacing w:val="-69"/>
                <w:sz w:val="24"/>
                <w:szCs w:val="24"/>
              </w:rPr>
              <w:t> </w:t>
            </w:r>
            <w:r>
              <w:rPr>
                <w:rFonts w:ascii="宋体" w:hAnsi="宋体" w:cs="宋体" w:eastAsia="宋体" w:hint="default"/>
                <w:sz w:val="24"/>
                <w:szCs w:val="24"/>
              </w:rPr>
              <w:t>32.02%</w:t>
            </w:r>
            <w:r>
              <w:rPr>
                <w:rFonts w:ascii="宋体" w:hAnsi="宋体" w:cs="宋体" w:eastAsia="宋体" w:hint="default"/>
                <w:sz w:val="24"/>
                <w:szCs w:val="24"/>
              </w:rPr>
              <w:t>，主要是本期 可抵扣亏损增加所致；</w:t>
            </w:r>
          </w:p>
        </w:tc>
      </w:tr>
      <w:tr>
        <w:trPr>
          <w:trHeight w:val="863" w:hRule="exact"/>
        </w:trPr>
        <w:tc>
          <w:tcPr>
            <w:tcW w:w="9038" w:type="dxa"/>
            <w:tcBorders>
              <w:top w:val="nil" w:sz="6" w:space="0" w:color="auto"/>
              <w:left w:val="nil" w:sz="6" w:space="0" w:color="auto"/>
              <w:bottom w:val="nil" w:sz="6" w:space="0" w:color="auto"/>
              <w:right w:val="nil" w:sz="6" w:space="0" w:color="auto"/>
            </w:tcBorders>
          </w:tcPr>
          <w:p>
            <w:pPr>
              <w:pStyle w:val="TableParagraph"/>
              <w:spacing w:line="310" w:lineRule="exact" w:before="114"/>
              <w:ind w:left="122"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11</w:t>
            </w:r>
            <w:r>
              <w:rPr>
                <w:rFonts w:ascii="宋体" w:hAnsi="宋体" w:cs="宋体" w:eastAsia="宋体" w:hint="default"/>
                <w:sz w:val="24"/>
                <w:szCs w:val="24"/>
              </w:rPr>
              <w:t>）其他非流动资产期末余额</w:t>
            </w:r>
            <w:r>
              <w:rPr>
                <w:rFonts w:ascii="宋体" w:hAnsi="宋体" w:cs="宋体" w:eastAsia="宋体" w:hint="default"/>
                <w:spacing w:val="-69"/>
                <w:sz w:val="24"/>
                <w:szCs w:val="24"/>
              </w:rPr>
              <w:t> </w:t>
            </w:r>
            <w:r>
              <w:rPr>
                <w:rFonts w:ascii="宋体" w:hAnsi="宋体" w:cs="宋体" w:eastAsia="宋体" w:hint="default"/>
                <w:sz w:val="24"/>
                <w:szCs w:val="24"/>
              </w:rPr>
              <w:t>77,520,850.83</w:t>
            </w:r>
            <w:r>
              <w:rPr>
                <w:rFonts w:ascii="宋体" w:hAnsi="宋体" w:cs="宋体" w:eastAsia="宋体" w:hint="default"/>
                <w:spacing w:val="-69"/>
                <w:sz w:val="24"/>
                <w:szCs w:val="24"/>
              </w:rPr>
              <w:t> </w:t>
            </w:r>
            <w:r>
              <w:rPr>
                <w:rFonts w:ascii="宋体" w:hAnsi="宋体" w:cs="宋体" w:eastAsia="宋体" w:hint="default"/>
                <w:sz w:val="24"/>
                <w:szCs w:val="24"/>
              </w:rPr>
              <w:t>元，较期初减少</w:t>
            </w:r>
            <w:r>
              <w:rPr>
                <w:rFonts w:ascii="宋体" w:hAnsi="宋体" w:cs="宋体" w:eastAsia="宋体" w:hint="default"/>
                <w:spacing w:val="-69"/>
                <w:sz w:val="24"/>
                <w:szCs w:val="24"/>
              </w:rPr>
              <w:t> </w:t>
            </w:r>
            <w:r>
              <w:rPr>
                <w:rFonts w:ascii="宋体" w:hAnsi="宋体" w:cs="宋体" w:eastAsia="宋体" w:hint="default"/>
                <w:sz w:val="24"/>
                <w:szCs w:val="24"/>
              </w:rPr>
              <w:t>61.36%</w:t>
            </w:r>
            <w:r>
              <w:rPr>
                <w:rFonts w:ascii="宋体" w:hAnsi="宋体" w:cs="宋体" w:eastAsia="宋体" w:hint="default"/>
                <w:sz w:val="24"/>
                <w:szCs w:val="24"/>
              </w:rPr>
              <w:t>，主要是本期 预付融资租赁资产款减少所致；</w:t>
            </w:r>
          </w:p>
        </w:tc>
      </w:tr>
      <w:tr>
        <w:trPr>
          <w:trHeight w:val="862" w:hRule="exact"/>
        </w:trPr>
        <w:tc>
          <w:tcPr>
            <w:tcW w:w="9038" w:type="dxa"/>
            <w:tcBorders>
              <w:top w:val="nil" w:sz="6" w:space="0" w:color="auto"/>
              <w:left w:val="nil" w:sz="6" w:space="0" w:color="auto"/>
              <w:bottom w:val="nil" w:sz="6" w:space="0" w:color="auto"/>
              <w:right w:val="nil" w:sz="6" w:space="0" w:color="auto"/>
            </w:tcBorders>
          </w:tcPr>
          <w:p>
            <w:pPr>
              <w:pStyle w:val="TableParagraph"/>
              <w:spacing w:line="310" w:lineRule="exact" w:before="114"/>
              <w:ind w:left="122"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z w:val="24"/>
                <w:szCs w:val="24"/>
              </w:rPr>
              <w:t>）短期借款期末余额</w:t>
            </w:r>
            <w:r>
              <w:rPr>
                <w:rFonts w:ascii="宋体" w:hAnsi="宋体" w:cs="宋体" w:eastAsia="宋体" w:hint="default"/>
                <w:spacing w:val="-69"/>
                <w:sz w:val="24"/>
                <w:szCs w:val="24"/>
              </w:rPr>
              <w:t> </w:t>
            </w:r>
            <w:r>
              <w:rPr>
                <w:rFonts w:ascii="宋体" w:hAnsi="宋体" w:cs="宋体" w:eastAsia="宋体" w:hint="default"/>
                <w:sz w:val="24"/>
                <w:szCs w:val="24"/>
              </w:rPr>
              <w:t>511,316,420.55</w:t>
            </w:r>
            <w:r>
              <w:rPr>
                <w:rFonts w:ascii="宋体" w:hAnsi="宋体" w:cs="宋体" w:eastAsia="宋体" w:hint="default"/>
                <w:spacing w:val="-69"/>
                <w:sz w:val="24"/>
                <w:szCs w:val="24"/>
              </w:rPr>
              <w:t> </w:t>
            </w:r>
            <w:r>
              <w:rPr>
                <w:rFonts w:ascii="宋体" w:hAnsi="宋体" w:cs="宋体" w:eastAsia="宋体" w:hint="default"/>
                <w:sz w:val="24"/>
                <w:szCs w:val="24"/>
              </w:rPr>
              <w:t>元，较期初增加</w:t>
            </w:r>
            <w:r>
              <w:rPr>
                <w:rFonts w:ascii="宋体" w:hAnsi="宋体" w:cs="宋体" w:eastAsia="宋体" w:hint="default"/>
                <w:spacing w:val="-69"/>
                <w:sz w:val="24"/>
                <w:szCs w:val="24"/>
              </w:rPr>
              <w:t> </w:t>
            </w:r>
            <w:r>
              <w:rPr>
                <w:rFonts w:ascii="宋体" w:hAnsi="宋体" w:cs="宋体" w:eastAsia="宋体" w:hint="default"/>
                <w:sz w:val="24"/>
                <w:szCs w:val="24"/>
              </w:rPr>
              <w:t>123.90%</w:t>
            </w:r>
            <w:r>
              <w:rPr>
                <w:rFonts w:ascii="宋体" w:hAnsi="宋体" w:cs="宋体" w:eastAsia="宋体" w:hint="default"/>
                <w:sz w:val="24"/>
                <w:szCs w:val="24"/>
              </w:rPr>
              <w:t>，主要是本期银行 借款增加所致；</w:t>
            </w:r>
          </w:p>
        </w:tc>
      </w:tr>
      <w:tr>
        <w:trPr>
          <w:trHeight w:val="863" w:hRule="exact"/>
        </w:trPr>
        <w:tc>
          <w:tcPr>
            <w:tcW w:w="9038" w:type="dxa"/>
            <w:tcBorders>
              <w:top w:val="nil" w:sz="6" w:space="0" w:color="auto"/>
              <w:left w:val="nil" w:sz="6" w:space="0" w:color="auto"/>
              <w:bottom w:val="nil" w:sz="6" w:space="0" w:color="auto"/>
              <w:right w:val="nil" w:sz="6" w:space="0" w:color="auto"/>
            </w:tcBorders>
          </w:tcPr>
          <w:p>
            <w:pPr>
              <w:pStyle w:val="TableParagraph"/>
              <w:spacing w:line="312" w:lineRule="exact" w:before="112"/>
              <w:ind w:left="122"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13</w:t>
            </w:r>
            <w:r>
              <w:rPr>
                <w:rFonts w:ascii="宋体" w:hAnsi="宋体" w:cs="宋体" w:eastAsia="宋体" w:hint="default"/>
                <w:sz w:val="24"/>
                <w:szCs w:val="24"/>
              </w:rPr>
              <w:t>）应付票据期末余额</w:t>
            </w:r>
            <w:r>
              <w:rPr>
                <w:rFonts w:ascii="宋体" w:hAnsi="宋体" w:cs="宋体" w:eastAsia="宋体" w:hint="default"/>
                <w:spacing w:val="-69"/>
                <w:sz w:val="24"/>
                <w:szCs w:val="24"/>
              </w:rPr>
              <w:t> </w:t>
            </w:r>
            <w:r>
              <w:rPr>
                <w:rFonts w:ascii="宋体" w:hAnsi="宋体" w:cs="宋体" w:eastAsia="宋体" w:hint="default"/>
                <w:sz w:val="24"/>
                <w:szCs w:val="24"/>
              </w:rPr>
              <w:t>94,158,175.20</w:t>
            </w:r>
            <w:r>
              <w:rPr>
                <w:rFonts w:ascii="宋体" w:hAnsi="宋体" w:cs="宋体" w:eastAsia="宋体" w:hint="default"/>
                <w:spacing w:val="-69"/>
                <w:sz w:val="24"/>
                <w:szCs w:val="24"/>
              </w:rPr>
              <w:t> </w:t>
            </w:r>
            <w:r>
              <w:rPr>
                <w:rFonts w:ascii="宋体" w:hAnsi="宋体" w:cs="宋体" w:eastAsia="宋体" w:hint="default"/>
                <w:sz w:val="24"/>
                <w:szCs w:val="24"/>
              </w:rPr>
              <w:t>元，较期初减少</w:t>
            </w:r>
            <w:r>
              <w:rPr>
                <w:rFonts w:ascii="宋体" w:hAnsi="宋体" w:cs="宋体" w:eastAsia="宋体" w:hint="default"/>
                <w:spacing w:val="-69"/>
                <w:sz w:val="24"/>
                <w:szCs w:val="24"/>
              </w:rPr>
              <w:t> </w:t>
            </w:r>
            <w:r>
              <w:rPr>
                <w:rFonts w:ascii="宋体" w:hAnsi="宋体" w:cs="宋体" w:eastAsia="宋体" w:hint="default"/>
                <w:sz w:val="24"/>
                <w:szCs w:val="24"/>
              </w:rPr>
              <w:t>58.40%</w:t>
            </w:r>
            <w:r>
              <w:rPr>
                <w:rFonts w:ascii="宋体" w:hAnsi="宋体" w:cs="宋体" w:eastAsia="宋体" w:hint="default"/>
                <w:sz w:val="24"/>
                <w:szCs w:val="24"/>
              </w:rPr>
              <w:t>，主要是本期票据到 期所致；</w:t>
            </w:r>
          </w:p>
        </w:tc>
      </w:tr>
      <w:tr>
        <w:trPr>
          <w:trHeight w:val="862" w:hRule="exact"/>
        </w:trPr>
        <w:tc>
          <w:tcPr>
            <w:tcW w:w="9038" w:type="dxa"/>
            <w:tcBorders>
              <w:top w:val="nil" w:sz="6" w:space="0" w:color="auto"/>
              <w:left w:val="nil" w:sz="6" w:space="0" w:color="auto"/>
              <w:bottom w:val="nil" w:sz="6" w:space="0" w:color="auto"/>
              <w:right w:val="nil" w:sz="6" w:space="0" w:color="auto"/>
            </w:tcBorders>
          </w:tcPr>
          <w:p>
            <w:pPr>
              <w:pStyle w:val="TableParagraph"/>
              <w:spacing w:line="310" w:lineRule="exact" w:before="113"/>
              <w:ind w:left="122" w:right="92"/>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14</w:t>
            </w:r>
            <w:r>
              <w:rPr>
                <w:rFonts w:ascii="宋体" w:hAnsi="宋体" w:cs="宋体" w:eastAsia="宋体" w:hint="default"/>
                <w:sz w:val="24"/>
                <w:szCs w:val="24"/>
              </w:rPr>
              <w:t>）预收款项期末余额</w:t>
            </w:r>
            <w:r>
              <w:rPr>
                <w:rFonts w:ascii="宋体" w:hAnsi="宋体" w:cs="宋体" w:eastAsia="宋体" w:hint="default"/>
                <w:spacing w:val="-60"/>
                <w:sz w:val="24"/>
                <w:szCs w:val="24"/>
              </w:rPr>
              <w:t> </w:t>
            </w:r>
            <w:r>
              <w:rPr>
                <w:rFonts w:ascii="宋体" w:hAnsi="宋体" w:cs="宋体" w:eastAsia="宋体" w:hint="default"/>
                <w:sz w:val="24"/>
                <w:szCs w:val="24"/>
              </w:rPr>
              <w:t>384,086,573.53</w:t>
            </w:r>
            <w:r>
              <w:rPr>
                <w:rFonts w:ascii="宋体" w:hAnsi="宋体" w:cs="宋体" w:eastAsia="宋体" w:hint="default"/>
                <w:spacing w:val="-60"/>
                <w:sz w:val="24"/>
                <w:szCs w:val="24"/>
              </w:rPr>
              <w:t> </w:t>
            </w:r>
            <w:r>
              <w:rPr>
                <w:rFonts w:ascii="宋体" w:hAnsi="宋体" w:cs="宋体" w:eastAsia="宋体" w:hint="default"/>
                <w:sz w:val="24"/>
                <w:szCs w:val="24"/>
              </w:rPr>
              <w:t>元，较期初增加</w:t>
            </w:r>
            <w:r>
              <w:rPr>
                <w:rFonts w:ascii="宋体" w:hAnsi="宋体" w:cs="宋体" w:eastAsia="宋体" w:hint="default"/>
                <w:spacing w:val="-60"/>
                <w:sz w:val="24"/>
                <w:szCs w:val="24"/>
              </w:rPr>
              <w:t> </w:t>
            </w:r>
            <w:r>
              <w:rPr>
                <w:rFonts w:ascii="宋体" w:hAnsi="宋体" w:cs="宋体" w:eastAsia="宋体" w:hint="default"/>
                <w:sz w:val="24"/>
                <w:szCs w:val="24"/>
              </w:rPr>
              <w:t>36.35%</w:t>
            </w:r>
            <w:r>
              <w:rPr>
                <w:rFonts w:ascii="宋体" w:hAnsi="宋体" w:cs="宋体" w:eastAsia="宋体" w:hint="default"/>
                <w:sz w:val="24"/>
                <w:szCs w:val="24"/>
              </w:rPr>
              <w:t>，主要是本期预收 货款增加所致；</w:t>
            </w:r>
          </w:p>
        </w:tc>
      </w:tr>
      <w:tr>
        <w:trPr>
          <w:trHeight w:val="863" w:hRule="exact"/>
        </w:trPr>
        <w:tc>
          <w:tcPr>
            <w:tcW w:w="9038" w:type="dxa"/>
            <w:tcBorders>
              <w:top w:val="nil" w:sz="6" w:space="0" w:color="auto"/>
              <w:left w:val="nil" w:sz="6" w:space="0" w:color="auto"/>
              <w:bottom w:val="nil" w:sz="6" w:space="0" w:color="auto"/>
              <w:right w:val="nil" w:sz="6" w:space="0" w:color="auto"/>
            </w:tcBorders>
          </w:tcPr>
          <w:p>
            <w:pPr>
              <w:pStyle w:val="TableParagraph"/>
              <w:spacing w:line="310" w:lineRule="exact" w:before="114"/>
              <w:ind w:left="122" w:right="92"/>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15</w:t>
            </w:r>
            <w:r>
              <w:rPr>
                <w:rFonts w:ascii="宋体" w:hAnsi="宋体" w:cs="宋体" w:eastAsia="宋体" w:hint="default"/>
                <w:sz w:val="24"/>
                <w:szCs w:val="24"/>
              </w:rPr>
              <w:t>）划分为持有待售的负债期末余额</w:t>
            </w:r>
            <w:r>
              <w:rPr>
                <w:rFonts w:ascii="宋体" w:hAnsi="宋体" w:cs="宋体" w:eastAsia="宋体" w:hint="default"/>
                <w:spacing w:val="-60"/>
                <w:sz w:val="24"/>
                <w:szCs w:val="24"/>
              </w:rPr>
              <w:t> </w:t>
            </w:r>
            <w:r>
              <w:rPr>
                <w:rFonts w:ascii="宋体" w:hAnsi="宋体" w:cs="宋体" w:eastAsia="宋体" w:hint="default"/>
                <w:sz w:val="24"/>
                <w:szCs w:val="24"/>
              </w:rPr>
              <w:t>0</w:t>
            </w:r>
            <w:r>
              <w:rPr>
                <w:rFonts w:ascii="宋体" w:hAnsi="宋体" w:cs="宋体" w:eastAsia="宋体" w:hint="default"/>
                <w:spacing w:val="-60"/>
                <w:sz w:val="24"/>
                <w:szCs w:val="24"/>
              </w:rPr>
              <w:t> </w:t>
            </w:r>
            <w:r>
              <w:rPr>
                <w:rFonts w:ascii="宋体" w:hAnsi="宋体" w:cs="宋体" w:eastAsia="宋体" w:hint="default"/>
                <w:sz w:val="24"/>
                <w:szCs w:val="24"/>
              </w:rPr>
              <w:t>元，较期初减少</w:t>
            </w:r>
            <w:r>
              <w:rPr>
                <w:rFonts w:ascii="宋体" w:hAnsi="宋体" w:cs="宋体" w:eastAsia="宋体" w:hint="default"/>
                <w:spacing w:val="-60"/>
                <w:sz w:val="24"/>
                <w:szCs w:val="24"/>
              </w:rPr>
              <w:t> </w:t>
            </w:r>
            <w:r>
              <w:rPr>
                <w:rFonts w:ascii="宋体" w:hAnsi="宋体" w:cs="宋体" w:eastAsia="宋体" w:hint="default"/>
                <w:sz w:val="24"/>
                <w:szCs w:val="24"/>
              </w:rPr>
              <w:t>100.00%</w:t>
            </w:r>
            <w:r>
              <w:rPr>
                <w:rFonts w:ascii="宋体" w:hAnsi="宋体" w:cs="宋体" w:eastAsia="宋体" w:hint="default"/>
                <w:sz w:val="24"/>
                <w:szCs w:val="24"/>
              </w:rPr>
              <w:t>，主要是本期转让 子公司所致；</w:t>
            </w:r>
          </w:p>
        </w:tc>
      </w:tr>
      <w:tr>
        <w:trPr>
          <w:trHeight w:val="862" w:hRule="exact"/>
        </w:trPr>
        <w:tc>
          <w:tcPr>
            <w:tcW w:w="9038" w:type="dxa"/>
            <w:tcBorders>
              <w:top w:val="nil" w:sz="6" w:space="0" w:color="auto"/>
              <w:left w:val="nil" w:sz="6" w:space="0" w:color="auto"/>
              <w:bottom w:val="nil" w:sz="6" w:space="0" w:color="auto"/>
              <w:right w:val="nil" w:sz="6" w:space="0" w:color="auto"/>
            </w:tcBorders>
          </w:tcPr>
          <w:p>
            <w:pPr>
              <w:pStyle w:val="TableParagraph"/>
              <w:spacing w:line="310" w:lineRule="exact" w:before="114"/>
              <w:ind w:left="122" w:right="92"/>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16</w:t>
            </w:r>
            <w:r>
              <w:rPr>
                <w:rFonts w:ascii="宋体" w:hAnsi="宋体" w:cs="宋体" w:eastAsia="宋体" w:hint="default"/>
                <w:sz w:val="24"/>
                <w:szCs w:val="24"/>
              </w:rPr>
              <w:t>）一年内到期的非流动负债期末余额</w:t>
            </w:r>
            <w:r>
              <w:rPr>
                <w:rFonts w:ascii="宋体" w:hAnsi="宋体" w:cs="宋体" w:eastAsia="宋体" w:hint="default"/>
                <w:spacing w:val="-60"/>
                <w:sz w:val="24"/>
                <w:szCs w:val="24"/>
              </w:rPr>
              <w:t> </w:t>
            </w:r>
            <w:r>
              <w:rPr>
                <w:rFonts w:ascii="宋体" w:hAnsi="宋体" w:cs="宋体" w:eastAsia="宋体" w:hint="default"/>
                <w:sz w:val="24"/>
                <w:szCs w:val="24"/>
              </w:rPr>
              <w:t>293,043,134.50</w:t>
            </w:r>
            <w:r>
              <w:rPr>
                <w:rFonts w:ascii="宋体" w:hAnsi="宋体" w:cs="宋体" w:eastAsia="宋体" w:hint="default"/>
                <w:spacing w:val="-60"/>
                <w:sz w:val="24"/>
                <w:szCs w:val="24"/>
              </w:rPr>
              <w:t> </w:t>
            </w:r>
            <w:r>
              <w:rPr>
                <w:rFonts w:ascii="宋体" w:hAnsi="宋体" w:cs="宋体" w:eastAsia="宋体" w:hint="default"/>
                <w:sz w:val="24"/>
                <w:szCs w:val="24"/>
              </w:rPr>
              <w:t>元，较期初增加</w:t>
            </w:r>
            <w:r>
              <w:rPr>
                <w:rFonts w:ascii="宋体" w:hAnsi="宋体" w:cs="宋体" w:eastAsia="宋体" w:hint="default"/>
                <w:spacing w:val="-60"/>
                <w:sz w:val="24"/>
                <w:szCs w:val="24"/>
              </w:rPr>
              <w:t> </w:t>
            </w:r>
            <w:r>
              <w:rPr>
                <w:rFonts w:ascii="宋体" w:hAnsi="宋体" w:cs="宋体" w:eastAsia="宋体" w:hint="default"/>
                <w:sz w:val="24"/>
                <w:szCs w:val="24"/>
              </w:rPr>
              <w:t>84.09%</w:t>
            </w:r>
            <w:r>
              <w:rPr>
                <w:rFonts w:ascii="宋体" w:hAnsi="宋体" w:cs="宋体" w:eastAsia="宋体" w:hint="default"/>
                <w:sz w:val="24"/>
                <w:szCs w:val="24"/>
              </w:rPr>
              <w:t>， 主要是本期一年内到期长期借款增加所致；</w:t>
            </w:r>
          </w:p>
        </w:tc>
      </w:tr>
      <w:tr>
        <w:trPr>
          <w:trHeight w:val="863" w:hRule="exact"/>
        </w:trPr>
        <w:tc>
          <w:tcPr>
            <w:tcW w:w="9038" w:type="dxa"/>
            <w:tcBorders>
              <w:top w:val="nil" w:sz="6" w:space="0" w:color="auto"/>
              <w:left w:val="nil" w:sz="6" w:space="0" w:color="auto"/>
              <w:bottom w:val="nil" w:sz="6" w:space="0" w:color="auto"/>
              <w:right w:val="nil" w:sz="6" w:space="0" w:color="auto"/>
            </w:tcBorders>
          </w:tcPr>
          <w:p>
            <w:pPr>
              <w:pStyle w:val="TableParagraph"/>
              <w:spacing w:line="312" w:lineRule="exact" w:before="112"/>
              <w:ind w:left="122"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17</w:t>
            </w:r>
            <w:r>
              <w:rPr>
                <w:rFonts w:ascii="宋体" w:hAnsi="宋体" w:cs="宋体" w:eastAsia="宋体" w:hint="default"/>
                <w:sz w:val="24"/>
                <w:szCs w:val="24"/>
              </w:rPr>
              <w:t>）长期借款期末余额</w:t>
            </w:r>
            <w:r>
              <w:rPr>
                <w:rFonts w:ascii="宋体" w:hAnsi="宋体" w:cs="宋体" w:eastAsia="宋体" w:hint="default"/>
                <w:spacing w:val="-69"/>
                <w:sz w:val="24"/>
                <w:szCs w:val="24"/>
              </w:rPr>
              <w:t> </w:t>
            </w:r>
            <w:r>
              <w:rPr>
                <w:rFonts w:ascii="宋体" w:hAnsi="宋体" w:cs="宋体" w:eastAsia="宋体" w:hint="default"/>
                <w:sz w:val="24"/>
                <w:szCs w:val="24"/>
              </w:rPr>
              <w:t>445,984,217.28</w:t>
            </w:r>
            <w:r>
              <w:rPr>
                <w:rFonts w:ascii="宋体" w:hAnsi="宋体" w:cs="宋体" w:eastAsia="宋体" w:hint="default"/>
                <w:spacing w:val="-69"/>
                <w:sz w:val="24"/>
                <w:szCs w:val="24"/>
              </w:rPr>
              <w:t> </w:t>
            </w:r>
            <w:r>
              <w:rPr>
                <w:rFonts w:ascii="宋体" w:hAnsi="宋体" w:cs="宋体" w:eastAsia="宋体" w:hint="default"/>
                <w:sz w:val="24"/>
                <w:szCs w:val="24"/>
              </w:rPr>
              <w:t>元，较期初增加</w:t>
            </w:r>
            <w:r>
              <w:rPr>
                <w:rFonts w:ascii="宋体" w:hAnsi="宋体" w:cs="宋体" w:eastAsia="宋体" w:hint="default"/>
                <w:spacing w:val="-69"/>
                <w:sz w:val="24"/>
                <w:szCs w:val="24"/>
              </w:rPr>
              <w:t> </w:t>
            </w:r>
            <w:r>
              <w:rPr>
                <w:rFonts w:ascii="宋体" w:hAnsi="宋体" w:cs="宋体" w:eastAsia="宋体" w:hint="default"/>
                <w:sz w:val="24"/>
                <w:szCs w:val="24"/>
              </w:rPr>
              <w:t>106.54%</w:t>
            </w:r>
            <w:r>
              <w:rPr>
                <w:rFonts w:ascii="宋体" w:hAnsi="宋体" w:cs="宋体" w:eastAsia="宋体" w:hint="default"/>
                <w:sz w:val="24"/>
                <w:szCs w:val="24"/>
              </w:rPr>
              <w:t>，主要是本期融资 租赁业务银行借款增加所致；</w:t>
            </w:r>
          </w:p>
        </w:tc>
      </w:tr>
      <w:tr>
        <w:trPr>
          <w:trHeight w:val="862" w:hRule="exact"/>
        </w:trPr>
        <w:tc>
          <w:tcPr>
            <w:tcW w:w="9038" w:type="dxa"/>
            <w:tcBorders>
              <w:top w:val="nil" w:sz="6" w:space="0" w:color="auto"/>
              <w:left w:val="nil" w:sz="6" w:space="0" w:color="auto"/>
              <w:bottom w:val="nil" w:sz="6" w:space="0" w:color="auto"/>
              <w:right w:val="nil" w:sz="6" w:space="0" w:color="auto"/>
            </w:tcBorders>
          </w:tcPr>
          <w:p>
            <w:pPr>
              <w:pStyle w:val="TableParagraph"/>
              <w:spacing w:line="310" w:lineRule="exact" w:before="113"/>
              <w:ind w:left="122"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18</w:t>
            </w:r>
            <w:r>
              <w:rPr>
                <w:rFonts w:ascii="宋体" w:hAnsi="宋体" w:cs="宋体" w:eastAsia="宋体" w:hint="default"/>
                <w:sz w:val="24"/>
                <w:szCs w:val="24"/>
              </w:rPr>
              <w:t>）预计负债期末余额</w:t>
            </w:r>
            <w:r>
              <w:rPr>
                <w:rFonts w:ascii="宋体" w:hAnsi="宋体" w:cs="宋体" w:eastAsia="宋体" w:hint="default"/>
                <w:spacing w:val="-69"/>
                <w:sz w:val="24"/>
                <w:szCs w:val="24"/>
              </w:rPr>
              <w:t> </w:t>
            </w:r>
            <w:r>
              <w:rPr>
                <w:rFonts w:ascii="宋体" w:hAnsi="宋体" w:cs="宋体" w:eastAsia="宋体" w:hint="default"/>
                <w:sz w:val="24"/>
                <w:szCs w:val="24"/>
              </w:rPr>
              <w:t>3,350,412.86</w:t>
            </w:r>
            <w:r>
              <w:rPr>
                <w:rFonts w:ascii="宋体" w:hAnsi="宋体" w:cs="宋体" w:eastAsia="宋体" w:hint="default"/>
                <w:spacing w:val="-69"/>
                <w:sz w:val="24"/>
                <w:szCs w:val="24"/>
              </w:rPr>
              <w:t> </w:t>
            </w:r>
            <w:r>
              <w:rPr>
                <w:rFonts w:ascii="宋体" w:hAnsi="宋体" w:cs="宋体" w:eastAsia="宋体" w:hint="default"/>
                <w:sz w:val="24"/>
                <w:szCs w:val="24"/>
              </w:rPr>
              <w:t>元，较期初增加</w:t>
            </w:r>
            <w:r>
              <w:rPr>
                <w:rFonts w:ascii="宋体" w:hAnsi="宋体" w:cs="宋体" w:eastAsia="宋体" w:hint="default"/>
                <w:spacing w:val="-69"/>
                <w:sz w:val="24"/>
                <w:szCs w:val="24"/>
              </w:rPr>
              <w:t> </w:t>
            </w:r>
            <w:r>
              <w:rPr>
                <w:rFonts w:ascii="宋体" w:hAnsi="宋体" w:cs="宋体" w:eastAsia="宋体" w:hint="default"/>
                <w:sz w:val="24"/>
                <w:szCs w:val="24"/>
              </w:rPr>
              <w:t>115.97%</w:t>
            </w:r>
            <w:r>
              <w:rPr>
                <w:rFonts w:ascii="宋体" w:hAnsi="宋体" w:cs="宋体" w:eastAsia="宋体" w:hint="default"/>
                <w:sz w:val="24"/>
                <w:szCs w:val="24"/>
              </w:rPr>
              <w:t>，主要是本期待执行 的亏损合同所致；</w:t>
            </w:r>
          </w:p>
        </w:tc>
      </w:tr>
      <w:tr>
        <w:trPr>
          <w:trHeight w:val="863" w:hRule="exact"/>
        </w:trPr>
        <w:tc>
          <w:tcPr>
            <w:tcW w:w="9038" w:type="dxa"/>
            <w:tcBorders>
              <w:top w:val="nil" w:sz="6" w:space="0" w:color="auto"/>
              <w:left w:val="nil" w:sz="6" w:space="0" w:color="auto"/>
              <w:bottom w:val="nil" w:sz="6" w:space="0" w:color="auto"/>
              <w:right w:val="nil" w:sz="6" w:space="0" w:color="auto"/>
            </w:tcBorders>
          </w:tcPr>
          <w:p>
            <w:pPr>
              <w:pStyle w:val="TableParagraph"/>
              <w:spacing w:line="310" w:lineRule="exact" w:before="114"/>
              <w:ind w:left="122" w:right="93"/>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19</w:t>
            </w:r>
            <w:r>
              <w:rPr>
                <w:rFonts w:ascii="宋体" w:hAnsi="宋体" w:cs="宋体" w:eastAsia="宋体" w:hint="default"/>
                <w:sz w:val="24"/>
                <w:szCs w:val="24"/>
              </w:rPr>
              <w:t>）其他非流动负债期末余额</w:t>
            </w:r>
            <w:r>
              <w:rPr>
                <w:rFonts w:ascii="宋体" w:hAnsi="宋体" w:cs="宋体" w:eastAsia="宋体" w:hint="default"/>
                <w:spacing w:val="-60"/>
                <w:sz w:val="24"/>
                <w:szCs w:val="24"/>
              </w:rPr>
              <w:t> </w:t>
            </w:r>
            <w:r>
              <w:rPr>
                <w:rFonts w:ascii="宋体" w:hAnsi="宋体" w:cs="宋体" w:eastAsia="宋体" w:hint="default"/>
                <w:sz w:val="24"/>
                <w:szCs w:val="24"/>
              </w:rPr>
              <w:t>0</w:t>
            </w:r>
            <w:r>
              <w:rPr>
                <w:rFonts w:ascii="宋体" w:hAnsi="宋体" w:cs="宋体" w:eastAsia="宋体" w:hint="default"/>
                <w:spacing w:val="-60"/>
                <w:sz w:val="24"/>
                <w:szCs w:val="24"/>
              </w:rPr>
              <w:t> </w:t>
            </w:r>
            <w:r>
              <w:rPr>
                <w:rFonts w:ascii="宋体" w:hAnsi="宋体" w:cs="宋体" w:eastAsia="宋体" w:hint="default"/>
                <w:sz w:val="24"/>
                <w:szCs w:val="24"/>
              </w:rPr>
              <w:t>元，较期初减少</w:t>
            </w:r>
            <w:r>
              <w:rPr>
                <w:rFonts w:ascii="宋体" w:hAnsi="宋体" w:cs="宋体" w:eastAsia="宋体" w:hint="default"/>
                <w:spacing w:val="-60"/>
                <w:sz w:val="24"/>
                <w:szCs w:val="24"/>
              </w:rPr>
              <w:t> </w:t>
            </w:r>
            <w:r>
              <w:rPr>
                <w:rFonts w:ascii="宋体" w:hAnsi="宋体" w:cs="宋体" w:eastAsia="宋体" w:hint="default"/>
                <w:sz w:val="24"/>
                <w:szCs w:val="24"/>
              </w:rPr>
              <w:t>100.00%</w:t>
            </w:r>
            <w:r>
              <w:rPr>
                <w:rFonts w:ascii="宋体" w:hAnsi="宋体" w:cs="宋体" w:eastAsia="宋体" w:hint="default"/>
                <w:sz w:val="24"/>
                <w:szCs w:val="24"/>
              </w:rPr>
              <w:t>，主要是本期回购限制性 股票及转入一年内到期非流动负债所致；</w:t>
            </w:r>
          </w:p>
        </w:tc>
      </w:tr>
      <w:tr>
        <w:trPr>
          <w:trHeight w:val="396" w:hRule="exact"/>
        </w:trPr>
        <w:tc>
          <w:tcPr>
            <w:tcW w:w="903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22"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20</w:t>
            </w:r>
            <w:r>
              <w:rPr>
                <w:rFonts w:ascii="宋体" w:hAnsi="宋体" w:cs="宋体" w:eastAsia="宋体" w:hint="default"/>
                <w:sz w:val="24"/>
                <w:szCs w:val="24"/>
              </w:rPr>
              <w:t>）库存股期末余额</w:t>
            </w:r>
            <w:r>
              <w:rPr>
                <w:rFonts w:ascii="宋体" w:hAnsi="宋体" w:cs="宋体" w:eastAsia="宋体" w:hint="default"/>
                <w:spacing w:val="-69"/>
                <w:sz w:val="24"/>
                <w:szCs w:val="24"/>
              </w:rPr>
              <w:t> </w:t>
            </w:r>
            <w:r>
              <w:rPr>
                <w:rFonts w:ascii="宋体" w:hAnsi="宋体" w:cs="宋体" w:eastAsia="宋体" w:hint="default"/>
                <w:sz w:val="24"/>
                <w:szCs w:val="24"/>
              </w:rPr>
              <w:t>27,555,953.85</w:t>
            </w:r>
            <w:r>
              <w:rPr>
                <w:rFonts w:ascii="宋体" w:hAnsi="宋体" w:cs="宋体" w:eastAsia="宋体" w:hint="default"/>
                <w:spacing w:val="-69"/>
                <w:sz w:val="24"/>
                <w:szCs w:val="24"/>
              </w:rPr>
              <w:t> </w:t>
            </w:r>
            <w:r>
              <w:rPr>
                <w:rFonts w:ascii="宋体" w:hAnsi="宋体" w:cs="宋体" w:eastAsia="宋体" w:hint="default"/>
                <w:sz w:val="24"/>
                <w:szCs w:val="24"/>
              </w:rPr>
              <w:t>元，较期初减少</w:t>
            </w:r>
            <w:r>
              <w:rPr>
                <w:rFonts w:ascii="宋体" w:hAnsi="宋体" w:cs="宋体" w:eastAsia="宋体" w:hint="default"/>
                <w:spacing w:val="-69"/>
                <w:sz w:val="24"/>
                <w:szCs w:val="24"/>
              </w:rPr>
              <w:t> </w:t>
            </w:r>
            <w:r>
              <w:rPr>
                <w:rFonts w:ascii="宋体" w:hAnsi="宋体" w:cs="宋体" w:eastAsia="宋体" w:hint="default"/>
                <w:sz w:val="24"/>
                <w:szCs w:val="24"/>
              </w:rPr>
              <w:t>52.47%</w:t>
            </w:r>
            <w:r>
              <w:rPr>
                <w:rFonts w:ascii="宋体" w:hAnsi="宋体" w:cs="宋体" w:eastAsia="宋体" w:hint="default"/>
                <w:sz w:val="24"/>
                <w:szCs w:val="24"/>
              </w:rPr>
              <w:t>，主要是本期回购注销</w:t>
            </w:r>
          </w:p>
        </w:tc>
      </w:tr>
    </w:tbl>
    <w:p>
      <w:pPr>
        <w:spacing w:after="0" w:line="240" w:lineRule="auto"/>
        <w:jc w:val="left"/>
        <w:rPr>
          <w:rFonts w:ascii="宋体" w:hAnsi="宋体" w:cs="宋体" w:eastAsia="宋体" w:hint="default"/>
          <w:sz w:val="24"/>
          <w:szCs w:val="24"/>
        </w:rPr>
        <w:sectPr>
          <w:pgSz w:w="11910" w:h="16840"/>
          <w:pgMar w:header="882" w:footer="1194" w:top="1080" w:bottom="1380" w:left="1380" w:right="1260"/>
        </w:sectPr>
      </w:pPr>
    </w:p>
    <w:p>
      <w:pPr>
        <w:spacing w:line="240" w:lineRule="auto" w:before="4"/>
        <w:rPr>
          <w:rFonts w:ascii="Times New Roman" w:hAnsi="Times New Roman" w:cs="Times New Roman" w:eastAsia="Times New Roman"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8981"/>
      </w:tblGrid>
      <w:tr>
        <w:trPr>
          <w:trHeight w:val="591" w:hRule="exact"/>
        </w:trPr>
        <w:tc>
          <w:tcPr>
            <w:tcW w:w="8981" w:type="dxa"/>
            <w:tcBorders>
              <w:top w:val="single" w:sz="6" w:space="0" w:color="000000"/>
              <w:left w:val="nil" w:sz="6" w:space="0" w:color="auto"/>
              <w:bottom w:val="nil" w:sz="6" w:space="0" w:color="auto"/>
              <w:right w:val="nil" w:sz="6" w:space="0" w:color="auto"/>
            </w:tcBorders>
          </w:tcPr>
          <w:p>
            <w:pPr>
              <w:pStyle w:val="TableParagraph"/>
              <w:spacing w:line="240" w:lineRule="auto" w:before="113"/>
              <w:ind w:left="122" w:right="0"/>
              <w:jc w:val="left"/>
              <w:rPr>
                <w:rFonts w:ascii="宋体" w:hAnsi="宋体" w:cs="宋体" w:eastAsia="宋体" w:hint="default"/>
                <w:sz w:val="24"/>
                <w:szCs w:val="24"/>
              </w:rPr>
            </w:pPr>
            <w:r>
              <w:rPr>
                <w:rFonts w:ascii="宋体" w:hAnsi="宋体" w:cs="宋体" w:eastAsia="宋体" w:hint="default"/>
                <w:sz w:val="24"/>
                <w:szCs w:val="24"/>
              </w:rPr>
              <w:t>限制性股票所致；</w:t>
            </w:r>
          </w:p>
        </w:tc>
      </w:tr>
      <w:tr>
        <w:trPr>
          <w:trHeight w:val="707" w:hRule="exact"/>
        </w:trPr>
        <w:tc>
          <w:tcPr>
            <w:tcW w:w="8981" w:type="dxa"/>
            <w:tcBorders>
              <w:top w:val="nil" w:sz="6" w:space="0" w:color="auto"/>
              <w:left w:val="nil" w:sz="6" w:space="0" w:color="auto"/>
              <w:bottom w:val="nil" w:sz="6" w:space="0" w:color="auto"/>
              <w:right w:val="nil" w:sz="6" w:space="0" w:color="auto"/>
            </w:tcBorders>
          </w:tcPr>
          <w:p>
            <w:pPr>
              <w:pStyle w:val="TableParagraph"/>
              <w:spacing w:line="310" w:lineRule="exact" w:before="114"/>
              <w:ind w:left="122" w:right="35"/>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21</w:t>
            </w:r>
            <w:r>
              <w:rPr>
                <w:rFonts w:ascii="宋体" w:hAnsi="宋体" w:cs="宋体" w:eastAsia="宋体" w:hint="default"/>
                <w:sz w:val="24"/>
                <w:szCs w:val="24"/>
              </w:rPr>
              <w:t>）少数股东权益期末余额</w:t>
            </w:r>
            <w:r>
              <w:rPr>
                <w:rFonts w:ascii="宋体" w:hAnsi="宋体" w:cs="宋体" w:eastAsia="宋体" w:hint="default"/>
                <w:spacing w:val="-60"/>
                <w:sz w:val="24"/>
                <w:szCs w:val="24"/>
              </w:rPr>
              <w:t> </w:t>
            </w:r>
            <w:r>
              <w:rPr>
                <w:rFonts w:ascii="宋体" w:hAnsi="宋体" w:cs="宋体" w:eastAsia="宋体" w:hint="default"/>
                <w:sz w:val="24"/>
                <w:szCs w:val="24"/>
              </w:rPr>
              <w:t>342,933,125.20</w:t>
            </w:r>
            <w:r>
              <w:rPr>
                <w:rFonts w:ascii="宋体" w:hAnsi="宋体" w:cs="宋体" w:eastAsia="宋体" w:hint="default"/>
                <w:spacing w:val="-60"/>
                <w:sz w:val="24"/>
                <w:szCs w:val="24"/>
              </w:rPr>
              <w:t> </w:t>
            </w:r>
            <w:r>
              <w:rPr>
                <w:rFonts w:ascii="宋体" w:hAnsi="宋体" w:cs="宋体" w:eastAsia="宋体" w:hint="default"/>
                <w:sz w:val="24"/>
                <w:szCs w:val="24"/>
              </w:rPr>
              <w:t>元，较期初增加</w:t>
            </w:r>
            <w:r>
              <w:rPr>
                <w:rFonts w:ascii="宋体" w:hAnsi="宋体" w:cs="宋体" w:eastAsia="宋体" w:hint="default"/>
                <w:spacing w:val="-60"/>
                <w:sz w:val="24"/>
                <w:szCs w:val="24"/>
              </w:rPr>
              <w:t> </w:t>
            </w:r>
            <w:r>
              <w:rPr>
                <w:rFonts w:ascii="宋体" w:hAnsi="宋体" w:cs="宋体" w:eastAsia="宋体" w:hint="default"/>
                <w:sz w:val="24"/>
                <w:szCs w:val="24"/>
              </w:rPr>
              <w:t>92.11%</w:t>
            </w:r>
            <w:r>
              <w:rPr>
                <w:rFonts w:ascii="宋体" w:hAnsi="宋体" w:cs="宋体" w:eastAsia="宋体" w:hint="default"/>
                <w:sz w:val="24"/>
                <w:szCs w:val="24"/>
              </w:rPr>
              <w:t>，主要是本期 新增子公司所致。</w:t>
            </w: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6"/>
          <w:szCs w:val="16"/>
        </w:rPr>
      </w:pPr>
    </w:p>
    <w:p>
      <w:pPr>
        <w:spacing w:after="0" w:line="240" w:lineRule="auto"/>
        <w:rPr>
          <w:rFonts w:ascii="Times New Roman" w:hAnsi="Times New Roman" w:cs="Times New Roman" w:eastAsia="Times New Roman" w:hint="default"/>
          <w:sz w:val="16"/>
          <w:szCs w:val="16"/>
        </w:rPr>
        <w:sectPr>
          <w:pgSz w:w="11910" w:h="16840"/>
          <w:pgMar w:header="882" w:footer="1194" w:top="1080" w:bottom="1380" w:left="1380" w:right="1060"/>
        </w:sectPr>
      </w:pPr>
    </w:p>
    <w:p>
      <w:pPr>
        <w:pStyle w:val="Heading2"/>
        <w:tabs>
          <w:tab w:pos="565" w:val="left" w:leader="none"/>
        </w:tabs>
        <w:spacing w:line="240" w:lineRule="auto"/>
        <w:ind w:left="145" w:right="0"/>
        <w:jc w:val="left"/>
        <w:rPr>
          <w:b w:val="0"/>
          <w:bCs w:val="0"/>
        </w:rPr>
      </w:pPr>
      <w:r>
        <w:rPr>
          <w:rFonts w:ascii="宋体" w:hAnsi="宋体" w:cs="宋体" w:eastAsia="宋体" w:hint="default"/>
          <w:w w:val="95"/>
        </w:rPr>
        <w:t>2</w:t>
        <w:tab/>
      </w:r>
      <w:r>
        <w:rPr>
          <w:w w:val="95"/>
        </w:rPr>
        <w:t>损益情况分析表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4"/>
        <w:rPr>
          <w:rFonts w:ascii="宋体" w:hAnsi="宋体" w:cs="宋体" w:eastAsia="宋体" w:hint="default"/>
          <w:b/>
          <w:bCs/>
          <w:sz w:val="15"/>
          <w:szCs w:val="15"/>
        </w:rPr>
      </w:pPr>
    </w:p>
    <w:p>
      <w:pPr>
        <w:tabs>
          <w:tab w:pos="1090" w:val="left" w:leader="none"/>
        </w:tabs>
        <w:spacing w:before="0"/>
        <w:ind w:left="145"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w:t>
        <w:tab/>
        <w:t>币种</w:t>
      </w:r>
      <w:r>
        <w:rPr>
          <w:rFonts w:ascii="宋体" w:hAnsi="宋体" w:cs="宋体" w:eastAsia="宋体" w:hint="default"/>
          <w:sz w:val="21"/>
          <w:szCs w:val="21"/>
        </w:rPr>
        <w:t>:</w:t>
      </w:r>
      <w:r>
        <w:rPr>
          <w:rFonts w:ascii="宋体" w:hAnsi="宋体" w:cs="宋体" w:eastAsia="宋体" w:hint="default"/>
          <w:sz w:val="21"/>
          <w:szCs w:val="21"/>
        </w:rPr>
        <w:t>人民币</w:t>
      </w:r>
    </w:p>
    <w:p>
      <w:pPr>
        <w:spacing w:after="0"/>
        <w:jc w:val="left"/>
        <w:rPr>
          <w:rFonts w:ascii="宋体" w:hAnsi="宋体" w:cs="宋体" w:eastAsia="宋体" w:hint="default"/>
          <w:sz w:val="21"/>
          <w:szCs w:val="21"/>
        </w:rPr>
        <w:sectPr>
          <w:type w:val="continuous"/>
          <w:pgSz w:w="11910" w:h="16840"/>
          <w:pgMar w:top="1080" w:bottom="1380" w:left="1380" w:right="1060"/>
          <w:cols w:num="2" w:equalWidth="0">
            <w:col w:w="2251" w:space="4592"/>
            <w:col w:w="2627"/>
          </w:cols>
        </w:sectPr>
      </w:pPr>
    </w:p>
    <w:p>
      <w:pPr>
        <w:spacing w:line="240" w:lineRule="auto" w:before="9"/>
        <w:rPr>
          <w:rFonts w:ascii="宋体" w:hAnsi="宋体" w:cs="宋体" w:eastAsia="宋体" w:hint="default"/>
          <w:sz w:val="11"/>
          <w:szCs w:val="11"/>
        </w:rPr>
      </w:pPr>
    </w:p>
    <w:tbl>
      <w:tblPr>
        <w:tblW w:w="0" w:type="auto"/>
        <w:jc w:val="left"/>
        <w:tblInd w:w="120" w:type="dxa"/>
        <w:tblLayout w:type="fixed"/>
        <w:tblCellMar>
          <w:top w:w="0" w:type="dxa"/>
          <w:left w:w="0" w:type="dxa"/>
          <w:bottom w:w="0" w:type="dxa"/>
          <w:right w:w="0" w:type="dxa"/>
        </w:tblCellMar>
        <w:tblLook w:val="01E0"/>
      </w:tblPr>
      <w:tblGrid>
        <w:gridCol w:w="2710"/>
        <w:gridCol w:w="1842"/>
        <w:gridCol w:w="1843"/>
        <w:gridCol w:w="1701"/>
        <w:gridCol w:w="1121"/>
      </w:tblGrid>
      <w:tr>
        <w:trPr>
          <w:trHeight w:val="564" w:hRule="exact"/>
        </w:trPr>
        <w:tc>
          <w:tcPr>
            <w:tcW w:w="2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9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54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204"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737"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1121"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ind w:left="30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305" w:hRule="exact"/>
        </w:trPr>
        <w:tc>
          <w:tcPr>
            <w:tcW w:w="271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left="204"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6"/>
              <w:jc w:val="right"/>
              <w:rPr>
                <w:rFonts w:ascii="宋体" w:hAnsi="宋体" w:cs="宋体" w:eastAsia="宋体" w:hint="default"/>
                <w:sz w:val="21"/>
                <w:szCs w:val="21"/>
              </w:rPr>
            </w:pPr>
            <w:r>
              <w:rPr>
                <w:rFonts w:ascii="宋体"/>
                <w:sz w:val="21"/>
              </w:rPr>
              <w:t>18,571,136.19</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5"/>
              <w:jc w:val="right"/>
              <w:rPr>
                <w:rFonts w:ascii="宋体" w:hAnsi="宋体" w:cs="宋体" w:eastAsia="宋体" w:hint="default"/>
                <w:sz w:val="21"/>
                <w:szCs w:val="21"/>
              </w:rPr>
            </w:pPr>
            <w:r>
              <w:rPr>
                <w:rFonts w:ascii="宋体"/>
                <w:sz w:val="21"/>
              </w:rPr>
              <w:t>10,114,971.55</w:t>
            </w:r>
          </w:p>
        </w:tc>
        <w:tc>
          <w:tcPr>
            <w:tcW w:w="1701"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5"/>
              <w:jc w:val="right"/>
              <w:rPr>
                <w:rFonts w:ascii="宋体" w:hAnsi="宋体" w:cs="宋体" w:eastAsia="宋体" w:hint="default"/>
                <w:sz w:val="21"/>
                <w:szCs w:val="21"/>
              </w:rPr>
            </w:pPr>
            <w:r>
              <w:rPr>
                <w:rFonts w:ascii="宋体"/>
                <w:sz w:val="21"/>
              </w:rPr>
              <w:t>8,456,164.64</w:t>
            </w:r>
          </w:p>
        </w:tc>
        <w:tc>
          <w:tcPr>
            <w:tcW w:w="1121"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8"/>
              <w:jc w:val="right"/>
              <w:rPr>
                <w:rFonts w:ascii="宋体" w:hAnsi="宋体" w:cs="宋体" w:eastAsia="宋体" w:hint="default"/>
                <w:sz w:val="21"/>
                <w:szCs w:val="21"/>
              </w:rPr>
            </w:pPr>
            <w:r>
              <w:rPr>
                <w:rFonts w:ascii="宋体"/>
                <w:sz w:val="21"/>
              </w:rPr>
              <w:t>83.60</w:t>
            </w:r>
          </w:p>
        </w:tc>
      </w:tr>
      <w:tr>
        <w:trPr>
          <w:trHeight w:val="306" w:hRule="exact"/>
        </w:trPr>
        <w:tc>
          <w:tcPr>
            <w:tcW w:w="271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left="20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6"/>
              <w:jc w:val="right"/>
              <w:rPr>
                <w:rFonts w:ascii="宋体" w:hAnsi="宋体" w:cs="宋体" w:eastAsia="宋体" w:hint="default"/>
                <w:sz w:val="21"/>
                <w:szCs w:val="21"/>
              </w:rPr>
            </w:pPr>
            <w:r>
              <w:rPr>
                <w:rFonts w:ascii="宋体"/>
                <w:sz w:val="21"/>
              </w:rPr>
              <w:t>70,582,040.47</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5"/>
              <w:jc w:val="right"/>
              <w:rPr>
                <w:rFonts w:ascii="宋体" w:hAnsi="宋体" w:cs="宋体" w:eastAsia="宋体" w:hint="default"/>
                <w:sz w:val="21"/>
                <w:szCs w:val="21"/>
              </w:rPr>
            </w:pPr>
            <w:r>
              <w:rPr>
                <w:rFonts w:ascii="宋体"/>
                <w:sz w:val="21"/>
              </w:rPr>
              <w:t>51,500,817.25</w:t>
            </w:r>
          </w:p>
        </w:tc>
        <w:tc>
          <w:tcPr>
            <w:tcW w:w="1701"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4"/>
              <w:jc w:val="right"/>
              <w:rPr>
                <w:rFonts w:ascii="宋体" w:hAnsi="宋体" w:cs="宋体" w:eastAsia="宋体" w:hint="default"/>
                <w:sz w:val="21"/>
                <w:szCs w:val="21"/>
              </w:rPr>
            </w:pPr>
            <w:r>
              <w:rPr>
                <w:rFonts w:ascii="宋体"/>
                <w:sz w:val="21"/>
              </w:rPr>
              <w:t>19,081,223.22</w:t>
            </w:r>
          </w:p>
        </w:tc>
        <w:tc>
          <w:tcPr>
            <w:tcW w:w="1121"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8"/>
              <w:jc w:val="right"/>
              <w:rPr>
                <w:rFonts w:ascii="宋体" w:hAnsi="宋体" w:cs="宋体" w:eastAsia="宋体" w:hint="default"/>
                <w:sz w:val="21"/>
                <w:szCs w:val="21"/>
              </w:rPr>
            </w:pPr>
            <w:r>
              <w:rPr>
                <w:rFonts w:ascii="宋体"/>
                <w:sz w:val="21"/>
              </w:rPr>
              <w:t>37.05</w:t>
            </w:r>
          </w:p>
        </w:tc>
      </w:tr>
      <w:tr>
        <w:trPr>
          <w:trHeight w:val="305" w:hRule="exact"/>
        </w:trPr>
        <w:tc>
          <w:tcPr>
            <w:tcW w:w="271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left="204"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6"/>
              <w:jc w:val="right"/>
              <w:rPr>
                <w:rFonts w:ascii="宋体" w:hAnsi="宋体" w:cs="宋体" w:eastAsia="宋体" w:hint="default"/>
                <w:sz w:val="21"/>
                <w:szCs w:val="21"/>
              </w:rPr>
            </w:pPr>
            <w:r>
              <w:rPr>
                <w:rFonts w:ascii="宋体"/>
                <w:sz w:val="21"/>
              </w:rPr>
              <w:t>39,855,871.90</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6"/>
              <w:jc w:val="right"/>
              <w:rPr>
                <w:rFonts w:ascii="宋体" w:hAnsi="宋体" w:cs="宋体" w:eastAsia="宋体" w:hint="default"/>
                <w:sz w:val="21"/>
                <w:szCs w:val="21"/>
              </w:rPr>
            </w:pPr>
            <w:r>
              <w:rPr>
                <w:rFonts w:ascii="宋体"/>
                <w:sz w:val="21"/>
              </w:rPr>
              <w:t>1,833,487.29</w:t>
            </w:r>
          </w:p>
        </w:tc>
        <w:tc>
          <w:tcPr>
            <w:tcW w:w="1701"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4"/>
              <w:jc w:val="right"/>
              <w:rPr>
                <w:rFonts w:ascii="宋体" w:hAnsi="宋体" w:cs="宋体" w:eastAsia="宋体" w:hint="default"/>
                <w:sz w:val="21"/>
                <w:szCs w:val="21"/>
              </w:rPr>
            </w:pPr>
            <w:r>
              <w:rPr>
                <w:rFonts w:ascii="宋体"/>
                <w:sz w:val="21"/>
              </w:rPr>
              <w:t>38,022,384.61</w:t>
            </w:r>
          </w:p>
        </w:tc>
        <w:tc>
          <w:tcPr>
            <w:tcW w:w="1121"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7"/>
              <w:jc w:val="right"/>
              <w:rPr>
                <w:rFonts w:ascii="宋体" w:hAnsi="宋体" w:cs="宋体" w:eastAsia="宋体" w:hint="default"/>
                <w:sz w:val="21"/>
                <w:szCs w:val="21"/>
              </w:rPr>
            </w:pPr>
            <w:r>
              <w:rPr>
                <w:rFonts w:ascii="宋体"/>
                <w:sz w:val="21"/>
              </w:rPr>
              <w:t>2,073.77</w:t>
            </w:r>
          </w:p>
        </w:tc>
      </w:tr>
      <w:tr>
        <w:trPr>
          <w:trHeight w:val="305" w:hRule="exact"/>
        </w:trPr>
        <w:tc>
          <w:tcPr>
            <w:tcW w:w="271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left="204"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6"/>
              <w:jc w:val="right"/>
              <w:rPr>
                <w:rFonts w:ascii="宋体" w:hAnsi="宋体" w:cs="宋体" w:eastAsia="宋体" w:hint="default"/>
                <w:sz w:val="21"/>
                <w:szCs w:val="21"/>
              </w:rPr>
            </w:pPr>
            <w:r>
              <w:rPr>
                <w:rFonts w:ascii="宋体"/>
                <w:sz w:val="21"/>
              </w:rPr>
              <w:t>3,925,245.79</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6"/>
              <w:jc w:val="right"/>
              <w:rPr>
                <w:rFonts w:ascii="宋体" w:hAnsi="宋体" w:cs="宋体" w:eastAsia="宋体" w:hint="default"/>
                <w:sz w:val="21"/>
                <w:szCs w:val="21"/>
              </w:rPr>
            </w:pPr>
            <w:r>
              <w:rPr>
                <w:rFonts w:ascii="宋体"/>
                <w:sz w:val="21"/>
              </w:rPr>
              <w:t>1,505,955.16</w:t>
            </w:r>
          </w:p>
        </w:tc>
        <w:tc>
          <w:tcPr>
            <w:tcW w:w="1701"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5"/>
              <w:jc w:val="right"/>
              <w:rPr>
                <w:rFonts w:ascii="宋体" w:hAnsi="宋体" w:cs="宋体" w:eastAsia="宋体" w:hint="default"/>
                <w:sz w:val="21"/>
                <w:szCs w:val="21"/>
              </w:rPr>
            </w:pPr>
            <w:r>
              <w:rPr>
                <w:rFonts w:ascii="宋体"/>
                <w:sz w:val="21"/>
              </w:rPr>
              <w:t>2,419,290.63</w:t>
            </w:r>
          </w:p>
        </w:tc>
        <w:tc>
          <w:tcPr>
            <w:tcW w:w="1121"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7"/>
              <w:jc w:val="right"/>
              <w:rPr>
                <w:rFonts w:ascii="宋体" w:hAnsi="宋体" w:cs="宋体" w:eastAsia="宋体" w:hint="default"/>
                <w:sz w:val="21"/>
                <w:szCs w:val="21"/>
              </w:rPr>
            </w:pPr>
            <w:r>
              <w:rPr>
                <w:rFonts w:ascii="宋体"/>
                <w:sz w:val="21"/>
              </w:rPr>
              <w:t>160.65</w:t>
            </w:r>
          </w:p>
        </w:tc>
      </w:tr>
      <w:tr>
        <w:trPr>
          <w:trHeight w:val="305" w:hRule="exact"/>
        </w:trPr>
        <w:tc>
          <w:tcPr>
            <w:tcW w:w="271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left="204"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6"/>
              <w:jc w:val="right"/>
              <w:rPr>
                <w:rFonts w:ascii="宋体" w:hAnsi="宋体" w:cs="宋体" w:eastAsia="宋体" w:hint="default"/>
                <w:sz w:val="21"/>
                <w:szCs w:val="21"/>
              </w:rPr>
            </w:pPr>
            <w:r>
              <w:rPr>
                <w:rFonts w:ascii="宋体"/>
                <w:sz w:val="21"/>
              </w:rPr>
              <w:t>10,658,479.17</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5"/>
              <w:jc w:val="right"/>
              <w:rPr>
                <w:rFonts w:ascii="宋体" w:hAnsi="宋体" w:cs="宋体" w:eastAsia="宋体" w:hint="default"/>
                <w:sz w:val="21"/>
                <w:szCs w:val="21"/>
              </w:rPr>
            </w:pPr>
            <w:r>
              <w:rPr>
                <w:rFonts w:ascii="宋体"/>
                <w:sz w:val="21"/>
              </w:rPr>
              <w:t>19,863,273.98</w:t>
            </w:r>
          </w:p>
        </w:tc>
        <w:tc>
          <w:tcPr>
            <w:tcW w:w="1701"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5"/>
              <w:jc w:val="right"/>
              <w:rPr>
                <w:rFonts w:ascii="宋体" w:hAnsi="宋体" w:cs="宋体" w:eastAsia="宋体" w:hint="default"/>
                <w:sz w:val="21"/>
                <w:szCs w:val="21"/>
              </w:rPr>
            </w:pPr>
            <w:r>
              <w:rPr>
                <w:rFonts w:ascii="宋体"/>
                <w:spacing w:val="-1"/>
                <w:sz w:val="21"/>
              </w:rPr>
              <w:t>-9,204,794.81</w:t>
            </w:r>
          </w:p>
        </w:tc>
        <w:tc>
          <w:tcPr>
            <w:tcW w:w="1121"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7"/>
              <w:jc w:val="right"/>
              <w:rPr>
                <w:rFonts w:ascii="宋体" w:hAnsi="宋体" w:cs="宋体" w:eastAsia="宋体" w:hint="default"/>
                <w:sz w:val="21"/>
                <w:szCs w:val="21"/>
              </w:rPr>
            </w:pPr>
            <w:r>
              <w:rPr>
                <w:rFonts w:ascii="宋体"/>
                <w:sz w:val="21"/>
              </w:rPr>
              <w:t>-46.34</w:t>
            </w:r>
          </w:p>
        </w:tc>
      </w:tr>
      <w:tr>
        <w:trPr>
          <w:trHeight w:val="565" w:hRule="exact"/>
        </w:trPr>
        <w:tc>
          <w:tcPr>
            <w:tcW w:w="2710"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归属于母公司股东的综合</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收益总额</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z w:val="21"/>
              </w:rPr>
              <w:t>95,375,966.60</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5"/>
              <w:jc w:val="right"/>
              <w:rPr>
                <w:rFonts w:ascii="宋体" w:hAnsi="宋体" w:cs="宋体" w:eastAsia="宋体" w:hint="default"/>
                <w:sz w:val="21"/>
                <w:szCs w:val="21"/>
              </w:rPr>
            </w:pPr>
            <w:r>
              <w:rPr>
                <w:rFonts w:ascii="宋体"/>
                <w:sz w:val="21"/>
              </w:rPr>
              <w:t>28,923,568.53</w:t>
            </w:r>
          </w:p>
        </w:tc>
        <w:tc>
          <w:tcPr>
            <w:tcW w:w="1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4"/>
              <w:jc w:val="right"/>
              <w:rPr>
                <w:rFonts w:ascii="宋体" w:hAnsi="宋体" w:cs="宋体" w:eastAsia="宋体" w:hint="default"/>
                <w:sz w:val="21"/>
                <w:szCs w:val="21"/>
              </w:rPr>
            </w:pPr>
            <w:r>
              <w:rPr>
                <w:rFonts w:ascii="宋体"/>
                <w:sz w:val="21"/>
              </w:rPr>
              <w:t>66,452,398.07</w:t>
            </w:r>
          </w:p>
        </w:tc>
        <w:tc>
          <w:tcPr>
            <w:tcW w:w="1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229.75</w:t>
            </w:r>
          </w:p>
        </w:tc>
      </w:tr>
    </w:tbl>
    <w:p>
      <w:pPr>
        <w:pStyle w:val="BodyText"/>
        <w:spacing w:line="312" w:lineRule="exact" w:before="111"/>
        <w:ind w:left="253" w:right="853"/>
        <w:jc w:val="left"/>
      </w:pPr>
      <w:r>
        <w:rPr/>
        <w:t>（</w:t>
      </w:r>
      <w:r>
        <w:rPr>
          <w:rFonts w:ascii="宋体" w:hAnsi="宋体" w:cs="宋体" w:eastAsia="宋体" w:hint="default"/>
        </w:rPr>
        <w:t>1</w:t>
      </w:r>
      <w:r>
        <w:rPr/>
        <w:t>）营业税金及附加期末余额</w:t>
      </w:r>
      <w:r>
        <w:rPr>
          <w:spacing w:val="-60"/>
        </w:rPr>
        <w:t> </w:t>
      </w:r>
      <w:r>
        <w:rPr>
          <w:rFonts w:ascii="宋体" w:hAnsi="宋体" w:cs="宋体" w:eastAsia="宋体" w:hint="default"/>
        </w:rPr>
        <w:t>18,571,136.19</w:t>
      </w:r>
      <w:r>
        <w:rPr>
          <w:rFonts w:ascii="宋体" w:hAnsi="宋体" w:cs="宋体" w:eastAsia="宋体" w:hint="default"/>
          <w:spacing w:val="-60"/>
        </w:rPr>
        <w:t> </w:t>
      </w:r>
      <w:r>
        <w:rPr/>
        <w:t>元，较期初增加</w:t>
      </w:r>
      <w:r>
        <w:rPr>
          <w:spacing w:val="-60"/>
        </w:rPr>
        <w:t> </w:t>
      </w:r>
      <w:r>
        <w:rPr>
          <w:rFonts w:ascii="宋体" w:hAnsi="宋体" w:cs="宋体" w:eastAsia="宋体" w:hint="default"/>
        </w:rPr>
        <w:t>83.60%</w:t>
      </w:r>
      <w:r>
        <w:rPr/>
        <w:t>，主要是 本期应税项目增加所致；</w:t>
      </w:r>
    </w:p>
    <w:p>
      <w:pPr>
        <w:spacing w:line="240" w:lineRule="auto" w:before="12"/>
        <w:rPr>
          <w:rFonts w:ascii="宋体" w:hAnsi="宋体" w:cs="宋体" w:eastAsia="宋体" w:hint="default"/>
          <w:sz w:val="13"/>
          <w:szCs w:val="13"/>
        </w:rPr>
      </w:pPr>
    </w:p>
    <w:p>
      <w:pPr>
        <w:pStyle w:val="BodyText"/>
        <w:spacing w:line="312" w:lineRule="exact" w:before="56"/>
        <w:ind w:left="253" w:right="853"/>
        <w:jc w:val="left"/>
      </w:pPr>
      <w:r>
        <w:rPr/>
        <w:t>（</w:t>
      </w:r>
      <w:r>
        <w:rPr>
          <w:rFonts w:ascii="宋体" w:hAnsi="宋体" w:cs="宋体" w:eastAsia="宋体" w:hint="default"/>
        </w:rPr>
        <w:t>2</w:t>
      </w:r>
      <w:r>
        <w:rPr/>
        <w:t>）财务费用期末余额</w:t>
      </w:r>
      <w:r>
        <w:rPr>
          <w:spacing w:val="-60"/>
        </w:rPr>
        <w:t> </w:t>
      </w:r>
      <w:r>
        <w:rPr>
          <w:rFonts w:ascii="宋体" w:hAnsi="宋体" w:cs="宋体" w:eastAsia="宋体" w:hint="default"/>
        </w:rPr>
        <w:t>70,582,040.47</w:t>
      </w:r>
      <w:r>
        <w:rPr>
          <w:rFonts w:ascii="宋体" w:hAnsi="宋体" w:cs="宋体" w:eastAsia="宋体" w:hint="default"/>
          <w:spacing w:val="-60"/>
        </w:rPr>
        <w:t> </w:t>
      </w:r>
      <w:r>
        <w:rPr/>
        <w:t>元，较期初增加</w:t>
      </w:r>
      <w:r>
        <w:rPr>
          <w:spacing w:val="-60"/>
        </w:rPr>
        <w:t> </w:t>
      </w:r>
      <w:r>
        <w:rPr>
          <w:rFonts w:ascii="宋体" w:hAnsi="宋体" w:cs="宋体" w:eastAsia="宋体" w:hint="default"/>
        </w:rPr>
        <w:t>37.05%</w:t>
      </w:r>
      <w:r>
        <w:rPr/>
        <w:t>，主要是本期利 息支出增加所致；</w:t>
      </w:r>
    </w:p>
    <w:p>
      <w:pPr>
        <w:spacing w:line="240" w:lineRule="auto" w:before="5"/>
        <w:rPr>
          <w:rFonts w:ascii="宋体" w:hAnsi="宋体" w:cs="宋体" w:eastAsia="宋体" w:hint="default"/>
          <w:sz w:val="18"/>
          <w:szCs w:val="18"/>
        </w:rPr>
      </w:pPr>
    </w:p>
    <w:p>
      <w:pPr>
        <w:pStyle w:val="BodyText"/>
        <w:spacing w:line="310" w:lineRule="exact"/>
        <w:ind w:left="253" w:right="853"/>
        <w:jc w:val="left"/>
      </w:pPr>
      <w:r>
        <w:rPr/>
        <w:t>（</w:t>
      </w:r>
      <w:r>
        <w:rPr>
          <w:rFonts w:ascii="宋体" w:hAnsi="宋体" w:cs="宋体" w:eastAsia="宋体" w:hint="default"/>
        </w:rPr>
        <w:t>3</w:t>
      </w:r>
      <w:r>
        <w:rPr/>
        <w:t>）投资收益期末余额</w:t>
      </w:r>
      <w:r>
        <w:rPr>
          <w:spacing w:val="-60"/>
        </w:rPr>
        <w:t> </w:t>
      </w:r>
      <w:r>
        <w:rPr>
          <w:rFonts w:ascii="宋体" w:hAnsi="宋体" w:cs="宋体" w:eastAsia="宋体" w:hint="default"/>
        </w:rPr>
        <w:t>39,855,871.90</w:t>
      </w:r>
      <w:r>
        <w:rPr>
          <w:rFonts w:ascii="宋体" w:hAnsi="宋体" w:cs="宋体" w:eastAsia="宋体" w:hint="default"/>
          <w:spacing w:val="-60"/>
        </w:rPr>
        <w:t> </w:t>
      </w:r>
      <w:r>
        <w:rPr/>
        <w:t>元，较期初增加</w:t>
      </w:r>
      <w:r>
        <w:rPr>
          <w:spacing w:val="-60"/>
        </w:rPr>
        <w:t> </w:t>
      </w:r>
      <w:r>
        <w:rPr>
          <w:rFonts w:ascii="宋体" w:hAnsi="宋体" w:cs="宋体" w:eastAsia="宋体" w:hint="default"/>
        </w:rPr>
        <w:t>2073.77%</w:t>
      </w:r>
      <w:r>
        <w:rPr/>
        <w:t>，主要是本期 转让子公司收益增加所致；</w:t>
      </w:r>
    </w:p>
    <w:p>
      <w:pPr>
        <w:spacing w:line="240" w:lineRule="auto" w:before="6"/>
        <w:rPr>
          <w:rFonts w:ascii="宋体" w:hAnsi="宋体" w:cs="宋体" w:eastAsia="宋体" w:hint="default"/>
          <w:sz w:val="18"/>
          <w:szCs w:val="18"/>
        </w:rPr>
      </w:pPr>
    </w:p>
    <w:p>
      <w:pPr>
        <w:pStyle w:val="BodyText"/>
        <w:spacing w:line="310" w:lineRule="exact"/>
        <w:ind w:left="253" w:right="853"/>
        <w:jc w:val="left"/>
      </w:pPr>
      <w:r>
        <w:rPr/>
        <w:t>（</w:t>
      </w:r>
      <w:r>
        <w:rPr>
          <w:rFonts w:ascii="宋体" w:hAnsi="宋体" w:cs="宋体" w:eastAsia="宋体" w:hint="default"/>
        </w:rPr>
        <w:t>4</w:t>
      </w:r>
      <w:r>
        <w:rPr/>
        <w:t>）营业外支出期末余额</w:t>
      </w:r>
      <w:r>
        <w:rPr>
          <w:spacing w:val="-60"/>
        </w:rPr>
        <w:t> </w:t>
      </w:r>
      <w:r>
        <w:rPr>
          <w:rFonts w:ascii="宋体" w:hAnsi="宋体" w:cs="宋体" w:eastAsia="宋体" w:hint="default"/>
        </w:rPr>
        <w:t>3,925,245.79</w:t>
      </w:r>
      <w:r>
        <w:rPr>
          <w:rFonts w:ascii="宋体" w:hAnsi="宋体" w:cs="宋体" w:eastAsia="宋体" w:hint="default"/>
          <w:spacing w:val="-60"/>
        </w:rPr>
        <w:t> </w:t>
      </w:r>
      <w:r>
        <w:rPr/>
        <w:t>元，较期初增加</w:t>
      </w:r>
      <w:r>
        <w:rPr>
          <w:spacing w:val="-60"/>
        </w:rPr>
        <w:t> </w:t>
      </w:r>
      <w:r>
        <w:rPr>
          <w:rFonts w:ascii="宋体" w:hAnsi="宋体" w:cs="宋体" w:eastAsia="宋体" w:hint="default"/>
        </w:rPr>
        <w:t>160.55%</w:t>
      </w:r>
      <w:r>
        <w:rPr/>
        <w:t>，主要是本期 预计负债增加所致；</w:t>
      </w:r>
    </w:p>
    <w:p>
      <w:pPr>
        <w:spacing w:line="240" w:lineRule="auto" w:before="4"/>
        <w:rPr>
          <w:rFonts w:ascii="宋体" w:hAnsi="宋体" w:cs="宋体" w:eastAsia="宋体" w:hint="default"/>
          <w:sz w:val="18"/>
          <w:szCs w:val="18"/>
        </w:rPr>
      </w:pPr>
    </w:p>
    <w:p>
      <w:pPr>
        <w:pStyle w:val="BodyText"/>
        <w:spacing w:line="312" w:lineRule="exact"/>
        <w:ind w:left="253" w:right="853"/>
        <w:jc w:val="left"/>
      </w:pPr>
      <w:r>
        <w:rPr/>
        <w:t>（</w:t>
      </w:r>
      <w:r>
        <w:rPr>
          <w:rFonts w:ascii="宋体" w:hAnsi="宋体" w:cs="宋体" w:eastAsia="宋体" w:hint="default"/>
        </w:rPr>
        <w:t>5</w:t>
      </w:r>
      <w:r>
        <w:rPr/>
        <w:t>）所得税费用期末余额</w:t>
      </w:r>
      <w:r>
        <w:rPr>
          <w:spacing w:val="-60"/>
        </w:rPr>
        <w:t> </w:t>
      </w:r>
      <w:r>
        <w:rPr>
          <w:rFonts w:ascii="宋体" w:hAnsi="宋体" w:cs="宋体" w:eastAsia="宋体" w:hint="default"/>
        </w:rPr>
        <w:t>10,658,479.17</w:t>
      </w:r>
      <w:r>
        <w:rPr>
          <w:rFonts w:ascii="宋体" w:hAnsi="宋体" w:cs="宋体" w:eastAsia="宋体" w:hint="default"/>
          <w:spacing w:val="-60"/>
        </w:rPr>
        <w:t> </w:t>
      </w:r>
      <w:r>
        <w:rPr/>
        <w:t>元，较期初减少</w:t>
      </w:r>
      <w:r>
        <w:rPr>
          <w:spacing w:val="-60"/>
        </w:rPr>
        <w:t> </w:t>
      </w:r>
      <w:r>
        <w:rPr>
          <w:rFonts w:ascii="宋体" w:hAnsi="宋体" w:cs="宋体" w:eastAsia="宋体" w:hint="default"/>
        </w:rPr>
        <w:t>46.34%</w:t>
      </w:r>
      <w:r>
        <w:rPr/>
        <w:t>，主要是本期 递延所得税费用减少所致；</w:t>
      </w:r>
    </w:p>
    <w:p>
      <w:pPr>
        <w:spacing w:line="240" w:lineRule="auto" w:before="6"/>
        <w:rPr>
          <w:rFonts w:ascii="宋体" w:hAnsi="宋体" w:cs="宋体" w:eastAsia="宋体" w:hint="default"/>
          <w:sz w:val="32"/>
          <w:szCs w:val="32"/>
        </w:rPr>
      </w:pPr>
    </w:p>
    <w:p>
      <w:pPr>
        <w:spacing w:before="0"/>
        <w:ind w:left="145" w:right="0" w:firstLine="0"/>
        <w:jc w:val="both"/>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核心竞争力分析</w:t>
      </w:r>
      <w:r>
        <w:rPr>
          <w:rFonts w:ascii="宋体" w:hAnsi="宋体" w:cs="宋体" w:eastAsia="宋体" w:hint="default"/>
          <w:sz w:val="21"/>
          <w:szCs w:val="21"/>
        </w:rPr>
      </w:r>
    </w:p>
    <w:p>
      <w:pPr>
        <w:pStyle w:val="BodyText"/>
        <w:spacing w:line="237" w:lineRule="auto" w:before="89"/>
        <w:ind w:left="145" w:right="378" w:firstLine="420"/>
        <w:jc w:val="both"/>
      </w:pPr>
      <w:r>
        <w:rPr/>
        <w:t>华胜天成作为</w:t>
      </w:r>
      <w:r>
        <w:rPr>
          <w:spacing w:val="-51"/>
        </w:rPr>
        <w:t> </w:t>
      </w:r>
      <w:r>
        <w:rPr>
          <w:rFonts w:ascii="宋体" w:hAnsi="宋体" w:cs="宋体" w:eastAsia="宋体" w:hint="default"/>
        </w:rPr>
        <w:t>IT</w:t>
      </w:r>
      <w:r>
        <w:rPr>
          <w:rFonts w:ascii="宋体" w:hAnsi="宋体" w:cs="宋体" w:eastAsia="宋体" w:hint="default"/>
          <w:spacing w:val="-51"/>
        </w:rPr>
        <w:t> </w:t>
      </w:r>
      <w:r>
        <w:rPr>
          <w:spacing w:val="-9"/>
        </w:rPr>
        <w:t>领域的领先企业，以服务客户为核心，持续打造公司的能力体系，</w:t>
      </w:r>
      <w:r>
        <w:rPr/>
        <w:t> 通过多年的努力，公司在经营管理、人才建设、技术研发、行业经验、客户提升和创 新发展等方面都具备较为突出的核心竞争优势。</w:t>
      </w:r>
    </w:p>
    <w:p>
      <w:pPr>
        <w:spacing w:line="331" w:lineRule="auto" w:before="117"/>
        <w:ind w:left="625" w:right="421" w:firstLine="2"/>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、体系化产品优势</w:t>
      </w:r>
      <w:r>
        <w:rPr>
          <w:rFonts w:ascii="宋体" w:hAnsi="宋体" w:cs="宋体" w:eastAsia="宋体" w:hint="default"/>
          <w:b/>
          <w:bCs/>
          <w:w w:val="99"/>
          <w:sz w:val="24"/>
          <w:szCs w:val="24"/>
        </w:rPr>
        <w:t> </w:t>
      </w:r>
      <w:r>
        <w:rPr>
          <w:rFonts w:ascii="宋体" w:hAnsi="宋体" w:cs="宋体" w:eastAsia="宋体" w:hint="default"/>
          <w:sz w:val="24"/>
          <w:szCs w:val="24"/>
        </w:rPr>
        <w:t>围绕国家倡导的自主信息化战略，借助自主研发，公司已研发出覆盖云计算、大</w:t>
      </w:r>
    </w:p>
    <w:p>
      <w:pPr>
        <w:pStyle w:val="BodyText"/>
        <w:spacing w:line="218" w:lineRule="exact"/>
        <w:ind w:left="145" w:right="0"/>
        <w:jc w:val="both"/>
      </w:pPr>
      <w:r>
        <w:rPr/>
        <w:t>数据分析、信息安全等的设备产品，覆盖智慧城市、金融服务、邮政物流、办公自动</w:t>
      </w:r>
    </w:p>
    <w:p>
      <w:pPr>
        <w:pStyle w:val="BodyText"/>
        <w:spacing w:line="237" w:lineRule="auto" w:before="1"/>
        <w:ind w:left="145" w:right="378"/>
        <w:jc w:val="both"/>
      </w:pPr>
      <w:r>
        <w:rPr/>
        <w:t>化、</w:t>
      </w:r>
      <w:r>
        <w:rPr>
          <w:rFonts w:ascii="宋体" w:hAnsi="宋体" w:cs="宋体" w:eastAsia="宋体" w:hint="default"/>
        </w:rPr>
        <w:t>IT</w:t>
      </w:r>
      <w:r>
        <w:rPr>
          <w:rFonts w:ascii="宋体" w:hAnsi="宋体" w:cs="宋体" w:eastAsia="宋体" w:hint="default"/>
          <w:spacing w:val="-60"/>
        </w:rPr>
        <w:t> </w:t>
      </w:r>
      <w:r>
        <w:rPr/>
        <w:t>运维管理等的应用产品，覆盖标准化硬件设备和软件系统等运行维护的服务产 品，形成‘设施、应用、服务三位一体’的体系化产品能力，能够为通信、金融、制 造、物流等不同行业的信息化需求提供多类产品协同或独立产品支撑的解决方案。</w:t>
      </w:r>
    </w:p>
    <w:p>
      <w:pPr>
        <w:pStyle w:val="Heading2"/>
        <w:spacing w:line="240" w:lineRule="auto" w:before="117"/>
        <w:ind w:left="628" w:right="853"/>
        <w:jc w:val="left"/>
        <w:rPr>
          <w:b w:val="0"/>
          <w:bCs w:val="0"/>
        </w:rPr>
      </w:pPr>
      <w:r>
        <w:rPr>
          <w:rFonts w:ascii="宋体" w:hAnsi="宋体" w:cs="宋体" w:eastAsia="宋体" w:hint="default"/>
        </w:rPr>
        <w:t>2</w:t>
      </w:r>
      <w:r>
        <w:rPr/>
        <w:t>、融合化服务优势</w:t>
      </w:r>
      <w:r>
        <w:rPr>
          <w:b w:val="0"/>
          <w:bCs w:val="0"/>
        </w:rPr>
      </w:r>
    </w:p>
    <w:p>
      <w:pPr>
        <w:spacing w:after="0" w:line="240" w:lineRule="auto"/>
        <w:jc w:val="left"/>
        <w:sectPr>
          <w:type w:val="continuous"/>
          <w:pgSz w:w="11910" w:h="16840"/>
          <w:pgMar w:top="1080" w:bottom="1380" w:left="1380" w:right="1060"/>
        </w:sectPr>
      </w:pPr>
    </w:p>
    <w:p>
      <w:pPr>
        <w:spacing w:line="240" w:lineRule="auto" w:before="1"/>
        <w:rPr>
          <w:rFonts w:ascii="宋体" w:hAnsi="宋体" w:cs="宋体" w:eastAsia="宋体" w:hint="default"/>
          <w:b/>
          <w:bCs/>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49.8pt;height:.75pt;mso-position-horizontal-relative:char;mso-position-vertical-relative:line" coordorigin="0,0" coordsize="8996,15">
            <v:group style="position:absolute;left:7;top:7;width:8981;height:2" coordorigin="7,7" coordsize="8981,2">
              <v:shape style="position:absolute;left:7;top:7;width:8981;height:2" coordorigin="7,7" coordsize="8981,0" path="m7,7l8988,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b/>
          <w:bCs/>
          <w:sz w:val="6"/>
          <w:szCs w:val="6"/>
        </w:rPr>
      </w:pPr>
    </w:p>
    <w:p>
      <w:pPr>
        <w:pStyle w:val="BodyText"/>
        <w:spacing w:line="237" w:lineRule="auto" w:before="28"/>
        <w:ind w:left="145" w:right="218" w:firstLine="480"/>
        <w:jc w:val="both"/>
      </w:pPr>
      <w:r>
        <w:rPr/>
        <w:t>公司通过不断加大华北、华东、华中、华南和西区域资源投入，建立了覆盖全国 </w:t>
      </w:r>
      <w:r>
        <w:rPr>
          <w:spacing w:val="-5"/>
        </w:rPr>
        <w:t>各大中城市的营销服务网络，建立了成熟的市场营销、客户服务和项目实施管理机制，</w:t>
      </w:r>
      <w:r>
        <w:rPr>
          <w:spacing w:val="-110"/>
        </w:rPr>
        <w:t> </w:t>
      </w:r>
      <w:r>
        <w:rPr>
          <w:spacing w:val="-110"/>
        </w:rPr>
      </w:r>
      <w:r>
        <w:rPr/>
        <w:t>形成立足区域，资源共享，支撑全国的高效服务体系，能够为全国各地的行业用户提 供设备、应用、集成、运维等融合化服务。成为各主要电信运营、电信设备制造及金 融等行业重点用户所信赖的服务伙伴</w:t>
      </w:r>
      <w:r>
        <w:rPr>
          <w:rFonts w:ascii="宋体" w:hAnsi="宋体" w:cs="宋体" w:eastAsia="宋体" w:hint="default"/>
        </w:rPr>
        <w:t>,</w:t>
      </w:r>
      <w:r>
        <w:rPr/>
        <w:t>在行业客户中享有较高的信誉度。</w:t>
      </w:r>
    </w:p>
    <w:p>
      <w:pPr>
        <w:spacing w:line="331" w:lineRule="auto" w:before="117"/>
        <w:ind w:left="625" w:right="261" w:firstLine="2"/>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、领先的技术优势</w:t>
      </w:r>
      <w:r>
        <w:rPr>
          <w:rFonts w:ascii="宋体" w:hAnsi="宋体" w:cs="宋体" w:eastAsia="宋体" w:hint="default"/>
          <w:b/>
          <w:bCs/>
          <w:w w:val="99"/>
          <w:sz w:val="24"/>
          <w:szCs w:val="24"/>
        </w:rPr>
        <w:t> </w:t>
      </w:r>
      <w:r>
        <w:rPr>
          <w:rFonts w:ascii="宋体" w:hAnsi="宋体" w:cs="宋体" w:eastAsia="宋体" w:hint="default"/>
          <w:sz w:val="24"/>
          <w:szCs w:val="24"/>
        </w:rPr>
        <w:t>在云计算基础设备、虚拟化管理，大数据挖掘，智慧城市特色应用等技术研发方</w:t>
      </w:r>
    </w:p>
    <w:p>
      <w:pPr>
        <w:pStyle w:val="BodyText"/>
        <w:spacing w:line="218" w:lineRule="exact"/>
        <w:ind w:left="145" w:right="0"/>
        <w:jc w:val="both"/>
      </w:pPr>
      <w:r>
        <w:rPr/>
        <w:t>面，公司已经成为国内该领域的佼佼者，连续多年被认定为国家规划布局内重点软件</w:t>
      </w:r>
    </w:p>
    <w:p>
      <w:pPr>
        <w:pStyle w:val="BodyText"/>
        <w:spacing w:line="237" w:lineRule="auto" w:before="1"/>
        <w:ind w:left="145" w:right="278"/>
        <w:jc w:val="both"/>
      </w:pPr>
      <w:r>
        <w:rPr/>
        <w:t>企业。拥有专业的软硬件开发、运维服务及数据分析人才队伍，包括高级工程师、工 业和信息化部认证的高级项目经理和项目经理近百名，取得了软件著作权</w:t>
      </w:r>
      <w:r>
        <w:rPr>
          <w:spacing w:val="-60"/>
        </w:rPr>
        <w:t> </w:t>
      </w:r>
      <w:r>
        <w:rPr>
          <w:rFonts w:ascii="宋体" w:hAnsi="宋体" w:cs="宋体" w:eastAsia="宋体" w:hint="default"/>
        </w:rPr>
        <w:t>340</w:t>
      </w:r>
      <w:r>
        <w:rPr>
          <w:rFonts w:ascii="宋体" w:hAnsi="宋体" w:cs="宋体" w:eastAsia="宋体" w:hint="default"/>
          <w:spacing w:val="-60"/>
        </w:rPr>
        <w:t> </w:t>
      </w:r>
      <w:r>
        <w:rPr/>
        <w:t>余项。 并积极与外国知名</w:t>
      </w:r>
      <w:r>
        <w:rPr>
          <w:spacing w:val="-60"/>
        </w:rPr>
        <w:t> </w:t>
      </w:r>
      <w:r>
        <w:rPr>
          <w:rFonts w:ascii="宋体" w:hAnsi="宋体" w:cs="宋体" w:eastAsia="宋体" w:hint="default"/>
        </w:rPr>
        <w:t>IT</w:t>
      </w:r>
      <w:r>
        <w:rPr>
          <w:rFonts w:ascii="宋体" w:hAnsi="宋体" w:cs="宋体" w:eastAsia="宋体" w:hint="default"/>
          <w:spacing w:val="-60"/>
        </w:rPr>
        <w:t> </w:t>
      </w:r>
      <w:r>
        <w:rPr/>
        <w:t>企业合作，进行先进技术消化和自主创新工作。</w:t>
      </w:r>
    </w:p>
    <w:p>
      <w:pPr>
        <w:spacing w:line="331" w:lineRule="auto" w:before="117"/>
        <w:ind w:left="625" w:right="261" w:firstLine="2"/>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、规范化管理优势</w:t>
      </w:r>
      <w:r>
        <w:rPr>
          <w:rFonts w:ascii="宋体" w:hAnsi="宋体" w:cs="宋体" w:eastAsia="宋体" w:hint="default"/>
          <w:b/>
          <w:bCs/>
          <w:w w:val="99"/>
          <w:sz w:val="24"/>
          <w:szCs w:val="24"/>
        </w:rPr>
        <w:t> </w:t>
      </w:r>
      <w:r>
        <w:rPr>
          <w:rFonts w:ascii="宋体" w:hAnsi="宋体" w:cs="宋体" w:eastAsia="宋体" w:hint="default"/>
          <w:sz w:val="24"/>
          <w:szCs w:val="24"/>
        </w:rPr>
        <w:t>公司持续加强内部运营规范，致力打造量化能力管理，合理利用数据决策，实现</w:t>
      </w:r>
    </w:p>
    <w:p>
      <w:pPr>
        <w:pStyle w:val="BodyText"/>
        <w:spacing w:line="220" w:lineRule="exact"/>
        <w:ind w:left="145" w:right="0"/>
        <w:jc w:val="both"/>
      </w:pPr>
      <w:r>
        <w:rPr/>
        <w:t>有效的管控，形成了快速适应市场变化的运营体系。</w:t>
      </w:r>
    </w:p>
    <w:p>
      <w:pPr>
        <w:pStyle w:val="BodyText"/>
        <w:spacing w:line="310" w:lineRule="exact" w:before="150"/>
        <w:ind w:left="145" w:right="278" w:firstLine="480"/>
        <w:jc w:val="both"/>
      </w:pPr>
      <w:r>
        <w:rPr/>
        <w:t>公司建立了全面的流程化运营及量化指标体系，利用数据运营指导流程再造，实 施管理创新。体系化保障了产品研发与公司战略的一致，体系化实现了公司经营效率 的提升，体系化推动了客户和公司效益共同改善。</w:t>
      </w:r>
    </w:p>
    <w:p>
      <w:pPr>
        <w:pStyle w:val="BodyText"/>
        <w:spacing w:line="237" w:lineRule="auto" w:before="92"/>
        <w:ind w:left="145" w:right="98" w:firstLine="480"/>
        <w:jc w:val="left"/>
      </w:pPr>
      <w:r>
        <w:rPr>
          <w:spacing w:val="-3"/>
        </w:rPr>
        <w:t>公司是最早获得工信部计算机信息系统集成一级资质企业，通过了 </w:t>
      </w:r>
      <w:r>
        <w:rPr>
          <w:rFonts w:ascii="宋体" w:hAnsi="宋体" w:cs="宋体" w:eastAsia="宋体" w:hint="default"/>
        </w:rPr>
        <w:t>ISO9001</w:t>
      </w:r>
      <w:r>
        <w:rPr>
          <w:rFonts w:ascii="宋体" w:hAnsi="宋体" w:cs="宋体" w:eastAsia="宋体" w:hint="default"/>
          <w:spacing w:val="21"/>
        </w:rPr>
        <w:t> </w:t>
      </w:r>
      <w:r>
        <w:rPr/>
        <w:t>质量 体系认证、</w:t>
      </w:r>
      <w:r>
        <w:rPr>
          <w:rFonts w:ascii="宋体" w:hAnsi="宋体" w:cs="宋体" w:eastAsia="宋体" w:hint="default"/>
        </w:rPr>
        <w:t>ISO20000</w:t>
      </w:r>
      <w:r>
        <w:rPr>
          <w:rFonts w:ascii="宋体" w:hAnsi="宋体" w:cs="宋体" w:eastAsia="宋体" w:hint="default"/>
          <w:spacing w:val="-60"/>
        </w:rPr>
        <w:t> </w:t>
      </w:r>
      <w:r>
        <w:rPr/>
        <w:t>服务管理体系认证、</w:t>
      </w:r>
      <w:r>
        <w:rPr>
          <w:rFonts w:ascii="宋体" w:hAnsi="宋体" w:cs="宋体" w:eastAsia="宋体" w:hint="default"/>
        </w:rPr>
        <w:t>ITSS</w:t>
      </w:r>
      <w:r>
        <w:rPr>
          <w:rFonts w:ascii="宋体" w:hAnsi="宋体" w:cs="宋体" w:eastAsia="宋体" w:hint="default"/>
          <w:spacing w:val="-60"/>
        </w:rPr>
        <w:t> </w:t>
      </w:r>
      <w:r>
        <w:rPr/>
        <w:t>运维符合性评估、</w:t>
      </w:r>
      <w:r>
        <w:rPr>
          <w:rFonts w:ascii="宋体" w:hAnsi="宋体" w:cs="宋体" w:eastAsia="宋体" w:hint="default"/>
        </w:rPr>
        <w:t>ISO27001 </w:t>
      </w:r>
      <w:r>
        <w:rPr/>
        <w:t>信息安全 </w:t>
      </w:r>
      <w:r>
        <w:rPr>
          <w:spacing w:val="-9"/>
        </w:rPr>
        <w:t>管理体系认证、</w:t>
      </w:r>
      <w:r>
        <w:rPr>
          <w:rFonts w:ascii="宋体" w:hAnsi="宋体" w:cs="宋体" w:eastAsia="宋体" w:hint="default"/>
          <w:spacing w:val="-9"/>
        </w:rPr>
        <w:t>CMMI-L3</w:t>
      </w:r>
      <w:r>
        <w:rPr>
          <w:rFonts w:ascii="宋体" w:hAnsi="宋体" w:cs="宋体" w:eastAsia="宋体" w:hint="default"/>
          <w:spacing w:val="-37"/>
        </w:rPr>
        <w:t> </w:t>
      </w:r>
      <w:r>
        <w:rPr>
          <w:spacing w:val="-5"/>
        </w:rPr>
        <w:t>软件成熟度能力认证，拥有国家涉密计算机信息系统集成甲级、</w:t>
      </w:r>
      <w:r>
        <w:rPr>
          <w:spacing w:val="-118"/>
        </w:rPr>
        <w:t> </w:t>
      </w:r>
      <w:r>
        <w:rPr>
          <w:spacing w:val="-118"/>
        </w:rPr>
      </w:r>
      <w:r>
        <w:rPr/>
        <w:t>信息安全集成服务一级、安防工程企业等齐全完备的资质证书，并正在申请建筑内智 能化等信息化企业资质，资质的取得充分说明公司具备良好的</w:t>
      </w:r>
      <w:r>
        <w:rPr>
          <w:spacing w:val="-60"/>
        </w:rPr>
        <w:t> </w:t>
      </w:r>
      <w:r>
        <w:rPr>
          <w:rFonts w:ascii="宋体" w:hAnsi="宋体" w:cs="宋体" w:eastAsia="宋体" w:hint="default"/>
        </w:rPr>
        <w:t>IT</w:t>
      </w:r>
      <w:r>
        <w:rPr>
          <w:rFonts w:ascii="宋体" w:hAnsi="宋体" w:cs="宋体" w:eastAsia="宋体" w:hint="default"/>
          <w:spacing w:val="-60"/>
        </w:rPr>
        <w:t> </w:t>
      </w:r>
      <w:r>
        <w:rPr/>
        <w:t>运营管理能力。</w:t>
      </w:r>
    </w:p>
    <w:p>
      <w:pPr>
        <w:pStyle w:val="Heading2"/>
        <w:spacing w:line="240" w:lineRule="auto" w:before="118"/>
        <w:ind w:left="628" w:right="261"/>
        <w:jc w:val="left"/>
        <w:rPr>
          <w:b w:val="0"/>
          <w:bCs w:val="0"/>
        </w:rPr>
      </w:pPr>
      <w:r>
        <w:rPr>
          <w:rFonts w:ascii="宋体" w:hAnsi="宋体" w:cs="宋体" w:eastAsia="宋体" w:hint="default"/>
        </w:rPr>
        <w:t>5</w:t>
      </w:r>
      <w:r>
        <w:rPr/>
        <w:t>、品牌优势</w:t>
      </w:r>
      <w:r>
        <w:rPr>
          <w:b w:val="0"/>
          <w:bCs w:val="0"/>
        </w:rPr>
      </w:r>
    </w:p>
    <w:p>
      <w:pPr>
        <w:pStyle w:val="BodyText"/>
        <w:spacing w:line="237" w:lineRule="auto" w:before="119"/>
        <w:ind w:left="145" w:right="278" w:firstLine="480"/>
        <w:jc w:val="both"/>
      </w:pPr>
      <w:r>
        <w:rPr/>
        <w:t>公司自</w:t>
      </w:r>
      <w:r>
        <w:rPr>
          <w:spacing w:val="-60"/>
        </w:rPr>
        <w:t> </w:t>
      </w:r>
      <w:r>
        <w:rPr>
          <w:rFonts w:ascii="宋体" w:hAnsi="宋体" w:cs="宋体" w:eastAsia="宋体" w:hint="default"/>
        </w:rPr>
        <w:t>2007</w:t>
      </w:r>
      <w:r>
        <w:rPr>
          <w:rFonts w:ascii="宋体" w:hAnsi="宋体" w:cs="宋体" w:eastAsia="宋体" w:hint="default"/>
          <w:spacing w:val="-60"/>
        </w:rPr>
        <w:t> </w:t>
      </w:r>
      <w:r>
        <w:rPr/>
        <w:t>年起树立“中国</w:t>
      </w:r>
      <w:r>
        <w:rPr>
          <w:spacing w:val="-60"/>
        </w:rPr>
        <w:t> </w:t>
      </w:r>
      <w:r>
        <w:rPr>
          <w:rFonts w:ascii="宋体" w:hAnsi="宋体" w:cs="宋体" w:eastAsia="宋体" w:hint="default"/>
        </w:rPr>
        <w:t>IT</w:t>
      </w:r>
      <w:r>
        <w:rPr>
          <w:rFonts w:ascii="宋体" w:hAnsi="宋体" w:cs="宋体" w:eastAsia="宋体" w:hint="default"/>
          <w:spacing w:val="-60"/>
        </w:rPr>
        <w:t> </w:t>
      </w:r>
      <w:r>
        <w:rPr/>
        <w:t>综合服务领导者”的企业愿景，在战略定位、综 合服务、自主产品、社会责任等方面进行体系化建设，树立了良好的客户口碑，并在 “</w:t>
      </w:r>
      <w:r>
        <w:rPr>
          <w:rFonts w:ascii="宋体" w:hAnsi="宋体" w:cs="宋体" w:eastAsia="宋体" w:hint="default"/>
        </w:rPr>
        <w:t>2013</w:t>
      </w:r>
      <w:r>
        <w:rPr>
          <w:rFonts w:ascii="宋体" w:hAnsi="宋体" w:cs="宋体" w:eastAsia="宋体" w:hint="default"/>
          <w:spacing w:val="-60"/>
        </w:rPr>
        <w:t> </w:t>
      </w:r>
      <w:r>
        <w:rPr/>
        <w:t>中国软件和信息技术服务业品牌大会“中荣获</w:t>
      </w:r>
      <w:r>
        <w:rPr>
          <w:rFonts w:ascii="宋体" w:hAnsi="宋体" w:cs="宋体" w:eastAsia="宋体" w:hint="default"/>
        </w:rPr>
        <w:t>"2013</w:t>
      </w:r>
      <w:r>
        <w:rPr>
          <w:rFonts w:ascii="宋体" w:hAnsi="宋体" w:cs="宋体" w:eastAsia="宋体" w:hint="default"/>
          <w:spacing w:val="-60"/>
        </w:rPr>
        <w:t> </w:t>
      </w:r>
      <w:r>
        <w:rPr/>
        <w:t>中国软件和信息技术服务</w:t>
      </w:r>
    </w:p>
    <w:p>
      <w:pPr>
        <w:pStyle w:val="BodyText"/>
        <w:spacing w:line="310" w:lineRule="exact" w:before="29"/>
        <w:ind w:left="145" w:right="97"/>
        <w:jc w:val="left"/>
      </w:pPr>
      <w:r>
        <w:rPr/>
        <w:t>业最有价值品牌”，并凭借在</w:t>
      </w:r>
      <w:r>
        <w:rPr>
          <w:spacing w:val="-38"/>
        </w:rPr>
        <w:t> </w:t>
      </w:r>
      <w:r>
        <w:rPr>
          <w:rFonts w:ascii="宋体" w:hAnsi="宋体" w:cs="宋体" w:eastAsia="宋体" w:hint="default"/>
        </w:rPr>
        <w:t>IT</w:t>
      </w:r>
      <w:r>
        <w:rPr>
          <w:rFonts w:ascii="宋体" w:hAnsi="宋体" w:cs="宋体" w:eastAsia="宋体" w:hint="default"/>
          <w:spacing w:val="-38"/>
        </w:rPr>
        <w:t> </w:t>
      </w:r>
      <w:r>
        <w:rPr/>
        <w:t>服务、云计算、大数据、智慧城市等领域突出表现，</w:t>
      </w:r>
      <w:r>
        <w:rPr>
          <w:spacing w:val="-116"/>
        </w:rPr>
        <w:t> </w:t>
      </w:r>
      <w:r>
        <w:rPr>
          <w:spacing w:val="-116"/>
        </w:rPr>
      </w:r>
      <w:r>
        <w:rPr>
          <w:rFonts w:ascii="宋体" w:hAnsi="宋体" w:cs="宋体" w:eastAsia="宋体" w:hint="default"/>
        </w:rPr>
        <w:t>2014</w:t>
      </w:r>
      <w:r>
        <w:rPr>
          <w:rFonts w:ascii="宋体" w:hAnsi="宋体" w:cs="宋体" w:eastAsia="宋体" w:hint="default"/>
          <w:spacing w:val="-60"/>
        </w:rPr>
        <w:t> </w:t>
      </w:r>
      <w:r>
        <w:rPr/>
        <w:t>年以</w:t>
      </w:r>
      <w:r>
        <w:rPr>
          <w:spacing w:val="-60"/>
        </w:rPr>
        <w:t> </w:t>
      </w:r>
      <w:r>
        <w:rPr>
          <w:rFonts w:ascii="宋体" w:hAnsi="宋体" w:cs="宋体" w:eastAsia="宋体" w:hint="default"/>
        </w:rPr>
        <w:t>70.6</w:t>
      </w:r>
      <w:r>
        <w:rPr>
          <w:rFonts w:ascii="宋体" w:hAnsi="宋体" w:cs="宋体" w:eastAsia="宋体" w:hint="default"/>
          <w:spacing w:val="-60"/>
        </w:rPr>
        <w:t> </w:t>
      </w:r>
      <w:r>
        <w:rPr/>
        <w:t>亿元的品牌价值高居行业企业品牌价值排行榜首位。</w:t>
      </w:r>
    </w:p>
    <w:p>
      <w:pPr>
        <w:spacing w:line="328" w:lineRule="auto" w:before="89"/>
        <w:ind w:left="625" w:right="261" w:firstLine="2"/>
        <w:jc w:val="left"/>
        <w:rPr>
          <w:rFonts w:ascii="宋体" w:hAnsi="宋体" w:cs="宋体" w:eastAsia="宋体" w:hint="default"/>
          <w:sz w:val="24"/>
          <w:szCs w:val="24"/>
        </w:rPr>
      </w:pPr>
      <w:r>
        <w:rPr>
          <w:rFonts w:ascii="宋体" w:hAnsi="宋体" w:cs="宋体" w:eastAsia="宋体" w:hint="default"/>
          <w:b/>
          <w:bCs/>
          <w:sz w:val="24"/>
          <w:szCs w:val="24"/>
        </w:rPr>
        <w:t>6</w:t>
      </w:r>
      <w:r>
        <w:rPr>
          <w:rFonts w:ascii="宋体" w:hAnsi="宋体" w:cs="宋体" w:eastAsia="宋体" w:hint="default"/>
          <w:b/>
          <w:bCs/>
          <w:sz w:val="24"/>
          <w:szCs w:val="24"/>
        </w:rPr>
        <w:t>、协作化同盟优势</w:t>
      </w:r>
      <w:r>
        <w:rPr>
          <w:rFonts w:ascii="宋体" w:hAnsi="宋体" w:cs="宋体" w:eastAsia="宋体" w:hint="default"/>
          <w:b/>
          <w:bCs/>
          <w:w w:val="99"/>
          <w:sz w:val="24"/>
          <w:szCs w:val="24"/>
        </w:rPr>
        <w:t> </w:t>
      </w:r>
      <w:r>
        <w:rPr>
          <w:rFonts w:ascii="宋体" w:hAnsi="宋体" w:cs="宋体" w:eastAsia="宋体" w:hint="default"/>
          <w:sz w:val="24"/>
          <w:szCs w:val="24"/>
        </w:rPr>
        <w:t>公司结合市场需求统筹考虑产业发展的协调性和配套性，联合协同产业链企业和</w:t>
      </w:r>
    </w:p>
    <w:p>
      <w:pPr>
        <w:pStyle w:val="BodyText"/>
        <w:spacing w:line="222" w:lineRule="exact"/>
        <w:ind w:left="145" w:right="0"/>
        <w:jc w:val="both"/>
      </w:pPr>
      <w:r>
        <w:rPr/>
        <w:t>行业客户，开展技术研制与应用推广，形成战略突出、分工协作发展的产业链生态。</w:t>
      </w:r>
    </w:p>
    <w:p>
      <w:pPr>
        <w:pStyle w:val="BodyText"/>
        <w:spacing w:line="237" w:lineRule="auto" w:before="1"/>
        <w:ind w:left="145" w:right="278"/>
        <w:jc w:val="both"/>
      </w:pPr>
      <w:r>
        <w:rPr/>
        <w:t>公司与北京邮电大学、电子商务交易技术国家工程实验室等实体共同发起成立了中关 村现代服务业四方联盟，联盟以创新驱动为导向，以促进现代服务产业技术创新和产 业发展为目标，推动资源集中，培育现代服务生态环境，通过服务集成和创新，构建 联合开发、优势互补、利益共享、风险共担的现代服务业产业技术创新合作组织。</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080" w:bottom="1380" w:left="1380" w:right="1220"/>
        </w:sectPr>
      </w:pPr>
    </w:p>
    <w:p>
      <w:pPr>
        <w:pStyle w:val="Heading2"/>
        <w:spacing w:line="240" w:lineRule="auto" w:before="188"/>
        <w:ind w:left="145" w:right="-1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2"/>
        </w:rPr>
        <w:t> </w:t>
      </w:r>
      <w:r>
        <w:rPr/>
        <w:t>投资状况分析</w:t>
      </w:r>
      <w:r>
        <w:rPr>
          <w:b w:val="0"/>
          <w:bCs w:val="0"/>
        </w:rPr>
      </w:r>
    </w:p>
    <w:p>
      <w:pPr>
        <w:pStyle w:val="Heading2"/>
        <w:spacing w:line="240" w:lineRule="auto" w:before="27"/>
        <w:ind w:left="145" w:right="-10"/>
        <w:jc w:val="left"/>
        <w:rPr>
          <w:b w:val="0"/>
          <w:bCs w:val="0"/>
        </w:rPr>
      </w:pPr>
      <w:r>
        <w:rPr>
          <w:rFonts w:ascii="宋体" w:hAnsi="宋体" w:cs="宋体" w:eastAsia="宋体" w:hint="default"/>
        </w:rPr>
        <w:t>1</w:t>
      </w:r>
      <w:r>
        <w:rPr/>
        <w:t>、</w:t>
      </w:r>
      <w:r>
        <w:rPr>
          <w:spacing w:val="-74"/>
        </w:rPr>
        <w:t> </w:t>
      </w:r>
      <w:r>
        <w:rPr/>
        <w:t>对外股权投资总体分析</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10"/>
        <w:rPr>
          <w:rFonts w:ascii="宋体" w:hAnsi="宋体" w:cs="宋体" w:eastAsia="宋体" w:hint="default"/>
          <w:b/>
          <w:bCs/>
          <w:sz w:val="27"/>
          <w:szCs w:val="27"/>
        </w:rPr>
      </w:pPr>
    </w:p>
    <w:p>
      <w:pPr>
        <w:pStyle w:val="BodyText"/>
        <w:spacing w:line="240" w:lineRule="auto"/>
        <w:ind w:left="145" w:right="0"/>
        <w:jc w:val="left"/>
      </w:pPr>
      <w:r>
        <w:rPr/>
        <w:t>单位</w:t>
      </w:r>
      <w:r>
        <w:rPr>
          <w:rFonts w:ascii="宋体" w:hAnsi="宋体" w:cs="宋体" w:eastAsia="宋体" w:hint="default"/>
        </w:rPr>
        <w:t>:</w:t>
      </w:r>
      <w:r>
        <w:rPr/>
        <w:t>万元 币种</w:t>
      </w:r>
      <w:r>
        <w:rPr>
          <w:rFonts w:ascii="宋体" w:hAnsi="宋体" w:cs="宋体" w:eastAsia="宋体" w:hint="default"/>
        </w:rPr>
        <w:t>:</w:t>
      </w:r>
      <w:r>
        <w:rPr/>
        <w:t>人民币</w:t>
      </w:r>
    </w:p>
    <w:p>
      <w:pPr>
        <w:spacing w:after="0" w:line="240" w:lineRule="auto"/>
        <w:jc w:val="left"/>
        <w:sectPr>
          <w:type w:val="continuous"/>
          <w:pgSz w:w="11910" w:h="16840"/>
          <w:pgMar w:top="1080" w:bottom="1380" w:left="1380" w:right="1220"/>
          <w:cols w:num="2" w:equalWidth="0">
            <w:col w:w="2974" w:space="2907"/>
            <w:col w:w="3429"/>
          </w:cols>
        </w:sectPr>
      </w:pPr>
    </w:p>
    <w:p>
      <w:pPr>
        <w:spacing w:line="240" w:lineRule="auto" w:before="11"/>
        <w:rPr>
          <w:rFonts w:ascii="宋体" w:hAnsi="宋体" w:cs="宋体" w:eastAsia="宋体" w:hint="default"/>
          <w:sz w:val="14"/>
          <w:szCs w:val="14"/>
        </w:rPr>
      </w:pPr>
    </w:p>
    <w:tbl>
      <w:tblPr>
        <w:tblW w:w="0" w:type="auto"/>
        <w:jc w:val="left"/>
        <w:tblInd w:w="949" w:type="dxa"/>
        <w:tblLayout w:type="fixed"/>
        <w:tblCellMar>
          <w:top w:w="0" w:type="dxa"/>
          <w:left w:w="0" w:type="dxa"/>
          <w:bottom w:w="0" w:type="dxa"/>
          <w:right w:w="0" w:type="dxa"/>
        </w:tblCellMar>
        <w:tblLook w:val="01E0"/>
      </w:tblPr>
      <w:tblGrid>
        <w:gridCol w:w="4135"/>
        <w:gridCol w:w="4522"/>
      </w:tblGrid>
      <w:tr>
        <w:trPr>
          <w:trHeight w:val="326" w:hRule="exact"/>
        </w:trPr>
        <w:tc>
          <w:tcPr>
            <w:tcW w:w="413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1" w:right="0"/>
              <w:jc w:val="left"/>
              <w:rPr>
                <w:rFonts w:ascii="宋体" w:hAnsi="宋体" w:cs="宋体" w:eastAsia="宋体" w:hint="default"/>
                <w:sz w:val="24"/>
                <w:szCs w:val="24"/>
              </w:rPr>
            </w:pPr>
            <w:r>
              <w:rPr>
                <w:rFonts w:ascii="宋体" w:hAnsi="宋体" w:cs="宋体" w:eastAsia="宋体" w:hint="default"/>
                <w:sz w:val="24"/>
                <w:szCs w:val="24"/>
              </w:rPr>
              <w:t>报告期内投资额</w:t>
            </w:r>
          </w:p>
        </w:tc>
        <w:tc>
          <w:tcPr>
            <w:tcW w:w="452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26,987.45</w:t>
            </w:r>
          </w:p>
        </w:tc>
      </w:tr>
      <w:tr>
        <w:trPr>
          <w:trHeight w:val="326" w:hRule="exact"/>
        </w:trPr>
        <w:tc>
          <w:tcPr>
            <w:tcW w:w="413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1" w:right="0"/>
              <w:jc w:val="left"/>
              <w:rPr>
                <w:rFonts w:ascii="宋体" w:hAnsi="宋体" w:cs="宋体" w:eastAsia="宋体" w:hint="default"/>
                <w:sz w:val="24"/>
                <w:szCs w:val="24"/>
              </w:rPr>
            </w:pPr>
            <w:r>
              <w:rPr>
                <w:rFonts w:ascii="宋体" w:hAnsi="宋体" w:cs="宋体" w:eastAsia="宋体" w:hint="default"/>
                <w:sz w:val="24"/>
                <w:szCs w:val="24"/>
              </w:rPr>
              <w:t>投资额增减变动数</w:t>
            </w:r>
          </w:p>
        </w:tc>
        <w:tc>
          <w:tcPr>
            <w:tcW w:w="452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18,967.15</w:t>
            </w:r>
          </w:p>
        </w:tc>
      </w:tr>
      <w:tr>
        <w:trPr>
          <w:trHeight w:val="326" w:hRule="exact"/>
        </w:trPr>
        <w:tc>
          <w:tcPr>
            <w:tcW w:w="413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1" w:right="0"/>
              <w:jc w:val="left"/>
              <w:rPr>
                <w:rFonts w:ascii="宋体" w:hAnsi="宋体" w:cs="宋体" w:eastAsia="宋体" w:hint="default"/>
                <w:sz w:val="24"/>
                <w:szCs w:val="24"/>
              </w:rPr>
            </w:pPr>
            <w:r>
              <w:rPr>
                <w:rFonts w:ascii="宋体" w:hAnsi="宋体" w:cs="宋体" w:eastAsia="宋体" w:hint="default"/>
                <w:sz w:val="24"/>
                <w:szCs w:val="24"/>
              </w:rPr>
              <w:t>上年同期投资额</w:t>
            </w:r>
          </w:p>
        </w:tc>
        <w:tc>
          <w:tcPr>
            <w:tcW w:w="452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8,020.30</w:t>
            </w:r>
          </w:p>
        </w:tc>
      </w:tr>
      <w:tr>
        <w:trPr>
          <w:trHeight w:val="326" w:hRule="exact"/>
        </w:trPr>
        <w:tc>
          <w:tcPr>
            <w:tcW w:w="4135"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1" w:right="0"/>
              <w:jc w:val="left"/>
              <w:rPr>
                <w:rFonts w:ascii="宋体" w:hAnsi="宋体" w:cs="宋体" w:eastAsia="宋体" w:hint="default"/>
                <w:sz w:val="24"/>
                <w:szCs w:val="24"/>
              </w:rPr>
            </w:pPr>
            <w:r>
              <w:rPr>
                <w:rFonts w:ascii="宋体" w:hAnsi="宋体" w:cs="宋体" w:eastAsia="宋体" w:hint="default"/>
                <w:sz w:val="24"/>
                <w:szCs w:val="24"/>
              </w:rPr>
              <w:t>投资额增减幅度</w:t>
            </w:r>
            <w:r>
              <w:rPr>
                <w:rFonts w:ascii="宋体" w:hAnsi="宋体" w:cs="宋体" w:eastAsia="宋体" w:hint="default"/>
                <w:sz w:val="24"/>
                <w:szCs w:val="24"/>
              </w:rPr>
              <w:t>(%)</w:t>
            </w:r>
          </w:p>
        </w:tc>
        <w:tc>
          <w:tcPr>
            <w:tcW w:w="4522"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98"/>
              <w:jc w:val="right"/>
              <w:rPr>
                <w:rFonts w:ascii="宋体" w:hAnsi="宋体" w:cs="宋体" w:eastAsia="宋体" w:hint="default"/>
                <w:sz w:val="24"/>
                <w:szCs w:val="24"/>
              </w:rPr>
            </w:pPr>
            <w:r>
              <w:rPr>
                <w:rFonts w:ascii="宋体"/>
                <w:sz w:val="24"/>
              </w:rPr>
              <w:t>236.49</w:t>
            </w:r>
          </w:p>
        </w:tc>
      </w:tr>
    </w:tbl>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2"/>
          <w:pgSz w:w="11910" w:h="16840"/>
          <w:pgMar w:footer="1194" w:header="882" w:top="1080" w:bottom="1380" w:left="560" w:right="340"/>
        </w:sectPr>
      </w:pPr>
    </w:p>
    <w:p>
      <w:pPr>
        <w:pStyle w:val="Heading2"/>
        <w:spacing w:line="240" w:lineRule="auto"/>
        <w:ind w:left="965" w:right="-10"/>
        <w:jc w:val="left"/>
        <w:rPr>
          <w:b w:val="0"/>
          <w:bCs w:val="0"/>
        </w:rPr>
      </w:pPr>
      <w:r>
        <w:rPr>
          <w:rFonts w:ascii="宋体" w:hAnsi="宋体" w:cs="宋体" w:eastAsia="宋体" w:hint="default"/>
        </w:rPr>
        <w:t>(1)</w:t>
      </w:r>
      <w:r>
        <w:rPr>
          <w:rFonts w:ascii="宋体" w:hAnsi="宋体" w:cs="宋体" w:eastAsia="宋体" w:hint="default"/>
          <w:spacing w:val="-76"/>
        </w:rPr>
        <w:t> </w:t>
      </w:r>
      <w:r>
        <w:rPr/>
        <w:t>持有其他上市公司股权情况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tabs>
          <w:tab w:pos="2015" w:val="left" w:leader="none"/>
        </w:tabs>
        <w:spacing w:before="140"/>
        <w:ind w:left="965"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560" w:right="340"/>
          <w:cols w:num="2" w:equalWidth="0">
            <w:col w:w="4275" w:space="2132"/>
            <w:col w:w="4603"/>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851"/>
        <w:gridCol w:w="1000"/>
        <w:gridCol w:w="1553"/>
        <w:gridCol w:w="708"/>
        <w:gridCol w:w="1560"/>
        <w:gridCol w:w="1417"/>
        <w:gridCol w:w="1418"/>
        <w:gridCol w:w="1417"/>
        <w:gridCol w:w="851"/>
      </w:tblGrid>
      <w:tr>
        <w:trPr>
          <w:trHeight w:val="1177"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240" w:right="239"/>
              <w:jc w:val="left"/>
              <w:rPr>
                <w:rFonts w:ascii="宋体" w:hAnsi="宋体" w:cs="宋体" w:eastAsia="宋体" w:hint="default"/>
                <w:sz w:val="18"/>
                <w:szCs w:val="18"/>
              </w:rPr>
            </w:pPr>
            <w:r>
              <w:rPr>
                <w:rFonts w:ascii="宋体" w:hAnsi="宋体" w:cs="宋体" w:eastAsia="宋体" w:hint="default"/>
                <w:sz w:val="18"/>
                <w:szCs w:val="18"/>
              </w:rPr>
              <w:t>证券 代码</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314" w:right="313"/>
              <w:jc w:val="left"/>
              <w:rPr>
                <w:rFonts w:ascii="宋体" w:hAnsi="宋体" w:cs="宋体" w:eastAsia="宋体" w:hint="default"/>
                <w:sz w:val="18"/>
                <w:szCs w:val="18"/>
              </w:rPr>
            </w:pPr>
            <w:r>
              <w:rPr>
                <w:rFonts w:ascii="宋体" w:hAnsi="宋体" w:cs="宋体" w:eastAsia="宋体" w:hint="default"/>
                <w:sz w:val="18"/>
                <w:szCs w:val="18"/>
              </w:rPr>
              <w:t>证券 简称</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最初投资成本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9" w:right="0"/>
              <w:jc w:val="both"/>
              <w:rPr>
                <w:rFonts w:ascii="宋体" w:hAnsi="宋体" w:cs="宋体" w:eastAsia="宋体" w:hint="default"/>
                <w:sz w:val="18"/>
                <w:szCs w:val="18"/>
              </w:rPr>
            </w:pPr>
            <w:r>
              <w:rPr>
                <w:rFonts w:ascii="宋体" w:hAnsi="宋体" w:cs="宋体" w:eastAsia="宋体" w:hint="default"/>
                <w:sz w:val="18"/>
                <w:szCs w:val="18"/>
              </w:rPr>
              <w:t>占该</w:t>
            </w:r>
          </w:p>
          <w:p>
            <w:pPr>
              <w:pStyle w:val="TableParagraph"/>
              <w:spacing w:line="240" w:lineRule="auto"/>
              <w:ind w:left="169" w:right="167"/>
              <w:jc w:val="both"/>
              <w:rPr>
                <w:rFonts w:ascii="宋体" w:hAnsi="宋体" w:cs="宋体" w:eastAsia="宋体" w:hint="default"/>
                <w:sz w:val="18"/>
                <w:szCs w:val="18"/>
              </w:rPr>
            </w:pPr>
            <w:r>
              <w:rPr>
                <w:rFonts w:ascii="宋体" w:hAnsi="宋体" w:cs="宋体" w:eastAsia="宋体" w:hint="default"/>
                <w:sz w:val="18"/>
                <w:szCs w:val="18"/>
              </w:rPr>
              <w:t>公司 股权 比例</w:t>
            </w:r>
          </w:p>
          <w:p>
            <w:pPr>
              <w:pStyle w:val="TableParagraph"/>
              <w:spacing w:line="233" w:lineRule="exact"/>
              <w:ind w:left="123"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期末账面值</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报告期损益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343" w:right="162" w:hanging="180"/>
              <w:jc w:val="left"/>
              <w:rPr>
                <w:rFonts w:ascii="宋体" w:hAnsi="宋体" w:cs="宋体" w:eastAsia="宋体" w:hint="default"/>
                <w:sz w:val="18"/>
                <w:szCs w:val="18"/>
              </w:rPr>
            </w:pPr>
            <w:r>
              <w:rPr>
                <w:rFonts w:ascii="宋体" w:hAnsi="宋体" w:cs="宋体" w:eastAsia="宋体" w:hint="default"/>
                <w:sz w:val="18"/>
                <w:szCs w:val="18"/>
              </w:rPr>
              <w:t>报告期所有者 权益变动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会计核算科目</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240" w:right="239"/>
              <w:jc w:val="left"/>
              <w:rPr>
                <w:rFonts w:ascii="宋体" w:hAnsi="宋体" w:cs="宋体" w:eastAsia="宋体" w:hint="default"/>
                <w:sz w:val="18"/>
                <w:szCs w:val="18"/>
              </w:rPr>
            </w:pPr>
            <w:r>
              <w:rPr>
                <w:rFonts w:ascii="宋体" w:hAnsi="宋体" w:cs="宋体" w:eastAsia="宋体" w:hint="default"/>
                <w:sz w:val="18"/>
                <w:szCs w:val="18"/>
              </w:rPr>
              <w:t>股份 来源</w:t>
            </w:r>
          </w:p>
        </w:tc>
      </w:tr>
      <w:tr>
        <w:trPr>
          <w:trHeight w:val="24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HK0771</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自动系统</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4" w:right="0"/>
              <w:jc w:val="center"/>
              <w:rPr>
                <w:rFonts w:ascii="宋体" w:hAnsi="宋体" w:cs="宋体" w:eastAsia="宋体" w:hint="default"/>
                <w:sz w:val="18"/>
                <w:szCs w:val="18"/>
              </w:rPr>
            </w:pPr>
            <w:r>
              <w:rPr>
                <w:rFonts w:ascii="宋体"/>
                <w:sz w:val="18"/>
              </w:rPr>
              <w:t>241,696,003.00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66.95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 w:right="0"/>
              <w:jc w:val="center"/>
              <w:rPr>
                <w:rFonts w:ascii="宋体" w:hAnsi="宋体" w:cs="宋体" w:eastAsia="宋体" w:hint="default"/>
                <w:sz w:val="18"/>
                <w:szCs w:val="18"/>
              </w:rPr>
            </w:pPr>
            <w:r>
              <w:rPr>
                <w:rFonts w:ascii="宋体"/>
                <w:sz w:val="18"/>
              </w:rPr>
              <w:t>219,906,896.25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 w:right="0"/>
              <w:jc w:val="center"/>
              <w:rPr>
                <w:rFonts w:ascii="宋体" w:hAnsi="宋体" w:cs="宋体" w:eastAsia="宋体" w:hint="default"/>
                <w:sz w:val="18"/>
                <w:szCs w:val="18"/>
              </w:rPr>
            </w:pPr>
            <w:r>
              <w:rPr>
                <w:rFonts w:ascii="宋体"/>
                <w:sz w:val="18"/>
              </w:rPr>
              <w:t>14,190,073.68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8,896,778.86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76"/>
              <w:jc w:val="right"/>
              <w:rPr>
                <w:rFonts w:ascii="宋体" w:hAnsi="宋体" w:cs="宋体" w:eastAsia="宋体" w:hint="default"/>
                <w:sz w:val="18"/>
                <w:szCs w:val="18"/>
              </w:rPr>
            </w:pPr>
            <w:r>
              <w:rPr>
                <w:rFonts w:ascii="宋体" w:hAnsi="宋体" w:cs="宋体" w:eastAsia="宋体" w:hint="default"/>
                <w:sz w:val="18"/>
                <w:szCs w:val="18"/>
              </w:rPr>
              <w:t>购买</w:t>
            </w:r>
          </w:p>
        </w:tc>
      </w:tr>
      <w:tr>
        <w:trPr>
          <w:trHeight w:val="244" w:hRule="exact"/>
        </w:trPr>
        <w:tc>
          <w:tcPr>
            <w:tcW w:w="851"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74" w:right="0"/>
              <w:jc w:val="center"/>
              <w:rPr>
                <w:rFonts w:ascii="宋体" w:hAnsi="宋体" w:cs="宋体" w:eastAsia="宋体" w:hint="default"/>
                <w:sz w:val="18"/>
                <w:szCs w:val="18"/>
              </w:rPr>
            </w:pPr>
            <w:r>
              <w:rPr>
                <w:rFonts w:ascii="宋体"/>
                <w:sz w:val="18"/>
              </w:rPr>
              <w:t>241,696,003.00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2" w:right="0"/>
              <w:jc w:val="center"/>
              <w:rPr>
                <w:rFonts w:ascii="宋体" w:hAnsi="宋体" w:cs="宋体" w:eastAsia="宋体" w:hint="default"/>
                <w:sz w:val="18"/>
                <w:szCs w:val="18"/>
              </w:rPr>
            </w:pPr>
            <w:r>
              <w:rPr>
                <w:rFonts w:ascii="宋体"/>
                <w:sz w:val="18"/>
              </w:rPr>
              <w:t>219,906,896.25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8" w:right="0"/>
              <w:jc w:val="center"/>
              <w:rPr>
                <w:rFonts w:ascii="宋体" w:hAnsi="宋体" w:cs="宋体" w:eastAsia="宋体" w:hint="default"/>
                <w:sz w:val="18"/>
                <w:szCs w:val="18"/>
              </w:rPr>
            </w:pPr>
            <w:r>
              <w:rPr>
                <w:rFonts w:ascii="宋体"/>
                <w:sz w:val="18"/>
              </w:rPr>
              <w:t>14,190,073.68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8,896,778.86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75"/>
              <w:jc w:val="right"/>
              <w:rPr>
                <w:rFonts w:ascii="宋体" w:hAnsi="宋体" w:cs="宋体" w:eastAsia="宋体" w:hint="default"/>
                <w:sz w:val="18"/>
                <w:szCs w:val="18"/>
              </w:rPr>
            </w:pPr>
            <w:r>
              <w:rPr>
                <w:rFonts w:ascii="宋体"/>
                <w:sz w:val="18"/>
              </w:rPr>
              <w:t>/</w:t>
            </w:r>
          </w:p>
        </w:tc>
      </w:tr>
    </w:tbl>
    <w:p>
      <w:pPr>
        <w:spacing w:line="240" w:lineRule="auto" w:before="4"/>
        <w:rPr>
          <w:rFonts w:ascii="宋体" w:hAnsi="宋体" w:cs="宋体" w:eastAsia="宋体" w:hint="default"/>
          <w:sz w:val="15"/>
          <w:szCs w:val="15"/>
        </w:rPr>
      </w:pPr>
    </w:p>
    <w:p>
      <w:pPr>
        <w:spacing w:before="35"/>
        <w:ind w:left="965" w:right="5037" w:firstLine="0"/>
        <w:jc w:val="left"/>
        <w:rPr>
          <w:rFonts w:ascii="宋体" w:hAnsi="宋体" w:cs="宋体" w:eastAsia="宋体" w:hint="default"/>
          <w:sz w:val="21"/>
          <w:szCs w:val="21"/>
        </w:rPr>
      </w:pPr>
      <w:r>
        <w:rPr>
          <w:rFonts w:ascii="宋体" w:hAnsi="宋体" w:cs="宋体" w:eastAsia="宋体" w:hint="default"/>
          <w:sz w:val="21"/>
          <w:szCs w:val="21"/>
        </w:rPr>
        <w:t>持有其他上市公司股权情况的说明</w:t>
      </w:r>
    </w:p>
    <w:p>
      <w:pPr>
        <w:spacing w:line="240" w:lineRule="auto" w:before="12"/>
        <w:rPr>
          <w:rFonts w:ascii="宋体" w:hAnsi="宋体" w:cs="宋体" w:eastAsia="宋体" w:hint="default"/>
          <w:sz w:val="20"/>
          <w:szCs w:val="20"/>
        </w:rPr>
      </w:pPr>
    </w:p>
    <w:p>
      <w:pPr>
        <w:spacing w:line="20" w:lineRule="exact"/>
        <w:ind w:left="959" w:right="0" w:firstLine="0"/>
        <w:rPr>
          <w:rFonts w:ascii="宋体" w:hAnsi="宋体" w:cs="宋体" w:eastAsia="宋体" w:hint="default"/>
          <w:sz w:val="2"/>
          <w:szCs w:val="2"/>
        </w:rPr>
      </w:pPr>
      <w:r>
        <w:rPr>
          <w:rFonts w:ascii="宋体" w:hAnsi="宋体" w:cs="宋体" w:eastAsia="宋体" w:hint="default"/>
          <w:sz w:val="2"/>
          <w:szCs w:val="2"/>
        </w:rPr>
        <w:pict>
          <v:group style="width:32.1pt;height:.550pt;mso-position-horizontal-relative:char;mso-position-vertical-relative:line" coordorigin="0,0" coordsize="642,11">
            <v:group style="position:absolute;left:5;top:5;width:631;height:2" coordorigin="5,5" coordsize="631,2">
              <v:shape style="position:absolute;left:5;top:5;width:631;height:2" coordorigin="5,5" coordsize="631,0" path="m5,5l636,5e" filled="false" stroked="true" strokeweight=".54001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1"/>
          <w:szCs w:val="21"/>
        </w:rPr>
      </w:pPr>
    </w:p>
    <w:p>
      <w:pPr>
        <w:pStyle w:val="Heading2"/>
        <w:spacing w:line="283" w:lineRule="auto"/>
        <w:ind w:left="965" w:right="5037"/>
        <w:jc w:val="left"/>
        <w:rPr>
          <w:b w:val="0"/>
          <w:bCs w:val="0"/>
        </w:rPr>
      </w:pPr>
      <w:r>
        <w:rPr>
          <w:rFonts w:ascii="宋体" w:hAnsi="宋体" w:cs="宋体" w:eastAsia="宋体" w:hint="default"/>
        </w:rPr>
        <w:t>2</w:t>
      </w:r>
      <w:r>
        <w:rPr/>
        <w:t>、</w:t>
      </w:r>
      <w:r>
        <w:rPr>
          <w:spacing w:val="-77"/>
        </w:rPr>
        <w:t> </w:t>
      </w:r>
      <w:r>
        <w:rPr/>
        <w:t>非金融类公司委托理财及衍生品投资的情况</w:t>
      </w:r>
      <w:r>
        <w:rPr>
          <w:w w:val="99"/>
        </w:rPr>
        <w:t> </w:t>
      </w:r>
      <w:r>
        <w:rPr>
          <w:rFonts w:ascii="宋体" w:hAnsi="宋体" w:cs="宋体" w:eastAsia="宋体" w:hint="default"/>
        </w:rPr>
        <w:t>(1)</w:t>
      </w:r>
      <w:r>
        <w:rPr>
          <w:rFonts w:ascii="宋体" w:hAnsi="宋体" w:cs="宋体" w:eastAsia="宋体" w:hint="default"/>
          <w:spacing w:val="-70"/>
        </w:rPr>
        <w:t> </w:t>
      </w:r>
      <w:r>
        <w:rPr/>
        <w:t>委托理财情况</w:t>
      </w:r>
      <w:r>
        <w:rPr>
          <w:b w:val="0"/>
          <w:bCs w:val="0"/>
        </w:rPr>
      </w:r>
    </w:p>
    <w:p>
      <w:pPr>
        <w:pStyle w:val="BodyText"/>
        <w:spacing w:line="240" w:lineRule="auto" w:before="73"/>
        <w:ind w:left="1385" w:right="4976"/>
        <w:jc w:val="left"/>
      </w:pPr>
      <w:r>
        <w:rPr/>
        <w:t>报告期公司无非金融类公司委托理财事项。</w:t>
      </w:r>
    </w:p>
    <w:p>
      <w:pPr>
        <w:spacing w:line="240" w:lineRule="auto" w:before="0"/>
        <w:rPr>
          <w:rFonts w:ascii="宋体" w:hAnsi="宋体" w:cs="宋体" w:eastAsia="宋体" w:hint="default"/>
          <w:sz w:val="24"/>
          <w:szCs w:val="24"/>
        </w:rPr>
      </w:pPr>
    </w:p>
    <w:p>
      <w:pPr>
        <w:spacing w:line="328" w:lineRule="auto" w:before="175"/>
        <w:ind w:left="1450" w:right="4976" w:hanging="486"/>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pacing w:val="-64"/>
          <w:sz w:val="24"/>
          <w:szCs w:val="24"/>
        </w:rPr>
        <w:t> </w:t>
      </w:r>
      <w:r>
        <w:rPr>
          <w:rFonts w:ascii="宋体" w:hAnsi="宋体" w:cs="宋体" w:eastAsia="宋体" w:hint="default"/>
          <w:b/>
          <w:bCs/>
          <w:sz w:val="24"/>
          <w:szCs w:val="24"/>
        </w:rPr>
        <w:t>委托贷款情况</w:t>
      </w:r>
      <w:r>
        <w:rPr>
          <w:rFonts w:ascii="宋体" w:hAnsi="宋体" w:cs="宋体" w:eastAsia="宋体" w:hint="default"/>
          <w:b/>
          <w:bCs/>
          <w:w w:val="99"/>
          <w:sz w:val="24"/>
          <w:szCs w:val="24"/>
        </w:rPr>
        <w:t> </w:t>
      </w:r>
      <w:r>
        <w:rPr>
          <w:rFonts w:ascii="宋体" w:hAnsi="宋体" w:cs="宋体" w:eastAsia="宋体" w:hint="default"/>
          <w:sz w:val="24"/>
          <w:szCs w:val="24"/>
        </w:rPr>
        <w:t>报告期公司无非金融类公司委托贷款事项。</w:t>
      </w:r>
    </w:p>
    <w:p>
      <w:pPr>
        <w:spacing w:line="240" w:lineRule="auto" w:before="8"/>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080" w:bottom="1380" w:left="560" w:right="340"/>
        </w:sectPr>
      </w:pPr>
    </w:p>
    <w:p>
      <w:pPr>
        <w:pStyle w:val="Heading2"/>
        <w:spacing w:line="240" w:lineRule="auto"/>
        <w:ind w:left="965" w:right="-9"/>
        <w:jc w:val="left"/>
        <w:rPr>
          <w:b w:val="0"/>
          <w:bCs w:val="0"/>
        </w:rPr>
      </w:pPr>
      <w:r>
        <w:rPr>
          <w:rFonts w:ascii="宋体" w:hAnsi="宋体" w:cs="宋体" w:eastAsia="宋体" w:hint="default"/>
        </w:rPr>
        <w:t>(3)</w:t>
      </w:r>
      <w:r>
        <w:rPr>
          <w:rFonts w:ascii="宋体" w:hAnsi="宋体" w:cs="宋体" w:eastAsia="宋体" w:hint="default"/>
          <w:spacing w:val="-77"/>
        </w:rPr>
        <w:t> </w:t>
      </w:r>
      <w:r>
        <w:rPr/>
        <w:t>其他投资理财及衍生品投资情况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3"/>
        <w:rPr>
          <w:rFonts w:ascii="宋体" w:hAnsi="宋体" w:cs="宋体" w:eastAsia="宋体" w:hint="default"/>
          <w:b/>
          <w:bCs/>
          <w:sz w:val="15"/>
          <w:szCs w:val="15"/>
        </w:rPr>
      </w:pPr>
    </w:p>
    <w:p>
      <w:pPr>
        <w:tabs>
          <w:tab w:pos="2015" w:val="left" w:leader="none"/>
        </w:tabs>
        <w:spacing w:before="0"/>
        <w:ind w:left="965"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560" w:right="340"/>
          <w:cols w:num="2" w:equalWidth="0">
            <w:col w:w="4757" w:space="1860"/>
            <w:col w:w="4393"/>
          </w:cols>
        </w:sectPr>
      </w:pPr>
    </w:p>
    <w:p>
      <w:pPr>
        <w:spacing w:line="240" w:lineRule="auto" w:before="9"/>
        <w:rPr>
          <w:rFonts w:ascii="宋体" w:hAnsi="宋体" w:cs="宋体" w:eastAsia="宋体" w:hint="default"/>
          <w:sz w:val="11"/>
          <w:szCs w:val="11"/>
        </w:rPr>
      </w:pPr>
    </w:p>
    <w:tbl>
      <w:tblPr>
        <w:tblW w:w="0" w:type="auto"/>
        <w:jc w:val="left"/>
        <w:tblInd w:w="675" w:type="dxa"/>
        <w:tblLayout w:type="fixed"/>
        <w:tblCellMar>
          <w:top w:w="0" w:type="dxa"/>
          <w:left w:w="0" w:type="dxa"/>
          <w:bottom w:w="0" w:type="dxa"/>
          <w:right w:w="0" w:type="dxa"/>
        </w:tblCellMar>
        <w:tblLook w:val="01E0"/>
      </w:tblPr>
      <w:tblGrid>
        <w:gridCol w:w="711"/>
        <w:gridCol w:w="3274"/>
        <w:gridCol w:w="1277"/>
        <w:gridCol w:w="1276"/>
        <w:gridCol w:w="1702"/>
        <w:gridCol w:w="1559"/>
      </w:tblGrid>
      <w:tr>
        <w:trPr>
          <w:trHeight w:val="31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宋体" w:hAnsi="宋体" w:cs="宋体" w:eastAsia="宋体" w:hint="default"/>
                <w:sz w:val="20"/>
                <w:szCs w:val="20"/>
              </w:rPr>
            </w:pPr>
            <w:r>
              <w:rPr>
                <w:rFonts w:ascii="宋体" w:hAnsi="宋体" w:cs="宋体" w:eastAsia="宋体" w:hint="default"/>
                <w:sz w:val="20"/>
                <w:szCs w:val="20"/>
              </w:rPr>
              <w:t>序号</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宋体" w:hAnsi="宋体" w:cs="宋体" w:eastAsia="宋体" w:hint="default"/>
                <w:sz w:val="20"/>
                <w:szCs w:val="20"/>
              </w:rPr>
            </w:pPr>
            <w:r>
              <w:rPr>
                <w:rFonts w:ascii="宋体" w:hAnsi="宋体" w:cs="宋体" w:eastAsia="宋体" w:hint="default"/>
                <w:sz w:val="20"/>
                <w:szCs w:val="20"/>
              </w:rPr>
              <w:t>公司名称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宋体" w:hAnsi="宋体" w:cs="宋体" w:eastAsia="宋体" w:hint="default"/>
                <w:sz w:val="20"/>
                <w:szCs w:val="20"/>
              </w:rPr>
            </w:pPr>
            <w:r>
              <w:rPr>
                <w:rFonts w:ascii="宋体" w:hAnsi="宋体" w:cs="宋体" w:eastAsia="宋体" w:hint="default"/>
                <w:sz w:val="20"/>
                <w:szCs w:val="20"/>
              </w:rPr>
              <w:t>银行名称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
              <w:jc w:val="center"/>
              <w:rPr>
                <w:rFonts w:ascii="宋体" w:hAnsi="宋体" w:cs="宋体" w:eastAsia="宋体" w:hint="default"/>
                <w:sz w:val="20"/>
                <w:szCs w:val="20"/>
              </w:rPr>
            </w:pPr>
            <w:r>
              <w:rPr>
                <w:rFonts w:ascii="宋体" w:hAnsi="宋体" w:cs="宋体" w:eastAsia="宋体" w:hint="default"/>
                <w:sz w:val="20"/>
                <w:szCs w:val="20"/>
              </w:rPr>
              <w:t>理财期限</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346" w:right="0"/>
              <w:jc w:val="left"/>
              <w:rPr>
                <w:rFonts w:ascii="宋体" w:hAnsi="宋体" w:cs="宋体" w:eastAsia="宋体" w:hint="default"/>
                <w:sz w:val="20"/>
                <w:szCs w:val="20"/>
              </w:rPr>
            </w:pPr>
            <w:r>
              <w:rPr>
                <w:rFonts w:ascii="宋体" w:hAnsi="宋体" w:cs="宋体" w:eastAsia="宋体" w:hint="default"/>
                <w:sz w:val="20"/>
                <w:szCs w:val="20"/>
              </w:rPr>
              <w:t>累计发生额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72" w:right="0"/>
              <w:jc w:val="left"/>
              <w:rPr>
                <w:rFonts w:ascii="宋体" w:hAnsi="宋体" w:cs="宋体" w:eastAsia="宋体" w:hint="default"/>
                <w:sz w:val="20"/>
                <w:szCs w:val="20"/>
              </w:rPr>
            </w:pPr>
            <w:r>
              <w:rPr>
                <w:rFonts w:ascii="宋体" w:hAnsi="宋体" w:cs="宋体" w:eastAsia="宋体" w:hint="default"/>
                <w:sz w:val="20"/>
                <w:szCs w:val="20"/>
              </w:rPr>
              <w:t>累计理财收益</w:t>
            </w:r>
          </w:p>
        </w:tc>
      </w:tr>
      <w:tr>
        <w:trPr>
          <w:trHeight w:val="31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0"/>
                <w:szCs w:val="20"/>
              </w:rPr>
            </w:pPr>
            <w:r>
              <w:rPr>
                <w:rFonts w:ascii="宋体"/>
                <w:w w:val="100"/>
                <w:sz w:val="20"/>
              </w:rPr>
              <w:t>1</w:t>
            </w:r>
          </w:p>
        </w:tc>
        <w:tc>
          <w:tcPr>
            <w:tcW w:w="3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1" w:right="0"/>
              <w:jc w:val="left"/>
              <w:rPr>
                <w:rFonts w:ascii="宋体" w:hAnsi="宋体" w:cs="宋体" w:eastAsia="宋体" w:hint="default"/>
                <w:sz w:val="20"/>
                <w:szCs w:val="20"/>
              </w:rPr>
            </w:pPr>
            <w:r>
              <w:rPr>
                <w:rFonts w:ascii="宋体" w:hAnsi="宋体" w:cs="宋体" w:eastAsia="宋体" w:hint="default"/>
                <w:sz w:val="20"/>
                <w:szCs w:val="20"/>
              </w:rPr>
              <w:t>北京华胜天成科技股份有限公司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sz w:val="20"/>
                <w:szCs w:val="20"/>
              </w:rPr>
              <w:t>招商银行</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sz w:val="20"/>
                <w:szCs w:val="20"/>
              </w:rPr>
              <w:t>半年内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200,000,000.00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2"/>
              <w:jc w:val="right"/>
              <w:rPr>
                <w:rFonts w:ascii="宋体" w:hAnsi="宋体" w:cs="宋体" w:eastAsia="宋体" w:hint="default"/>
                <w:sz w:val="20"/>
                <w:szCs w:val="20"/>
              </w:rPr>
            </w:pPr>
            <w:r>
              <w:rPr>
                <w:rFonts w:ascii="宋体"/>
                <w:spacing w:val="-1"/>
                <w:sz w:val="20"/>
              </w:rPr>
              <w:t>997,260.00</w:t>
            </w:r>
          </w:p>
        </w:tc>
      </w:tr>
      <w:tr>
        <w:trPr>
          <w:trHeight w:val="31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0"/>
                <w:szCs w:val="20"/>
              </w:rPr>
            </w:pPr>
            <w:r>
              <w:rPr>
                <w:rFonts w:ascii="宋体"/>
                <w:w w:val="100"/>
                <w:sz w:val="20"/>
              </w:rPr>
              <w:t>2</w:t>
            </w:r>
          </w:p>
        </w:tc>
        <w:tc>
          <w:tcPr>
            <w:tcW w:w="3274" w:type="dxa"/>
            <w:vMerge/>
            <w:tcBorders>
              <w:left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sz w:val="20"/>
                <w:szCs w:val="20"/>
              </w:rPr>
              <w:t>平安信托</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sz w:val="20"/>
                <w:szCs w:val="20"/>
              </w:rPr>
              <w:t>半年内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250,000,000.00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1,410,958.90</w:t>
            </w:r>
          </w:p>
        </w:tc>
      </w:tr>
      <w:tr>
        <w:trPr>
          <w:trHeight w:val="31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宋体" w:hAnsi="宋体" w:cs="宋体" w:eastAsia="宋体" w:hint="default"/>
                <w:sz w:val="20"/>
                <w:szCs w:val="20"/>
              </w:rPr>
            </w:pPr>
            <w:r>
              <w:rPr>
                <w:rFonts w:ascii="宋体"/>
                <w:w w:val="100"/>
                <w:sz w:val="20"/>
              </w:rPr>
              <w:t>3</w:t>
            </w:r>
          </w:p>
        </w:tc>
        <w:tc>
          <w:tcPr>
            <w:tcW w:w="3274" w:type="dxa"/>
            <w:vMerge/>
            <w:tcBorders>
              <w:left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宋体" w:hAnsi="宋体" w:cs="宋体" w:eastAsia="宋体" w:hint="default"/>
                <w:sz w:val="20"/>
                <w:szCs w:val="20"/>
              </w:rPr>
            </w:pPr>
            <w:r>
              <w:rPr>
                <w:rFonts w:ascii="宋体" w:hAnsi="宋体" w:cs="宋体" w:eastAsia="宋体" w:hint="default"/>
                <w:sz w:val="20"/>
                <w:szCs w:val="20"/>
              </w:rPr>
              <w:t>方正东亚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宋体" w:hAnsi="宋体" w:cs="宋体" w:eastAsia="宋体" w:hint="default"/>
                <w:sz w:val="20"/>
                <w:szCs w:val="20"/>
              </w:rPr>
            </w:pPr>
            <w:r>
              <w:rPr>
                <w:rFonts w:ascii="宋体" w:hAnsi="宋体" w:cs="宋体" w:eastAsia="宋体" w:hint="default"/>
                <w:sz w:val="20"/>
                <w:szCs w:val="20"/>
              </w:rPr>
              <w:t>半年内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1"/>
              <w:jc w:val="right"/>
              <w:rPr>
                <w:rFonts w:ascii="宋体" w:hAnsi="宋体" w:cs="宋体" w:eastAsia="宋体" w:hint="default"/>
                <w:sz w:val="20"/>
                <w:szCs w:val="20"/>
              </w:rPr>
            </w:pPr>
            <w:r>
              <w:rPr>
                <w:rFonts w:ascii="宋体"/>
                <w:spacing w:val="-1"/>
                <w:sz w:val="20"/>
              </w:rPr>
              <w:t>460,000,000.00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43" w:right="0"/>
              <w:jc w:val="left"/>
              <w:rPr>
                <w:rFonts w:ascii="宋体" w:hAnsi="宋体" w:cs="宋体" w:eastAsia="宋体" w:hint="default"/>
                <w:sz w:val="20"/>
                <w:szCs w:val="20"/>
              </w:rPr>
            </w:pPr>
            <w:r>
              <w:rPr>
                <w:rFonts w:ascii="宋体"/>
                <w:sz w:val="20"/>
              </w:rPr>
              <w:t>17,183,424.65</w:t>
            </w:r>
          </w:p>
        </w:tc>
      </w:tr>
      <w:tr>
        <w:trPr>
          <w:trHeight w:val="31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0"/>
                <w:szCs w:val="20"/>
              </w:rPr>
            </w:pPr>
            <w:r>
              <w:rPr>
                <w:rFonts w:ascii="宋体"/>
                <w:w w:val="100"/>
                <w:sz w:val="20"/>
              </w:rPr>
              <w:t>4</w:t>
            </w:r>
          </w:p>
        </w:tc>
        <w:tc>
          <w:tcPr>
            <w:tcW w:w="3274"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sz w:val="20"/>
                <w:szCs w:val="20"/>
              </w:rPr>
              <w:t>交通银行</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2"/>
              <w:jc w:val="right"/>
              <w:rPr>
                <w:rFonts w:ascii="宋体" w:hAnsi="宋体" w:cs="宋体" w:eastAsia="宋体" w:hint="default"/>
                <w:sz w:val="20"/>
                <w:szCs w:val="20"/>
              </w:rPr>
            </w:pPr>
            <w:r>
              <w:rPr>
                <w:rFonts w:ascii="宋体"/>
                <w:spacing w:val="-1"/>
                <w:sz w:val="20"/>
              </w:rPr>
              <w:t>50,000,000.00</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0"/>
                <w:szCs w:val="20"/>
              </w:rPr>
            </w:pPr>
            <w:r>
              <w:rPr>
                <w:rFonts w:ascii="宋体"/>
                <w:w w:val="100"/>
                <w:sz w:val="20"/>
              </w:rPr>
              <w:t>5</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sz w:val="20"/>
                <w:szCs w:val="20"/>
              </w:rPr>
              <w:t>北京交大思源科技有限公司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sz w:val="20"/>
                <w:szCs w:val="20"/>
              </w:rPr>
              <w:t>建设银行</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sz w:val="20"/>
                <w:szCs w:val="20"/>
              </w:rPr>
              <w:t>半年内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2"/>
              <w:jc w:val="right"/>
              <w:rPr>
                <w:rFonts w:ascii="宋体" w:hAnsi="宋体" w:cs="宋体" w:eastAsia="宋体" w:hint="default"/>
                <w:sz w:val="20"/>
                <w:szCs w:val="20"/>
              </w:rPr>
            </w:pPr>
            <w:r>
              <w:rPr>
                <w:rFonts w:ascii="宋体"/>
                <w:spacing w:val="-1"/>
                <w:sz w:val="20"/>
              </w:rPr>
              <w:t>43,600,000.00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2"/>
              <w:jc w:val="right"/>
              <w:rPr>
                <w:rFonts w:ascii="宋体" w:hAnsi="宋体" w:cs="宋体" w:eastAsia="宋体" w:hint="default"/>
                <w:sz w:val="20"/>
                <w:szCs w:val="20"/>
              </w:rPr>
            </w:pPr>
            <w:r>
              <w:rPr>
                <w:rFonts w:ascii="宋体"/>
                <w:spacing w:val="-1"/>
                <w:sz w:val="20"/>
              </w:rPr>
              <w:t>369,503.83</w:t>
            </w:r>
          </w:p>
        </w:tc>
      </w:tr>
      <w:tr>
        <w:trPr>
          <w:trHeight w:val="31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宋体" w:hAnsi="宋体" w:cs="宋体" w:eastAsia="宋体" w:hint="default"/>
                <w:sz w:val="20"/>
                <w:szCs w:val="20"/>
              </w:rPr>
            </w:pPr>
            <w:r>
              <w:rPr>
                <w:rFonts w:ascii="宋体"/>
                <w:w w:val="100"/>
                <w:sz w:val="20"/>
              </w:rPr>
              <w:t>6</w:t>
            </w:r>
          </w:p>
        </w:tc>
        <w:tc>
          <w:tcPr>
            <w:tcW w:w="327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331" w:right="0"/>
              <w:jc w:val="left"/>
              <w:rPr>
                <w:rFonts w:ascii="宋体" w:hAnsi="宋体" w:cs="宋体" w:eastAsia="宋体" w:hint="default"/>
                <w:sz w:val="20"/>
                <w:szCs w:val="20"/>
              </w:rPr>
            </w:pPr>
            <w:r>
              <w:rPr>
                <w:rFonts w:ascii="宋体" w:hAnsi="宋体" w:cs="宋体" w:eastAsia="宋体" w:hint="default"/>
                <w:sz w:val="20"/>
                <w:szCs w:val="20"/>
              </w:rPr>
              <w:t>广州石竹计算机软件有限公司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宋体" w:hAnsi="宋体" w:cs="宋体" w:eastAsia="宋体" w:hint="default"/>
                <w:sz w:val="20"/>
                <w:szCs w:val="20"/>
              </w:rPr>
            </w:pPr>
            <w:r>
              <w:rPr>
                <w:rFonts w:ascii="宋体" w:hAnsi="宋体" w:cs="宋体" w:eastAsia="宋体" w:hint="default"/>
                <w:sz w:val="20"/>
                <w:szCs w:val="20"/>
              </w:rPr>
              <w:t>广州银行</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宋体" w:hAnsi="宋体" w:cs="宋体" w:eastAsia="宋体" w:hint="default"/>
                <w:sz w:val="20"/>
                <w:szCs w:val="20"/>
              </w:rPr>
            </w:pPr>
            <w:r>
              <w:rPr>
                <w:rFonts w:ascii="宋体" w:hAnsi="宋体" w:cs="宋体" w:eastAsia="宋体" w:hint="default"/>
                <w:sz w:val="20"/>
                <w:szCs w:val="20"/>
              </w:rPr>
              <w:t>半年内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2"/>
              <w:jc w:val="right"/>
              <w:rPr>
                <w:rFonts w:ascii="宋体" w:hAnsi="宋体" w:cs="宋体" w:eastAsia="宋体" w:hint="default"/>
                <w:sz w:val="20"/>
                <w:szCs w:val="20"/>
              </w:rPr>
            </w:pPr>
            <w:r>
              <w:rPr>
                <w:rFonts w:ascii="宋体"/>
                <w:spacing w:val="-1"/>
                <w:sz w:val="20"/>
              </w:rPr>
              <w:t>44,000,000.00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2"/>
              <w:jc w:val="right"/>
              <w:rPr>
                <w:rFonts w:ascii="宋体" w:hAnsi="宋体" w:cs="宋体" w:eastAsia="宋体" w:hint="default"/>
                <w:sz w:val="20"/>
                <w:szCs w:val="20"/>
              </w:rPr>
            </w:pPr>
            <w:r>
              <w:rPr>
                <w:rFonts w:ascii="宋体"/>
                <w:spacing w:val="-1"/>
                <w:sz w:val="20"/>
              </w:rPr>
              <w:t>581,829.86</w:t>
            </w:r>
          </w:p>
        </w:tc>
      </w:tr>
      <w:tr>
        <w:trPr>
          <w:trHeight w:val="31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0"/>
                <w:szCs w:val="20"/>
              </w:rPr>
            </w:pPr>
            <w:r>
              <w:rPr>
                <w:rFonts w:ascii="宋体"/>
                <w:w w:val="100"/>
                <w:sz w:val="20"/>
              </w:rPr>
              <w:t>7</w:t>
            </w:r>
          </w:p>
        </w:tc>
        <w:tc>
          <w:tcPr>
            <w:tcW w:w="3274" w:type="dxa"/>
            <w:vMerge/>
            <w:tcBorders>
              <w:left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sz w:val="20"/>
                <w:szCs w:val="20"/>
              </w:rPr>
              <w:t>招商银行</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sz w:val="20"/>
                <w:szCs w:val="20"/>
              </w:rPr>
              <w:t>半年内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0"/>
              <w:jc w:val="right"/>
              <w:rPr>
                <w:rFonts w:ascii="宋体" w:hAnsi="宋体" w:cs="宋体" w:eastAsia="宋体" w:hint="default"/>
                <w:sz w:val="20"/>
                <w:szCs w:val="20"/>
              </w:rPr>
            </w:pPr>
            <w:r>
              <w:rPr>
                <w:rFonts w:ascii="宋体"/>
                <w:spacing w:val="-1"/>
                <w:sz w:val="20"/>
              </w:rPr>
              <w:t>9,110,000.00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63,045.87</w:t>
            </w:r>
          </w:p>
        </w:tc>
      </w:tr>
      <w:tr>
        <w:trPr>
          <w:trHeight w:val="31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0"/>
                <w:szCs w:val="20"/>
              </w:rPr>
            </w:pPr>
            <w:r>
              <w:rPr>
                <w:rFonts w:ascii="宋体"/>
                <w:w w:val="100"/>
                <w:sz w:val="20"/>
              </w:rPr>
              <w:t>8</w:t>
            </w:r>
          </w:p>
        </w:tc>
        <w:tc>
          <w:tcPr>
            <w:tcW w:w="3274"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sz w:val="20"/>
                <w:szCs w:val="20"/>
              </w:rPr>
              <w:t>平安银行</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sz w:val="20"/>
                <w:szCs w:val="20"/>
              </w:rPr>
              <w:t>半年内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2"/>
              <w:jc w:val="right"/>
              <w:rPr>
                <w:rFonts w:ascii="宋体" w:hAnsi="宋体" w:cs="宋体" w:eastAsia="宋体" w:hint="default"/>
                <w:sz w:val="20"/>
                <w:szCs w:val="20"/>
              </w:rPr>
            </w:pPr>
            <w:r>
              <w:rPr>
                <w:rFonts w:ascii="宋体"/>
                <w:spacing w:val="-1"/>
                <w:sz w:val="20"/>
              </w:rPr>
              <w:t>21,400,000.00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2"/>
              <w:jc w:val="right"/>
              <w:rPr>
                <w:rFonts w:ascii="宋体" w:hAnsi="宋体" w:cs="宋体" w:eastAsia="宋体" w:hint="default"/>
                <w:sz w:val="20"/>
                <w:szCs w:val="20"/>
              </w:rPr>
            </w:pPr>
            <w:r>
              <w:rPr>
                <w:rFonts w:ascii="宋体"/>
                <w:spacing w:val="-1"/>
                <w:sz w:val="20"/>
              </w:rPr>
              <w:t>268,418.63</w:t>
            </w:r>
          </w:p>
        </w:tc>
      </w:tr>
      <w:tr>
        <w:trPr>
          <w:trHeight w:val="31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宋体" w:hAnsi="宋体" w:cs="宋体" w:eastAsia="宋体" w:hint="default"/>
                <w:sz w:val="20"/>
                <w:szCs w:val="20"/>
              </w:rPr>
            </w:pPr>
            <w:r>
              <w:rPr>
                <w:rFonts w:ascii="宋体"/>
                <w:w w:val="100"/>
                <w:sz w:val="20"/>
              </w:rPr>
              <w:t>9</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宋体" w:hAnsi="宋体" w:cs="宋体" w:eastAsia="宋体" w:hint="default"/>
                <w:sz w:val="20"/>
                <w:szCs w:val="20"/>
              </w:rPr>
            </w:pPr>
            <w:r>
              <w:rPr>
                <w:rFonts w:ascii="宋体" w:hAnsi="宋体" w:cs="宋体" w:eastAsia="宋体" w:hint="default"/>
                <w:sz w:val="20"/>
                <w:szCs w:val="20"/>
              </w:rPr>
              <w:t>摩卡软件</w:t>
            </w:r>
            <w:r>
              <w:rPr>
                <w:rFonts w:ascii="宋体" w:hAnsi="宋体" w:cs="宋体" w:eastAsia="宋体" w:hint="default"/>
                <w:sz w:val="20"/>
                <w:szCs w:val="20"/>
              </w:rPr>
              <w:t>(</w:t>
            </w:r>
            <w:r>
              <w:rPr>
                <w:rFonts w:ascii="宋体" w:hAnsi="宋体" w:cs="宋体" w:eastAsia="宋体" w:hint="default"/>
                <w:sz w:val="20"/>
                <w:szCs w:val="20"/>
              </w:rPr>
              <w:t>天津</w:t>
            </w:r>
            <w:r>
              <w:rPr>
                <w:rFonts w:ascii="宋体" w:hAnsi="宋体" w:cs="宋体" w:eastAsia="宋体" w:hint="default"/>
                <w:sz w:val="20"/>
                <w:szCs w:val="20"/>
              </w:rPr>
              <w:t>)</w:t>
            </w:r>
            <w:r>
              <w:rPr>
                <w:rFonts w:ascii="宋体" w:hAnsi="宋体" w:cs="宋体" w:eastAsia="宋体" w:hint="default"/>
                <w:sz w:val="20"/>
                <w:szCs w:val="20"/>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宋体" w:hAnsi="宋体" w:cs="宋体" w:eastAsia="宋体" w:hint="default"/>
                <w:sz w:val="20"/>
                <w:szCs w:val="20"/>
              </w:rPr>
            </w:pPr>
            <w:r>
              <w:rPr>
                <w:rFonts w:ascii="宋体" w:hAnsi="宋体" w:cs="宋体" w:eastAsia="宋体" w:hint="default"/>
                <w:sz w:val="20"/>
                <w:szCs w:val="20"/>
              </w:rPr>
              <w:t>中国银行</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宋体" w:hAnsi="宋体" w:cs="宋体" w:eastAsia="宋体" w:hint="default"/>
                <w:sz w:val="20"/>
                <w:szCs w:val="20"/>
              </w:rPr>
            </w:pPr>
            <w:r>
              <w:rPr>
                <w:rFonts w:ascii="宋体" w:hAnsi="宋体" w:cs="宋体" w:eastAsia="宋体" w:hint="default"/>
                <w:sz w:val="20"/>
                <w:szCs w:val="20"/>
              </w:rPr>
              <w:t>半年内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2"/>
              <w:jc w:val="right"/>
              <w:rPr>
                <w:rFonts w:ascii="宋体" w:hAnsi="宋体" w:cs="宋体" w:eastAsia="宋体" w:hint="default"/>
                <w:sz w:val="20"/>
                <w:szCs w:val="20"/>
              </w:rPr>
            </w:pPr>
            <w:r>
              <w:rPr>
                <w:rFonts w:ascii="宋体"/>
                <w:spacing w:val="-1"/>
                <w:sz w:val="20"/>
              </w:rPr>
              <w:t>66,000,000.00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2"/>
              <w:jc w:val="right"/>
              <w:rPr>
                <w:rFonts w:ascii="宋体" w:hAnsi="宋体" w:cs="宋体" w:eastAsia="宋体" w:hint="default"/>
                <w:sz w:val="20"/>
                <w:szCs w:val="20"/>
              </w:rPr>
            </w:pPr>
            <w:r>
              <w:rPr>
                <w:rFonts w:ascii="宋体"/>
                <w:spacing w:val="-1"/>
                <w:sz w:val="20"/>
              </w:rPr>
              <w:t>206,096.15</w:t>
            </w:r>
          </w:p>
        </w:tc>
      </w:tr>
      <w:tr>
        <w:trPr>
          <w:trHeight w:val="34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0"/>
                <w:szCs w:val="20"/>
              </w:rPr>
            </w:pPr>
            <w:r>
              <w:rPr>
                <w:rFonts w:ascii="宋体"/>
                <w:sz w:val="20"/>
              </w:rPr>
              <w:t>10</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浙江兰德纵横网络技术有限公司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浦发银行</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半年内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0"/>
                <w:szCs w:val="20"/>
              </w:rPr>
            </w:pPr>
            <w:r>
              <w:rPr>
                <w:rFonts w:ascii="宋体"/>
                <w:spacing w:val="-1"/>
                <w:sz w:val="20"/>
              </w:rPr>
              <w:t>49,500,000.00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20"/>
                <w:szCs w:val="20"/>
              </w:rPr>
            </w:pPr>
            <w:r>
              <w:rPr>
                <w:rFonts w:ascii="宋体"/>
                <w:spacing w:val="-1"/>
                <w:sz w:val="20"/>
              </w:rPr>
              <w:t>379,103.22</w:t>
            </w:r>
          </w:p>
        </w:tc>
      </w:tr>
      <w:tr>
        <w:trPr>
          <w:trHeight w:val="34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sz w:val="20"/>
              </w:rPr>
              <w:t>11</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华胜天成</w:t>
            </w:r>
            <w:r>
              <w:rPr>
                <w:rFonts w:ascii="宋体" w:hAnsi="宋体" w:cs="宋体" w:eastAsia="宋体" w:hint="default"/>
                <w:sz w:val="20"/>
                <w:szCs w:val="20"/>
              </w:rPr>
              <w:t>(</w:t>
            </w:r>
            <w:r>
              <w:rPr>
                <w:rFonts w:ascii="宋体" w:hAnsi="宋体" w:cs="宋体" w:eastAsia="宋体" w:hint="default"/>
                <w:sz w:val="20"/>
                <w:szCs w:val="20"/>
              </w:rPr>
              <w:t>中国</w:t>
            </w:r>
            <w:r>
              <w:rPr>
                <w:rFonts w:ascii="宋体" w:hAnsi="宋体" w:cs="宋体" w:eastAsia="宋体" w:hint="default"/>
                <w:sz w:val="20"/>
                <w:szCs w:val="20"/>
              </w:rPr>
              <w:t>)</w:t>
            </w:r>
            <w:r>
              <w:rPr>
                <w:rFonts w:ascii="宋体" w:hAnsi="宋体" w:cs="宋体" w:eastAsia="宋体" w:hint="default"/>
                <w:sz w:val="20"/>
                <w:szCs w:val="20"/>
              </w:rPr>
              <w:t>融资租赁有限公司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招商银行</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半年内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20"/>
                <w:szCs w:val="20"/>
              </w:rPr>
            </w:pPr>
            <w:r>
              <w:rPr>
                <w:rFonts w:ascii="宋体"/>
                <w:spacing w:val="-1"/>
                <w:sz w:val="20"/>
              </w:rPr>
              <w:t>12,000,000.00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0"/>
                <w:szCs w:val="20"/>
              </w:rPr>
            </w:pPr>
            <w:r>
              <w:rPr>
                <w:rFonts w:ascii="宋体"/>
                <w:spacing w:val="-1"/>
                <w:sz w:val="20"/>
              </w:rPr>
              <w:t>38,040.02</w:t>
            </w:r>
          </w:p>
        </w:tc>
      </w:tr>
      <w:tr>
        <w:trPr>
          <w:trHeight w:val="31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
              <w:jc w:val="center"/>
              <w:rPr>
                <w:rFonts w:ascii="宋体" w:hAnsi="宋体" w:cs="宋体" w:eastAsia="宋体" w:hint="default"/>
                <w:sz w:val="20"/>
                <w:szCs w:val="20"/>
              </w:rPr>
            </w:pPr>
            <w:r>
              <w:rPr>
                <w:rFonts w:ascii="宋体"/>
                <w:sz w:val="20"/>
              </w:rPr>
              <w:t>12</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宋体" w:hAnsi="宋体" w:cs="宋体" w:eastAsia="宋体" w:hint="default"/>
                <w:sz w:val="20"/>
                <w:szCs w:val="20"/>
              </w:rPr>
            </w:pPr>
            <w:r>
              <w:rPr>
                <w:rFonts w:ascii="宋体" w:hAnsi="宋体" w:cs="宋体" w:eastAsia="宋体" w:hint="default"/>
                <w:sz w:val="20"/>
                <w:szCs w:val="20"/>
              </w:rPr>
              <w:t>南京华胜天成计算机技术有限公司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99" w:right="0"/>
              <w:jc w:val="center"/>
              <w:rPr>
                <w:rFonts w:ascii="宋体" w:hAnsi="宋体" w:cs="宋体" w:eastAsia="宋体" w:hint="default"/>
                <w:sz w:val="20"/>
                <w:szCs w:val="20"/>
              </w:rPr>
            </w:pPr>
            <w:r>
              <w:rPr>
                <w:rFonts w:ascii="宋体" w:hAnsi="宋体" w:cs="宋体" w:eastAsia="宋体" w:hint="default"/>
                <w:sz w:val="20"/>
                <w:szCs w:val="20"/>
              </w:rPr>
              <w:t>招商银行</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宋体" w:hAnsi="宋体" w:cs="宋体" w:eastAsia="宋体" w:hint="default"/>
                <w:sz w:val="20"/>
                <w:szCs w:val="20"/>
              </w:rPr>
            </w:pPr>
            <w:r>
              <w:rPr>
                <w:rFonts w:ascii="宋体" w:hAnsi="宋体" w:cs="宋体" w:eastAsia="宋体" w:hint="default"/>
                <w:sz w:val="20"/>
                <w:szCs w:val="20"/>
              </w:rPr>
              <w:t>半年内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2"/>
              <w:jc w:val="right"/>
              <w:rPr>
                <w:rFonts w:ascii="宋体" w:hAnsi="宋体" w:cs="宋体" w:eastAsia="宋体" w:hint="default"/>
                <w:sz w:val="20"/>
                <w:szCs w:val="20"/>
              </w:rPr>
            </w:pPr>
            <w:r>
              <w:rPr>
                <w:rFonts w:ascii="宋体"/>
                <w:spacing w:val="-1"/>
                <w:sz w:val="20"/>
              </w:rPr>
              <w:t>14,400,000.00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1"/>
              <w:jc w:val="right"/>
              <w:rPr>
                <w:rFonts w:ascii="宋体" w:hAnsi="宋体" w:cs="宋体" w:eastAsia="宋体" w:hint="default"/>
                <w:sz w:val="20"/>
                <w:szCs w:val="20"/>
              </w:rPr>
            </w:pPr>
            <w:r>
              <w:rPr>
                <w:rFonts w:ascii="宋体"/>
                <w:spacing w:val="-1"/>
                <w:sz w:val="20"/>
              </w:rPr>
              <w:t>41,030.90</w:t>
            </w:r>
          </w:p>
        </w:tc>
      </w:tr>
      <w:tr>
        <w:trPr>
          <w:trHeight w:val="31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0"/>
                <w:szCs w:val="20"/>
              </w:rPr>
            </w:pPr>
            <w:r>
              <w:rPr>
                <w:rFonts w:ascii="宋体"/>
                <w:sz w:val="20"/>
              </w:rPr>
              <w:t>13</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sz w:val="20"/>
                <w:szCs w:val="20"/>
              </w:rPr>
              <w:t>翰竺科技</w:t>
            </w:r>
            <w:r>
              <w:rPr>
                <w:rFonts w:ascii="宋体" w:hAnsi="宋体" w:cs="宋体" w:eastAsia="宋体" w:hint="default"/>
                <w:sz w:val="20"/>
                <w:szCs w:val="20"/>
              </w:rPr>
              <w:t>(</w:t>
            </w:r>
            <w:r>
              <w:rPr>
                <w:rFonts w:ascii="宋体" w:hAnsi="宋体" w:cs="宋体" w:eastAsia="宋体" w:hint="default"/>
                <w:sz w:val="20"/>
                <w:szCs w:val="20"/>
              </w:rPr>
              <w:t>北京</w:t>
            </w:r>
            <w:r>
              <w:rPr>
                <w:rFonts w:ascii="宋体" w:hAnsi="宋体" w:cs="宋体" w:eastAsia="宋体" w:hint="default"/>
                <w:sz w:val="20"/>
                <w:szCs w:val="20"/>
              </w:rPr>
              <w:t>)</w:t>
            </w:r>
            <w:r>
              <w:rPr>
                <w:rFonts w:ascii="宋体" w:hAnsi="宋体" w:cs="宋体" w:eastAsia="宋体" w:hint="default"/>
                <w:sz w:val="20"/>
                <w:szCs w:val="20"/>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sz w:val="20"/>
                <w:szCs w:val="20"/>
              </w:rPr>
              <w:t>建设银行</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sz w:val="20"/>
                <w:szCs w:val="20"/>
              </w:rPr>
              <w:t>半年内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2"/>
              <w:jc w:val="right"/>
              <w:rPr>
                <w:rFonts w:ascii="宋体" w:hAnsi="宋体" w:cs="宋体" w:eastAsia="宋体" w:hint="default"/>
                <w:sz w:val="20"/>
                <w:szCs w:val="20"/>
              </w:rPr>
            </w:pPr>
            <w:r>
              <w:rPr>
                <w:rFonts w:ascii="宋体"/>
                <w:spacing w:val="-1"/>
                <w:sz w:val="20"/>
              </w:rPr>
              <w:t>23,700,000.00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2"/>
              <w:jc w:val="right"/>
              <w:rPr>
                <w:rFonts w:ascii="宋体" w:hAnsi="宋体" w:cs="宋体" w:eastAsia="宋体" w:hint="default"/>
                <w:sz w:val="20"/>
                <w:szCs w:val="20"/>
              </w:rPr>
            </w:pPr>
            <w:r>
              <w:rPr>
                <w:rFonts w:ascii="宋体"/>
                <w:spacing w:val="-1"/>
                <w:sz w:val="20"/>
              </w:rPr>
              <w:t>115,141.11</w:t>
            </w:r>
          </w:p>
        </w:tc>
      </w:tr>
      <w:tr>
        <w:trPr>
          <w:trHeight w:val="31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0"/>
                <w:szCs w:val="20"/>
              </w:rPr>
            </w:pPr>
            <w:r>
              <w:rPr>
                <w:rFonts w:ascii="宋体"/>
                <w:sz w:val="20"/>
              </w:rPr>
              <w:t>14</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sz w:val="20"/>
                <w:szCs w:val="20"/>
              </w:rPr>
              <w:t>天津华胜天成信息技术有限公司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sz w:val="20"/>
                <w:szCs w:val="20"/>
              </w:rPr>
              <w:t>招商银行</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sz w:val="20"/>
                <w:szCs w:val="20"/>
              </w:rPr>
              <w:t>半年内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2"/>
              <w:jc w:val="right"/>
              <w:rPr>
                <w:rFonts w:ascii="宋体" w:hAnsi="宋体" w:cs="宋体" w:eastAsia="宋体" w:hint="default"/>
                <w:sz w:val="20"/>
                <w:szCs w:val="20"/>
              </w:rPr>
            </w:pPr>
            <w:r>
              <w:rPr>
                <w:rFonts w:ascii="宋体"/>
                <w:spacing w:val="-1"/>
                <w:sz w:val="20"/>
              </w:rPr>
              <w:t>80,500,000.00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2"/>
              <w:jc w:val="right"/>
              <w:rPr>
                <w:rFonts w:ascii="宋体" w:hAnsi="宋体" w:cs="宋体" w:eastAsia="宋体" w:hint="default"/>
                <w:sz w:val="20"/>
                <w:szCs w:val="20"/>
              </w:rPr>
            </w:pPr>
            <w:r>
              <w:rPr>
                <w:rFonts w:ascii="宋体"/>
                <w:spacing w:val="-1"/>
                <w:sz w:val="20"/>
              </w:rPr>
              <w:t>522,645.20</w:t>
            </w:r>
          </w:p>
        </w:tc>
      </w:tr>
    </w:tbl>
    <w:p>
      <w:pPr>
        <w:spacing w:after="0" w:line="250" w:lineRule="exact"/>
        <w:jc w:val="right"/>
        <w:rPr>
          <w:rFonts w:ascii="宋体" w:hAnsi="宋体" w:cs="宋体" w:eastAsia="宋体" w:hint="default"/>
          <w:sz w:val="20"/>
          <w:szCs w:val="20"/>
        </w:rPr>
        <w:sectPr>
          <w:type w:val="continuous"/>
          <w:pgSz w:w="11910" w:h="16840"/>
          <w:pgMar w:top="1080" w:bottom="1380" w:left="560" w:right="340"/>
        </w:sectPr>
      </w:pPr>
    </w:p>
    <w:p>
      <w:pPr>
        <w:spacing w:line="240" w:lineRule="auto" w:before="11"/>
        <w:rPr>
          <w:rFonts w:ascii="宋体" w:hAnsi="宋体" w:cs="宋体" w:eastAsia="宋体" w:hint="default"/>
          <w:sz w:val="9"/>
          <w:szCs w:val="9"/>
        </w:rPr>
      </w:pPr>
    </w:p>
    <w:p>
      <w:pPr>
        <w:pStyle w:val="BodyText"/>
        <w:spacing w:line="240" w:lineRule="auto" w:before="26"/>
        <w:ind w:left="565" w:right="0"/>
        <w:jc w:val="both"/>
      </w:pPr>
      <w:r>
        <w:rPr/>
        <w:t>说明：</w:t>
      </w:r>
    </w:p>
    <w:p>
      <w:pPr>
        <w:pStyle w:val="BodyText"/>
        <w:spacing w:line="237" w:lineRule="auto" w:before="120"/>
        <w:ind w:left="565" w:right="117"/>
        <w:jc w:val="both"/>
      </w:pPr>
      <w:r>
        <w:rPr>
          <w:spacing w:val="-5"/>
        </w:rPr>
        <w:t>（</w:t>
      </w:r>
      <w:r>
        <w:rPr>
          <w:rFonts w:ascii="宋体" w:hAnsi="宋体" w:cs="宋体" w:eastAsia="宋体" w:hint="default"/>
          <w:spacing w:val="-5"/>
        </w:rPr>
        <w:t>1</w:t>
      </w:r>
      <w:r>
        <w:rPr>
          <w:spacing w:val="-5"/>
        </w:rPr>
        <w:t>）</w:t>
      </w:r>
      <w:r>
        <w:rPr>
          <w:rFonts w:ascii="宋体" w:hAnsi="宋体" w:cs="宋体" w:eastAsia="宋体" w:hint="default"/>
          <w:spacing w:val="-5"/>
        </w:rPr>
        <w:t>2013</w:t>
      </w:r>
      <w:r>
        <w:rPr>
          <w:rFonts w:ascii="宋体" w:hAnsi="宋体" w:cs="宋体" w:eastAsia="宋体" w:hint="default"/>
          <w:spacing w:val="-64"/>
        </w:rPr>
        <w:t> </w:t>
      </w:r>
      <w:r>
        <w:rPr/>
        <w:t>年</w:t>
      </w:r>
      <w:r>
        <w:rPr>
          <w:spacing w:val="-64"/>
        </w:rPr>
        <w:t> </w:t>
      </w:r>
      <w:r>
        <w:rPr>
          <w:rFonts w:ascii="宋体" w:hAnsi="宋体" w:cs="宋体" w:eastAsia="宋体" w:hint="default"/>
        </w:rPr>
        <w:t>4</w:t>
      </w:r>
      <w:r>
        <w:rPr>
          <w:rFonts w:ascii="宋体" w:hAnsi="宋体" w:cs="宋体" w:eastAsia="宋体" w:hint="default"/>
          <w:spacing w:val="-64"/>
        </w:rPr>
        <w:t> </w:t>
      </w:r>
      <w:r>
        <w:rPr/>
        <w:t>月</w:t>
      </w:r>
      <w:r>
        <w:rPr>
          <w:spacing w:val="-64"/>
        </w:rPr>
        <w:t> </w:t>
      </w:r>
      <w:r>
        <w:rPr>
          <w:rFonts w:ascii="宋体" w:hAnsi="宋体" w:cs="宋体" w:eastAsia="宋体" w:hint="default"/>
        </w:rPr>
        <w:t>20</w:t>
      </w:r>
      <w:r>
        <w:rPr>
          <w:rFonts w:ascii="宋体" w:hAnsi="宋体" w:cs="宋体" w:eastAsia="宋体" w:hint="default"/>
          <w:spacing w:val="-64"/>
        </w:rPr>
        <w:t> </w:t>
      </w:r>
      <w:r>
        <w:rPr/>
        <w:t>日</w:t>
      </w:r>
      <w:r>
        <w:rPr>
          <w:rFonts w:ascii="宋体" w:hAnsi="宋体" w:cs="宋体" w:eastAsia="宋体" w:hint="default"/>
        </w:rPr>
        <w:t>,</w:t>
      </w:r>
      <w:r>
        <w:rPr/>
        <w:t>公司召开</w:t>
      </w:r>
      <w:r>
        <w:rPr>
          <w:spacing w:val="-64"/>
        </w:rPr>
        <w:t> </w:t>
      </w:r>
      <w:r>
        <w:rPr>
          <w:rFonts w:ascii="宋体" w:hAnsi="宋体" w:cs="宋体" w:eastAsia="宋体" w:hint="default"/>
        </w:rPr>
        <w:t>2013</w:t>
      </w:r>
      <w:r>
        <w:rPr>
          <w:rFonts w:ascii="宋体" w:hAnsi="宋体" w:cs="宋体" w:eastAsia="宋体" w:hint="default"/>
          <w:spacing w:val="-64"/>
        </w:rPr>
        <w:t> </w:t>
      </w:r>
      <w:r>
        <w:rPr/>
        <w:t>年第一次临时董事会会议</w:t>
      </w:r>
      <w:r>
        <w:rPr>
          <w:rFonts w:ascii="宋体" w:hAnsi="宋体" w:cs="宋体" w:eastAsia="宋体" w:hint="default"/>
        </w:rPr>
        <w:t>,</w:t>
      </w:r>
      <w:r>
        <w:rPr/>
        <w:t>审议通过了《关 </w:t>
      </w:r>
      <w:r>
        <w:rPr>
          <w:spacing w:val="-4"/>
        </w:rPr>
        <w:t>于运用公司闲置资金进行现金管理》的议案。公司在保证主业正常经营，资金安全</w:t>
      </w:r>
      <w:r>
        <w:rPr>
          <w:spacing w:val="-96"/>
        </w:rPr>
        <w:t> </w:t>
      </w:r>
      <w:r>
        <w:rPr>
          <w:spacing w:val="-96"/>
        </w:rPr>
      </w:r>
      <w:r>
        <w:rPr>
          <w:spacing w:val="-4"/>
        </w:rPr>
        <w:t>的前提下，选择适当的时机利用闲置资金进行现金管理，并授权财务总监负责风险</w:t>
      </w:r>
      <w:r>
        <w:rPr>
          <w:spacing w:val="-96"/>
        </w:rPr>
        <w:t> </w:t>
      </w:r>
      <w:r>
        <w:rPr>
          <w:spacing w:val="-96"/>
        </w:rPr>
      </w:r>
      <w:r>
        <w:rPr/>
        <w:t>管理和控制。</w:t>
      </w:r>
    </w:p>
    <w:p>
      <w:pPr>
        <w:pStyle w:val="BodyText"/>
        <w:spacing w:line="240" w:lineRule="auto" w:before="117"/>
        <w:ind w:left="565" w:right="0"/>
        <w:jc w:val="both"/>
      </w:pPr>
      <w:r>
        <w:rPr/>
        <w:t>（</w:t>
      </w:r>
      <w:r>
        <w:rPr>
          <w:rFonts w:ascii="宋体" w:hAnsi="宋体" w:cs="宋体" w:eastAsia="宋体" w:hint="default"/>
        </w:rPr>
        <w:t>2</w:t>
      </w:r>
      <w:r>
        <w:rPr/>
        <w:t>）理财投资本期累计发生额为滚动投资累计金额。</w:t>
      </w:r>
    </w:p>
    <w:p>
      <w:pPr>
        <w:spacing w:after="0" w:line="240" w:lineRule="auto"/>
        <w:jc w:val="both"/>
        <w:sectPr>
          <w:footerReference w:type="default" r:id="rId13"/>
          <w:pgSz w:w="11910" w:h="16840"/>
          <w:pgMar w:footer="1194" w:header="882" w:top="1080" w:bottom="1380" w:left="1380" w:right="1320"/>
          <w:pgNumType w:start="21"/>
        </w:sectPr>
      </w:pPr>
    </w:p>
    <w:p>
      <w:pPr>
        <w:spacing w:line="240" w:lineRule="auto" w:before="1"/>
        <w:rPr>
          <w:rFonts w:ascii="宋体" w:hAnsi="宋体" w:cs="宋体" w:eastAsia="宋体" w:hint="default"/>
          <w:sz w:val="2"/>
          <w:szCs w:val="2"/>
        </w:rPr>
      </w:pPr>
    </w:p>
    <w:p>
      <w:pPr>
        <w:spacing w:line="20" w:lineRule="exact"/>
        <w:ind w:left="64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080" w:bottom="1380" w:left="1120" w:right="920"/>
        </w:sectPr>
      </w:pPr>
    </w:p>
    <w:p>
      <w:pPr>
        <w:pStyle w:val="Heading2"/>
        <w:spacing w:line="240" w:lineRule="auto"/>
        <w:ind w:left="678" w:right="-12"/>
        <w:jc w:val="left"/>
        <w:rPr>
          <w:b w:val="0"/>
          <w:bCs w:val="0"/>
        </w:rPr>
      </w:pPr>
      <w:r>
        <w:rPr>
          <w:rFonts w:ascii="宋体" w:hAnsi="宋体" w:cs="宋体" w:eastAsia="宋体" w:hint="default"/>
        </w:rPr>
        <w:t>3</w:t>
      </w:r>
      <w:r>
        <w:rPr/>
        <w:t>、</w:t>
      </w:r>
      <w:r>
        <w:rPr>
          <w:spacing w:val="-72"/>
        </w:rPr>
        <w:t> </w:t>
      </w:r>
      <w:r>
        <w:rPr/>
        <w:t>募集资金使用情况</w:t>
      </w:r>
      <w:r>
        <w:rPr>
          <w:b w:val="0"/>
          <w:bCs w:val="0"/>
        </w:rPr>
      </w:r>
    </w:p>
    <w:p>
      <w:pPr>
        <w:spacing w:before="56"/>
        <w:ind w:left="678" w:right="-12" w:firstLine="0"/>
        <w:jc w:val="left"/>
        <w:rPr>
          <w:rFonts w:ascii="宋体" w:hAnsi="宋体" w:cs="宋体" w:eastAsia="宋体" w:hint="default"/>
          <w:sz w:val="24"/>
          <w:szCs w:val="24"/>
        </w:rPr>
      </w:pPr>
      <w:r>
        <w:rPr>
          <w:rFonts w:ascii="宋体" w:hAnsi="宋体" w:cs="宋体" w:eastAsia="宋体" w:hint="default"/>
          <w:b/>
          <w:bCs/>
          <w:sz w:val="21"/>
          <w:szCs w:val="21"/>
        </w:rPr>
        <w:t>(1)</w:t>
      </w:r>
      <w:r>
        <w:rPr>
          <w:rFonts w:ascii="宋体" w:hAnsi="宋体" w:cs="宋体" w:eastAsia="宋体" w:hint="default"/>
          <w:b/>
          <w:bCs/>
          <w:spacing w:val="-13"/>
          <w:sz w:val="21"/>
          <w:szCs w:val="21"/>
        </w:rPr>
        <w:t> </w:t>
      </w:r>
      <w:r>
        <w:rPr>
          <w:rFonts w:ascii="宋体" w:hAnsi="宋体" w:cs="宋体" w:eastAsia="宋体" w:hint="default"/>
          <w:b/>
          <w:bCs/>
          <w:sz w:val="24"/>
          <w:szCs w:val="24"/>
        </w:rPr>
        <w:t>募集资金总体使用情况</w:t>
      </w:r>
      <w:r>
        <w:rPr>
          <w:rFonts w:ascii="宋体" w:hAnsi="宋体" w:cs="宋体" w:eastAsia="宋体" w:hint="default"/>
          <w:sz w:val="24"/>
          <w:szCs w:val="24"/>
        </w:rPr>
      </w:r>
    </w:p>
    <w:p>
      <w:pPr>
        <w:spacing w:before="61"/>
        <w:ind w:left="678" w:right="-12" w:firstLine="0"/>
        <w:jc w:val="left"/>
        <w:rPr>
          <w:rFonts w:ascii="宋体" w:hAnsi="宋体" w:cs="宋体" w:eastAsia="宋体" w:hint="default"/>
          <w:sz w:val="21"/>
          <w:szCs w:val="21"/>
        </w:rPr>
      </w:pPr>
      <w:r>
        <w:rPr>
          <w:rFonts w:ascii="宋体" w:hAnsi="宋体" w:cs="宋体" w:eastAsia="宋体" w:hint="default"/>
          <w:sz w:val="21"/>
          <w:szCs w:val="21"/>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tabs>
          <w:tab w:pos="1832" w:val="left" w:leader="none"/>
        </w:tabs>
        <w:spacing w:before="0"/>
        <w:ind w:left="678"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万元</w:t>
        <w:tab/>
        <w:t>币种</w:t>
      </w:r>
      <w:r>
        <w:rPr>
          <w:rFonts w:ascii="宋体" w:hAnsi="宋体" w:cs="宋体" w:eastAsia="宋体" w:hint="default"/>
          <w:sz w:val="21"/>
          <w:szCs w:val="21"/>
        </w:rPr>
        <w:t>:</w:t>
      </w:r>
      <w:r>
        <w:rPr>
          <w:rFonts w:ascii="宋体" w:hAnsi="宋体" w:cs="宋体" w:eastAsia="宋体" w:hint="default"/>
          <w:sz w:val="21"/>
          <w:szCs w:val="21"/>
        </w:rPr>
        <w:t>人民币</w:t>
      </w:r>
    </w:p>
    <w:p>
      <w:pPr>
        <w:spacing w:after="0"/>
        <w:jc w:val="left"/>
        <w:rPr>
          <w:rFonts w:ascii="宋体" w:hAnsi="宋体" w:cs="宋体" w:eastAsia="宋体" w:hint="default"/>
          <w:sz w:val="21"/>
          <w:szCs w:val="21"/>
        </w:rPr>
        <w:sectPr>
          <w:type w:val="continuous"/>
          <w:pgSz w:w="11910" w:h="16840"/>
          <w:pgMar w:top="1080" w:bottom="1380" w:left="1120" w:right="920"/>
          <w:cols w:num="2" w:equalWidth="0">
            <w:col w:w="3506" w:space="3019"/>
            <w:col w:w="3345"/>
          </w:cols>
        </w:sectPr>
      </w:pPr>
    </w:p>
    <w:p>
      <w:pPr>
        <w:spacing w:line="240" w:lineRule="auto" w:before="8"/>
        <w:rPr>
          <w:rFonts w:ascii="宋体" w:hAnsi="宋体" w:cs="宋体" w:eastAsia="宋体" w:hint="default"/>
          <w:sz w:val="11"/>
          <w:szCs w:val="11"/>
        </w:rPr>
      </w:pPr>
    </w:p>
    <w:tbl>
      <w:tblPr>
        <w:tblW w:w="0" w:type="auto"/>
        <w:jc w:val="left"/>
        <w:tblInd w:w="657" w:type="dxa"/>
        <w:tblLayout w:type="fixed"/>
        <w:tblCellMar>
          <w:top w:w="0" w:type="dxa"/>
          <w:left w:w="0" w:type="dxa"/>
          <w:bottom w:w="0" w:type="dxa"/>
          <w:right w:w="0" w:type="dxa"/>
        </w:tblCellMar>
        <w:tblLook w:val="01E0"/>
      </w:tblPr>
      <w:tblGrid>
        <w:gridCol w:w="913"/>
        <w:gridCol w:w="1498"/>
        <w:gridCol w:w="1218"/>
        <w:gridCol w:w="1208"/>
        <w:gridCol w:w="1134"/>
        <w:gridCol w:w="1241"/>
        <w:gridCol w:w="1651"/>
      </w:tblGrid>
      <w:tr>
        <w:trPr>
          <w:trHeight w:val="842" w:hRule="exact"/>
        </w:trPr>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募集年份</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2" w:right="0"/>
              <w:jc w:val="left"/>
              <w:rPr>
                <w:rFonts w:ascii="宋体" w:hAnsi="宋体" w:cs="宋体" w:eastAsia="宋体" w:hint="default"/>
                <w:sz w:val="21"/>
                <w:szCs w:val="21"/>
              </w:rPr>
            </w:pPr>
            <w:r>
              <w:rPr>
                <w:rFonts w:ascii="宋体" w:hAnsi="宋体" w:cs="宋体" w:eastAsia="宋体" w:hint="default"/>
                <w:sz w:val="21"/>
                <w:szCs w:val="21"/>
              </w:rPr>
              <w:t>募集方式</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5"/>
              <w:ind w:left="393" w:right="183" w:hanging="210"/>
              <w:jc w:val="left"/>
              <w:rPr>
                <w:rFonts w:ascii="宋体" w:hAnsi="宋体" w:cs="宋体" w:eastAsia="宋体" w:hint="default"/>
                <w:sz w:val="21"/>
                <w:szCs w:val="21"/>
              </w:rPr>
            </w:pPr>
            <w:r>
              <w:rPr>
                <w:rFonts w:ascii="宋体" w:hAnsi="宋体" w:cs="宋体" w:eastAsia="宋体" w:hint="default"/>
                <w:sz w:val="21"/>
                <w:szCs w:val="21"/>
              </w:rPr>
              <w:t>募集资金 总额</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73" w:right="73"/>
              <w:jc w:val="center"/>
              <w:rPr>
                <w:rFonts w:ascii="宋体" w:hAnsi="宋体" w:cs="宋体" w:eastAsia="宋体" w:hint="default"/>
                <w:sz w:val="21"/>
                <w:szCs w:val="21"/>
              </w:rPr>
            </w:pPr>
            <w:r>
              <w:rPr>
                <w:rFonts w:ascii="宋体" w:hAnsi="宋体" w:cs="宋体" w:eastAsia="宋体" w:hint="default"/>
                <w:sz w:val="21"/>
                <w:szCs w:val="21"/>
              </w:rPr>
              <w:t>本年度已使 用募集资金 总额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35" w:right="36"/>
              <w:jc w:val="center"/>
              <w:rPr>
                <w:rFonts w:ascii="宋体" w:hAnsi="宋体" w:cs="宋体" w:eastAsia="宋体" w:hint="default"/>
                <w:sz w:val="21"/>
                <w:szCs w:val="21"/>
              </w:rPr>
            </w:pPr>
            <w:r>
              <w:rPr>
                <w:rFonts w:ascii="宋体" w:hAnsi="宋体" w:cs="宋体" w:eastAsia="宋体" w:hint="default"/>
                <w:sz w:val="21"/>
                <w:szCs w:val="21"/>
              </w:rPr>
              <w:t>已累计使用 募集资金总 额</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5"/>
              <w:ind w:left="89" w:right="89"/>
              <w:jc w:val="left"/>
              <w:rPr>
                <w:rFonts w:ascii="宋体" w:hAnsi="宋体" w:cs="宋体" w:eastAsia="宋体" w:hint="default"/>
                <w:sz w:val="21"/>
                <w:szCs w:val="21"/>
              </w:rPr>
            </w:pPr>
            <w:r>
              <w:rPr>
                <w:rFonts w:ascii="宋体" w:hAnsi="宋体" w:cs="宋体" w:eastAsia="宋体" w:hint="default"/>
                <w:sz w:val="21"/>
                <w:szCs w:val="21"/>
              </w:rPr>
              <w:t>尚未使用募 集资金总额</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5"/>
              <w:ind w:left="190" w:right="84" w:hanging="106"/>
              <w:jc w:val="left"/>
              <w:rPr>
                <w:rFonts w:ascii="宋体" w:hAnsi="宋体" w:cs="宋体" w:eastAsia="宋体" w:hint="default"/>
                <w:sz w:val="21"/>
                <w:szCs w:val="21"/>
              </w:rPr>
            </w:pPr>
            <w:r>
              <w:rPr>
                <w:rFonts w:ascii="宋体" w:hAnsi="宋体" w:cs="宋体" w:eastAsia="宋体" w:hint="default"/>
                <w:sz w:val="21"/>
                <w:szCs w:val="21"/>
              </w:rPr>
              <w:t>尚未使用募集资 金用途及去向</w:t>
            </w:r>
          </w:p>
        </w:tc>
      </w:tr>
      <w:tr>
        <w:trPr>
          <w:trHeight w:val="298" w:hRule="exact"/>
        </w:trPr>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 w:right="0"/>
              <w:jc w:val="left"/>
              <w:rPr>
                <w:rFonts w:ascii="宋体" w:hAnsi="宋体" w:cs="宋体" w:eastAsia="宋体" w:hint="default"/>
                <w:sz w:val="21"/>
                <w:szCs w:val="21"/>
              </w:rPr>
            </w:pPr>
            <w:r>
              <w:rPr>
                <w:rFonts w:ascii="宋体"/>
                <w:sz w:val="21"/>
              </w:rPr>
              <w:t>2011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 w:right="0"/>
              <w:jc w:val="left"/>
              <w:rPr>
                <w:rFonts w:ascii="宋体" w:hAnsi="宋体" w:cs="宋体" w:eastAsia="宋体" w:hint="default"/>
                <w:sz w:val="21"/>
                <w:szCs w:val="21"/>
              </w:rPr>
            </w:pPr>
            <w:r>
              <w:rPr>
                <w:rFonts w:ascii="宋体" w:hAnsi="宋体" w:cs="宋体" w:eastAsia="宋体" w:hint="default"/>
                <w:sz w:val="21"/>
                <w:szCs w:val="21"/>
              </w:rPr>
              <w:t>非公开发行</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8"/>
              <w:jc w:val="right"/>
              <w:rPr>
                <w:rFonts w:ascii="宋体" w:hAnsi="宋体" w:cs="宋体" w:eastAsia="宋体" w:hint="default"/>
                <w:sz w:val="21"/>
                <w:szCs w:val="21"/>
              </w:rPr>
            </w:pPr>
            <w:r>
              <w:rPr>
                <w:rFonts w:ascii="宋体"/>
                <w:sz w:val="21"/>
              </w:rPr>
              <w:t>48,746.82</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8"/>
              <w:jc w:val="right"/>
              <w:rPr>
                <w:rFonts w:ascii="宋体" w:hAnsi="宋体" w:cs="宋体" w:eastAsia="宋体" w:hint="default"/>
                <w:sz w:val="21"/>
                <w:szCs w:val="21"/>
              </w:rPr>
            </w:pPr>
            <w:r>
              <w:rPr>
                <w:rFonts w:ascii="宋体"/>
                <w:sz w:val="21"/>
              </w:rPr>
              <w:t>123.25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
              <w:jc w:val="right"/>
              <w:rPr>
                <w:rFonts w:ascii="宋体" w:hAnsi="宋体" w:cs="宋体" w:eastAsia="宋体" w:hint="default"/>
                <w:sz w:val="21"/>
                <w:szCs w:val="21"/>
              </w:rPr>
            </w:pPr>
            <w:r>
              <w:rPr>
                <w:rFonts w:ascii="宋体"/>
                <w:spacing w:val="-1"/>
                <w:sz w:val="21"/>
              </w:rPr>
              <w:t>49,554.59</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8"/>
              <w:jc w:val="right"/>
              <w:rPr>
                <w:rFonts w:ascii="宋体" w:hAnsi="宋体" w:cs="宋体" w:eastAsia="宋体" w:hint="default"/>
                <w:sz w:val="21"/>
                <w:szCs w:val="21"/>
              </w:rPr>
            </w:pPr>
            <w:r>
              <w:rPr>
                <w:rFonts w:ascii="宋体"/>
                <w:sz w:val="21"/>
              </w:rPr>
              <w:t>0</w:t>
            </w:r>
          </w:p>
        </w:tc>
        <w:tc>
          <w:tcPr>
            <w:tcW w:w="1651"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 w:right="0"/>
              <w:jc w:val="left"/>
              <w:rPr>
                <w:rFonts w:ascii="宋体" w:hAnsi="宋体" w:cs="宋体" w:eastAsia="宋体" w:hint="default"/>
                <w:sz w:val="21"/>
                <w:szCs w:val="21"/>
              </w:rPr>
            </w:pPr>
            <w:r>
              <w:rPr>
                <w:rFonts w:ascii="宋体"/>
                <w:sz w:val="21"/>
              </w:rPr>
              <w:t>2013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 w:right="0"/>
              <w:jc w:val="left"/>
              <w:rPr>
                <w:rFonts w:ascii="宋体" w:hAnsi="宋体" w:cs="宋体" w:eastAsia="宋体" w:hint="default"/>
                <w:sz w:val="21"/>
                <w:szCs w:val="21"/>
              </w:rPr>
            </w:pPr>
            <w:r>
              <w:rPr>
                <w:rFonts w:ascii="宋体" w:hAnsi="宋体" w:cs="宋体" w:eastAsia="宋体" w:hint="default"/>
                <w:sz w:val="21"/>
                <w:szCs w:val="21"/>
              </w:rPr>
              <w:t>公司债</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8"/>
              <w:jc w:val="right"/>
              <w:rPr>
                <w:rFonts w:ascii="宋体" w:hAnsi="宋体" w:cs="宋体" w:eastAsia="宋体" w:hint="default"/>
                <w:sz w:val="21"/>
                <w:szCs w:val="21"/>
              </w:rPr>
            </w:pPr>
            <w:r>
              <w:rPr>
                <w:rFonts w:ascii="宋体"/>
                <w:sz w:val="21"/>
              </w:rPr>
              <w:t>89,190.00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8"/>
              <w:jc w:val="right"/>
              <w:rPr>
                <w:rFonts w:ascii="宋体" w:hAnsi="宋体" w:cs="宋体" w:eastAsia="宋体" w:hint="default"/>
                <w:sz w:val="21"/>
                <w:szCs w:val="21"/>
              </w:rPr>
            </w:pPr>
            <w:r>
              <w:rPr>
                <w:rFonts w:ascii="宋体"/>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
              <w:jc w:val="right"/>
              <w:rPr>
                <w:rFonts w:ascii="宋体" w:hAnsi="宋体" w:cs="宋体" w:eastAsia="宋体" w:hint="default"/>
                <w:sz w:val="21"/>
                <w:szCs w:val="21"/>
              </w:rPr>
            </w:pPr>
            <w:r>
              <w:rPr>
                <w:rFonts w:ascii="宋体"/>
                <w:sz w:val="21"/>
              </w:rPr>
              <w:t>89,190.00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8"/>
              <w:jc w:val="right"/>
              <w:rPr>
                <w:rFonts w:ascii="宋体" w:hAnsi="宋体" w:cs="宋体" w:eastAsia="宋体" w:hint="default"/>
                <w:sz w:val="21"/>
                <w:szCs w:val="21"/>
              </w:rPr>
            </w:pPr>
            <w:r>
              <w:rPr>
                <w:rFonts w:ascii="宋体"/>
                <w:sz w:val="21"/>
              </w:rPr>
              <w:t>0</w:t>
            </w:r>
          </w:p>
        </w:tc>
        <w:tc>
          <w:tcPr>
            <w:tcW w:w="1651"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4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sz w:val="21"/>
              </w:rPr>
              <w:t>/</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
              <w:jc w:val="right"/>
              <w:rPr>
                <w:rFonts w:ascii="宋体" w:hAnsi="宋体" w:cs="宋体" w:eastAsia="宋体" w:hint="default"/>
                <w:sz w:val="21"/>
                <w:szCs w:val="21"/>
              </w:rPr>
            </w:pPr>
            <w:r>
              <w:rPr>
                <w:rFonts w:ascii="宋体"/>
                <w:sz w:val="21"/>
              </w:rPr>
              <w:t>137,936.82</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8"/>
              <w:jc w:val="right"/>
              <w:rPr>
                <w:rFonts w:ascii="宋体" w:hAnsi="宋体" w:cs="宋体" w:eastAsia="宋体" w:hint="default"/>
                <w:sz w:val="21"/>
                <w:szCs w:val="21"/>
              </w:rPr>
            </w:pPr>
            <w:r>
              <w:rPr>
                <w:rFonts w:ascii="宋体"/>
                <w:sz w:val="21"/>
              </w:rPr>
              <w:t>123.25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1"/>
              <w:jc w:val="right"/>
              <w:rPr>
                <w:rFonts w:ascii="宋体" w:hAnsi="宋体" w:cs="宋体" w:eastAsia="宋体" w:hint="default"/>
                <w:sz w:val="21"/>
                <w:szCs w:val="21"/>
              </w:rPr>
            </w:pPr>
            <w:r>
              <w:rPr>
                <w:rFonts w:ascii="宋体"/>
                <w:sz w:val="21"/>
              </w:rPr>
              <w:t>138,744.59</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8"/>
              <w:jc w:val="right"/>
              <w:rPr>
                <w:rFonts w:ascii="宋体" w:hAnsi="宋体" w:cs="宋体" w:eastAsia="宋体" w:hint="default"/>
                <w:sz w:val="21"/>
                <w:szCs w:val="21"/>
              </w:rPr>
            </w:pPr>
            <w:r>
              <w:rPr>
                <w:rFonts w:ascii="宋体"/>
                <w:sz w:val="21"/>
              </w:rPr>
              <w:t>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sz w:val="21"/>
              </w:rPr>
              <w:t>/</w:t>
            </w:r>
          </w:p>
        </w:tc>
      </w:tr>
      <w:tr>
        <w:trPr>
          <w:trHeight w:val="298" w:hRule="exact"/>
        </w:trPr>
        <w:tc>
          <w:tcPr>
            <w:tcW w:w="36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 w:right="0"/>
              <w:jc w:val="left"/>
              <w:rPr>
                <w:rFonts w:ascii="宋体" w:hAnsi="宋体" w:cs="宋体" w:eastAsia="宋体" w:hint="default"/>
                <w:sz w:val="21"/>
                <w:szCs w:val="21"/>
              </w:rPr>
            </w:pPr>
            <w:r>
              <w:rPr>
                <w:rFonts w:ascii="宋体" w:hAnsi="宋体" w:cs="宋体" w:eastAsia="宋体" w:hint="default"/>
                <w:sz w:val="21"/>
                <w:szCs w:val="21"/>
              </w:rPr>
              <w:t>募集资金总体使用情况说明</w:t>
            </w:r>
          </w:p>
        </w:tc>
        <w:tc>
          <w:tcPr>
            <w:tcW w:w="5235" w:type="dxa"/>
            <w:gridSpan w:val="4"/>
            <w:tcBorders>
              <w:top w:val="single" w:sz="4" w:space="0" w:color="000000"/>
              <w:left w:val="single" w:sz="4" w:space="0" w:color="000000"/>
              <w:bottom w:val="single" w:sz="4" w:space="0" w:color="000000"/>
              <w:right w:val="single" w:sz="4" w:space="0" w:color="000000"/>
            </w:tcBorders>
          </w:tcPr>
          <w:p>
            <w:pPr/>
          </w:p>
        </w:tc>
      </w:tr>
    </w:tbl>
    <w:p>
      <w:pPr>
        <w:pStyle w:val="BodyText"/>
        <w:spacing w:line="310" w:lineRule="exact" w:before="113"/>
        <w:ind w:left="678" w:right="353" w:firstLine="480"/>
        <w:jc w:val="both"/>
        <w:rPr>
          <w:rFonts w:ascii="宋体" w:hAnsi="宋体" w:cs="宋体" w:eastAsia="宋体" w:hint="default"/>
        </w:rPr>
      </w:pP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14</w:t>
      </w:r>
      <w:r>
        <w:rPr>
          <w:rFonts w:ascii="宋体" w:hAnsi="宋体" w:cs="宋体" w:eastAsia="宋体" w:hint="default"/>
          <w:spacing w:val="-60"/>
        </w:rPr>
        <w:t> </w:t>
      </w:r>
      <w:r>
        <w:rPr/>
        <w:t>日，公司收到中国证券监督管理委员会《关于核准北京华胜天成 </w:t>
      </w:r>
      <w:r>
        <w:rPr>
          <w:spacing w:val="-2"/>
        </w:rPr>
        <w:t>科技股份有限公司非公开发行股票的批复》（证监许可</w:t>
      </w:r>
      <w:r>
        <w:rPr>
          <w:rFonts w:ascii="宋体" w:hAnsi="宋体" w:cs="宋体" w:eastAsia="宋体" w:hint="default"/>
          <w:spacing w:val="-2"/>
        </w:rPr>
        <w:t>[2011]1077</w:t>
      </w:r>
      <w:r>
        <w:rPr>
          <w:rFonts w:ascii="宋体" w:hAnsi="宋体" w:cs="宋体" w:eastAsia="宋体" w:hint="default"/>
          <w:spacing w:val="-49"/>
        </w:rPr>
        <w:t> </w:t>
      </w:r>
      <w:r>
        <w:rPr>
          <w:spacing w:val="-7"/>
        </w:rPr>
        <w:t>号），核准公司非</w:t>
      </w:r>
      <w:r>
        <w:rPr/>
        <w:t> 公开发行不超过</w:t>
      </w:r>
      <w:r>
        <w:rPr>
          <w:spacing w:val="-60"/>
        </w:rPr>
        <w:t> </w:t>
      </w:r>
      <w:r>
        <w:rPr>
          <w:rFonts w:ascii="宋体" w:hAnsi="宋体" w:cs="宋体" w:eastAsia="宋体" w:hint="default"/>
        </w:rPr>
        <w:t>4,416</w:t>
      </w:r>
      <w:r>
        <w:rPr>
          <w:rFonts w:ascii="宋体" w:hAnsi="宋体" w:cs="宋体" w:eastAsia="宋体" w:hint="default"/>
          <w:spacing w:val="-60"/>
        </w:rPr>
        <w:t> </w:t>
      </w:r>
      <w:r>
        <w:rPr/>
        <w:t>万股新股。公司于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日以非公开发行的方式向</w:t>
      </w:r>
      <w:r>
        <w:rPr>
          <w:spacing w:val="-60"/>
        </w:rPr>
        <w:t> </w:t>
      </w:r>
      <w:r>
        <w:rPr>
          <w:rFonts w:ascii="宋体" w:hAnsi="宋体" w:cs="宋体" w:eastAsia="宋体" w:hint="default"/>
        </w:rPr>
        <w:t>6</w:t>
      </w:r>
    </w:p>
    <w:p>
      <w:pPr>
        <w:pStyle w:val="BodyText"/>
        <w:spacing w:line="282" w:lineRule="exact"/>
        <w:ind w:left="678" w:right="230"/>
        <w:jc w:val="left"/>
      </w:pPr>
      <w:r>
        <w:rPr/>
        <w:t>位特定投资者发行</w:t>
      </w:r>
      <w:r>
        <w:rPr>
          <w:spacing w:val="-60"/>
        </w:rPr>
        <w:t> </w:t>
      </w:r>
      <w:r>
        <w:rPr>
          <w:rFonts w:ascii="宋体" w:hAnsi="宋体" w:cs="宋体" w:eastAsia="宋体" w:hint="default"/>
        </w:rPr>
        <w:t>39,034,003</w:t>
      </w:r>
      <w:r>
        <w:rPr>
          <w:rFonts w:ascii="宋体" w:hAnsi="宋体" w:cs="宋体" w:eastAsia="宋体" w:hint="default"/>
          <w:spacing w:val="-60"/>
        </w:rPr>
        <w:t> </w:t>
      </w:r>
      <w:r>
        <w:rPr/>
        <w:t>股新股</w:t>
      </w:r>
      <w:r>
        <w:rPr>
          <w:spacing w:val="-114"/>
        </w:rPr>
        <w:t>，</w:t>
      </w:r>
      <w:r>
        <w:rPr/>
        <w:t>特定投资者均以现金认购</w:t>
      </w:r>
      <w:r>
        <w:rPr>
          <w:spacing w:val="-114"/>
        </w:rPr>
        <w:t>。</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2</w:t>
      </w:r>
      <w:r>
        <w:rPr>
          <w:rFonts w:ascii="宋体" w:hAnsi="宋体" w:cs="宋体" w:eastAsia="宋体" w:hint="default"/>
          <w:spacing w:val="-60"/>
        </w:rPr>
        <w:t> </w:t>
      </w:r>
      <w:r>
        <w:rPr/>
        <w:t>日，</w:t>
      </w:r>
    </w:p>
    <w:p>
      <w:pPr>
        <w:pStyle w:val="BodyText"/>
        <w:spacing w:line="311" w:lineRule="exact"/>
        <w:ind w:left="678" w:right="230"/>
        <w:jc w:val="left"/>
      </w:pPr>
      <w:r>
        <w:rPr/>
        <w:t>京都天华会计师事务所有限公司出具了京都天华验字（</w:t>
      </w:r>
      <w:r>
        <w:rPr>
          <w:rFonts w:ascii="宋体" w:hAnsi="宋体" w:cs="宋体" w:eastAsia="宋体" w:hint="default"/>
        </w:rPr>
        <w:t>2011</w:t>
      </w:r>
      <w:r>
        <w:rPr/>
        <w:t>）第</w:t>
      </w:r>
      <w:r>
        <w:rPr>
          <w:spacing w:val="-60"/>
        </w:rPr>
        <w:t> </w:t>
      </w:r>
      <w:r>
        <w:rPr>
          <w:rFonts w:ascii="宋体" w:hAnsi="宋体" w:cs="宋体" w:eastAsia="宋体" w:hint="default"/>
        </w:rPr>
        <w:t>0162</w:t>
      </w:r>
      <w:r>
        <w:rPr>
          <w:rFonts w:ascii="宋体" w:hAnsi="宋体" w:cs="宋体" w:eastAsia="宋体" w:hint="default"/>
          <w:spacing w:val="-60"/>
        </w:rPr>
        <w:t> </w:t>
      </w:r>
      <w:r>
        <w:rPr/>
        <w:t>号验资报告。</w:t>
      </w:r>
    </w:p>
    <w:p>
      <w:pPr>
        <w:pStyle w:val="BodyText"/>
        <w:spacing w:line="313" w:lineRule="exact"/>
        <w:ind w:left="678" w:right="230"/>
        <w:jc w:val="left"/>
      </w:pPr>
      <w:r>
        <w:rPr/>
        <w:t>根据验资报告，募集资金净额为</w:t>
      </w:r>
      <w:r>
        <w:rPr>
          <w:spacing w:val="-60"/>
        </w:rPr>
        <w:t> </w:t>
      </w:r>
      <w:r>
        <w:rPr>
          <w:rFonts w:ascii="宋体" w:hAnsi="宋体" w:cs="宋体" w:eastAsia="宋体" w:hint="default"/>
        </w:rPr>
        <w:t>48,746.816485</w:t>
      </w:r>
      <w:r>
        <w:rPr>
          <w:rFonts w:ascii="宋体" w:hAnsi="宋体" w:cs="宋体" w:eastAsia="宋体" w:hint="default"/>
          <w:spacing w:val="-60"/>
        </w:rPr>
        <w:t> </w:t>
      </w:r>
      <w:r>
        <w:rPr/>
        <w:t>万元。</w:t>
      </w:r>
    </w:p>
    <w:p>
      <w:pPr>
        <w:pStyle w:val="BodyText"/>
        <w:spacing w:line="237" w:lineRule="auto" w:before="119"/>
        <w:ind w:left="678" w:right="352" w:firstLine="480"/>
        <w:jc w:val="both"/>
      </w:pPr>
      <w:r>
        <w:rPr/>
        <w:t>公司</w:t>
      </w:r>
      <w:r>
        <w:rPr>
          <w:spacing w:val="-60"/>
        </w:rPr>
        <w:t> </w:t>
      </w:r>
      <w:r>
        <w:rPr>
          <w:rFonts w:ascii="宋体" w:hAnsi="宋体" w:cs="宋体" w:eastAsia="宋体" w:hint="default"/>
        </w:rPr>
        <w:t>2012</w:t>
      </w:r>
      <w:r>
        <w:rPr>
          <w:rFonts w:ascii="宋体" w:hAnsi="宋体" w:cs="宋体" w:eastAsia="宋体" w:hint="default"/>
          <w:spacing w:val="-60"/>
        </w:rPr>
        <w:t> </w:t>
      </w:r>
      <w:r>
        <w:rPr/>
        <w:t>年正式启动的发行公司债券项目已于</w:t>
      </w:r>
      <w:r>
        <w:rPr>
          <w:spacing w:val="-60"/>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spacing w:val="-5"/>
        </w:rPr>
        <w:t>月发行完毕。本次发行</w:t>
      </w:r>
      <w:r>
        <w:rPr/>
        <w:t> 公司债券募集资金共为人民币</w:t>
      </w:r>
      <w:r>
        <w:rPr>
          <w:spacing w:val="-60"/>
        </w:rPr>
        <w:t> </w:t>
      </w:r>
      <w:r>
        <w:rPr>
          <w:rFonts w:ascii="宋体" w:hAnsi="宋体" w:cs="宋体" w:eastAsia="宋体" w:hint="default"/>
        </w:rPr>
        <w:t>900,000,000</w:t>
      </w:r>
      <w:r>
        <w:rPr>
          <w:rFonts w:ascii="宋体" w:hAnsi="宋体" w:cs="宋体" w:eastAsia="宋体" w:hint="default"/>
          <w:spacing w:val="-60"/>
        </w:rPr>
        <w:t> </w:t>
      </w:r>
      <w:r>
        <w:rPr>
          <w:spacing w:val="-9"/>
        </w:rPr>
        <w:t>元，票面利率</w:t>
      </w:r>
      <w:r>
        <w:rPr>
          <w:spacing w:val="-60"/>
        </w:rPr>
        <w:t> </w:t>
      </w:r>
      <w:r>
        <w:rPr>
          <w:rFonts w:ascii="宋体" w:hAnsi="宋体" w:cs="宋体" w:eastAsia="宋体" w:hint="default"/>
          <w:spacing w:val="-4"/>
        </w:rPr>
        <w:t>5.8%</w:t>
      </w:r>
      <w:r>
        <w:rPr>
          <w:spacing w:val="-4"/>
        </w:rPr>
        <w:t>。扣除应支付给主承销</w:t>
      </w:r>
      <w:r>
        <w:rPr/>
        <w:t> 商的发行费用</w:t>
      </w:r>
      <w:r>
        <w:rPr>
          <w:spacing w:val="-60"/>
        </w:rPr>
        <w:t> </w:t>
      </w:r>
      <w:r>
        <w:rPr>
          <w:rFonts w:ascii="宋体" w:hAnsi="宋体" w:cs="宋体" w:eastAsia="宋体" w:hint="default"/>
        </w:rPr>
        <w:t>8,100,000</w:t>
      </w:r>
      <w:r>
        <w:rPr>
          <w:rFonts w:ascii="宋体" w:hAnsi="宋体" w:cs="宋体" w:eastAsia="宋体" w:hint="default"/>
          <w:spacing w:val="-60"/>
        </w:rPr>
        <w:t> </w:t>
      </w:r>
      <w:r>
        <w:rPr/>
        <w:t>元后实际收到资金净额为人民币</w:t>
      </w:r>
      <w:r>
        <w:rPr>
          <w:spacing w:val="-60"/>
        </w:rPr>
        <w:t> </w:t>
      </w:r>
      <w:r>
        <w:rPr>
          <w:rFonts w:ascii="宋体" w:hAnsi="宋体" w:cs="宋体" w:eastAsia="宋体" w:hint="default"/>
        </w:rPr>
        <w:t>891,900,000</w:t>
      </w:r>
      <w:r>
        <w:rPr>
          <w:rFonts w:ascii="宋体" w:hAnsi="宋体" w:cs="宋体" w:eastAsia="宋体" w:hint="default"/>
          <w:spacing w:val="-60"/>
        </w:rPr>
        <w:t> </w:t>
      </w:r>
      <w:r>
        <w:rPr>
          <w:spacing w:val="-8"/>
        </w:rPr>
        <w:t>元，本次发行</w:t>
      </w:r>
    </w:p>
    <w:p>
      <w:pPr>
        <w:pStyle w:val="BodyText"/>
        <w:spacing w:line="237" w:lineRule="auto"/>
        <w:ind w:left="678" w:right="230"/>
        <w:jc w:val="left"/>
        <w:rPr>
          <w:rFonts w:ascii="宋体" w:hAnsi="宋体" w:cs="宋体" w:eastAsia="宋体" w:hint="default"/>
        </w:rPr>
      </w:pPr>
      <w:r>
        <w:rPr/>
        <w:t>的债券为固定利率债券，第</w:t>
      </w:r>
      <w:r>
        <w:rPr>
          <w:spacing w:val="-55"/>
        </w:rPr>
        <w:t> </w:t>
      </w:r>
      <w:r>
        <w:rPr>
          <w:rFonts w:ascii="宋体" w:hAnsi="宋体" w:cs="宋体" w:eastAsia="宋体" w:hint="default"/>
        </w:rPr>
        <w:t>3</w:t>
      </w:r>
      <w:r>
        <w:rPr>
          <w:rFonts w:ascii="宋体" w:hAnsi="宋体" w:cs="宋体" w:eastAsia="宋体" w:hint="default"/>
          <w:spacing w:val="-55"/>
        </w:rPr>
        <w:t> </w:t>
      </w:r>
      <w:r>
        <w:rPr>
          <w:spacing w:val="2"/>
        </w:rPr>
        <w:t>年末发行人上调票面利率选择权及投资者回售选择权。 </w:t>
      </w:r>
      <w:r>
        <w:rPr/>
        <w:t>还本付息的期限和方式为到期一次还本。即利息每年支付一次，最后一期利息随本金</w:t>
      </w:r>
      <w:r>
        <w:rPr/>
        <w:t> </w:t>
      </w:r>
      <w:r>
        <w:rPr>
          <w:spacing w:val="-3"/>
        </w:rPr>
        <w:t>一起支付。上述款项业经致同会计师事务所于</w:t>
      </w:r>
      <w:r>
        <w:rPr>
          <w:spacing w:val="-58"/>
        </w:rPr>
        <w:t> </w:t>
      </w:r>
      <w:r>
        <w:rPr>
          <w:rFonts w:ascii="宋体" w:hAnsi="宋体" w:cs="宋体" w:eastAsia="宋体" w:hint="default"/>
        </w:rPr>
        <w:t>2013</w:t>
      </w:r>
      <w:r>
        <w:rPr>
          <w:rFonts w:ascii="宋体" w:hAnsi="宋体" w:cs="宋体" w:eastAsia="宋体" w:hint="default"/>
          <w:spacing w:val="-58"/>
        </w:rPr>
        <w:t> </w:t>
      </w:r>
      <w:r>
        <w:rPr/>
        <w:t>年</w:t>
      </w:r>
      <w:r>
        <w:rPr>
          <w:spacing w:val="-58"/>
        </w:rPr>
        <w:t> </w:t>
      </w:r>
      <w:r>
        <w:rPr>
          <w:rFonts w:ascii="宋体" w:hAnsi="宋体" w:cs="宋体" w:eastAsia="宋体" w:hint="default"/>
        </w:rPr>
        <w:t>3</w:t>
      </w:r>
      <w:r>
        <w:rPr>
          <w:rFonts w:ascii="宋体" w:hAnsi="宋体" w:cs="宋体" w:eastAsia="宋体" w:hint="default"/>
          <w:spacing w:val="-58"/>
        </w:rPr>
        <w:t> </w:t>
      </w:r>
      <w:r>
        <w:rPr/>
        <w:t>月</w:t>
      </w:r>
      <w:r>
        <w:rPr>
          <w:spacing w:val="-58"/>
        </w:rPr>
        <w:t> </w:t>
      </w:r>
      <w:r>
        <w:rPr>
          <w:rFonts w:ascii="宋体" w:hAnsi="宋体" w:cs="宋体" w:eastAsia="宋体" w:hint="default"/>
        </w:rPr>
        <w:t>20</w:t>
      </w:r>
      <w:r>
        <w:rPr>
          <w:rFonts w:ascii="宋体" w:hAnsi="宋体" w:cs="宋体" w:eastAsia="宋体" w:hint="default"/>
          <w:spacing w:val="-58"/>
        </w:rPr>
        <w:t> </w:t>
      </w:r>
      <w:r>
        <w:rPr/>
        <w:t>日出具致同验字</w:t>
      </w:r>
      <w:r>
        <w:rPr>
          <w:rFonts w:ascii="宋体" w:hAnsi="宋体" w:cs="宋体" w:eastAsia="宋体" w:hint="default"/>
        </w:rPr>
        <w:t>[2013]</w:t>
      </w:r>
    </w:p>
    <w:p>
      <w:pPr>
        <w:pStyle w:val="BodyText"/>
        <w:spacing w:line="310" w:lineRule="exact"/>
        <w:ind w:left="678" w:right="230"/>
        <w:jc w:val="left"/>
      </w:pPr>
      <w:r>
        <w:rPr/>
        <w:t>第</w:t>
      </w:r>
      <w:r>
        <w:rPr>
          <w:spacing w:val="-60"/>
        </w:rPr>
        <w:t> </w:t>
      </w:r>
      <w:r>
        <w:rPr>
          <w:rFonts w:ascii="宋体" w:hAnsi="宋体" w:cs="宋体" w:eastAsia="宋体" w:hint="default"/>
        </w:rPr>
        <w:t>110za0037</w:t>
      </w:r>
      <w:r>
        <w:rPr>
          <w:rFonts w:ascii="宋体" w:hAnsi="宋体" w:cs="宋体" w:eastAsia="宋体" w:hint="default"/>
          <w:spacing w:val="-60"/>
        </w:rPr>
        <w:t> </w:t>
      </w:r>
      <w:r>
        <w:rPr>
          <w:spacing w:val="-4"/>
        </w:rPr>
        <w:t>号验资报告验证。详见公司于</w:t>
      </w:r>
      <w:r>
        <w:rPr>
          <w:spacing w:val="-60"/>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11</w:t>
      </w:r>
      <w:r>
        <w:rPr>
          <w:rFonts w:ascii="宋体" w:hAnsi="宋体" w:cs="宋体" w:eastAsia="宋体" w:hint="default"/>
          <w:spacing w:val="-60"/>
        </w:rPr>
        <w:t> </w:t>
      </w:r>
      <w:r>
        <w:rPr/>
        <w:t>日在上海证券交易所披露</w:t>
      </w:r>
    </w:p>
    <w:p>
      <w:pPr>
        <w:pStyle w:val="BodyText"/>
        <w:spacing w:line="311" w:lineRule="exact"/>
        <w:ind w:left="678" w:right="230"/>
        <w:jc w:val="left"/>
      </w:pPr>
      <w:r>
        <w:rPr/>
        <w:t>的《华胜天成</w:t>
      </w:r>
      <w:r>
        <w:rPr>
          <w:spacing w:val="-60"/>
        </w:rPr>
        <w:t> </w:t>
      </w:r>
      <w:r>
        <w:rPr>
          <w:rFonts w:ascii="宋体" w:hAnsi="宋体" w:cs="宋体" w:eastAsia="宋体" w:hint="default"/>
        </w:rPr>
        <w:t>2012</w:t>
      </w:r>
      <w:r>
        <w:rPr>
          <w:rFonts w:ascii="宋体" w:hAnsi="宋体" w:cs="宋体" w:eastAsia="宋体" w:hint="default"/>
          <w:spacing w:val="-60"/>
        </w:rPr>
        <w:t> </w:t>
      </w:r>
      <w:r>
        <w:rPr/>
        <w:t>年公司债券（第一期）发行公告》、《华胜天成公开发行公司债</w:t>
      </w:r>
    </w:p>
    <w:p>
      <w:pPr>
        <w:pStyle w:val="BodyText"/>
        <w:spacing w:line="310" w:lineRule="exact" w:before="30"/>
        <w:ind w:left="678" w:right="340"/>
        <w:jc w:val="left"/>
      </w:pPr>
      <w:r>
        <w:rPr>
          <w:spacing w:val="-4"/>
        </w:rPr>
        <w:t>券募集说明书》，</w:t>
      </w:r>
      <w:r>
        <w:rPr>
          <w:rFonts w:ascii="宋体" w:hAnsi="宋体" w:cs="宋体" w:eastAsia="宋体" w:hint="default"/>
          <w:spacing w:val="-4"/>
        </w:rPr>
        <w:t>2013</w:t>
      </w:r>
      <w:r>
        <w:rPr>
          <w:rFonts w:ascii="宋体" w:hAnsi="宋体" w:cs="宋体" w:eastAsia="宋体" w:hint="default"/>
          <w:spacing w:val="-59"/>
        </w:rPr>
        <w:t> </w:t>
      </w:r>
      <w:r>
        <w:rPr/>
        <w:t>年</w:t>
      </w:r>
      <w:r>
        <w:rPr>
          <w:spacing w:val="-59"/>
        </w:rPr>
        <w:t> </w:t>
      </w:r>
      <w:r>
        <w:rPr>
          <w:rFonts w:ascii="宋体" w:hAnsi="宋体" w:cs="宋体" w:eastAsia="宋体" w:hint="default"/>
        </w:rPr>
        <w:t>3</w:t>
      </w:r>
      <w:r>
        <w:rPr>
          <w:rFonts w:ascii="宋体" w:hAnsi="宋体" w:cs="宋体" w:eastAsia="宋体" w:hint="default"/>
          <w:spacing w:val="-59"/>
        </w:rPr>
        <w:t> </w:t>
      </w:r>
      <w:r>
        <w:rPr/>
        <w:t>月</w:t>
      </w:r>
      <w:r>
        <w:rPr>
          <w:spacing w:val="-59"/>
        </w:rPr>
        <w:t> </w:t>
      </w:r>
      <w:r>
        <w:rPr>
          <w:rFonts w:ascii="宋体" w:hAnsi="宋体" w:cs="宋体" w:eastAsia="宋体" w:hint="default"/>
        </w:rPr>
        <w:t>28</w:t>
      </w:r>
      <w:r>
        <w:rPr>
          <w:rFonts w:ascii="宋体" w:hAnsi="宋体" w:cs="宋体" w:eastAsia="宋体" w:hint="default"/>
          <w:spacing w:val="-59"/>
        </w:rPr>
        <w:t> </w:t>
      </w:r>
      <w:r>
        <w:rPr>
          <w:spacing w:val="-3"/>
        </w:rPr>
        <w:t>日披露的《华胜天成</w:t>
      </w:r>
      <w:r>
        <w:rPr>
          <w:spacing w:val="-59"/>
        </w:rPr>
        <w:t> </w:t>
      </w:r>
      <w:r>
        <w:rPr>
          <w:rFonts w:ascii="宋体" w:hAnsi="宋体" w:cs="宋体" w:eastAsia="宋体" w:hint="default"/>
        </w:rPr>
        <w:t>2012</w:t>
      </w:r>
      <w:r>
        <w:rPr>
          <w:rFonts w:ascii="宋体" w:hAnsi="宋体" w:cs="宋体" w:eastAsia="宋体" w:hint="default"/>
          <w:spacing w:val="-59"/>
        </w:rPr>
        <w:t> </w:t>
      </w:r>
      <w:r>
        <w:rPr>
          <w:spacing w:val="-4"/>
        </w:rPr>
        <w:t>年公司债券（第一期）上</w:t>
      </w:r>
      <w:r>
        <w:rPr/>
        <w:t> 市公告书》</w:t>
      </w:r>
    </w:p>
    <w:p>
      <w:pPr>
        <w:pStyle w:val="BodyText"/>
        <w:spacing w:line="310" w:lineRule="exact" w:before="122"/>
        <w:ind w:left="678" w:right="336" w:firstLine="480"/>
        <w:jc w:val="left"/>
      </w:pPr>
      <w:r>
        <w:rPr>
          <w:rFonts w:ascii="宋体" w:hAnsi="宋体" w:cs="宋体" w:eastAsia="宋体" w:hint="default"/>
        </w:rPr>
        <w:t>2014</w:t>
      </w:r>
      <w:r>
        <w:rPr>
          <w:rFonts w:ascii="宋体" w:hAnsi="宋体" w:cs="宋体" w:eastAsia="宋体" w:hint="default"/>
          <w:spacing w:val="-56"/>
        </w:rPr>
        <w:t> </w:t>
      </w:r>
      <w:r>
        <w:rPr/>
        <w:t>年</w:t>
      </w:r>
      <w:r>
        <w:rPr>
          <w:spacing w:val="-56"/>
        </w:rPr>
        <w:t> </w:t>
      </w:r>
      <w:r>
        <w:rPr>
          <w:rFonts w:ascii="宋体" w:hAnsi="宋体" w:cs="宋体" w:eastAsia="宋体" w:hint="default"/>
        </w:rPr>
        <w:t>5</w:t>
      </w:r>
      <w:r>
        <w:rPr>
          <w:rFonts w:ascii="宋体" w:hAnsi="宋体" w:cs="宋体" w:eastAsia="宋体" w:hint="default"/>
          <w:spacing w:val="-56"/>
        </w:rPr>
        <w:t> </w:t>
      </w:r>
      <w:r>
        <w:rPr>
          <w:spacing w:val="-9"/>
        </w:rPr>
        <w:t>月，中诚信证券评估有限公司对本公司发行的“</w:t>
      </w:r>
      <w:r>
        <w:rPr>
          <w:rFonts w:ascii="宋体" w:hAnsi="宋体" w:cs="宋体" w:eastAsia="宋体" w:hint="default"/>
          <w:spacing w:val="-9"/>
        </w:rPr>
        <w:t>12</w:t>
      </w:r>
      <w:r>
        <w:rPr>
          <w:rFonts w:ascii="宋体" w:hAnsi="宋体" w:cs="宋体" w:eastAsia="宋体" w:hint="default"/>
          <w:spacing w:val="-56"/>
        </w:rPr>
        <w:t> </w:t>
      </w:r>
      <w:r>
        <w:rPr>
          <w:spacing w:val="-10"/>
        </w:rPr>
        <w:t>华天成”公司债券</w:t>
      </w:r>
      <w:r>
        <w:rPr>
          <w:rFonts w:ascii="宋体" w:hAnsi="宋体" w:cs="宋体" w:eastAsia="宋体" w:hint="default"/>
          <w:spacing w:val="-10"/>
        </w:rPr>
        <w:t>(</w:t>
      </w:r>
      <w:r>
        <w:rPr>
          <w:spacing w:val="-10"/>
        </w:rPr>
        <w:t>债</w:t>
      </w:r>
      <w:r>
        <w:rPr/>
        <w:t> 券代码</w:t>
      </w:r>
      <w:r>
        <w:rPr>
          <w:rFonts w:ascii="宋体" w:hAnsi="宋体" w:cs="宋体" w:eastAsia="宋体" w:hint="default"/>
        </w:rPr>
        <w:t>:122197)</w:t>
      </w:r>
      <w:r>
        <w:rPr/>
        <w:t>的信用状况进行了跟踪分析。中诚信证券评估有限公司在对本公司 </w:t>
      </w:r>
      <w:r>
        <w:rPr>
          <w:rFonts w:ascii="宋体" w:hAnsi="宋体" w:cs="宋体" w:eastAsia="宋体" w:hint="default"/>
        </w:rPr>
        <w:t>2012</w:t>
      </w:r>
      <w:r>
        <w:rPr>
          <w:rFonts w:ascii="宋体" w:hAnsi="宋体" w:cs="宋体" w:eastAsia="宋体" w:hint="default"/>
          <w:spacing w:val="-28"/>
        </w:rPr>
        <w:t> </w:t>
      </w:r>
      <w:r>
        <w:rPr>
          <w:spacing w:val="-4"/>
        </w:rPr>
        <w:t>年经营状况及相关行业进行综合分析与评估的基础上，出具了《北京华胜天成科</w:t>
      </w:r>
    </w:p>
    <w:p>
      <w:pPr>
        <w:pStyle w:val="BodyText"/>
        <w:spacing w:line="310" w:lineRule="exact" w:before="2"/>
        <w:ind w:left="678" w:right="408"/>
        <w:jc w:val="left"/>
      </w:pPr>
      <w:r>
        <w:rPr/>
        <w:t>技股份有限公司</w:t>
      </w:r>
      <w:r>
        <w:rPr>
          <w:spacing w:val="-60"/>
        </w:rPr>
        <w:t> </w:t>
      </w:r>
      <w:r>
        <w:rPr>
          <w:rFonts w:ascii="宋体" w:hAnsi="宋体" w:cs="宋体" w:eastAsia="宋体" w:hint="default"/>
        </w:rPr>
        <w:t>2012</w:t>
      </w:r>
      <w:r>
        <w:rPr>
          <w:rFonts w:ascii="宋体" w:hAnsi="宋体" w:cs="宋体" w:eastAsia="宋体" w:hint="default"/>
          <w:spacing w:val="-60"/>
        </w:rPr>
        <w:t> </w:t>
      </w:r>
      <w:r>
        <w:rPr/>
        <w:t>年公司债券跟踪评级报告（</w:t>
      </w:r>
      <w:r>
        <w:rPr>
          <w:rFonts w:ascii="宋体" w:hAnsi="宋体" w:cs="宋体" w:eastAsia="宋体" w:hint="default"/>
        </w:rPr>
        <w:t>2013</w:t>
      </w:r>
      <w:r>
        <w:rPr/>
        <w:t>）》，维持本公司主体信用等 级为</w:t>
      </w:r>
      <w:r>
        <w:rPr>
          <w:spacing w:val="-60"/>
        </w:rPr>
        <w:t> </w:t>
      </w:r>
      <w:r>
        <w:rPr>
          <w:rFonts w:ascii="宋体" w:hAnsi="宋体" w:cs="宋体" w:eastAsia="宋体" w:hint="default"/>
        </w:rPr>
        <w:t>AA,</w:t>
      </w:r>
      <w:r>
        <w:rPr/>
        <w:t>评级展望为稳定</w:t>
      </w:r>
      <w:r>
        <w:rPr>
          <w:rFonts w:ascii="宋体" w:hAnsi="宋体" w:cs="宋体" w:eastAsia="宋体" w:hint="default"/>
        </w:rPr>
        <w:t>;</w:t>
      </w:r>
      <w:r>
        <w:rPr/>
        <w:t>维持本公司本期债券信用等级为</w:t>
      </w:r>
      <w:r>
        <w:rPr>
          <w:spacing w:val="-60"/>
        </w:rPr>
        <w:t> </w:t>
      </w:r>
      <w:r>
        <w:rPr>
          <w:rFonts w:ascii="宋体" w:hAnsi="宋体" w:cs="宋体" w:eastAsia="宋体" w:hint="default"/>
        </w:rPr>
        <w:t>AA</w:t>
      </w:r>
      <w:r>
        <w:rPr/>
        <w:t>。</w:t>
      </w:r>
    </w:p>
    <w:p>
      <w:pPr>
        <w:pStyle w:val="BodyText"/>
        <w:spacing w:line="310" w:lineRule="exact" w:before="122"/>
        <w:ind w:left="678" w:right="427" w:firstLine="480"/>
        <w:jc w:val="both"/>
      </w:pPr>
      <w:r>
        <w:rPr/>
        <w:t>公司本报告期经营业绩较</w:t>
      </w:r>
      <w:r>
        <w:rPr>
          <w:spacing w:val="-60"/>
        </w:rPr>
        <w:t> </w:t>
      </w:r>
      <w:r>
        <w:rPr>
          <w:rFonts w:ascii="宋体" w:hAnsi="宋体" w:cs="宋体" w:eastAsia="宋体" w:hint="default"/>
        </w:rPr>
        <w:t>2013</w:t>
      </w:r>
      <w:r>
        <w:rPr>
          <w:rFonts w:ascii="宋体" w:hAnsi="宋体" w:cs="宋体" w:eastAsia="宋体" w:hint="default"/>
          <w:spacing w:val="-60"/>
        </w:rPr>
        <w:t> </w:t>
      </w:r>
      <w:r>
        <w:rPr/>
        <w:t>年同期相比增长，不存在影响债券本息偿付的情 况。</w:t>
      </w:r>
    </w:p>
    <w:p>
      <w:pPr>
        <w:spacing w:line="240" w:lineRule="auto" w:before="10"/>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1080" w:bottom="1380" w:left="1120" w:right="920"/>
        </w:sectPr>
      </w:pPr>
    </w:p>
    <w:p>
      <w:pPr>
        <w:spacing w:before="35"/>
        <w:ind w:left="678" w:right="-2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6"/>
          <w:sz w:val="21"/>
          <w:szCs w:val="21"/>
        </w:rPr>
        <w:t> </w:t>
      </w:r>
      <w:r>
        <w:rPr>
          <w:rFonts w:ascii="宋体" w:hAnsi="宋体" w:cs="宋体" w:eastAsia="宋体" w:hint="default"/>
          <w:b/>
          <w:bCs/>
          <w:sz w:val="21"/>
          <w:szCs w:val="21"/>
        </w:rPr>
        <w:t>募集资金承诺项目情况</w:t>
      </w:r>
      <w:r>
        <w:rPr>
          <w:rFonts w:ascii="宋体" w:hAnsi="宋体" w:cs="宋体" w:eastAsia="宋体" w:hint="default"/>
          <w:sz w:val="21"/>
          <w:szCs w:val="21"/>
        </w:rPr>
      </w:r>
    </w:p>
    <w:p>
      <w:pPr>
        <w:spacing w:before="57"/>
        <w:ind w:left="678" w:right="-2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tabs>
          <w:tab w:pos="1832" w:val="left" w:leader="none"/>
        </w:tabs>
        <w:spacing w:before="0"/>
        <w:ind w:left="678"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万元</w:t>
        <w:tab/>
        <w:t>币种</w:t>
      </w:r>
      <w:r>
        <w:rPr>
          <w:rFonts w:ascii="宋体" w:hAnsi="宋体" w:cs="宋体" w:eastAsia="宋体" w:hint="default"/>
          <w:sz w:val="21"/>
          <w:szCs w:val="21"/>
        </w:rPr>
        <w:t>:</w:t>
      </w:r>
      <w:r>
        <w:rPr>
          <w:rFonts w:ascii="宋体" w:hAnsi="宋体" w:cs="宋体" w:eastAsia="宋体" w:hint="default"/>
          <w:sz w:val="21"/>
          <w:szCs w:val="21"/>
        </w:rPr>
        <w:t>人民币</w:t>
      </w:r>
    </w:p>
    <w:p>
      <w:pPr>
        <w:spacing w:after="0"/>
        <w:jc w:val="left"/>
        <w:rPr>
          <w:rFonts w:ascii="宋体" w:hAnsi="宋体" w:cs="宋体" w:eastAsia="宋体" w:hint="default"/>
          <w:sz w:val="21"/>
          <w:szCs w:val="21"/>
        </w:rPr>
        <w:sectPr>
          <w:type w:val="continuous"/>
          <w:pgSz w:w="11910" w:h="16840"/>
          <w:pgMar w:top="1080" w:bottom="1380" w:left="1120" w:right="920"/>
          <w:cols w:num="2" w:equalWidth="0">
            <w:col w:w="3205" w:space="3320"/>
            <w:col w:w="3345"/>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193"/>
        <w:gridCol w:w="473"/>
        <w:gridCol w:w="1008"/>
        <w:gridCol w:w="736"/>
        <w:gridCol w:w="894"/>
        <w:gridCol w:w="581"/>
        <w:gridCol w:w="736"/>
        <w:gridCol w:w="736"/>
        <w:gridCol w:w="996"/>
        <w:gridCol w:w="589"/>
        <w:gridCol w:w="708"/>
        <w:gridCol w:w="991"/>
      </w:tblGrid>
      <w:tr>
        <w:trPr>
          <w:trHeight w:val="1183" w:hRule="exact"/>
        </w:trPr>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138" w:right="0"/>
              <w:jc w:val="left"/>
              <w:rPr>
                <w:rFonts w:ascii="宋体" w:hAnsi="宋体" w:cs="宋体" w:eastAsia="宋体" w:hint="default"/>
                <w:sz w:val="15"/>
                <w:szCs w:val="15"/>
              </w:rPr>
            </w:pPr>
            <w:r>
              <w:rPr>
                <w:rFonts w:ascii="宋体" w:hAnsi="宋体" w:cs="宋体" w:eastAsia="宋体" w:hint="default"/>
                <w:sz w:val="15"/>
                <w:szCs w:val="15"/>
              </w:rPr>
              <w:t>承诺项目名称</w:t>
            </w:r>
          </w:p>
        </w:tc>
        <w:tc>
          <w:tcPr>
            <w:tcW w:w="47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52" w:right="0"/>
              <w:jc w:val="both"/>
              <w:rPr>
                <w:rFonts w:ascii="宋体" w:hAnsi="宋体" w:cs="宋体" w:eastAsia="宋体" w:hint="default"/>
                <w:sz w:val="15"/>
                <w:szCs w:val="15"/>
              </w:rPr>
            </w:pPr>
            <w:r>
              <w:rPr>
                <w:rFonts w:ascii="宋体" w:hAnsi="宋体" w:cs="宋体" w:eastAsia="宋体" w:hint="default"/>
                <w:sz w:val="15"/>
                <w:szCs w:val="15"/>
              </w:rPr>
              <w:t>是</w:t>
            </w:r>
          </w:p>
          <w:p>
            <w:pPr>
              <w:pStyle w:val="TableParagraph"/>
              <w:spacing w:line="240" w:lineRule="auto"/>
              <w:ind w:left="152" w:right="155"/>
              <w:jc w:val="both"/>
              <w:rPr>
                <w:rFonts w:ascii="宋体" w:hAnsi="宋体" w:cs="宋体" w:eastAsia="宋体" w:hint="default"/>
                <w:sz w:val="15"/>
                <w:szCs w:val="15"/>
              </w:rPr>
            </w:pPr>
            <w:r>
              <w:rPr>
                <w:rFonts w:ascii="宋体" w:hAnsi="宋体" w:cs="宋体" w:eastAsia="宋体" w:hint="default"/>
                <w:sz w:val="15"/>
                <w:szCs w:val="15"/>
              </w:rPr>
              <w:t>否 变 更 项 目</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96" w:right="120" w:hanging="76"/>
              <w:jc w:val="left"/>
              <w:rPr>
                <w:rFonts w:ascii="宋体" w:hAnsi="宋体" w:cs="宋体" w:eastAsia="宋体" w:hint="default"/>
                <w:sz w:val="15"/>
                <w:szCs w:val="15"/>
              </w:rPr>
            </w:pPr>
            <w:r>
              <w:rPr>
                <w:rFonts w:ascii="宋体" w:hAnsi="宋体" w:cs="宋体" w:eastAsia="宋体" w:hint="default"/>
                <w:sz w:val="15"/>
                <w:szCs w:val="15"/>
              </w:rPr>
              <w:t>募集资金拟 投入金额</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35" w:right="133"/>
              <w:jc w:val="both"/>
              <w:rPr>
                <w:rFonts w:ascii="宋体" w:hAnsi="宋体" w:cs="宋体" w:eastAsia="宋体" w:hint="default"/>
                <w:sz w:val="15"/>
                <w:szCs w:val="15"/>
              </w:rPr>
            </w:pPr>
            <w:r>
              <w:rPr>
                <w:rFonts w:ascii="宋体" w:hAnsi="宋体" w:cs="宋体" w:eastAsia="宋体" w:hint="default"/>
                <w:sz w:val="15"/>
                <w:szCs w:val="15"/>
              </w:rPr>
              <w:t>募集资 金本年 度投入 金额</w:t>
            </w:r>
          </w:p>
        </w:tc>
        <w:tc>
          <w:tcPr>
            <w:tcW w:w="89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39" w:right="141"/>
              <w:jc w:val="both"/>
              <w:rPr>
                <w:rFonts w:ascii="宋体" w:hAnsi="宋体" w:cs="宋体" w:eastAsia="宋体" w:hint="default"/>
                <w:sz w:val="15"/>
                <w:szCs w:val="15"/>
              </w:rPr>
            </w:pPr>
            <w:r>
              <w:rPr>
                <w:rFonts w:ascii="宋体" w:hAnsi="宋体" w:cs="宋体" w:eastAsia="宋体" w:hint="default"/>
                <w:sz w:val="15"/>
                <w:szCs w:val="15"/>
              </w:rPr>
              <w:t>募集资金 累计实际 投入金额</w:t>
            </w:r>
          </w:p>
        </w:tc>
        <w:tc>
          <w:tcPr>
            <w:tcW w:w="58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34" w:right="132"/>
              <w:jc w:val="both"/>
              <w:rPr>
                <w:rFonts w:ascii="宋体" w:hAnsi="宋体" w:cs="宋体" w:eastAsia="宋体" w:hint="default"/>
                <w:sz w:val="15"/>
                <w:szCs w:val="15"/>
              </w:rPr>
            </w:pPr>
            <w:r>
              <w:rPr>
                <w:rFonts w:ascii="宋体" w:hAnsi="宋体" w:cs="宋体" w:eastAsia="宋体" w:hint="default"/>
                <w:sz w:val="15"/>
                <w:szCs w:val="15"/>
              </w:rPr>
              <w:t>是否 符合 计划 进度</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84" w:right="134" w:hanging="150"/>
              <w:jc w:val="left"/>
              <w:rPr>
                <w:rFonts w:ascii="宋体" w:hAnsi="宋体" w:cs="宋体" w:eastAsia="宋体" w:hint="default"/>
                <w:sz w:val="15"/>
                <w:szCs w:val="15"/>
              </w:rPr>
            </w:pPr>
            <w:r>
              <w:rPr>
                <w:rFonts w:ascii="宋体" w:hAnsi="宋体" w:cs="宋体" w:eastAsia="宋体" w:hint="default"/>
                <w:sz w:val="15"/>
                <w:szCs w:val="15"/>
              </w:rPr>
              <w:t>项目进 度</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85" w:right="133" w:hanging="150"/>
              <w:jc w:val="left"/>
              <w:rPr>
                <w:rFonts w:ascii="宋体" w:hAnsi="宋体" w:cs="宋体" w:eastAsia="宋体" w:hint="default"/>
                <w:sz w:val="15"/>
                <w:szCs w:val="15"/>
              </w:rPr>
            </w:pPr>
            <w:r>
              <w:rPr>
                <w:rFonts w:ascii="宋体" w:hAnsi="宋体" w:cs="宋体" w:eastAsia="宋体" w:hint="default"/>
                <w:sz w:val="15"/>
                <w:szCs w:val="15"/>
              </w:rPr>
              <w:t>预计收 益</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15" w:right="114" w:hanging="300"/>
              <w:jc w:val="left"/>
              <w:rPr>
                <w:rFonts w:ascii="宋体" w:hAnsi="宋体" w:cs="宋体" w:eastAsia="宋体" w:hint="default"/>
                <w:sz w:val="15"/>
                <w:szCs w:val="15"/>
              </w:rPr>
            </w:pPr>
            <w:r>
              <w:rPr>
                <w:rFonts w:ascii="宋体" w:hAnsi="宋体" w:cs="宋体" w:eastAsia="宋体" w:hint="default"/>
                <w:sz w:val="15"/>
                <w:szCs w:val="15"/>
              </w:rPr>
              <w:t>产生收益情 况</w:t>
            </w:r>
          </w:p>
        </w:tc>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36" w:right="137"/>
              <w:jc w:val="both"/>
              <w:rPr>
                <w:rFonts w:ascii="宋体" w:hAnsi="宋体" w:cs="宋体" w:eastAsia="宋体" w:hint="default"/>
                <w:sz w:val="15"/>
                <w:szCs w:val="15"/>
              </w:rPr>
            </w:pPr>
            <w:r>
              <w:rPr>
                <w:rFonts w:ascii="宋体" w:hAnsi="宋体" w:cs="宋体" w:eastAsia="宋体" w:hint="default"/>
                <w:sz w:val="15"/>
                <w:szCs w:val="15"/>
              </w:rPr>
              <w:t>是否 符合 预计 收益</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21" w:right="120"/>
              <w:jc w:val="both"/>
              <w:rPr>
                <w:rFonts w:ascii="宋体" w:hAnsi="宋体" w:cs="宋体" w:eastAsia="宋体" w:hint="default"/>
                <w:sz w:val="15"/>
                <w:szCs w:val="15"/>
              </w:rPr>
            </w:pPr>
            <w:r>
              <w:rPr>
                <w:rFonts w:ascii="宋体" w:hAnsi="宋体" w:cs="宋体" w:eastAsia="宋体" w:hint="default"/>
                <w:sz w:val="15"/>
                <w:szCs w:val="15"/>
              </w:rPr>
              <w:t>未达到 计划进 度和收 益说明</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12" w:right="113"/>
              <w:jc w:val="both"/>
              <w:rPr>
                <w:rFonts w:ascii="宋体" w:hAnsi="宋体" w:cs="宋体" w:eastAsia="宋体" w:hint="default"/>
                <w:sz w:val="15"/>
                <w:szCs w:val="15"/>
              </w:rPr>
            </w:pPr>
            <w:r>
              <w:rPr>
                <w:rFonts w:ascii="宋体" w:hAnsi="宋体" w:cs="宋体" w:eastAsia="宋体" w:hint="default"/>
                <w:sz w:val="15"/>
                <w:szCs w:val="15"/>
              </w:rPr>
              <w:t>变更原因及 募集资金变 更程序说明</w:t>
            </w:r>
          </w:p>
        </w:tc>
      </w:tr>
    </w:tbl>
    <w:p>
      <w:pPr>
        <w:spacing w:after="0" w:line="240" w:lineRule="auto"/>
        <w:jc w:val="both"/>
        <w:rPr>
          <w:rFonts w:ascii="宋体" w:hAnsi="宋体" w:cs="宋体" w:eastAsia="宋体" w:hint="default"/>
          <w:sz w:val="15"/>
          <w:szCs w:val="15"/>
        </w:rPr>
        <w:sectPr>
          <w:type w:val="continuous"/>
          <w:pgSz w:w="11910" w:h="16840"/>
          <w:pgMar w:top="1080" w:bottom="1380" w:left="1120" w:right="9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1193"/>
        <w:gridCol w:w="473"/>
        <w:gridCol w:w="1008"/>
        <w:gridCol w:w="736"/>
        <w:gridCol w:w="894"/>
        <w:gridCol w:w="581"/>
        <w:gridCol w:w="736"/>
        <w:gridCol w:w="736"/>
        <w:gridCol w:w="996"/>
        <w:gridCol w:w="589"/>
        <w:gridCol w:w="708"/>
        <w:gridCol w:w="991"/>
      </w:tblGrid>
      <w:tr>
        <w:trPr>
          <w:trHeight w:val="793" w:hRule="exact"/>
        </w:trPr>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100" w:right="0"/>
              <w:jc w:val="both"/>
              <w:rPr>
                <w:rFonts w:ascii="宋体" w:hAnsi="宋体" w:cs="宋体" w:eastAsia="宋体" w:hint="default"/>
                <w:sz w:val="15"/>
                <w:szCs w:val="15"/>
              </w:rPr>
            </w:pPr>
            <w:r>
              <w:rPr>
                <w:rFonts w:ascii="宋体" w:hAnsi="宋体" w:cs="宋体" w:eastAsia="宋体" w:hint="default"/>
                <w:sz w:val="15"/>
                <w:szCs w:val="15"/>
              </w:rPr>
              <w:t>云计算环境下</w:t>
            </w:r>
          </w:p>
          <w:p>
            <w:pPr>
              <w:pStyle w:val="TableParagraph"/>
              <w:spacing w:line="240" w:lineRule="auto"/>
              <w:ind w:left="100" w:right="177"/>
              <w:jc w:val="both"/>
              <w:rPr>
                <w:rFonts w:ascii="宋体" w:hAnsi="宋体" w:cs="宋体" w:eastAsia="宋体" w:hint="default"/>
                <w:sz w:val="15"/>
                <w:szCs w:val="15"/>
              </w:rPr>
            </w:pPr>
            <w:r>
              <w:rPr>
                <w:rFonts w:ascii="宋体" w:hAnsi="宋体" w:cs="宋体" w:eastAsia="宋体" w:hint="default"/>
                <w:sz w:val="15"/>
                <w:szCs w:val="15"/>
              </w:rPr>
              <w:t>的信息融合服 务平台建设及 市场推广项目</w:t>
            </w:r>
          </w:p>
        </w:tc>
        <w:tc>
          <w:tcPr>
            <w:tcW w:w="47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7"/>
              <w:jc w:val="center"/>
              <w:rPr>
                <w:rFonts w:ascii="宋体" w:hAnsi="宋体" w:cs="宋体" w:eastAsia="宋体" w:hint="default"/>
                <w:sz w:val="15"/>
                <w:szCs w:val="15"/>
              </w:rPr>
            </w:pPr>
            <w:r>
              <w:rPr>
                <w:rFonts w:ascii="宋体" w:hAnsi="宋体" w:cs="宋体" w:eastAsia="宋体" w:hint="default"/>
                <w:sz w:val="15"/>
                <w:szCs w:val="15"/>
              </w:rPr>
              <w:t>否</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19,360</w:t>
            </w:r>
          </w:p>
        </w:tc>
        <w:tc>
          <w:tcPr>
            <w:tcW w:w="736" w:type="dxa"/>
            <w:tcBorders>
              <w:top w:val="single" w:sz="6" w:space="0" w:color="000000"/>
              <w:left w:val="single" w:sz="6" w:space="0" w:color="000000"/>
              <w:bottom w:val="single" w:sz="6" w:space="0" w:color="000000"/>
              <w:right w:val="single" w:sz="6" w:space="0" w:color="000000"/>
            </w:tcBorders>
          </w:tcPr>
          <w:p>
            <w:pPr/>
          </w:p>
        </w:tc>
        <w:tc>
          <w:tcPr>
            <w:tcW w:w="894" w:type="dxa"/>
            <w:tcBorders>
              <w:top w:val="single" w:sz="6" w:space="0" w:color="000000"/>
              <w:left w:val="single" w:sz="6" w:space="0" w:color="000000"/>
              <w:bottom w:val="single" w:sz="6"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19,360.00</w:t>
            </w:r>
          </w:p>
        </w:tc>
        <w:tc>
          <w:tcPr>
            <w:tcW w:w="581" w:type="dxa"/>
            <w:tcBorders>
              <w:top w:val="single" w:sz="6" w:space="0" w:color="000000"/>
              <w:left w:val="single" w:sz="4" w:space="0" w:color="000000"/>
              <w:bottom w:val="single" w:sz="6" w:space="0" w:color="000000"/>
              <w:right w:val="single" w:sz="6"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是</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69" w:right="0"/>
              <w:jc w:val="center"/>
              <w:rPr>
                <w:rFonts w:ascii="宋体" w:hAnsi="宋体" w:cs="宋体" w:eastAsia="宋体" w:hint="default"/>
                <w:sz w:val="15"/>
                <w:szCs w:val="15"/>
              </w:rPr>
            </w:pPr>
            <w:r>
              <w:rPr>
                <w:rFonts w:ascii="宋体"/>
                <w:sz w:val="15"/>
              </w:rPr>
              <w:t>22,330</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29,986.62</w:t>
            </w:r>
          </w:p>
        </w:tc>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99" w:right="0"/>
              <w:jc w:val="left"/>
              <w:rPr>
                <w:rFonts w:ascii="宋体" w:hAnsi="宋体" w:cs="宋体" w:eastAsia="宋体" w:hint="default"/>
                <w:sz w:val="15"/>
                <w:szCs w:val="15"/>
              </w:rPr>
            </w:pPr>
            <w:r>
              <w:rPr>
                <w:rFonts w:ascii="宋体" w:hAnsi="宋体" w:cs="宋体" w:eastAsia="宋体" w:hint="default"/>
                <w:sz w:val="15"/>
                <w:szCs w:val="15"/>
              </w:rPr>
              <w:t>是</w:t>
            </w:r>
          </w:p>
        </w:tc>
        <w:tc>
          <w:tcPr>
            <w:tcW w:w="708"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r>
      <w:tr>
        <w:trPr>
          <w:trHeight w:val="794" w:hRule="exact"/>
        </w:trPr>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100" w:right="0"/>
              <w:jc w:val="left"/>
              <w:rPr>
                <w:rFonts w:ascii="宋体" w:hAnsi="宋体" w:cs="宋体" w:eastAsia="宋体" w:hint="default"/>
                <w:sz w:val="15"/>
                <w:szCs w:val="15"/>
              </w:rPr>
            </w:pPr>
            <w:r>
              <w:rPr>
                <w:rFonts w:ascii="宋体" w:hAnsi="宋体" w:cs="宋体" w:eastAsia="宋体" w:hint="default"/>
                <w:sz w:val="15"/>
                <w:szCs w:val="15"/>
              </w:rPr>
              <w:t>面</w:t>
            </w:r>
            <w:r>
              <w:rPr>
                <w:rFonts w:ascii="宋体" w:hAnsi="宋体" w:cs="宋体" w:eastAsia="宋体" w:hint="default"/>
                <w:spacing w:val="-75"/>
                <w:sz w:val="15"/>
                <w:szCs w:val="15"/>
              </w:rPr>
              <w:t>向</w:t>
            </w:r>
            <w:r>
              <w:rPr>
                <w:rFonts w:ascii="宋体" w:hAnsi="宋体" w:cs="宋体" w:eastAsia="宋体" w:hint="default"/>
                <w:sz w:val="15"/>
                <w:szCs w:val="15"/>
              </w:rPr>
              <w:t>“服务型城</w:t>
            </w:r>
          </w:p>
          <w:p>
            <w:pPr>
              <w:pStyle w:val="TableParagraph"/>
              <w:spacing w:line="240" w:lineRule="auto"/>
              <w:ind w:left="100" w:right="100"/>
              <w:jc w:val="left"/>
              <w:rPr>
                <w:rFonts w:ascii="宋体" w:hAnsi="宋体" w:cs="宋体" w:eastAsia="宋体" w:hint="default"/>
                <w:sz w:val="15"/>
                <w:szCs w:val="15"/>
              </w:rPr>
            </w:pPr>
            <w:r>
              <w:rPr>
                <w:rFonts w:ascii="宋体" w:hAnsi="宋体" w:cs="宋体" w:eastAsia="宋体" w:hint="default"/>
                <w:spacing w:val="-11"/>
                <w:sz w:val="15"/>
                <w:szCs w:val="15"/>
              </w:rPr>
              <w:t>市”的新一代信</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息整合解决方 案</w:t>
            </w:r>
          </w:p>
        </w:tc>
        <w:tc>
          <w:tcPr>
            <w:tcW w:w="47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7"/>
              <w:jc w:val="center"/>
              <w:rPr>
                <w:rFonts w:ascii="宋体" w:hAnsi="宋体" w:cs="宋体" w:eastAsia="宋体" w:hint="default"/>
                <w:sz w:val="15"/>
                <w:szCs w:val="15"/>
              </w:rPr>
            </w:pPr>
            <w:r>
              <w:rPr>
                <w:rFonts w:ascii="宋体" w:hAnsi="宋体" w:cs="宋体" w:eastAsia="宋体" w:hint="default"/>
                <w:sz w:val="15"/>
                <w:szCs w:val="15"/>
              </w:rPr>
              <w:t>否</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15,950</w:t>
            </w:r>
          </w:p>
        </w:tc>
        <w:tc>
          <w:tcPr>
            <w:tcW w:w="736" w:type="dxa"/>
            <w:tcBorders>
              <w:top w:val="single" w:sz="6" w:space="0" w:color="000000"/>
              <w:left w:val="single" w:sz="6" w:space="0" w:color="000000"/>
              <w:bottom w:val="single" w:sz="6" w:space="0" w:color="000000"/>
              <w:right w:val="single" w:sz="6" w:space="0" w:color="000000"/>
            </w:tcBorders>
          </w:tcPr>
          <w:p>
            <w:pPr/>
          </w:p>
        </w:tc>
        <w:tc>
          <w:tcPr>
            <w:tcW w:w="894" w:type="dxa"/>
            <w:tcBorders>
              <w:top w:val="single" w:sz="6" w:space="0" w:color="000000"/>
              <w:left w:val="single" w:sz="6" w:space="0" w:color="000000"/>
              <w:bottom w:val="single" w:sz="6"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15,450.00</w:t>
            </w:r>
          </w:p>
        </w:tc>
        <w:tc>
          <w:tcPr>
            <w:tcW w:w="581" w:type="dxa"/>
            <w:tcBorders>
              <w:top w:val="single" w:sz="6" w:space="0" w:color="000000"/>
              <w:left w:val="single" w:sz="4" w:space="0" w:color="000000"/>
              <w:bottom w:val="single" w:sz="6" w:space="0" w:color="000000"/>
              <w:right w:val="single" w:sz="6"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是</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69" w:right="0"/>
              <w:jc w:val="center"/>
              <w:rPr>
                <w:rFonts w:ascii="宋体" w:hAnsi="宋体" w:cs="宋体" w:eastAsia="宋体" w:hint="default"/>
                <w:sz w:val="15"/>
                <w:szCs w:val="15"/>
              </w:rPr>
            </w:pPr>
            <w:r>
              <w:rPr>
                <w:rFonts w:ascii="宋体"/>
                <w:sz w:val="15"/>
              </w:rPr>
              <w:t>13,206</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13,206.21</w:t>
            </w:r>
          </w:p>
        </w:tc>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99" w:right="0"/>
              <w:jc w:val="left"/>
              <w:rPr>
                <w:rFonts w:ascii="宋体" w:hAnsi="宋体" w:cs="宋体" w:eastAsia="宋体" w:hint="default"/>
                <w:sz w:val="15"/>
                <w:szCs w:val="15"/>
              </w:rPr>
            </w:pPr>
            <w:r>
              <w:rPr>
                <w:rFonts w:ascii="宋体" w:hAnsi="宋体" w:cs="宋体" w:eastAsia="宋体" w:hint="default"/>
                <w:sz w:val="15"/>
                <w:szCs w:val="15"/>
              </w:rPr>
              <w:t>是</w:t>
            </w:r>
          </w:p>
        </w:tc>
        <w:tc>
          <w:tcPr>
            <w:tcW w:w="708"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r>
      <w:tr>
        <w:trPr>
          <w:trHeight w:val="599" w:hRule="exact"/>
        </w:trPr>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100" w:right="0"/>
              <w:jc w:val="left"/>
              <w:rPr>
                <w:rFonts w:ascii="宋体" w:hAnsi="宋体" w:cs="宋体" w:eastAsia="宋体" w:hint="default"/>
                <w:sz w:val="15"/>
                <w:szCs w:val="15"/>
              </w:rPr>
            </w:pPr>
            <w:r>
              <w:rPr>
                <w:rFonts w:ascii="宋体" w:hAnsi="宋体" w:cs="宋体" w:eastAsia="宋体" w:hint="default"/>
                <w:sz w:val="15"/>
                <w:szCs w:val="15"/>
              </w:rPr>
              <w:t>数据治理软件</w:t>
            </w:r>
          </w:p>
          <w:p>
            <w:pPr>
              <w:pStyle w:val="TableParagraph"/>
              <w:spacing w:line="240" w:lineRule="auto"/>
              <w:ind w:left="100" w:right="177"/>
              <w:jc w:val="left"/>
              <w:rPr>
                <w:rFonts w:ascii="宋体" w:hAnsi="宋体" w:cs="宋体" w:eastAsia="宋体" w:hint="default"/>
                <w:sz w:val="15"/>
                <w:szCs w:val="15"/>
              </w:rPr>
            </w:pPr>
            <w:r>
              <w:rPr>
                <w:rFonts w:ascii="宋体" w:hAnsi="宋体" w:cs="宋体" w:eastAsia="宋体" w:hint="default"/>
                <w:sz w:val="15"/>
                <w:szCs w:val="15"/>
              </w:rPr>
              <w:t>及行业解决方 案</w:t>
            </w:r>
          </w:p>
        </w:tc>
        <w:tc>
          <w:tcPr>
            <w:tcW w:w="47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7"/>
              <w:jc w:val="center"/>
              <w:rPr>
                <w:rFonts w:ascii="宋体" w:hAnsi="宋体" w:cs="宋体" w:eastAsia="宋体" w:hint="default"/>
                <w:sz w:val="15"/>
                <w:szCs w:val="15"/>
              </w:rPr>
            </w:pPr>
            <w:r>
              <w:rPr>
                <w:rFonts w:ascii="宋体" w:hAnsi="宋体" w:cs="宋体" w:eastAsia="宋体" w:hint="default"/>
                <w:sz w:val="15"/>
                <w:szCs w:val="15"/>
              </w:rPr>
              <w:t>否</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9,200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123.25</w:t>
            </w:r>
          </w:p>
        </w:tc>
        <w:tc>
          <w:tcPr>
            <w:tcW w:w="894" w:type="dxa"/>
            <w:tcBorders>
              <w:top w:val="single" w:sz="6" w:space="0" w:color="000000"/>
              <w:left w:val="single" w:sz="6" w:space="0" w:color="000000"/>
              <w:bottom w:val="single" w:sz="6" w:space="0" w:color="000000"/>
              <w:right w:val="single" w:sz="4" w:space="0" w:color="000000"/>
            </w:tcBorders>
          </w:tcPr>
          <w:p>
            <w:pPr>
              <w:pStyle w:val="TableParagraph"/>
              <w:spacing w:line="171" w:lineRule="exact"/>
              <w:ind w:left="75" w:right="0"/>
              <w:jc w:val="center"/>
              <w:rPr>
                <w:rFonts w:ascii="宋体" w:hAnsi="宋体" w:cs="宋体" w:eastAsia="宋体" w:hint="default"/>
                <w:sz w:val="15"/>
                <w:szCs w:val="15"/>
              </w:rPr>
            </w:pPr>
            <w:r>
              <w:rPr>
                <w:rFonts w:ascii="宋体"/>
                <w:sz w:val="15"/>
              </w:rPr>
              <w:t>8,941.26</w:t>
            </w:r>
          </w:p>
        </w:tc>
        <w:tc>
          <w:tcPr>
            <w:tcW w:w="581" w:type="dxa"/>
            <w:tcBorders>
              <w:top w:val="single" w:sz="6" w:space="0" w:color="000000"/>
              <w:left w:val="single" w:sz="4" w:space="0" w:color="000000"/>
              <w:bottom w:val="single" w:sz="6" w:space="0" w:color="000000"/>
              <w:right w:val="single" w:sz="6"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是</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69" w:right="0"/>
              <w:jc w:val="center"/>
              <w:rPr>
                <w:rFonts w:ascii="宋体" w:hAnsi="宋体" w:cs="宋体" w:eastAsia="宋体" w:hint="default"/>
                <w:sz w:val="15"/>
                <w:szCs w:val="15"/>
              </w:rPr>
            </w:pPr>
            <w:r>
              <w:rPr>
                <w:rFonts w:ascii="宋体"/>
                <w:sz w:val="15"/>
              </w:rPr>
              <w:t>11,528</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5,314.56</w:t>
            </w:r>
          </w:p>
        </w:tc>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99" w:right="0"/>
              <w:jc w:val="left"/>
              <w:rPr>
                <w:rFonts w:ascii="宋体" w:hAnsi="宋体" w:cs="宋体" w:eastAsia="宋体" w:hint="default"/>
                <w:sz w:val="15"/>
                <w:szCs w:val="15"/>
              </w:rPr>
            </w:pPr>
            <w:r>
              <w:rPr>
                <w:rFonts w:ascii="宋体" w:hAnsi="宋体" w:cs="宋体" w:eastAsia="宋体" w:hint="default"/>
                <w:sz w:val="15"/>
                <w:szCs w:val="15"/>
              </w:rPr>
              <w:t>是</w:t>
            </w:r>
          </w:p>
        </w:tc>
        <w:tc>
          <w:tcPr>
            <w:tcW w:w="708"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r>
      <w:tr>
        <w:trPr>
          <w:trHeight w:val="792" w:hRule="exact"/>
        </w:trPr>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100" w:right="0"/>
              <w:jc w:val="both"/>
              <w:rPr>
                <w:rFonts w:ascii="宋体" w:hAnsi="宋体" w:cs="宋体" w:eastAsia="宋体" w:hint="default"/>
                <w:sz w:val="15"/>
                <w:szCs w:val="15"/>
              </w:rPr>
            </w:pPr>
            <w:r>
              <w:rPr>
                <w:rFonts w:ascii="宋体" w:hAnsi="宋体" w:cs="宋体" w:eastAsia="宋体" w:hint="default"/>
                <w:sz w:val="15"/>
                <w:szCs w:val="15"/>
              </w:rPr>
              <w:t>软硬一体化的</w:t>
            </w:r>
          </w:p>
          <w:p>
            <w:pPr>
              <w:pStyle w:val="TableParagraph"/>
              <w:spacing w:line="240" w:lineRule="auto"/>
              <w:ind w:left="100" w:right="137"/>
              <w:jc w:val="both"/>
              <w:rPr>
                <w:rFonts w:ascii="宋体" w:hAnsi="宋体" w:cs="宋体" w:eastAsia="宋体" w:hint="default"/>
                <w:sz w:val="15"/>
                <w:szCs w:val="15"/>
              </w:rPr>
            </w:pPr>
            <w:r>
              <w:rPr>
                <w:rFonts w:ascii="宋体" w:hAnsi="宋体" w:cs="宋体" w:eastAsia="宋体" w:hint="default"/>
                <w:sz w:val="15"/>
                <w:szCs w:val="15"/>
              </w:rPr>
              <w:t>IT</w:t>
            </w:r>
            <w:r>
              <w:rPr>
                <w:rFonts w:ascii="宋体" w:hAnsi="宋体" w:cs="宋体" w:eastAsia="宋体" w:hint="default"/>
                <w:spacing w:val="-38"/>
                <w:sz w:val="15"/>
                <w:szCs w:val="15"/>
              </w:rPr>
              <w:t> </w:t>
            </w:r>
            <w:r>
              <w:rPr>
                <w:rFonts w:ascii="宋体" w:hAnsi="宋体" w:cs="宋体" w:eastAsia="宋体" w:hint="default"/>
                <w:sz w:val="15"/>
                <w:szCs w:val="15"/>
              </w:rPr>
              <w:t>资源和机房 监控产品研发 及推广项目</w:t>
            </w:r>
          </w:p>
        </w:tc>
        <w:tc>
          <w:tcPr>
            <w:tcW w:w="47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7"/>
              <w:jc w:val="center"/>
              <w:rPr>
                <w:rFonts w:ascii="宋体" w:hAnsi="宋体" w:cs="宋体" w:eastAsia="宋体" w:hint="default"/>
                <w:sz w:val="15"/>
                <w:szCs w:val="15"/>
              </w:rPr>
            </w:pPr>
            <w:r>
              <w:rPr>
                <w:rFonts w:ascii="宋体" w:hAnsi="宋体" w:cs="宋体" w:eastAsia="宋体" w:hint="default"/>
                <w:sz w:val="15"/>
                <w:szCs w:val="15"/>
              </w:rPr>
              <w:t>否</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6,000</w:t>
            </w:r>
          </w:p>
        </w:tc>
        <w:tc>
          <w:tcPr>
            <w:tcW w:w="736" w:type="dxa"/>
            <w:tcBorders>
              <w:top w:val="single" w:sz="6" w:space="0" w:color="000000"/>
              <w:left w:val="single" w:sz="6" w:space="0" w:color="000000"/>
              <w:bottom w:val="single" w:sz="6" w:space="0" w:color="000000"/>
              <w:right w:val="single" w:sz="6" w:space="0" w:color="000000"/>
            </w:tcBorders>
          </w:tcPr>
          <w:p>
            <w:pPr/>
          </w:p>
        </w:tc>
        <w:tc>
          <w:tcPr>
            <w:tcW w:w="894" w:type="dxa"/>
            <w:tcBorders>
              <w:top w:val="single" w:sz="6" w:space="0" w:color="000000"/>
              <w:left w:val="single" w:sz="6" w:space="0" w:color="000000"/>
              <w:bottom w:val="single" w:sz="6" w:space="0" w:color="000000"/>
              <w:right w:val="single" w:sz="4" w:space="0" w:color="000000"/>
            </w:tcBorders>
          </w:tcPr>
          <w:p>
            <w:pPr>
              <w:pStyle w:val="TableParagraph"/>
              <w:spacing w:line="171" w:lineRule="exact"/>
              <w:ind w:left="75" w:right="0"/>
              <w:jc w:val="center"/>
              <w:rPr>
                <w:rFonts w:ascii="宋体" w:hAnsi="宋体" w:cs="宋体" w:eastAsia="宋体" w:hint="default"/>
                <w:sz w:val="15"/>
                <w:szCs w:val="15"/>
              </w:rPr>
            </w:pPr>
            <w:r>
              <w:rPr>
                <w:rFonts w:ascii="宋体"/>
                <w:sz w:val="15"/>
              </w:rPr>
              <w:t>5,803.33</w:t>
            </w:r>
          </w:p>
        </w:tc>
        <w:tc>
          <w:tcPr>
            <w:tcW w:w="581" w:type="dxa"/>
            <w:tcBorders>
              <w:top w:val="single" w:sz="6" w:space="0" w:color="000000"/>
              <w:left w:val="single" w:sz="4" w:space="0" w:color="000000"/>
              <w:bottom w:val="single" w:sz="6" w:space="0" w:color="000000"/>
              <w:right w:val="single" w:sz="6"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是</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45" w:right="0"/>
              <w:jc w:val="center"/>
              <w:rPr>
                <w:rFonts w:ascii="宋体" w:hAnsi="宋体" w:cs="宋体" w:eastAsia="宋体" w:hint="default"/>
                <w:sz w:val="15"/>
                <w:szCs w:val="15"/>
              </w:rPr>
            </w:pPr>
            <w:r>
              <w:rPr>
                <w:rFonts w:ascii="宋体"/>
                <w:sz w:val="15"/>
              </w:rPr>
              <w:t>8,250</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4,251.32</w:t>
            </w:r>
          </w:p>
        </w:tc>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99" w:right="0"/>
              <w:jc w:val="left"/>
              <w:rPr>
                <w:rFonts w:ascii="宋体" w:hAnsi="宋体" w:cs="宋体" w:eastAsia="宋体" w:hint="default"/>
                <w:sz w:val="15"/>
                <w:szCs w:val="15"/>
              </w:rPr>
            </w:pPr>
            <w:r>
              <w:rPr>
                <w:rFonts w:ascii="宋体" w:hAnsi="宋体" w:cs="宋体" w:eastAsia="宋体" w:hint="default"/>
                <w:sz w:val="15"/>
                <w:szCs w:val="15"/>
              </w:rPr>
              <w:t>是</w:t>
            </w:r>
          </w:p>
        </w:tc>
        <w:tc>
          <w:tcPr>
            <w:tcW w:w="708"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合计</w:t>
            </w:r>
          </w:p>
        </w:tc>
        <w:tc>
          <w:tcPr>
            <w:tcW w:w="47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50,510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123.25</w:t>
            </w:r>
          </w:p>
        </w:tc>
        <w:tc>
          <w:tcPr>
            <w:tcW w:w="894"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49,554.59</w:t>
            </w:r>
          </w:p>
        </w:tc>
        <w:tc>
          <w:tcPr>
            <w:tcW w:w="581"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
              <w:jc w:val="center"/>
              <w:rPr>
                <w:rFonts w:ascii="宋体" w:hAnsi="宋体" w:cs="宋体" w:eastAsia="宋体" w:hint="default"/>
                <w:sz w:val="15"/>
                <w:szCs w:val="15"/>
              </w:rPr>
            </w:pPr>
            <w:r>
              <w:rPr>
                <w:rFonts w:ascii="宋体"/>
                <w:sz w:val="15"/>
              </w:rPr>
              <w:t>/</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69" w:right="0"/>
              <w:jc w:val="center"/>
              <w:rPr>
                <w:rFonts w:ascii="宋体" w:hAnsi="宋体" w:cs="宋体" w:eastAsia="宋体" w:hint="default"/>
                <w:sz w:val="15"/>
                <w:szCs w:val="15"/>
              </w:rPr>
            </w:pPr>
            <w:r>
              <w:rPr>
                <w:rFonts w:ascii="宋体"/>
                <w:sz w:val="15"/>
              </w:rPr>
              <w:t>55,314</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w:t>
            </w:r>
          </w:p>
        </w:tc>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w:t>
            </w:r>
          </w:p>
        </w:tc>
      </w:tr>
      <w:tr>
        <w:trPr>
          <w:trHeight w:val="210" w:hRule="exact"/>
        </w:trPr>
        <w:tc>
          <w:tcPr>
            <w:tcW w:w="2674" w:type="dxa"/>
            <w:gridSpan w:val="3"/>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募集资金承诺项目使用情况说明</w:t>
            </w:r>
          </w:p>
        </w:tc>
        <w:tc>
          <w:tcPr>
            <w:tcW w:w="6967" w:type="dxa"/>
            <w:gridSpan w:val="9"/>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81"/>
        <w:ind w:left="678" w:right="230"/>
        <w:jc w:val="left"/>
      </w:pPr>
      <w:r>
        <w:rPr/>
        <w:t>注：</w:t>
      </w:r>
    </w:p>
    <w:p>
      <w:pPr>
        <w:pStyle w:val="BodyText"/>
        <w:spacing w:line="310" w:lineRule="exact" w:before="150"/>
        <w:ind w:left="678" w:right="354" w:firstLine="480"/>
        <w:jc w:val="both"/>
      </w:pPr>
      <w:r>
        <w:rPr>
          <w:spacing w:val="-2"/>
        </w:rPr>
        <w:t>鉴于本次非公开募集资金总额与承诺投资项目总额基本一致，扣除承销佣金、保</w:t>
      </w:r>
      <w:r>
        <w:rPr/>
        <w:t> </w:t>
      </w:r>
      <w:r>
        <w:rPr>
          <w:spacing w:val="-2"/>
        </w:rPr>
        <w:t>荐费用等中介费用后，募集资金净额小于承诺投资总额，该差额由华胜天成自有资金</w:t>
      </w:r>
      <w:r>
        <w:rPr>
          <w:spacing w:val="-94"/>
        </w:rPr>
        <w:t> </w:t>
      </w:r>
      <w:r>
        <w:rPr>
          <w:spacing w:val="-94"/>
        </w:rPr>
      </w:r>
      <w:r>
        <w:rPr/>
        <w:t>补足。按募投项目实际投入口径统计，截至</w:t>
      </w:r>
      <w:r>
        <w:rPr>
          <w:spacing w:val="-60"/>
        </w:rPr>
        <w:t> </w:t>
      </w:r>
      <w:r>
        <w:rPr>
          <w:rFonts w:ascii="宋体" w:hAnsi="宋体" w:cs="宋体" w:eastAsia="宋体" w:hint="default"/>
        </w:rPr>
        <w:t>2014</w:t>
      </w:r>
      <w:r>
        <w:rPr>
          <w:rFonts w:ascii="宋体" w:hAnsi="宋体" w:cs="宋体" w:eastAsia="宋体" w:hint="default"/>
          <w:spacing w:val="-60"/>
        </w:rPr>
        <w:t> </w:t>
      </w:r>
      <w:r>
        <w:rPr/>
        <w:t>年末，包括募集资金及自有资金在</w:t>
      </w:r>
    </w:p>
    <w:p>
      <w:pPr>
        <w:pStyle w:val="BodyText"/>
        <w:spacing w:line="282" w:lineRule="exact"/>
        <w:ind w:left="678" w:right="230"/>
        <w:jc w:val="left"/>
      </w:pPr>
      <w:r>
        <w:rPr/>
        <w:t>内，公司实际投入金额为</w:t>
      </w:r>
      <w:r>
        <w:rPr>
          <w:spacing w:val="-60"/>
        </w:rPr>
        <w:t> </w:t>
      </w:r>
      <w:r>
        <w:rPr>
          <w:rFonts w:ascii="宋体" w:hAnsi="宋体" w:cs="宋体" w:eastAsia="宋体" w:hint="default"/>
        </w:rPr>
        <w:t>50,510</w:t>
      </w:r>
      <w:r>
        <w:rPr>
          <w:rFonts w:ascii="宋体" w:hAnsi="宋体" w:cs="宋体" w:eastAsia="宋体" w:hint="default"/>
          <w:spacing w:val="-60"/>
        </w:rPr>
        <w:t> </w:t>
      </w:r>
      <w:r>
        <w:rPr/>
        <w:t>万元，其中云计算环境下的信息融合服务平台建设</w:t>
      </w:r>
    </w:p>
    <w:p>
      <w:pPr>
        <w:pStyle w:val="BodyText"/>
        <w:spacing w:line="311" w:lineRule="exact"/>
        <w:ind w:left="678" w:right="230"/>
        <w:jc w:val="left"/>
      </w:pPr>
      <w:r>
        <w:rPr/>
        <w:t>及市场推广项目实际投入金额</w:t>
      </w:r>
      <w:r>
        <w:rPr>
          <w:spacing w:val="-60"/>
        </w:rPr>
        <w:t> </w:t>
      </w:r>
      <w:r>
        <w:rPr>
          <w:rFonts w:ascii="宋体" w:hAnsi="宋体" w:cs="宋体" w:eastAsia="宋体" w:hint="default"/>
        </w:rPr>
        <w:t>19,360</w:t>
      </w:r>
      <w:r>
        <w:rPr>
          <w:rFonts w:ascii="宋体" w:hAnsi="宋体" w:cs="宋体" w:eastAsia="宋体" w:hint="default"/>
          <w:spacing w:val="-60"/>
        </w:rPr>
        <w:t> </w:t>
      </w:r>
      <w:r>
        <w:rPr/>
        <w:t>万元；面向“服务型城市”的新一代信息整合</w:t>
      </w:r>
    </w:p>
    <w:p>
      <w:pPr>
        <w:pStyle w:val="BodyText"/>
        <w:spacing w:line="312" w:lineRule="exact" w:before="29"/>
        <w:ind w:left="678" w:right="648"/>
        <w:jc w:val="left"/>
      </w:pPr>
      <w:r>
        <w:rPr/>
        <w:t>解决方案实际投入金额</w:t>
      </w:r>
      <w:r>
        <w:rPr>
          <w:spacing w:val="-60"/>
        </w:rPr>
        <w:t> </w:t>
      </w:r>
      <w:r>
        <w:rPr>
          <w:rFonts w:ascii="宋体" w:hAnsi="宋体" w:cs="宋体" w:eastAsia="宋体" w:hint="default"/>
        </w:rPr>
        <w:t>15,950</w:t>
      </w:r>
      <w:r>
        <w:rPr>
          <w:rFonts w:ascii="宋体" w:hAnsi="宋体" w:cs="宋体" w:eastAsia="宋体" w:hint="default"/>
          <w:spacing w:val="-60"/>
        </w:rPr>
        <w:t> </w:t>
      </w:r>
      <w:r>
        <w:rPr/>
        <w:t>万元；数据治理软件及行业解决方案实际投入金额 </w:t>
      </w:r>
      <w:r>
        <w:rPr>
          <w:rFonts w:ascii="宋体" w:hAnsi="宋体" w:cs="宋体" w:eastAsia="宋体" w:hint="default"/>
        </w:rPr>
        <w:t>9,200</w:t>
      </w:r>
      <w:r>
        <w:rPr>
          <w:rFonts w:ascii="宋体" w:hAnsi="宋体" w:cs="宋体" w:eastAsia="宋体" w:hint="default"/>
          <w:spacing w:val="-60"/>
        </w:rPr>
        <w:t> </w:t>
      </w:r>
      <w:r>
        <w:rPr/>
        <w:t>万元；软硬一体化的</w:t>
      </w:r>
      <w:r>
        <w:rPr>
          <w:spacing w:val="-60"/>
        </w:rPr>
        <w:t> </w:t>
      </w:r>
      <w:r>
        <w:rPr>
          <w:rFonts w:ascii="宋体" w:hAnsi="宋体" w:cs="宋体" w:eastAsia="宋体" w:hint="default"/>
        </w:rPr>
        <w:t>IT</w:t>
      </w:r>
      <w:r>
        <w:rPr>
          <w:rFonts w:ascii="宋体" w:hAnsi="宋体" w:cs="宋体" w:eastAsia="宋体" w:hint="default"/>
          <w:spacing w:val="-60"/>
        </w:rPr>
        <w:t> </w:t>
      </w:r>
      <w:r>
        <w:rPr/>
        <w:t>资源和机房监控产品研发及推广项目实际投入金额</w:t>
      </w:r>
    </w:p>
    <w:p>
      <w:pPr>
        <w:pStyle w:val="BodyText"/>
        <w:spacing w:line="282" w:lineRule="exact"/>
        <w:ind w:left="678" w:right="230"/>
        <w:jc w:val="left"/>
      </w:pPr>
      <w:r>
        <w:rPr>
          <w:rFonts w:ascii="宋体" w:hAnsi="宋体" w:cs="宋体" w:eastAsia="宋体" w:hint="default"/>
        </w:rPr>
        <w:t>6,000</w:t>
      </w:r>
      <w:r>
        <w:rPr>
          <w:rFonts w:ascii="宋体" w:hAnsi="宋体" w:cs="宋体" w:eastAsia="宋体" w:hint="default"/>
          <w:spacing w:val="-60"/>
        </w:rPr>
        <w:t> </w:t>
      </w:r>
      <w:r>
        <w:rPr/>
        <w:t>万元。</w:t>
      </w:r>
    </w:p>
    <w:p>
      <w:pPr>
        <w:pStyle w:val="BodyText"/>
        <w:spacing w:line="312" w:lineRule="exact" w:before="148"/>
        <w:ind w:left="678" w:right="217" w:firstLine="480"/>
        <w:jc w:val="left"/>
      </w:pPr>
      <w:r>
        <w:rPr>
          <w:spacing w:val="-7"/>
        </w:rPr>
        <w:t>按募集资金使用口径统计，</w:t>
      </w:r>
      <w:r>
        <w:rPr>
          <w:rFonts w:ascii="宋体" w:hAnsi="宋体" w:cs="宋体" w:eastAsia="宋体" w:hint="default"/>
          <w:spacing w:val="-7"/>
        </w:rPr>
        <w:t>2014</w:t>
      </w:r>
      <w:r>
        <w:rPr>
          <w:rFonts w:ascii="宋体" w:hAnsi="宋体" w:cs="宋体" w:eastAsia="宋体" w:hint="default"/>
          <w:spacing w:val="-59"/>
        </w:rPr>
        <w:t> </w:t>
      </w:r>
      <w:r>
        <w:rPr/>
        <w:t>年度公司募集资金实际投入金额为</w:t>
      </w:r>
      <w:r>
        <w:rPr>
          <w:spacing w:val="-59"/>
        </w:rPr>
        <w:t> </w:t>
      </w:r>
      <w:r>
        <w:rPr>
          <w:rFonts w:ascii="宋体" w:hAnsi="宋体" w:cs="宋体" w:eastAsia="宋体" w:hint="default"/>
        </w:rPr>
        <w:t>123.25</w:t>
      </w:r>
      <w:r>
        <w:rPr>
          <w:rFonts w:ascii="宋体" w:hAnsi="宋体" w:cs="宋体" w:eastAsia="宋体" w:hint="default"/>
          <w:spacing w:val="-59"/>
        </w:rPr>
        <w:t> </w:t>
      </w:r>
      <w:r>
        <w:rPr/>
        <w:t>万元。 截至</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日，本公司募集资金累计直接投入募投项目款为</w:t>
      </w:r>
      <w:r>
        <w:rPr>
          <w:spacing w:val="-60"/>
        </w:rPr>
        <w:t> </w:t>
      </w:r>
      <w:r>
        <w:rPr>
          <w:rFonts w:ascii="宋体" w:hAnsi="宋体" w:cs="宋体" w:eastAsia="宋体" w:hint="default"/>
        </w:rPr>
        <w:t>49,554.59</w:t>
      </w:r>
      <w:r>
        <w:rPr>
          <w:rFonts w:ascii="宋体" w:hAnsi="宋体" w:cs="宋体" w:eastAsia="宋体" w:hint="default"/>
          <w:spacing w:val="-60"/>
        </w:rPr>
        <w:t> </w:t>
      </w:r>
      <w:r>
        <w:rPr/>
        <w:t>万</w:t>
      </w:r>
    </w:p>
    <w:p>
      <w:pPr>
        <w:pStyle w:val="BodyText"/>
        <w:spacing w:line="281" w:lineRule="exact"/>
        <w:ind w:left="678" w:right="230"/>
        <w:jc w:val="left"/>
      </w:pPr>
      <w:r>
        <w:rPr/>
        <w:t>元，其中累计投入募集资金净额为</w:t>
      </w:r>
      <w:r>
        <w:rPr>
          <w:spacing w:val="-84"/>
        </w:rPr>
        <w:t> </w:t>
      </w:r>
      <w:r>
        <w:rPr>
          <w:rFonts w:ascii="宋体" w:hAnsi="宋体" w:cs="宋体" w:eastAsia="宋体" w:hint="default"/>
        </w:rPr>
        <w:t>48,746.82</w:t>
      </w:r>
      <w:r>
        <w:rPr>
          <w:rFonts w:ascii="宋体" w:hAnsi="宋体" w:cs="宋体" w:eastAsia="宋体" w:hint="default"/>
          <w:spacing w:val="-84"/>
        </w:rPr>
        <w:t> </w:t>
      </w:r>
      <w:r>
        <w:rPr/>
        <w:t>万元，累计投入募集资金产生的利息收</w:t>
      </w:r>
    </w:p>
    <w:p>
      <w:pPr>
        <w:pStyle w:val="BodyText"/>
        <w:spacing w:line="310" w:lineRule="exact" w:before="31"/>
        <w:ind w:left="678" w:right="408"/>
        <w:jc w:val="left"/>
      </w:pPr>
      <w:r>
        <w:rPr/>
        <w:t>入扣除手续费的金额为</w:t>
      </w:r>
      <w:r>
        <w:rPr>
          <w:spacing w:val="-60"/>
        </w:rPr>
        <w:t> </w:t>
      </w:r>
      <w:r>
        <w:rPr>
          <w:rFonts w:ascii="宋体" w:hAnsi="宋体" w:cs="宋体" w:eastAsia="宋体" w:hint="default"/>
        </w:rPr>
        <w:t>807.77</w:t>
      </w:r>
      <w:r>
        <w:rPr>
          <w:rFonts w:ascii="宋体" w:hAnsi="宋体" w:cs="宋体" w:eastAsia="宋体" w:hint="default"/>
          <w:spacing w:val="-60"/>
        </w:rPr>
        <w:t> </w:t>
      </w:r>
      <w:r>
        <w:rPr/>
        <w:t>万元。（以下解释说明仅按使用的募集资金口径，未 包括公司自有资金投入部分）</w:t>
      </w:r>
    </w:p>
    <w:p>
      <w:pPr>
        <w:pStyle w:val="BodyText"/>
        <w:spacing w:line="240" w:lineRule="auto" w:before="88"/>
        <w:ind w:left="1158" w:right="230"/>
        <w:jc w:val="left"/>
      </w:pPr>
      <w:r>
        <w:rPr/>
        <w:t>①云计算环境下的信息融合服务平台建设及市场推广项目</w:t>
      </w:r>
    </w:p>
    <w:p>
      <w:pPr>
        <w:pStyle w:val="BodyText"/>
        <w:spacing w:line="312" w:lineRule="exact" w:before="118"/>
        <w:ind w:left="1158" w:right="230"/>
        <w:jc w:val="left"/>
      </w:pPr>
      <w:r>
        <w:rPr/>
        <w:t>截止</w:t>
      </w:r>
      <w:r>
        <w:rPr>
          <w:spacing w:val="-60"/>
        </w:rPr>
        <w:t> </w:t>
      </w:r>
      <w:r>
        <w:rPr>
          <w:rFonts w:ascii="宋体" w:hAnsi="宋体" w:cs="宋体" w:eastAsia="宋体" w:hint="default"/>
        </w:rPr>
        <w:t>2014</w:t>
      </w:r>
      <w:r>
        <w:rPr>
          <w:rFonts w:ascii="宋体" w:hAnsi="宋体" w:cs="宋体" w:eastAsia="宋体" w:hint="default"/>
          <w:spacing w:val="-60"/>
        </w:rPr>
        <w:t> </w:t>
      </w:r>
      <w:r>
        <w:rPr/>
        <w:t>年底，已完成投资</w:t>
      </w:r>
      <w:r>
        <w:rPr>
          <w:spacing w:val="-60"/>
        </w:rPr>
        <w:t> </w:t>
      </w:r>
      <w:r>
        <w:rPr>
          <w:rFonts w:ascii="宋体" w:hAnsi="宋体" w:cs="宋体" w:eastAsia="宋体" w:hint="default"/>
        </w:rPr>
        <w:t>19,360</w:t>
      </w:r>
      <w:r>
        <w:rPr>
          <w:rFonts w:ascii="宋体" w:hAnsi="宋体" w:cs="宋体" w:eastAsia="宋体" w:hint="default"/>
          <w:spacing w:val="-60"/>
        </w:rPr>
        <w:t> </w:t>
      </w:r>
      <w:r>
        <w:rPr/>
        <w:t>万元，本年实现收益</w:t>
      </w:r>
      <w:r>
        <w:rPr>
          <w:spacing w:val="-60"/>
        </w:rPr>
        <w:t> </w:t>
      </w:r>
      <w:r>
        <w:rPr>
          <w:rFonts w:ascii="宋体" w:hAnsi="宋体" w:cs="宋体" w:eastAsia="宋体" w:hint="default"/>
        </w:rPr>
        <w:t>7,657.39</w:t>
      </w:r>
      <w:r>
        <w:rPr>
          <w:rFonts w:ascii="宋体" w:hAnsi="宋体" w:cs="宋体" w:eastAsia="宋体" w:hint="default"/>
          <w:spacing w:val="-60"/>
        </w:rPr>
        <w:t> </w:t>
      </w:r>
      <w:r>
        <w:rPr/>
        <w:t>万元，累计</w:t>
      </w:r>
    </w:p>
    <w:p>
      <w:pPr>
        <w:pStyle w:val="BodyText"/>
        <w:spacing w:line="312" w:lineRule="exact" w:before="29"/>
        <w:ind w:left="678" w:right="334"/>
        <w:jc w:val="left"/>
      </w:pPr>
      <w:r>
        <w:rPr/>
        <w:t>产生收益</w:t>
      </w:r>
      <w:r>
        <w:rPr>
          <w:spacing w:val="-83"/>
        </w:rPr>
        <w:t> </w:t>
      </w:r>
      <w:r>
        <w:rPr>
          <w:rFonts w:ascii="宋体" w:hAnsi="宋体" w:cs="宋体" w:eastAsia="宋体" w:hint="default"/>
        </w:rPr>
        <w:t>29,986.62</w:t>
      </w:r>
      <w:r>
        <w:rPr>
          <w:rFonts w:ascii="宋体" w:hAnsi="宋体" w:cs="宋体" w:eastAsia="宋体" w:hint="default"/>
          <w:spacing w:val="-83"/>
        </w:rPr>
        <w:t> </w:t>
      </w:r>
      <w:r>
        <w:rPr/>
        <w:t>万元。公司已先后承接了中国移动、贵州移动、广东移动、农信 银等多个云计算建设项目。</w:t>
      </w:r>
    </w:p>
    <w:p>
      <w:pPr>
        <w:pStyle w:val="BodyText"/>
        <w:spacing w:line="328" w:lineRule="auto" w:before="88"/>
        <w:ind w:left="1158" w:right="230"/>
        <w:jc w:val="left"/>
      </w:pPr>
      <w:r>
        <w:rPr/>
        <w:t>②面向“服务型城市”的新一代信息整合解决方案 </w:t>
      </w:r>
      <w:r>
        <w:rPr>
          <w:spacing w:val="-2"/>
        </w:rPr>
        <w:t>本项目的目标是为地方政府的政府职能向“服务型政府”转型的过程中提供信息</w:t>
      </w:r>
    </w:p>
    <w:p>
      <w:pPr>
        <w:pStyle w:val="BodyText"/>
        <w:spacing w:line="222" w:lineRule="exact"/>
        <w:ind w:left="678" w:right="230"/>
        <w:jc w:val="left"/>
      </w:pPr>
      <w:r>
        <w:rPr/>
        <w:t>化支撑。截止</w:t>
      </w:r>
      <w:r>
        <w:rPr>
          <w:spacing w:val="-60"/>
        </w:rPr>
        <w:t> </w:t>
      </w:r>
      <w:r>
        <w:rPr>
          <w:rFonts w:ascii="宋体" w:hAnsi="宋体" w:cs="宋体" w:eastAsia="宋体" w:hint="default"/>
        </w:rPr>
        <w:t>2014</w:t>
      </w:r>
      <w:r>
        <w:rPr>
          <w:rFonts w:ascii="宋体" w:hAnsi="宋体" w:cs="宋体" w:eastAsia="宋体" w:hint="default"/>
          <w:spacing w:val="-60"/>
        </w:rPr>
        <w:t> </w:t>
      </w:r>
      <w:r>
        <w:rPr/>
        <w:t>年底，已完成投资</w:t>
      </w:r>
      <w:r>
        <w:rPr>
          <w:spacing w:val="-60"/>
        </w:rPr>
        <w:t> </w:t>
      </w:r>
      <w:r>
        <w:rPr>
          <w:rFonts w:ascii="宋体" w:hAnsi="宋体" w:cs="宋体" w:eastAsia="宋体" w:hint="default"/>
        </w:rPr>
        <w:t>15,450</w:t>
      </w:r>
      <w:r>
        <w:rPr>
          <w:rFonts w:ascii="宋体" w:hAnsi="宋体" w:cs="宋体" w:eastAsia="宋体" w:hint="default"/>
          <w:spacing w:val="-60"/>
        </w:rPr>
        <w:t> </w:t>
      </w:r>
      <w:r>
        <w:rPr/>
        <w:t>万元，本年实现收益</w:t>
      </w:r>
      <w:r>
        <w:rPr>
          <w:spacing w:val="-60"/>
        </w:rPr>
        <w:t> </w:t>
      </w:r>
      <w:r>
        <w:rPr>
          <w:rFonts w:ascii="宋体" w:hAnsi="宋体" w:cs="宋体" w:eastAsia="宋体" w:hint="default"/>
        </w:rPr>
        <w:t>5,292.72</w:t>
      </w:r>
      <w:r>
        <w:rPr>
          <w:rFonts w:ascii="宋体" w:hAnsi="宋体" w:cs="宋体" w:eastAsia="宋体" w:hint="default"/>
          <w:spacing w:val="-60"/>
        </w:rPr>
        <w:t> </w:t>
      </w:r>
      <w:r>
        <w:rPr/>
        <w:t>万元，</w:t>
      </w:r>
    </w:p>
    <w:p>
      <w:pPr>
        <w:pStyle w:val="BodyText"/>
        <w:spacing w:line="310" w:lineRule="exact" w:before="30"/>
        <w:ind w:left="678" w:right="336"/>
        <w:jc w:val="left"/>
      </w:pPr>
      <w:r>
        <w:rPr/>
        <w:t>累计产生收益</w:t>
      </w:r>
      <w:r>
        <w:rPr>
          <w:spacing w:val="-84"/>
        </w:rPr>
        <w:t> </w:t>
      </w:r>
      <w:r>
        <w:rPr>
          <w:rFonts w:ascii="宋体" w:hAnsi="宋体" w:cs="宋体" w:eastAsia="宋体" w:hint="default"/>
        </w:rPr>
        <w:t>13,206.21</w:t>
      </w:r>
      <w:r>
        <w:rPr>
          <w:rFonts w:ascii="宋体" w:hAnsi="宋体" w:cs="宋体" w:eastAsia="宋体" w:hint="default"/>
          <w:spacing w:val="-84"/>
        </w:rPr>
        <w:t> </w:t>
      </w:r>
      <w:r>
        <w:rPr/>
        <w:t>万元。公司已先后承接了云南省政府容灾数据中心、德阳山 洪灾害防治、安徽公安云平台等项目。</w:t>
      </w:r>
    </w:p>
    <w:p>
      <w:pPr>
        <w:pStyle w:val="BodyText"/>
        <w:spacing w:line="328" w:lineRule="auto" w:before="89"/>
        <w:ind w:left="1158" w:right="408"/>
        <w:jc w:val="left"/>
      </w:pPr>
      <w:r>
        <w:rPr/>
        <w:t>③数据治理软件及行业解决方案 本项目的目标是建设面向大型企业的数据治理方案。截止</w:t>
      </w:r>
      <w:r>
        <w:rPr>
          <w:spacing w:val="-60"/>
        </w:rPr>
        <w:t> </w:t>
      </w:r>
      <w:r>
        <w:rPr>
          <w:rFonts w:ascii="宋体" w:hAnsi="宋体" w:cs="宋体" w:eastAsia="宋体" w:hint="default"/>
        </w:rPr>
        <w:t>2014</w:t>
      </w:r>
      <w:r>
        <w:rPr>
          <w:rFonts w:ascii="宋体" w:hAnsi="宋体" w:cs="宋体" w:eastAsia="宋体" w:hint="default"/>
          <w:spacing w:val="-60"/>
        </w:rPr>
        <w:t> </w:t>
      </w:r>
      <w:r>
        <w:rPr/>
        <w:t>年底，已完成投</w:t>
      </w:r>
    </w:p>
    <w:p>
      <w:pPr>
        <w:pStyle w:val="BodyText"/>
        <w:spacing w:line="222" w:lineRule="exact"/>
        <w:ind w:left="678" w:right="230"/>
        <w:jc w:val="left"/>
      </w:pPr>
      <w:r>
        <w:rPr/>
        <w:t>资</w:t>
      </w:r>
      <w:r>
        <w:rPr>
          <w:spacing w:val="-62"/>
        </w:rPr>
        <w:t> </w:t>
      </w:r>
      <w:r>
        <w:rPr>
          <w:rFonts w:ascii="宋体" w:hAnsi="宋体" w:cs="宋体" w:eastAsia="宋体" w:hint="default"/>
        </w:rPr>
        <w:t>8,941.29</w:t>
      </w:r>
      <w:r>
        <w:rPr>
          <w:rFonts w:ascii="宋体" w:hAnsi="宋体" w:cs="宋体" w:eastAsia="宋体" w:hint="default"/>
          <w:spacing w:val="-62"/>
        </w:rPr>
        <w:t> </w:t>
      </w:r>
      <w:r>
        <w:rPr/>
        <w:t>万元，本年实现收益</w:t>
      </w:r>
      <w:r>
        <w:rPr>
          <w:spacing w:val="-62"/>
        </w:rPr>
        <w:t> </w:t>
      </w:r>
      <w:r>
        <w:rPr>
          <w:rFonts w:ascii="宋体" w:hAnsi="宋体" w:cs="宋体" w:eastAsia="宋体" w:hint="default"/>
        </w:rPr>
        <w:t>1,670.14</w:t>
      </w:r>
      <w:r>
        <w:rPr>
          <w:rFonts w:ascii="宋体" w:hAnsi="宋体" w:cs="宋体" w:eastAsia="宋体" w:hint="default"/>
          <w:spacing w:val="-62"/>
        </w:rPr>
        <w:t> </w:t>
      </w:r>
      <w:r>
        <w:rPr/>
        <w:t>万元</w:t>
      </w:r>
      <w:r>
        <w:rPr>
          <w:spacing w:val="-3"/>
        </w:rPr>
        <w:t> ，累计产生收益</w:t>
      </w:r>
      <w:r>
        <w:rPr>
          <w:spacing w:val="-62"/>
        </w:rPr>
        <w:t> </w:t>
      </w:r>
      <w:r>
        <w:rPr>
          <w:rFonts w:ascii="宋体" w:hAnsi="宋体" w:cs="宋体" w:eastAsia="宋体" w:hint="default"/>
        </w:rPr>
        <w:t>5,314.56</w:t>
      </w:r>
      <w:r>
        <w:rPr>
          <w:rFonts w:ascii="宋体" w:hAnsi="宋体" w:cs="宋体" w:eastAsia="宋体" w:hint="default"/>
          <w:spacing w:val="-62"/>
        </w:rPr>
        <w:t> </w:t>
      </w:r>
      <w:r>
        <w:rPr>
          <w:spacing w:val="-4"/>
        </w:rPr>
        <w:t>万元。公</w:t>
      </w:r>
    </w:p>
    <w:p>
      <w:pPr>
        <w:pStyle w:val="BodyText"/>
        <w:spacing w:line="310" w:lineRule="exact" w:before="30"/>
        <w:ind w:left="678" w:right="230"/>
        <w:jc w:val="left"/>
      </w:pPr>
      <w:r>
        <w:rPr>
          <w:spacing w:val="-2"/>
        </w:rPr>
        <w:t>司已先后承接了中国邮政量收管理系统维护、中国邮储数据分析外包服务、速递平台</w:t>
      </w:r>
      <w:r>
        <w:rPr>
          <w:spacing w:val="-94"/>
        </w:rPr>
        <w:t> </w:t>
      </w:r>
      <w:r>
        <w:rPr>
          <w:spacing w:val="-94"/>
        </w:rPr>
      </w:r>
      <w:r>
        <w:rPr/>
        <w:t>新业务开发等项目。</w:t>
      </w:r>
    </w:p>
    <w:p>
      <w:pPr>
        <w:pStyle w:val="BodyText"/>
        <w:spacing w:line="240" w:lineRule="auto" w:before="89"/>
        <w:ind w:left="1158" w:right="230"/>
        <w:jc w:val="left"/>
      </w:pPr>
      <w:r>
        <w:rPr/>
        <w:t>④软硬一体化的</w:t>
      </w:r>
      <w:r>
        <w:rPr>
          <w:spacing w:val="-60"/>
        </w:rPr>
        <w:t> </w:t>
      </w:r>
      <w:r>
        <w:rPr>
          <w:rFonts w:ascii="宋体" w:hAnsi="宋体" w:cs="宋体" w:eastAsia="宋体" w:hint="default"/>
        </w:rPr>
        <w:t>IT</w:t>
      </w:r>
      <w:r>
        <w:rPr>
          <w:rFonts w:ascii="宋体" w:hAnsi="宋体" w:cs="宋体" w:eastAsia="宋体" w:hint="default"/>
          <w:spacing w:val="-60"/>
        </w:rPr>
        <w:t> </w:t>
      </w:r>
      <w:r>
        <w:rPr/>
        <w:t>资源和机房监控产品研发及推广项目</w:t>
      </w:r>
    </w:p>
    <w:p>
      <w:pPr>
        <w:spacing w:after="0" w:line="240" w:lineRule="auto"/>
        <w:jc w:val="left"/>
        <w:sectPr>
          <w:pgSz w:w="11910" w:h="16840"/>
          <w:pgMar w:header="882" w:footer="1194" w:top="1080" w:bottom="1380" w:left="1120" w:right="920"/>
        </w:sectPr>
      </w:pPr>
    </w:p>
    <w:p>
      <w:pPr>
        <w:spacing w:line="240" w:lineRule="auto" w:before="12"/>
        <w:rPr>
          <w:rFonts w:ascii="宋体" w:hAnsi="宋体" w:cs="宋体" w:eastAsia="宋体" w:hint="default"/>
          <w:sz w:val="28"/>
          <w:szCs w:val="28"/>
        </w:rPr>
      </w:pPr>
    </w:p>
    <w:p>
      <w:pPr>
        <w:pStyle w:val="BodyText"/>
        <w:spacing w:line="310" w:lineRule="exact" w:before="58"/>
        <w:ind w:left="1118" w:right="792" w:firstLine="480"/>
        <w:jc w:val="both"/>
      </w:pPr>
      <w:r>
        <w:rPr>
          <w:spacing w:val="-2"/>
        </w:rPr>
        <w:t>该项目包括两个产品的开发：一是一款即插即用的软硬一体设备；二是软硬一体</w:t>
      </w:r>
      <w:r>
        <w:rPr/>
        <w:t> 的开放式机房监控管理平台。截止</w:t>
      </w:r>
      <w:r>
        <w:rPr>
          <w:spacing w:val="-67"/>
        </w:rPr>
        <w:t> </w:t>
      </w:r>
      <w:r>
        <w:rPr>
          <w:rFonts w:ascii="宋体" w:hAnsi="宋体" w:cs="宋体" w:eastAsia="宋体" w:hint="default"/>
        </w:rPr>
        <w:t>2014</w:t>
      </w:r>
      <w:r>
        <w:rPr>
          <w:rFonts w:ascii="宋体" w:hAnsi="宋体" w:cs="宋体" w:eastAsia="宋体" w:hint="default"/>
          <w:spacing w:val="-67"/>
        </w:rPr>
        <w:t> </w:t>
      </w:r>
      <w:r>
        <w:rPr/>
        <w:t>年底，已完成投资</w:t>
      </w:r>
      <w:r>
        <w:rPr>
          <w:spacing w:val="-67"/>
        </w:rPr>
        <w:t> </w:t>
      </w:r>
      <w:r>
        <w:rPr>
          <w:rFonts w:ascii="宋体" w:hAnsi="宋体" w:cs="宋体" w:eastAsia="宋体" w:hint="default"/>
        </w:rPr>
        <w:t>5,803.33</w:t>
      </w:r>
      <w:r>
        <w:rPr>
          <w:rFonts w:ascii="宋体" w:hAnsi="宋体" w:cs="宋体" w:eastAsia="宋体" w:hint="default"/>
          <w:spacing w:val="-67"/>
        </w:rPr>
        <w:t> </w:t>
      </w:r>
      <w:r>
        <w:rPr>
          <w:spacing w:val="-3"/>
        </w:rPr>
        <w:t>万元，本年实现</w:t>
      </w:r>
    </w:p>
    <w:p>
      <w:pPr>
        <w:pStyle w:val="BodyText"/>
        <w:spacing w:line="310" w:lineRule="exact" w:before="2"/>
        <w:ind w:left="1118" w:right="779"/>
        <w:jc w:val="left"/>
      </w:pPr>
      <w:r>
        <w:rPr/>
        <w:t>收益</w:t>
      </w:r>
      <w:r>
        <w:rPr>
          <w:spacing w:val="-66"/>
        </w:rPr>
        <w:t> </w:t>
      </w:r>
      <w:r>
        <w:rPr>
          <w:rFonts w:ascii="宋体" w:hAnsi="宋体" w:cs="宋体" w:eastAsia="宋体" w:hint="default"/>
        </w:rPr>
        <w:t>1,830.49</w:t>
      </w:r>
      <w:r>
        <w:rPr>
          <w:rFonts w:ascii="宋体" w:hAnsi="宋体" w:cs="宋体" w:eastAsia="宋体" w:hint="default"/>
          <w:spacing w:val="-66"/>
        </w:rPr>
        <w:t> </w:t>
      </w:r>
      <w:r>
        <w:rPr>
          <w:spacing w:val="-3"/>
        </w:rPr>
        <w:t>万元，累计产生收益</w:t>
      </w:r>
      <w:r>
        <w:rPr>
          <w:spacing w:val="-66"/>
        </w:rPr>
        <w:t> </w:t>
      </w:r>
      <w:r>
        <w:rPr>
          <w:rFonts w:ascii="宋体" w:hAnsi="宋体" w:cs="宋体" w:eastAsia="宋体" w:hint="default"/>
        </w:rPr>
        <w:t>4,251.32</w:t>
      </w:r>
      <w:r>
        <w:rPr>
          <w:rFonts w:ascii="宋体" w:hAnsi="宋体" w:cs="宋体" w:eastAsia="宋体" w:hint="default"/>
          <w:spacing w:val="-66"/>
        </w:rPr>
        <w:t> </w:t>
      </w:r>
      <w:r>
        <w:rPr/>
        <w:t>万元。公司已先后承接了中石油局域网 </w:t>
      </w:r>
      <w:r>
        <w:rPr>
          <w:rFonts w:ascii="宋体" w:hAnsi="宋体" w:cs="宋体" w:eastAsia="宋体" w:hint="default"/>
        </w:rPr>
        <w:t>KP</w:t>
      </w:r>
      <w:r>
        <w:rPr/>
        <w:t>、河南电视台、中信银行、广播电视规划院等多家单位的资源监控等项目。</w:t>
      </w:r>
    </w:p>
    <w:p>
      <w:pPr>
        <w:pStyle w:val="BodyText"/>
        <w:spacing w:line="240" w:lineRule="auto" w:before="89"/>
        <w:ind w:left="1118" w:right="779"/>
        <w:jc w:val="left"/>
      </w:pPr>
      <w:r>
        <w:rPr/>
        <w:t>注：</w:t>
      </w:r>
    </w:p>
    <w:p>
      <w:pPr>
        <w:pStyle w:val="BodyText"/>
        <w:spacing w:line="237" w:lineRule="auto" w:before="120"/>
        <w:ind w:left="1118" w:right="792" w:firstLine="480"/>
        <w:jc w:val="both"/>
      </w:pPr>
      <w:r>
        <w:rPr/>
        <w:t>经</w:t>
      </w:r>
      <w:r>
        <w:rPr>
          <w:spacing w:val="-66"/>
        </w:rPr>
        <w:t> </w:t>
      </w:r>
      <w:r>
        <w:rPr>
          <w:rFonts w:ascii="宋体" w:hAnsi="宋体" w:cs="宋体" w:eastAsia="宋体" w:hint="default"/>
        </w:rPr>
        <w:t>2012</w:t>
      </w:r>
      <w:r>
        <w:rPr>
          <w:rFonts w:ascii="宋体" w:hAnsi="宋体" w:cs="宋体" w:eastAsia="宋体" w:hint="default"/>
          <w:spacing w:val="-66"/>
        </w:rPr>
        <w:t> </w:t>
      </w:r>
      <w:r>
        <w:rPr/>
        <w:t>年</w:t>
      </w:r>
      <w:r>
        <w:rPr>
          <w:spacing w:val="-66"/>
        </w:rPr>
        <w:t> </w:t>
      </w:r>
      <w:r>
        <w:rPr>
          <w:rFonts w:ascii="宋体" w:hAnsi="宋体" w:cs="宋体" w:eastAsia="宋体" w:hint="default"/>
        </w:rPr>
        <w:t>4</w:t>
      </w:r>
      <w:r>
        <w:rPr>
          <w:rFonts w:ascii="宋体" w:hAnsi="宋体" w:cs="宋体" w:eastAsia="宋体" w:hint="default"/>
          <w:spacing w:val="-66"/>
        </w:rPr>
        <w:t> </w:t>
      </w:r>
      <w:r>
        <w:rPr/>
        <w:t>月</w:t>
      </w:r>
      <w:r>
        <w:rPr>
          <w:spacing w:val="-66"/>
        </w:rPr>
        <w:t> </w:t>
      </w:r>
      <w:r>
        <w:rPr>
          <w:rFonts w:ascii="宋体" w:hAnsi="宋体" w:cs="宋体" w:eastAsia="宋体" w:hint="default"/>
        </w:rPr>
        <w:t>9</w:t>
      </w:r>
      <w:r>
        <w:rPr>
          <w:rFonts w:ascii="宋体" w:hAnsi="宋体" w:cs="宋体" w:eastAsia="宋体" w:hint="default"/>
          <w:spacing w:val="-66"/>
        </w:rPr>
        <w:t> </w:t>
      </w:r>
      <w:r>
        <w:rPr/>
        <w:t>日召开的公司第四届董事会第五次会议和</w:t>
      </w:r>
      <w:r>
        <w:rPr>
          <w:spacing w:val="-66"/>
        </w:rPr>
        <w:t> </w:t>
      </w:r>
      <w:r>
        <w:rPr>
          <w:rFonts w:ascii="宋体" w:hAnsi="宋体" w:cs="宋体" w:eastAsia="宋体" w:hint="default"/>
        </w:rPr>
        <w:t>2011</w:t>
      </w:r>
      <w:r>
        <w:rPr>
          <w:rFonts w:ascii="宋体" w:hAnsi="宋体" w:cs="宋体" w:eastAsia="宋体" w:hint="default"/>
          <w:spacing w:val="-66"/>
        </w:rPr>
        <w:t> </w:t>
      </w:r>
      <w:r>
        <w:rPr/>
        <w:t>年年度股东大会 </w:t>
      </w:r>
      <w:r>
        <w:rPr>
          <w:spacing w:val="-2"/>
        </w:rPr>
        <w:t>审议通过，公司“数据治理软件及行业解决方案”项目的实施主体由公司独自实施主</w:t>
      </w:r>
      <w:r>
        <w:rPr>
          <w:spacing w:val="-93"/>
        </w:rPr>
        <w:t> </w:t>
      </w:r>
      <w:r>
        <w:rPr>
          <w:spacing w:val="-93"/>
        </w:rPr>
      </w:r>
      <w:r>
        <w:rPr>
          <w:spacing w:val="-2"/>
        </w:rPr>
        <w:t>体变更为由公司及公司子公司广州石竹计算机软件有限公司共同实施。本次变更仅变</w:t>
      </w:r>
      <w:r>
        <w:rPr>
          <w:spacing w:val="-92"/>
        </w:rPr>
        <w:t> </w:t>
      </w:r>
      <w:r>
        <w:rPr>
          <w:spacing w:val="-92"/>
        </w:rPr>
      </w:r>
      <w:r>
        <w:rPr/>
        <w:t>更实施主体，将原项目由公司本部独立承担，变更为公司与广州石竹共同承担。</w:t>
      </w:r>
    </w:p>
    <w:p>
      <w:pPr>
        <w:pStyle w:val="BodyText"/>
        <w:spacing w:line="240" w:lineRule="auto" w:before="117"/>
        <w:ind w:left="1118" w:right="779"/>
        <w:jc w:val="left"/>
      </w:pPr>
      <w:r>
        <w:rPr/>
        <w:t>募集资金投资项目变更后相关预算如下：</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tbl>
      <w:tblPr>
        <w:tblW w:w="0" w:type="auto"/>
        <w:jc w:val="left"/>
        <w:tblInd w:w="1005" w:type="dxa"/>
        <w:tblLayout w:type="fixed"/>
        <w:tblCellMar>
          <w:top w:w="0" w:type="dxa"/>
          <w:left w:w="0" w:type="dxa"/>
          <w:bottom w:w="0" w:type="dxa"/>
          <w:right w:w="0" w:type="dxa"/>
        </w:tblCellMar>
        <w:tblLook w:val="01E0"/>
      </w:tblPr>
      <w:tblGrid>
        <w:gridCol w:w="1526"/>
        <w:gridCol w:w="2016"/>
        <w:gridCol w:w="1771"/>
        <w:gridCol w:w="1770"/>
        <w:gridCol w:w="1772"/>
      </w:tblGrid>
      <w:tr>
        <w:trPr>
          <w:trHeight w:val="28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研发方向</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募集资金运用</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用途划分</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实施地点</w:t>
            </w:r>
          </w:p>
        </w:tc>
      </w:tr>
      <w:tr>
        <w:trPr>
          <w:trHeight w:val="554" w:hRule="exact"/>
        </w:trPr>
        <w:tc>
          <w:tcPr>
            <w:tcW w:w="1526" w:type="dxa"/>
            <w:vMerge w:val="restart"/>
            <w:tcBorders>
              <w:top w:val="single" w:sz="4" w:space="0" w:color="000000"/>
              <w:left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数据治理软件</w:t>
            </w:r>
          </w:p>
          <w:p>
            <w:pPr>
              <w:pStyle w:val="TableParagraph"/>
              <w:spacing w:line="272" w:lineRule="exact" w:before="26"/>
              <w:ind w:left="103" w:right="151"/>
              <w:jc w:val="left"/>
              <w:rPr>
                <w:rFonts w:ascii="宋体" w:hAnsi="宋体" w:cs="宋体" w:eastAsia="宋体" w:hint="default"/>
                <w:sz w:val="21"/>
                <w:szCs w:val="21"/>
              </w:rPr>
            </w:pPr>
            <w:r>
              <w:rPr>
                <w:rFonts w:ascii="宋体" w:hAnsi="宋体" w:cs="宋体" w:eastAsia="宋体" w:hint="default"/>
                <w:sz w:val="21"/>
                <w:szCs w:val="21"/>
              </w:rPr>
              <w:t>及行业解决方 案项目</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元数据接口管理软</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件升级与开发</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500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研发投资</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广州石竹</w:t>
            </w:r>
          </w:p>
        </w:tc>
      </w:tr>
      <w:tr>
        <w:trPr>
          <w:trHeight w:val="556" w:hRule="exact"/>
        </w:trPr>
        <w:tc>
          <w:tcPr>
            <w:tcW w:w="1526" w:type="dxa"/>
            <w:vMerge/>
            <w:tcBorders>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数据质量系统管理</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软件升级与开发</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1"/>
                <w:sz w:val="21"/>
                <w:szCs w:val="21"/>
              </w:rPr>
              <w:t> </w:t>
            </w:r>
            <w:r>
              <w:rPr>
                <w:rFonts w:ascii="宋体" w:hAnsi="宋体" w:cs="宋体" w:eastAsia="宋体" w:hint="default"/>
                <w:sz w:val="21"/>
                <w:szCs w:val="21"/>
              </w:rPr>
              <w:t>万元</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研发投资</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华胜天成</w:t>
            </w:r>
          </w:p>
        </w:tc>
      </w:tr>
    </w:tbl>
    <w:p>
      <w:pPr>
        <w:pStyle w:val="BodyText"/>
        <w:spacing w:line="237" w:lineRule="auto" w:before="83"/>
        <w:ind w:left="1118" w:right="793" w:firstLine="480"/>
        <w:jc w:val="both"/>
      </w:pPr>
      <w:r>
        <w:rPr>
          <w:spacing w:val="-2"/>
        </w:rPr>
        <w:t>本次共同实施方式的原则为：公司根据研发方向的分工将部分研发任务交由广州</w:t>
      </w:r>
      <w:r>
        <w:rPr/>
        <w:t> </w:t>
      </w:r>
      <w:r>
        <w:rPr>
          <w:spacing w:val="-2"/>
        </w:rPr>
        <w:t>石竹承担，并与之签订委托开发协议。研发成果由公司及广州石竹共同享有，并共同</w:t>
      </w:r>
      <w:r>
        <w:rPr>
          <w:spacing w:val="-94"/>
        </w:rPr>
        <w:t> </w:t>
      </w:r>
      <w:r>
        <w:rPr>
          <w:spacing w:val="-94"/>
        </w:rPr>
      </w:r>
      <w:r>
        <w:rPr/>
        <w:t>承担相应产品的市场拓展。</w:t>
      </w:r>
    </w:p>
    <w:p>
      <w:pPr>
        <w:pStyle w:val="BodyText"/>
        <w:spacing w:line="240" w:lineRule="auto" w:before="117"/>
        <w:ind w:left="1118" w:right="793" w:firstLine="480"/>
        <w:jc w:val="both"/>
      </w:pPr>
      <w:r>
        <w:rPr>
          <w:spacing w:val="-2"/>
        </w:rPr>
        <w:t>广州石竹已针对本次募集资金的研发项目设立专项账户，并纳入三方监管协议范</w:t>
      </w:r>
      <w:r>
        <w:rPr/>
        <w:t> 围。</w:t>
      </w:r>
    </w:p>
    <w:p>
      <w:pPr>
        <w:pStyle w:val="BodyText"/>
        <w:spacing w:line="240" w:lineRule="auto" w:before="116"/>
        <w:ind w:left="1598" w:right="0"/>
        <w:jc w:val="left"/>
      </w:pPr>
      <w:r>
        <w:rPr/>
        <w:t>截至本报告期末</w:t>
      </w:r>
      <w:r>
        <w:rPr>
          <w:spacing w:val="-120"/>
        </w:rPr>
        <w:t>，</w:t>
      </w:r>
      <w:r>
        <w:rPr/>
        <w:t>数据治理软件及行业解决方案项目已累计投入</w:t>
      </w:r>
      <w:r>
        <w:rPr>
          <w:spacing w:val="-84"/>
        </w:rPr>
        <w:t> </w:t>
      </w:r>
      <w:r>
        <w:rPr>
          <w:rFonts w:ascii="宋体" w:hAnsi="宋体" w:cs="宋体" w:eastAsia="宋体" w:hint="default"/>
        </w:rPr>
        <w:t>8,941.26</w:t>
      </w:r>
      <w:r>
        <w:rPr>
          <w:rFonts w:ascii="宋体" w:hAnsi="宋体" w:cs="宋体" w:eastAsia="宋体" w:hint="default"/>
          <w:spacing w:val="-84"/>
        </w:rPr>
        <w:t> </w:t>
      </w:r>
      <w:r>
        <w:rPr/>
        <w:t>万元。</w:t>
      </w:r>
    </w:p>
    <w:p>
      <w:pPr>
        <w:spacing w:line="240" w:lineRule="auto" w:before="4"/>
        <w:rPr>
          <w:rFonts w:ascii="宋体" w:hAnsi="宋体" w:cs="宋体" w:eastAsia="宋体" w:hint="default"/>
          <w:sz w:val="34"/>
          <w:szCs w:val="34"/>
        </w:rPr>
      </w:pPr>
    </w:p>
    <w:p>
      <w:pPr>
        <w:pStyle w:val="Heading2"/>
        <w:spacing w:line="240" w:lineRule="auto" w:before="0"/>
        <w:ind w:left="1118" w:right="779"/>
        <w:jc w:val="left"/>
        <w:rPr>
          <w:b w:val="0"/>
          <w:bCs w:val="0"/>
        </w:rPr>
      </w:pPr>
      <w:r>
        <w:rPr>
          <w:rFonts w:ascii="宋体" w:hAnsi="宋体" w:cs="宋体" w:eastAsia="宋体" w:hint="default"/>
        </w:rPr>
        <w:t>(3)</w:t>
      </w:r>
      <w:r>
        <w:rPr>
          <w:rFonts w:ascii="宋体" w:hAnsi="宋体" w:cs="宋体" w:eastAsia="宋体" w:hint="default"/>
          <w:spacing w:val="-75"/>
        </w:rPr>
        <w:t> </w:t>
      </w:r>
      <w:r>
        <w:rPr/>
        <w:t>募集资金变更项目情况</w:t>
      </w:r>
      <w:r>
        <w:rPr>
          <w:b w:val="0"/>
          <w:bCs w:val="0"/>
        </w:rPr>
      </w:r>
    </w:p>
    <w:p>
      <w:pPr>
        <w:pStyle w:val="BodyText"/>
        <w:spacing w:line="240" w:lineRule="auto" w:before="58"/>
        <w:ind w:left="1118" w:right="779"/>
        <w:jc w:val="left"/>
      </w:pPr>
      <w:r>
        <w:rPr/>
        <w:t>□适用 √不适用</w:t>
      </w: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4" w:top="1080" w:bottom="1380" w:left="680" w:right="480"/>
        </w:sectPr>
      </w:pPr>
    </w:p>
    <w:p>
      <w:pPr>
        <w:pStyle w:val="Heading2"/>
        <w:spacing w:line="240" w:lineRule="auto"/>
        <w:ind w:left="1118" w:right="-10"/>
        <w:jc w:val="left"/>
        <w:rPr>
          <w:b w:val="0"/>
          <w:bCs w:val="0"/>
        </w:rPr>
      </w:pPr>
      <w:r>
        <w:rPr>
          <w:rFonts w:ascii="宋体" w:hAnsi="宋体" w:cs="宋体" w:eastAsia="宋体" w:hint="default"/>
        </w:rPr>
        <w:t>4</w:t>
      </w:r>
      <w:r>
        <w:rPr/>
        <w:t>、</w:t>
      </w:r>
      <w:r>
        <w:rPr>
          <w:spacing w:val="-76"/>
        </w:rPr>
        <w:t> </w:t>
      </w:r>
      <w:r>
        <w:rPr/>
        <w:t>主要子公司、参股公司分析</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3"/>
        <w:rPr>
          <w:rFonts w:ascii="宋体" w:hAnsi="宋体" w:cs="宋体" w:eastAsia="宋体" w:hint="default"/>
          <w:b/>
          <w:bCs/>
          <w:sz w:val="15"/>
          <w:szCs w:val="15"/>
        </w:rPr>
      </w:pPr>
    </w:p>
    <w:p>
      <w:pPr>
        <w:spacing w:before="0"/>
        <w:ind w:left="1117"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万元</w:t>
      </w:r>
      <w:r>
        <w:rPr>
          <w:rFonts w:ascii="宋体" w:hAnsi="宋体" w:cs="宋体" w:eastAsia="宋体" w:hint="default"/>
          <w:spacing w:val="-1"/>
          <w:sz w:val="21"/>
          <w:szCs w:val="21"/>
        </w:rPr>
        <w:t> </w:t>
      </w:r>
      <w:r>
        <w:rPr>
          <w:rFonts w:ascii="宋体" w:hAnsi="宋体" w:cs="宋体" w:eastAsia="宋体" w:hint="default"/>
          <w:sz w:val="21"/>
          <w:szCs w:val="21"/>
        </w:rPr>
        <w:t>币种</w:t>
      </w:r>
      <w:r>
        <w:rPr>
          <w:rFonts w:ascii="宋体" w:hAnsi="宋体" w:cs="宋体" w:eastAsia="宋体" w:hint="default"/>
          <w:sz w:val="21"/>
          <w:szCs w:val="21"/>
        </w:rPr>
        <w:t>:</w:t>
      </w:r>
      <w:r>
        <w:rPr>
          <w:rFonts w:ascii="宋体" w:hAnsi="宋体" w:cs="宋体" w:eastAsia="宋体" w:hint="default"/>
          <w:sz w:val="21"/>
          <w:szCs w:val="21"/>
        </w:rPr>
        <w:t>人民币</w:t>
      </w:r>
    </w:p>
    <w:p>
      <w:pPr>
        <w:spacing w:after="0"/>
        <w:jc w:val="left"/>
        <w:rPr>
          <w:rFonts w:ascii="宋体" w:hAnsi="宋体" w:cs="宋体" w:eastAsia="宋体" w:hint="default"/>
          <w:sz w:val="21"/>
          <w:szCs w:val="21"/>
        </w:rPr>
        <w:sectPr>
          <w:type w:val="continuous"/>
          <w:pgSz w:w="11910" w:h="16840"/>
          <w:pgMar w:top="1080" w:bottom="1380" w:left="680" w:right="480"/>
          <w:cols w:num="2" w:equalWidth="0">
            <w:col w:w="4427" w:space="2202"/>
            <w:col w:w="4121"/>
          </w:cols>
        </w:sectPr>
      </w:pPr>
    </w:p>
    <w:p>
      <w:pPr>
        <w:spacing w:line="240" w:lineRule="auto" w:before="9"/>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1446"/>
        <w:gridCol w:w="3375"/>
        <w:gridCol w:w="1559"/>
        <w:gridCol w:w="1419"/>
        <w:gridCol w:w="1447"/>
        <w:gridCol w:w="1246"/>
      </w:tblGrid>
      <w:tr>
        <w:trPr>
          <w:trHeight w:val="305" w:hRule="exact"/>
        </w:trPr>
        <w:tc>
          <w:tcPr>
            <w:tcW w:w="1446"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left="98"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3375"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left="97" w:right="0"/>
              <w:jc w:val="left"/>
              <w:rPr>
                <w:rFonts w:ascii="宋体" w:hAnsi="宋体" w:cs="宋体" w:eastAsia="宋体" w:hint="default"/>
                <w:sz w:val="21"/>
                <w:szCs w:val="21"/>
              </w:rPr>
            </w:pPr>
            <w:r>
              <w:rPr>
                <w:rFonts w:ascii="宋体" w:hAnsi="宋体" w:cs="宋体" w:eastAsia="宋体" w:hint="default"/>
                <w:sz w:val="21"/>
                <w:szCs w:val="21"/>
              </w:rPr>
              <w:t>经营范围</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注册资本金</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left="98"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1447"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left="97"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left="97" w:right="0"/>
              <w:jc w:val="left"/>
              <w:rPr>
                <w:rFonts w:ascii="宋体" w:hAnsi="宋体" w:cs="宋体" w:eastAsia="宋体" w:hint="default"/>
                <w:sz w:val="21"/>
                <w:szCs w:val="21"/>
              </w:rPr>
            </w:pPr>
            <w:r>
              <w:rPr>
                <w:rFonts w:ascii="宋体" w:hAnsi="宋体" w:cs="宋体" w:eastAsia="宋体" w:hint="default"/>
                <w:sz w:val="21"/>
                <w:szCs w:val="21"/>
              </w:rPr>
              <w:t>净资产</w:t>
            </w:r>
          </w:p>
        </w:tc>
      </w:tr>
      <w:tr>
        <w:trPr>
          <w:trHeight w:val="1655" w:hRule="exact"/>
        </w:trPr>
        <w:tc>
          <w:tcPr>
            <w:tcW w:w="1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37" w:lineRule="auto"/>
              <w:ind w:left="98" w:right="276"/>
              <w:jc w:val="both"/>
              <w:rPr>
                <w:rFonts w:ascii="宋体" w:hAnsi="宋体" w:cs="宋体" w:eastAsia="宋体" w:hint="default"/>
                <w:sz w:val="21"/>
                <w:szCs w:val="21"/>
              </w:rPr>
            </w:pPr>
            <w:r>
              <w:rPr>
                <w:rFonts w:ascii="宋体" w:hAnsi="宋体" w:cs="宋体" w:eastAsia="宋体" w:hint="default"/>
                <w:sz w:val="21"/>
                <w:szCs w:val="21"/>
              </w:rPr>
              <w:t>北京华胜天 成软件技术 有限公司</w:t>
            </w:r>
          </w:p>
        </w:tc>
        <w:tc>
          <w:tcPr>
            <w:tcW w:w="3375"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7" w:right="0"/>
              <w:jc w:val="left"/>
              <w:rPr>
                <w:rFonts w:ascii="宋体" w:hAnsi="宋体" w:cs="宋体" w:eastAsia="宋体" w:hint="default"/>
                <w:sz w:val="21"/>
                <w:szCs w:val="21"/>
              </w:rPr>
            </w:pPr>
            <w:r>
              <w:rPr>
                <w:rFonts w:ascii="宋体" w:hAnsi="宋体" w:cs="宋体" w:eastAsia="宋体" w:hint="default"/>
                <w:sz w:val="21"/>
                <w:szCs w:val="21"/>
              </w:rPr>
              <w:t>许可经营项目：无</w:t>
            </w:r>
            <w:r>
              <w:rPr>
                <w:rFonts w:ascii="宋体" w:hAnsi="宋体" w:cs="宋体" w:eastAsia="宋体" w:hint="default"/>
                <w:spacing w:val="-2"/>
                <w:sz w:val="21"/>
                <w:szCs w:val="21"/>
              </w:rPr>
              <w:t> </w:t>
            </w:r>
            <w:r>
              <w:rPr>
                <w:rFonts w:ascii="宋体" w:hAnsi="宋体" w:cs="宋体" w:eastAsia="宋体" w:hint="default"/>
                <w:sz w:val="21"/>
                <w:szCs w:val="21"/>
              </w:rPr>
              <w:t>一般经营项目：</w:t>
            </w:r>
          </w:p>
          <w:p>
            <w:pPr>
              <w:pStyle w:val="TableParagraph"/>
              <w:spacing w:line="272" w:lineRule="exact" w:before="26"/>
              <w:ind w:left="97" w:right="-6"/>
              <w:jc w:val="left"/>
              <w:rPr>
                <w:rFonts w:ascii="宋体" w:hAnsi="宋体" w:cs="宋体" w:eastAsia="宋体" w:hint="default"/>
                <w:sz w:val="21"/>
                <w:szCs w:val="21"/>
              </w:rPr>
            </w:pPr>
            <w:r>
              <w:rPr>
                <w:rFonts w:ascii="宋体" w:hAnsi="宋体" w:cs="宋体" w:eastAsia="宋体" w:hint="default"/>
                <w:sz w:val="21"/>
                <w:szCs w:val="21"/>
              </w:rPr>
              <w:t>技术开发、技术咨询、技术服务； </w:t>
            </w:r>
            <w:r>
              <w:rPr>
                <w:rFonts w:ascii="宋体" w:hAnsi="宋体" w:cs="宋体" w:eastAsia="宋体" w:hint="default"/>
                <w:spacing w:val="-6"/>
                <w:sz w:val="21"/>
                <w:szCs w:val="21"/>
              </w:rPr>
              <w:t>计算机技术培训；计算机系统集成；</w:t>
            </w:r>
            <w:r>
              <w:rPr>
                <w:rFonts w:ascii="宋体" w:hAnsi="宋体" w:cs="宋体" w:eastAsia="宋体" w:hint="default"/>
                <w:sz w:val="21"/>
                <w:szCs w:val="21"/>
              </w:rPr>
              <w:t> 销售计算机软、硬件及外围设备、 通讯设备；货物进出口、技术进出 口、代理进出口</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sz w:val="21"/>
              </w:rPr>
              <w:t>3,855.00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sz w:val="21"/>
              </w:rPr>
              <w:t>13,016.79</w:t>
            </w:r>
          </w:p>
        </w:tc>
        <w:tc>
          <w:tcPr>
            <w:tcW w:w="14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sz w:val="21"/>
              </w:rPr>
              <w:t>-368.97</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17,607.44</w:t>
            </w:r>
          </w:p>
        </w:tc>
      </w:tr>
      <w:tr>
        <w:trPr>
          <w:trHeight w:val="837" w:hRule="exact"/>
        </w:trPr>
        <w:tc>
          <w:tcPr>
            <w:tcW w:w="1446"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华胜天成科</w:t>
            </w:r>
          </w:p>
          <w:p>
            <w:pPr>
              <w:pStyle w:val="TableParagraph"/>
              <w:spacing w:line="272" w:lineRule="exact" w:before="26"/>
              <w:ind w:left="98" w:right="97"/>
              <w:jc w:val="left"/>
              <w:rPr>
                <w:rFonts w:ascii="宋体" w:hAnsi="宋体" w:cs="宋体" w:eastAsia="宋体" w:hint="default"/>
                <w:sz w:val="21"/>
                <w:szCs w:val="21"/>
              </w:rPr>
            </w:pPr>
            <w:r>
              <w:rPr>
                <w:rFonts w:ascii="宋体" w:hAnsi="宋体" w:cs="宋体" w:eastAsia="宋体" w:hint="default"/>
                <w:spacing w:val="-6"/>
                <w:sz w:val="21"/>
                <w:szCs w:val="21"/>
              </w:rPr>
              <w:t>技（香港）有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限公司</w:t>
            </w:r>
          </w:p>
        </w:tc>
        <w:tc>
          <w:tcPr>
            <w:tcW w:w="3375"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29"/>
              <w:ind w:left="97" w:right="106"/>
              <w:jc w:val="left"/>
              <w:rPr>
                <w:rFonts w:ascii="宋体" w:hAnsi="宋体" w:cs="宋体" w:eastAsia="宋体" w:hint="default"/>
                <w:sz w:val="21"/>
                <w:szCs w:val="21"/>
              </w:rPr>
            </w:pPr>
            <w:r>
              <w:rPr>
                <w:rFonts w:ascii="宋体" w:hAnsi="宋体" w:cs="宋体" w:eastAsia="宋体" w:hint="default"/>
                <w:sz w:val="21"/>
                <w:szCs w:val="21"/>
              </w:rPr>
              <w:t>计算机与通讯产品的销售和技术服 务，计算机与通讯系统集成服务</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before="101"/>
              <w:ind w:left="286" w:right="0"/>
              <w:jc w:val="left"/>
              <w:rPr>
                <w:rFonts w:ascii="宋体" w:hAnsi="宋体" w:cs="宋体" w:eastAsia="宋体" w:hint="default"/>
                <w:sz w:val="21"/>
                <w:szCs w:val="21"/>
              </w:rPr>
            </w:pPr>
            <w:r>
              <w:rPr>
                <w:rFonts w:ascii="宋体"/>
                <w:sz w:val="21"/>
              </w:rPr>
              <w:t>40,921.9448</w:t>
            </w:r>
          </w:p>
          <w:p>
            <w:pPr>
              <w:pStyle w:val="TableParagraph"/>
              <w:spacing w:line="274" w:lineRule="exact"/>
              <w:ind w:left="811" w:right="0"/>
              <w:jc w:val="left"/>
              <w:rPr>
                <w:rFonts w:ascii="宋体" w:hAnsi="宋体" w:cs="宋体" w:eastAsia="宋体" w:hint="default"/>
                <w:sz w:val="21"/>
                <w:szCs w:val="21"/>
              </w:rPr>
            </w:pPr>
            <w:r>
              <w:rPr>
                <w:rFonts w:ascii="宋体" w:hAnsi="宋体" w:cs="宋体" w:eastAsia="宋体" w:hint="default"/>
                <w:sz w:val="21"/>
                <w:szCs w:val="21"/>
              </w:rPr>
              <w:t>万港元</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z w:val="21"/>
              </w:rPr>
              <w:t>185,666.53</w:t>
            </w:r>
          </w:p>
        </w:tc>
        <w:tc>
          <w:tcPr>
            <w:tcW w:w="14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6,162.01</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69,452.40</w:t>
            </w:r>
          </w:p>
        </w:tc>
      </w:tr>
      <w:tr>
        <w:trPr>
          <w:trHeight w:val="838" w:hRule="exact"/>
        </w:trPr>
        <w:tc>
          <w:tcPr>
            <w:tcW w:w="1446"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华胜天成科</w:t>
            </w:r>
          </w:p>
          <w:p>
            <w:pPr>
              <w:pStyle w:val="TableParagraph"/>
              <w:spacing w:line="272" w:lineRule="exact" w:before="26"/>
              <w:ind w:left="98" w:right="97"/>
              <w:jc w:val="left"/>
              <w:rPr>
                <w:rFonts w:ascii="宋体" w:hAnsi="宋体" w:cs="宋体" w:eastAsia="宋体" w:hint="default"/>
                <w:sz w:val="21"/>
                <w:szCs w:val="21"/>
              </w:rPr>
            </w:pPr>
            <w:r>
              <w:rPr>
                <w:rFonts w:ascii="宋体" w:hAnsi="宋体" w:cs="宋体" w:eastAsia="宋体" w:hint="default"/>
                <w:spacing w:val="-6"/>
                <w:sz w:val="21"/>
                <w:szCs w:val="21"/>
              </w:rPr>
              <w:t>技（美国）有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限公司</w:t>
            </w:r>
          </w:p>
        </w:tc>
        <w:tc>
          <w:tcPr>
            <w:tcW w:w="3375"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30"/>
              <w:ind w:left="97" w:right="-6"/>
              <w:jc w:val="left"/>
              <w:rPr>
                <w:rFonts w:ascii="宋体" w:hAnsi="宋体" w:cs="宋体" w:eastAsia="宋体" w:hint="default"/>
                <w:sz w:val="21"/>
                <w:szCs w:val="21"/>
              </w:rPr>
            </w:pPr>
            <w:r>
              <w:rPr>
                <w:rFonts w:ascii="宋体" w:hAnsi="宋体" w:cs="宋体" w:eastAsia="宋体" w:hint="default"/>
                <w:spacing w:val="-6"/>
                <w:sz w:val="21"/>
                <w:szCs w:val="21"/>
              </w:rPr>
              <w:t>计算机与通信软、硬件产品的开发、</w:t>
            </w:r>
            <w:r>
              <w:rPr>
                <w:rFonts w:ascii="宋体" w:hAnsi="宋体" w:cs="宋体" w:eastAsia="宋体" w:hint="default"/>
                <w:sz w:val="21"/>
                <w:szCs w:val="21"/>
              </w:rPr>
              <w:t> 生产与服务</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5"/>
              <w:jc w:val="right"/>
              <w:rPr>
                <w:rFonts w:ascii="宋体" w:hAnsi="宋体" w:cs="宋体" w:eastAsia="宋体" w:hint="default"/>
                <w:sz w:val="21"/>
                <w:szCs w:val="21"/>
              </w:rPr>
            </w:pPr>
            <w:r>
              <w:rPr>
                <w:rFonts w:ascii="宋体" w:hAnsi="宋体" w:cs="宋体" w:eastAsia="宋体" w:hint="default"/>
                <w:sz w:val="21"/>
                <w:szCs w:val="21"/>
              </w:rPr>
              <w:t>95</w:t>
            </w:r>
            <w:r>
              <w:rPr>
                <w:rFonts w:ascii="宋体" w:hAnsi="宋体" w:cs="宋体" w:eastAsia="宋体" w:hint="default"/>
                <w:spacing w:val="-52"/>
                <w:sz w:val="21"/>
                <w:szCs w:val="21"/>
              </w:rPr>
              <w:t> </w:t>
            </w:r>
            <w:r>
              <w:rPr>
                <w:rFonts w:ascii="宋体" w:hAnsi="宋体" w:cs="宋体" w:eastAsia="宋体" w:hint="default"/>
                <w:sz w:val="21"/>
                <w:szCs w:val="21"/>
              </w:rPr>
              <w:t>万美元</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z w:val="21"/>
              </w:rPr>
              <w:t>0.00</w:t>
            </w:r>
          </w:p>
        </w:tc>
        <w:tc>
          <w:tcPr>
            <w:tcW w:w="14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z w:val="21"/>
              </w:rPr>
              <w:t>-4.70</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16.02</w:t>
            </w:r>
          </w:p>
        </w:tc>
      </w:tr>
    </w:tbl>
    <w:p>
      <w:pPr>
        <w:spacing w:after="0" w:line="240" w:lineRule="auto"/>
        <w:jc w:val="right"/>
        <w:rPr>
          <w:rFonts w:ascii="宋体" w:hAnsi="宋体" w:cs="宋体" w:eastAsia="宋体" w:hint="default"/>
          <w:sz w:val="21"/>
          <w:szCs w:val="21"/>
        </w:rPr>
        <w:sectPr>
          <w:type w:val="continuous"/>
          <w:pgSz w:w="11910" w:h="16840"/>
          <w:pgMar w:top="1080" w:bottom="1380" w:left="680" w:right="4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1446"/>
        <w:gridCol w:w="3375"/>
        <w:gridCol w:w="1559"/>
        <w:gridCol w:w="1419"/>
        <w:gridCol w:w="1447"/>
        <w:gridCol w:w="1246"/>
      </w:tblGrid>
      <w:tr>
        <w:trPr>
          <w:trHeight w:val="1154" w:hRule="exact"/>
        </w:trPr>
        <w:tc>
          <w:tcPr>
            <w:tcW w:w="1446" w:type="dxa"/>
            <w:tcBorders>
              <w:top w:val="single" w:sz="4" w:space="0" w:color="000000"/>
              <w:left w:val="single" w:sz="8" w:space="0" w:color="000000"/>
              <w:bottom w:val="single" w:sz="8" w:space="0" w:color="000000"/>
              <w:right w:val="single" w:sz="8" w:space="0" w:color="000000"/>
            </w:tcBorders>
          </w:tcPr>
          <w:p>
            <w:pPr>
              <w:pStyle w:val="TableParagraph"/>
              <w:spacing w:line="272" w:lineRule="exact" w:before="154"/>
              <w:ind w:left="98" w:right="276"/>
              <w:jc w:val="both"/>
              <w:rPr>
                <w:rFonts w:ascii="宋体" w:hAnsi="宋体" w:cs="宋体" w:eastAsia="宋体" w:hint="default"/>
                <w:sz w:val="21"/>
                <w:szCs w:val="21"/>
              </w:rPr>
            </w:pPr>
            <w:r>
              <w:rPr>
                <w:rFonts w:ascii="宋体" w:hAnsi="宋体" w:cs="宋体" w:eastAsia="宋体" w:hint="default"/>
                <w:sz w:val="21"/>
                <w:szCs w:val="21"/>
              </w:rPr>
              <w:t>北京飞杰信 息技术有限 公司</w:t>
            </w:r>
          </w:p>
        </w:tc>
        <w:tc>
          <w:tcPr>
            <w:tcW w:w="3375" w:type="dxa"/>
            <w:tcBorders>
              <w:top w:val="single" w:sz="4" w:space="0" w:color="000000"/>
              <w:left w:val="single" w:sz="8" w:space="0" w:color="000000"/>
              <w:bottom w:val="single" w:sz="8" w:space="0" w:color="000000"/>
              <w:right w:val="single" w:sz="8" w:space="0" w:color="000000"/>
            </w:tcBorders>
          </w:tcPr>
          <w:p>
            <w:pPr>
              <w:pStyle w:val="TableParagraph"/>
              <w:spacing w:line="272" w:lineRule="exact" w:before="17"/>
              <w:ind w:left="97" w:right="106"/>
              <w:jc w:val="both"/>
              <w:rPr>
                <w:rFonts w:ascii="宋体" w:hAnsi="宋体" w:cs="宋体" w:eastAsia="宋体" w:hint="default"/>
                <w:sz w:val="21"/>
                <w:szCs w:val="21"/>
              </w:rPr>
            </w:pPr>
            <w:r>
              <w:rPr>
                <w:rFonts w:ascii="宋体" w:hAnsi="宋体" w:cs="宋体" w:eastAsia="宋体" w:hint="default"/>
                <w:sz w:val="21"/>
                <w:szCs w:val="21"/>
              </w:rPr>
              <w:t>研究开发销售多媒体通讯终端、系 统，并提供各种及时通讯服务，同 时兼营相关的电信增值业务及其他 贸易业务</w:t>
            </w:r>
          </w:p>
        </w:tc>
        <w:tc>
          <w:tcPr>
            <w:tcW w:w="1559"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right="96"/>
              <w:jc w:val="right"/>
              <w:rPr>
                <w:rFonts w:ascii="宋体" w:hAnsi="宋体" w:cs="宋体" w:eastAsia="宋体" w:hint="default"/>
                <w:sz w:val="21"/>
                <w:szCs w:val="21"/>
              </w:rPr>
            </w:pPr>
            <w:r>
              <w:rPr>
                <w:rFonts w:ascii="宋体"/>
                <w:sz w:val="21"/>
              </w:rPr>
              <w:t>1,000.00</w:t>
            </w:r>
          </w:p>
        </w:tc>
        <w:tc>
          <w:tcPr>
            <w:tcW w:w="1419"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right="96"/>
              <w:jc w:val="right"/>
              <w:rPr>
                <w:rFonts w:ascii="宋体" w:hAnsi="宋体" w:cs="宋体" w:eastAsia="宋体" w:hint="default"/>
                <w:sz w:val="21"/>
                <w:szCs w:val="21"/>
              </w:rPr>
            </w:pPr>
            <w:r>
              <w:rPr>
                <w:rFonts w:ascii="宋体"/>
                <w:sz w:val="21"/>
              </w:rPr>
              <w:t>2,804.77</w:t>
            </w:r>
          </w:p>
        </w:tc>
        <w:tc>
          <w:tcPr>
            <w:tcW w:w="1447"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right="97"/>
              <w:jc w:val="right"/>
              <w:rPr>
                <w:rFonts w:ascii="宋体" w:hAnsi="宋体" w:cs="宋体" w:eastAsia="宋体" w:hint="default"/>
                <w:sz w:val="21"/>
                <w:szCs w:val="21"/>
              </w:rPr>
            </w:pPr>
            <w:r>
              <w:rPr>
                <w:rFonts w:ascii="宋体"/>
                <w:sz w:val="21"/>
              </w:rPr>
              <w:t>135.03</w:t>
            </w:r>
          </w:p>
        </w:tc>
        <w:tc>
          <w:tcPr>
            <w:tcW w:w="1246"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right="97"/>
              <w:jc w:val="right"/>
              <w:rPr>
                <w:rFonts w:ascii="宋体" w:hAnsi="宋体" w:cs="宋体" w:eastAsia="宋体" w:hint="default"/>
                <w:sz w:val="21"/>
                <w:szCs w:val="21"/>
              </w:rPr>
            </w:pPr>
            <w:r>
              <w:rPr>
                <w:rFonts w:ascii="宋体"/>
                <w:sz w:val="21"/>
              </w:rPr>
              <w:t>2,590.21</w:t>
            </w:r>
          </w:p>
        </w:tc>
      </w:tr>
      <w:tr>
        <w:trPr>
          <w:trHeight w:val="935" w:hRule="exact"/>
        </w:trPr>
        <w:tc>
          <w:tcPr>
            <w:tcW w:w="144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43"/>
              <w:ind w:left="98" w:right="276"/>
              <w:jc w:val="both"/>
              <w:rPr>
                <w:rFonts w:ascii="宋体" w:hAnsi="宋体" w:cs="宋体" w:eastAsia="宋体" w:hint="default"/>
                <w:sz w:val="21"/>
                <w:szCs w:val="21"/>
              </w:rPr>
            </w:pPr>
            <w:r>
              <w:rPr>
                <w:rFonts w:ascii="宋体" w:hAnsi="宋体" w:cs="宋体" w:eastAsia="宋体" w:hint="default"/>
                <w:sz w:val="21"/>
                <w:szCs w:val="21"/>
              </w:rPr>
              <w:t>北京交大思 源科技有限 公司</w:t>
            </w:r>
          </w:p>
        </w:tc>
        <w:tc>
          <w:tcPr>
            <w:tcW w:w="3375"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43"/>
              <w:ind w:left="97" w:right="106"/>
              <w:jc w:val="both"/>
              <w:rPr>
                <w:rFonts w:ascii="宋体" w:hAnsi="宋体" w:cs="宋体" w:eastAsia="宋体" w:hint="default"/>
                <w:sz w:val="21"/>
                <w:szCs w:val="21"/>
              </w:rPr>
            </w:pPr>
            <w:r>
              <w:rPr>
                <w:rFonts w:ascii="宋体" w:hAnsi="宋体" w:cs="宋体" w:eastAsia="宋体" w:hint="default"/>
                <w:sz w:val="21"/>
                <w:szCs w:val="21"/>
              </w:rPr>
              <w:t>技术开发、技术转让、技术咨询、 技术培训；销售电子计算机软硬件 及外部设备、机械电器设备等</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宋体" w:hAnsi="宋体" w:cs="宋体" w:eastAsia="宋体" w:hint="default"/>
                <w:sz w:val="21"/>
                <w:szCs w:val="21"/>
              </w:rPr>
            </w:pPr>
            <w:r>
              <w:rPr>
                <w:rFonts w:ascii="宋体"/>
                <w:sz w:val="21"/>
              </w:rPr>
              <w:t>500.00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宋体" w:hAnsi="宋体" w:cs="宋体" w:eastAsia="宋体" w:hint="default"/>
                <w:sz w:val="21"/>
                <w:szCs w:val="21"/>
              </w:rPr>
            </w:pPr>
            <w:r>
              <w:rPr>
                <w:rFonts w:ascii="宋体"/>
                <w:sz w:val="21"/>
              </w:rPr>
              <w:t>1,361.78</w:t>
            </w:r>
          </w:p>
        </w:tc>
        <w:tc>
          <w:tcPr>
            <w:tcW w:w="14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7"/>
              <w:jc w:val="right"/>
              <w:rPr>
                <w:rFonts w:ascii="宋体" w:hAnsi="宋体" w:cs="宋体" w:eastAsia="宋体" w:hint="default"/>
                <w:sz w:val="21"/>
                <w:szCs w:val="21"/>
              </w:rPr>
            </w:pPr>
            <w:r>
              <w:rPr>
                <w:rFonts w:ascii="宋体"/>
                <w:sz w:val="21"/>
              </w:rPr>
              <w:t>113.15</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7"/>
              <w:jc w:val="right"/>
              <w:rPr>
                <w:rFonts w:ascii="宋体" w:hAnsi="宋体" w:cs="宋体" w:eastAsia="宋体" w:hint="default"/>
                <w:sz w:val="21"/>
                <w:szCs w:val="21"/>
              </w:rPr>
            </w:pPr>
            <w:r>
              <w:rPr>
                <w:rFonts w:ascii="宋体"/>
                <w:sz w:val="21"/>
              </w:rPr>
              <w:t>1,237.65</w:t>
            </w:r>
          </w:p>
        </w:tc>
      </w:tr>
      <w:tr>
        <w:trPr>
          <w:trHeight w:val="1110" w:hRule="exact"/>
        </w:trPr>
        <w:tc>
          <w:tcPr>
            <w:tcW w:w="144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29"/>
              <w:ind w:left="98" w:right="276"/>
              <w:jc w:val="both"/>
              <w:rPr>
                <w:rFonts w:ascii="宋体" w:hAnsi="宋体" w:cs="宋体" w:eastAsia="宋体" w:hint="default"/>
                <w:sz w:val="21"/>
                <w:szCs w:val="21"/>
              </w:rPr>
            </w:pPr>
            <w:r>
              <w:rPr>
                <w:rFonts w:ascii="宋体" w:hAnsi="宋体" w:cs="宋体" w:eastAsia="宋体" w:hint="default"/>
                <w:sz w:val="21"/>
                <w:szCs w:val="21"/>
              </w:rPr>
              <w:t>深圳华胜天 成信息技术 有限公司</w:t>
            </w:r>
          </w:p>
        </w:tc>
        <w:tc>
          <w:tcPr>
            <w:tcW w:w="3375"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7" w:right="0"/>
              <w:jc w:val="both"/>
              <w:rPr>
                <w:rFonts w:ascii="宋体" w:hAnsi="宋体" w:cs="宋体" w:eastAsia="宋体" w:hint="default"/>
                <w:sz w:val="21"/>
                <w:szCs w:val="21"/>
              </w:rPr>
            </w:pPr>
            <w:r>
              <w:rPr>
                <w:rFonts w:ascii="宋体" w:hAnsi="宋体" w:cs="宋体" w:eastAsia="宋体" w:hint="default"/>
                <w:sz w:val="21"/>
                <w:szCs w:val="21"/>
              </w:rPr>
              <w:t>通讯软件、计算机软硬件及外围设</w:t>
            </w:r>
          </w:p>
          <w:p>
            <w:pPr>
              <w:pStyle w:val="TableParagraph"/>
              <w:spacing w:line="272" w:lineRule="exact" w:before="26"/>
              <w:ind w:left="97" w:right="106"/>
              <w:jc w:val="both"/>
              <w:rPr>
                <w:rFonts w:ascii="宋体" w:hAnsi="宋体" w:cs="宋体" w:eastAsia="宋体" w:hint="default"/>
                <w:sz w:val="21"/>
                <w:szCs w:val="21"/>
              </w:rPr>
            </w:pPr>
            <w:r>
              <w:rPr>
                <w:rFonts w:ascii="宋体" w:hAnsi="宋体" w:cs="宋体" w:eastAsia="宋体" w:hint="default"/>
                <w:sz w:val="21"/>
                <w:szCs w:val="21"/>
              </w:rPr>
              <w:t>备、通迅设备的技术开发、技术咨 询、技术服务、销售；应用系统集 成</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z w:val="21"/>
              </w:rPr>
              <w:t>2,000.00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z w:val="21"/>
              </w:rPr>
              <w:t>0.00</w:t>
            </w:r>
          </w:p>
        </w:tc>
        <w:tc>
          <w:tcPr>
            <w:tcW w:w="14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z w:val="21"/>
              </w:rPr>
              <w:t>679.83</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z w:val="21"/>
              </w:rPr>
              <w:t>1,712.55</w:t>
            </w:r>
          </w:p>
        </w:tc>
      </w:tr>
      <w:tr>
        <w:trPr>
          <w:trHeight w:val="1385" w:hRule="exact"/>
        </w:trPr>
        <w:tc>
          <w:tcPr>
            <w:tcW w:w="1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98" w:right="276"/>
              <w:jc w:val="both"/>
              <w:rPr>
                <w:rFonts w:ascii="宋体" w:hAnsi="宋体" w:cs="宋体" w:eastAsia="宋体" w:hint="default"/>
                <w:sz w:val="21"/>
                <w:szCs w:val="21"/>
              </w:rPr>
            </w:pPr>
            <w:r>
              <w:rPr>
                <w:rFonts w:ascii="宋体" w:hAnsi="宋体" w:cs="宋体" w:eastAsia="宋体" w:hint="default"/>
                <w:sz w:val="21"/>
                <w:szCs w:val="21"/>
              </w:rPr>
              <w:t>南京华胜天 成信息技术 有限公司</w:t>
            </w:r>
          </w:p>
        </w:tc>
        <w:tc>
          <w:tcPr>
            <w:tcW w:w="337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7" w:right="0"/>
              <w:jc w:val="both"/>
              <w:rPr>
                <w:rFonts w:ascii="宋体" w:hAnsi="宋体" w:cs="宋体" w:eastAsia="宋体" w:hint="default"/>
                <w:sz w:val="21"/>
                <w:szCs w:val="21"/>
              </w:rPr>
            </w:pPr>
            <w:r>
              <w:rPr>
                <w:rFonts w:ascii="宋体" w:hAnsi="宋体" w:cs="宋体" w:eastAsia="宋体" w:hint="default"/>
                <w:spacing w:val="-7"/>
                <w:sz w:val="21"/>
                <w:szCs w:val="21"/>
              </w:rPr>
              <w:t>许可经营项目：无。一般经营项目：</w:t>
            </w:r>
          </w:p>
          <w:p>
            <w:pPr>
              <w:pStyle w:val="TableParagraph"/>
              <w:spacing w:line="272" w:lineRule="exact" w:before="26"/>
              <w:ind w:left="97" w:right="106"/>
              <w:jc w:val="both"/>
              <w:rPr>
                <w:rFonts w:ascii="宋体" w:hAnsi="宋体" w:cs="宋体" w:eastAsia="宋体" w:hint="default"/>
                <w:sz w:val="21"/>
                <w:szCs w:val="21"/>
              </w:rPr>
            </w:pPr>
            <w:r>
              <w:rPr>
                <w:rFonts w:ascii="宋体" w:hAnsi="宋体" w:cs="宋体" w:eastAsia="宋体" w:hint="default"/>
                <w:sz w:val="21"/>
                <w:szCs w:val="21"/>
              </w:rPr>
              <w:t>计算机技术开发、技术咨询、技术 服务；承接计算机信息系统集成； 计算机软硬件及外围设备；通信设 备的销售；电子商务服务</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z w:val="21"/>
              </w:rPr>
              <w:t>5,000.00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z w:val="21"/>
              </w:rPr>
              <w:t>10,955.19</w:t>
            </w:r>
          </w:p>
        </w:tc>
        <w:tc>
          <w:tcPr>
            <w:tcW w:w="14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z w:val="21"/>
              </w:rPr>
              <w:t>-3,571.86</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7"/>
              <w:jc w:val="right"/>
              <w:rPr>
                <w:rFonts w:ascii="宋体" w:hAnsi="宋体" w:cs="宋体" w:eastAsia="宋体" w:hint="default"/>
                <w:sz w:val="21"/>
                <w:szCs w:val="21"/>
              </w:rPr>
            </w:pPr>
            <w:r>
              <w:rPr>
                <w:rFonts w:ascii="宋体"/>
                <w:sz w:val="21"/>
              </w:rPr>
              <w:t>119.38</w:t>
            </w:r>
          </w:p>
        </w:tc>
      </w:tr>
      <w:tr>
        <w:trPr>
          <w:trHeight w:val="1160" w:hRule="exact"/>
        </w:trPr>
        <w:tc>
          <w:tcPr>
            <w:tcW w:w="144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54"/>
              <w:ind w:left="98" w:right="276"/>
              <w:jc w:val="both"/>
              <w:rPr>
                <w:rFonts w:ascii="宋体" w:hAnsi="宋体" w:cs="宋体" w:eastAsia="宋体" w:hint="default"/>
                <w:sz w:val="21"/>
                <w:szCs w:val="21"/>
              </w:rPr>
            </w:pPr>
            <w:r>
              <w:rPr>
                <w:rFonts w:ascii="宋体" w:hAnsi="宋体" w:cs="宋体" w:eastAsia="宋体" w:hint="default"/>
                <w:sz w:val="21"/>
                <w:szCs w:val="21"/>
              </w:rPr>
              <w:t>成都华胜天 成信息技术 有限公司</w:t>
            </w:r>
          </w:p>
        </w:tc>
        <w:tc>
          <w:tcPr>
            <w:tcW w:w="3375"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8"/>
              <w:ind w:left="97" w:right="106"/>
              <w:jc w:val="both"/>
              <w:rPr>
                <w:rFonts w:ascii="宋体" w:hAnsi="宋体" w:cs="宋体" w:eastAsia="宋体" w:hint="default"/>
                <w:sz w:val="21"/>
                <w:szCs w:val="21"/>
              </w:rPr>
            </w:pPr>
            <w:r>
              <w:rPr>
                <w:rFonts w:ascii="宋体" w:hAnsi="宋体" w:cs="宋体" w:eastAsia="宋体" w:hint="default"/>
                <w:sz w:val="21"/>
                <w:szCs w:val="21"/>
              </w:rPr>
              <w:t>计算机软件开发及技术咨询、技术 服务；计算机系统集成；销售计算 机软硬件、通信设备（不含无线电 发射设备）并提供技术服务</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right="96"/>
              <w:jc w:val="right"/>
              <w:rPr>
                <w:rFonts w:ascii="宋体" w:hAnsi="宋体" w:cs="宋体" w:eastAsia="宋体" w:hint="default"/>
                <w:sz w:val="21"/>
                <w:szCs w:val="21"/>
              </w:rPr>
            </w:pPr>
            <w:r>
              <w:rPr>
                <w:rFonts w:ascii="宋体"/>
                <w:sz w:val="21"/>
              </w:rPr>
              <w:t>2,000.00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right="95"/>
              <w:jc w:val="right"/>
              <w:rPr>
                <w:rFonts w:ascii="宋体" w:hAnsi="宋体" w:cs="宋体" w:eastAsia="宋体" w:hint="default"/>
                <w:sz w:val="21"/>
                <w:szCs w:val="21"/>
              </w:rPr>
            </w:pPr>
            <w:r>
              <w:rPr>
                <w:rFonts w:ascii="宋体"/>
                <w:sz w:val="21"/>
              </w:rPr>
              <w:t>0.00</w:t>
            </w:r>
          </w:p>
        </w:tc>
        <w:tc>
          <w:tcPr>
            <w:tcW w:w="14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right="97"/>
              <w:jc w:val="right"/>
              <w:rPr>
                <w:rFonts w:ascii="宋体" w:hAnsi="宋体" w:cs="宋体" w:eastAsia="宋体" w:hint="default"/>
                <w:sz w:val="21"/>
                <w:szCs w:val="21"/>
              </w:rPr>
            </w:pPr>
            <w:r>
              <w:rPr>
                <w:rFonts w:ascii="宋体"/>
                <w:sz w:val="21"/>
              </w:rPr>
              <w:t>1,434.26</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right="97"/>
              <w:jc w:val="right"/>
              <w:rPr>
                <w:rFonts w:ascii="宋体" w:hAnsi="宋体" w:cs="宋体" w:eastAsia="宋体" w:hint="default"/>
                <w:sz w:val="21"/>
                <w:szCs w:val="21"/>
              </w:rPr>
            </w:pPr>
            <w:r>
              <w:rPr>
                <w:rFonts w:ascii="宋体"/>
                <w:sz w:val="21"/>
              </w:rPr>
              <w:t>1,997.43</w:t>
            </w:r>
          </w:p>
        </w:tc>
      </w:tr>
      <w:tr>
        <w:trPr>
          <w:trHeight w:val="935" w:hRule="exact"/>
        </w:trPr>
        <w:tc>
          <w:tcPr>
            <w:tcW w:w="144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41"/>
              <w:ind w:left="98" w:right="276"/>
              <w:jc w:val="both"/>
              <w:rPr>
                <w:rFonts w:ascii="宋体" w:hAnsi="宋体" w:cs="宋体" w:eastAsia="宋体" w:hint="default"/>
                <w:sz w:val="21"/>
                <w:szCs w:val="21"/>
              </w:rPr>
            </w:pPr>
            <w:r>
              <w:rPr>
                <w:rFonts w:ascii="宋体" w:hAnsi="宋体" w:cs="宋体" w:eastAsia="宋体" w:hint="default"/>
                <w:sz w:val="21"/>
                <w:szCs w:val="21"/>
              </w:rPr>
              <w:t>广州石竹计 算机软件有 限公司</w:t>
            </w:r>
          </w:p>
        </w:tc>
        <w:tc>
          <w:tcPr>
            <w:tcW w:w="3375"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41"/>
              <w:ind w:left="97" w:right="-6"/>
              <w:jc w:val="left"/>
              <w:rPr>
                <w:rFonts w:ascii="宋体" w:hAnsi="宋体" w:cs="宋体" w:eastAsia="宋体" w:hint="default"/>
                <w:sz w:val="21"/>
                <w:szCs w:val="21"/>
              </w:rPr>
            </w:pPr>
            <w:r>
              <w:rPr>
                <w:rFonts w:ascii="宋体" w:hAnsi="宋体" w:cs="宋体" w:eastAsia="宋体" w:hint="default"/>
                <w:sz w:val="21"/>
                <w:szCs w:val="21"/>
              </w:rPr>
              <w:t>电子计算机软件、硬件的设计、开 </w:t>
            </w:r>
            <w:r>
              <w:rPr>
                <w:rFonts w:ascii="宋体" w:hAnsi="宋体" w:cs="宋体" w:eastAsia="宋体" w:hint="default"/>
                <w:spacing w:val="-7"/>
                <w:sz w:val="21"/>
                <w:szCs w:val="21"/>
              </w:rPr>
              <w:t>发、技术服务，计算机软件及硬件、</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通信设备的销售及售后</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6"/>
              <w:jc w:val="right"/>
              <w:rPr>
                <w:rFonts w:ascii="宋体" w:hAnsi="宋体" w:cs="宋体" w:eastAsia="宋体" w:hint="default"/>
                <w:sz w:val="21"/>
                <w:szCs w:val="21"/>
              </w:rPr>
            </w:pPr>
            <w:r>
              <w:rPr>
                <w:rFonts w:ascii="宋体"/>
                <w:sz w:val="21"/>
              </w:rPr>
              <w:t>100.00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6"/>
              <w:jc w:val="right"/>
              <w:rPr>
                <w:rFonts w:ascii="宋体" w:hAnsi="宋体" w:cs="宋体" w:eastAsia="宋体" w:hint="default"/>
                <w:sz w:val="21"/>
                <w:szCs w:val="21"/>
              </w:rPr>
            </w:pPr>
            <w:r>
              <w:rPr>
                <w:rFonts w:ascii="宋体"/>
                <w:sz w:val="21"/>
              </w:rPr>
              <w:t>2,685.04</w:t>
            </w:r>
          </w:p>
        </w:tc>
        <w:tc>
          <w:tcPr>
            <w:tcW w:w="14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宋体" w:hAnsi="宋体" w:cs="宋体" w:eastAsia="宋体" w:hint="default"/>
                <w:sz w:val="21"/>
                <w:szCs w:val="21"/>
              </w:rPr>
            </w:pPr>
            <w:r>
              <w:rPr>
                <w:rFonts w:ascii="宋体"/>
                <w:sz w:val="21"/>
              </w:rPr>
              <w:t>563.02</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宋体" w:hAnsi="宋体" w:cs="宋体" w:eastAsia="宋体" w:hint="default"/>
                <w:sz w:val="21"/>
                <w:szCs w:val="21"/>
              </w:rPr>
            </w:pPr>
            <w:r>
              <w:rPr>
                <w:rFonts w:ascii="宋体"/>
                <w:sz w:val="21"/>
              </w:rPr>
              <w:t>7,164.70</w:t>
            </w:r>
          </w:p>
        </w:tc>
      </w:tr>
      <w:tr>
        <w:trPr>
          <w:trHeight w:val="836" w:hRule="exact"/>
        </w:trPr>
        <w:tc>
          <w:tcPr>
            <w:tcW w:w="1446"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98" w:right="98"/>
              <w:jc w:val="left"/>
              <w:rPr>
                <w:rFonts w:ascii="宋体" w:hAnsi="宋体" w:cs="宋体" w:eastAsia="宋体" w:hint="default"/>
                <w:sz w:val="21"/>
                <w:szCs w:val="21"/>
              </w:rPr>
            </w:pPr>
            <w:r>
              <w:rPr>
                <w:rFonts w:ascii="宋体" w:hAnsi="宋体" w:cs="宋体" w:eastAsia="宋体" w:hint="default"/>
                <w:sz w:val="21"/>
                <w:szCs w:val="21"/>
              </w:rPr>
              <w:t>北京华胜天 成股权投资 </w:t>
            </w:r>
            <w:r>
              <w:rPr>
                <w:rFonts w:ascii="宋体" w:hAnsi="宋体" w:cs="宋体" w:eastAsia="宋体" w:hint="default"/>
                <w:spacing w:val="-6"/>
                <w:sz w:val="21"/>
                <w:szCs w:val="21"/>
              </w:rPr>
              <w:t>中心（有限合</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伙）</w:t>
            </w:r>
          </w:p>
        </w:tc>
        <w:tc>
          <w:tcPr>
            <w:tcW w:w="3375" w:type="dxa"/>
            <w:tcBorders>
              <w:top w:val="single" w:sz="8" w:space="0" w:color="000000"/>
              <w:left w:val="single" w:sz="8" w:space="0" w:color="000000"/>
              <w:bottom w:val="nil" w:sz="6" w:space="0" w:color="auto"/>
              <w:right w:val="single" w:sz="8" w:space="0" w:color="000000"/>
            </w:tcBorders>
          </w:tcPr>
          <w:p>
            <w:pPr>
              <w:pStyle w:val="TableParagraph"/>
              <w:spacing w:line="239" w:lineRule="exact"/>
              <w:ind w:left="97" w:right="0"/>
              <w:jc w:val="left"/>
              <w:rPr>
                <w:rFonts w:ascii="宋体" w:hAnsi="宋体" w:cs="宋体" w:eastAsia="宋体" w:hint="default"/>
                <w:sz w:val="21"/>
                <w:szCs w:val="21"/>
              </w:rPr>
            </w:pPr>
            <w:r>
              <w:rPr>
                <w:rFonts w:ascii="宋体" w:hAnsi="宋体" w:cs="宋体" w:eastAsia="宋体" w:hint="default"/>
                <w:sz w:val="21"/>
                <w:szCs w:val="21"/>
              </w:rPr>
              <w:t>许可经营项目：无一般经营项目：</w:t>
            </w:r>
          </w:p>
          <w:p>
            <w:pPr>
              <w:pStyle w:val="TableParagraph"/>
              <w:spacing w:line="272" w:lineRule="exact" w:before="26"/>
              <w:ind w:left="97" w:right="106"/>
              <w:jc w:val="left"/>
              <w:rPr>
                <w:rFonts w:ascii="宋体" w:hAnsi="宋体" w:cs="宋体" w:eastAsia="宋体" w:hint="default"/>
                <w:sz w:val="21"/>
                <w:szCs w:val="21"/>
              </w:rPr>
            </w:pPr>
            <w:r>
              <w:rPr>
                <w:rFonts w:ascii="宋体" w:hAnsi="宋体" w:cs="宋体" w:eastAsia="宋体" w:hint="default"/>
                <w:sz w:val="21"/>
                <w:szCs w:val="21"/>
              </w:rPr>
              <w:t>项目投资；投资管理（未取得行政 许可的项目除外</w:t>
            </w:r>
            <w:r>
              <w:rPr>
                <w:rFonts w:ascii="宋体" w:hAnsi="宋体" w:cs="宋体" w:eastAsia="宋体" w:hint="default"/>
                <w:sz w:val="21"/>
                <w:szCs w:val="21"/>
              </w:rPr>
              <w:t>)</w:t>
            </w:r>
          </w:p>
        </w:tc>
        <w:tc>
          <w:tcPr>
            <w:tcW w:w="1559"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811" w:right="0"/>
              <w:jc w:val="left"/>
              <w:rPr>
                <w:rFonts w:ascii="宋体" w:hAnsi="宋体" w:cs="宋体" w:eastAsia="宋体" w:hint="default"/>
                <w:sz w:val="21"/>
                <w:szCs w:val="21"/>
              </w:rPr>
            </w:pPr>
            <w:r>
              <w:rPr>
                <w:rFonts w:ascii="宋体"/>
                <w:sz w:val="21"/>
              </w:rPr>
              <w:t>300.00</w:t>
            </w:r>
          </w:p>
        </w:tc>
        <w:tc>
          <w:tcPr>
            <w:tcW w:w="1419"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880" w:right="0"/>
              <w:jc w:val="left"/>
              <w:rPr>
                <w:rFonts w:ascii="宋体" w:hAnsi="宋体" w:cs="宋体" w:eastAsia="宋体" w:hint="default"/>
                <w:sz w:val="21"/>
                <w:szCs w:val="21"/>
              </w:rPr>
            </w:pPr>
            <w:r>
              <w:rPr>
                <w:rFonts w:ascii="宋体"/>
                <w:sz w:val="21"/>
              </w:rPr>
              <w:t>0.00</w:t>
            </w:r>
          </w:p>
        </w:tc>
        <w:tc>
          <w:tcPr>
            <w:tcW w:w="1447"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908" w:right="0"/>
              <w:jc w:val="left"/>
              <w:rPr>
                <w:rFonts w:ascii="宋体" w:hAnsi="宋体" w:cs="宋体" w:eastAsia="宋体" w:hint="default"/>
                <w:sz w:val="21"/>
                <w:szCs w:val="21"/>
              </w:rPr>
            </w:pPr>
            <w:r>
              <w:rPr>
                <w:rFonts w:ascii="宋体"/>
                <w:sz w:val="21"/>
              </w:rPr>
              <w:t>1.06</w:t>
            </w:r>
          </w:p>
        </w:tc>
        <w:tc>
          <w:tcPr>
            <w:tcW w:w="1246"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96" w:right="0"/>
              <w:jc w:val="left"/>
              <w:rPr>
                <w:rFonts w:ascii="宋体" w:hAnsi="宋体" w:cs="宋体" w:eastAsia="宋体" w:hint="default"/>
                <w:sz w:val="21"/>
                <w:szCs w:val="21"/>
              </w:rPr>
            </w:pPr>
            <w:r>
              <w:rPr>
                <w:rFonts w:ascii="宋体"/>
                <w:sz w:val="21"/>
              </w:rPr>
              <w:t>302.05</w:t>
            </w:r>
          </w:p>
        </w:tc>
      </w:tr>
      <w:tr>
        <w:trPr>
          <w:trHeight w:val="1111" w:hRule="exact"/>
        </w:trPr>
        <w:tc>
          <w:tcPr>
            <w:tcW w:w="1446" w:type="dxa"/>
            <w:vMerge/>
            <w:tcBorders>
              <w:left w:val="single" w:sz="8" w:space="0" w:color="000000"/>
              <w:bottom w:val="single" w:sz="8" w:space="0" w:color="000000"/>
              <w:right w:val="single" w:sz="8" w:space="0" w:color="000000"/>
            </w:tcBorders>
          </w:tcPr>
          <w:p>
            <w:pPr/>
          </w:p>
        </w:tc>
        <w:tc>
          <w:tcPr>
            <w:tcW w:w="3375" w:type="dxa"/>
            <w:tcBorders>
              <w:top w:val="nil" w:sz="6" w:space="0" w:color="auto"/>
              <w:left w:val="single" w:sz="8" w:space="0" w:color="000000"/>
              <w:bottom w:val="single" w:sz="8" w:space="0" w:color="000000"/>
              <w:right w:val="single" w:sz="8" w:space="0" w:color="000000"/>
            </w:tcBorders>
          </w:tcPr>
          <w:p>
            <w:pPr>
              <w:pStyle w:val="TableParagraph"/>
              <w:spacing w:line="272" w:lineRule="exact" w:before="4"/>
              <w:ind w:left="97" w:right="106"/>
              <w:jc w:val="both"/>
              <w:rPr>
                <w:rFonts w:ascii="宋体" w:hAnsi="宋体" w:cs="宋体" w:eastAsia="宋体" w:hint="default"/>
                <w:sz w:val="21"/>
                <w:szCs w:val="21"/>
              </w:rPr>
            </w:pPr>
            <w:r>
              <w:rPr>
                <w:rFonts w:ascii="宋体" w:hAnsi="宋体" w:cs="宋体" w:eastAsia="宋体" w:hint="default"/>
                <w:sz w:val="21"/>
                <w:szCs w:val="21"/>
              </w:rPr>
              <w:t>技术咨询、技术服务、技术推广、 技术开发；产品设计、生产计算机 软硬件；销售计算机、软件及辅助 设备、电子产品。</w:t>
            </w:r>
          </w:p>
        </w:tc>
        <w:tc>
          <w:tcPr>
            <w:tcW w:w="1559" w:type="dxa"/>
            <w:vMerge/>
            <w:tcBorders>
              <w:left w:val="single" w:sz="8" w:space="0" w:color="000000"/>
              <w:bottom w:val="single" w:sz="8" w:space="0" w:color="000000"/>
              <w:right w:val="single" w:sz="8" w:space="0" w:color="000000"/>
            </w:tcBorders>
          </w:tcPr>
          <w:p>
            <w:pPr/>
          </w:p>
        </w:tc>
        <w:tc>
          <w:tcPr>
            <w:tcW w:w="1419" w:type="dxa"/>
            <w:vMerge/>
            <w:tcBorders>
              <w:left w:val="single" w:sz="8" w:space="0" w:color="000000"/>
              <w:bottom w:val="single" w:sz="8" w:space="0" w:color="000000"/>
              <w:right w:val="single" w:sz="8" w:space="0" w:color="000000"/>
            </w:tcBorders>
          </w:tcPr>
          <w:p>
            <w:pPr/>
          </w:p>
        </w:tc>
        <w:tc>
          <w:tcPr>
            <w:tcW w:w="1447" w:type="dxa"/>
            <w:vMerge/>
            <w:tcBorders>
              <w:left w:val="single" w:sz="8" w:space="0" w:color="000000"/>
              <w:bottom w:val="single" w:sz="8" w:space="0" w:color="000000"/>
              <w:right w:val="single" w:sz="8" w:space="0" w:color="000000"/>
            </w:tcBorders>
          </w:tcPr>
          <w:p>
            <w:pPr/>
          </w:p>
        </w:tc>
        <w:tc>
          <w:tcPr>
            <w:tcW w:w="1246" w:type="dxa"/>
            <w:vMerge/>
            <w:tcBorders>
              <w:left w:val="single" w:sz="8" w:space="0" w:color="000000"/>
              <w:bottom w:val="single" w:sz="8" w:space="0" w:color="000000"/>
              <w:right w:val="single" w:sz="8" w:space="0" w:color="000000"/>
            </w:tcBorders>
          </w:tcPr>
          <w:p>
            <w:pPr/>
          </w:p>
        </w:tc>
      </w:tr>
      <w:tr>
        <w:trPr>
          <w:trHeight w:val="1649" w:hRule="exact"/>
        </w:trPr>
        <w:tc>
          <w:tcPr>
            <w:tcW w:w="1446"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98" w:right="276"/>
              <w:jc w:val="left"/>
              <w:rPr>
                <w:rFonts w:ascii="宋体" w:hAnsi="宋体" w:cs="宋体" w:eastAsia="宋体" w:hint="default"/>
                <w:sz w:val="21"/>
                <w:szCs w:val="21"/>
              </w:rPr>
            </w:pPr>
            <w:r>
              <w:rPr>
                <w:rFonts w:ascii="宋体" w:hAnsi="宋体" w:cs="宋体" w:eastAsia="宋体" w:hint="default"/>
                <w:sz w:val="21"/>
                <w:szCs w:val="21"/>
              </w:rPr>
              <w:t>华胜信泰科 技有限公司</w:t>
            </w:r>
          </w:p>
        </w:tc>
        <w:tc>
          <w:tcPr>
            <w:tcW w:w="3375" w:type="dxa"/>
            <w:tcBorders>
              <w:top w:val="single" w:sz="8" w:space="0" w:color="000000"/>
              <w:left w:val="single" w:sz="8" w:space="0" w:color="000000"/>
              <w:bottom w:val="single" w:sz="4" w:space="0" w:color="000000"/>
              <w:right w:val="single" w:sz="8" w:space="0" w:color="000000"/>
            </w:tcBorders>
          </w:tcPr>
          <w:p>
            <w:pPr>
              <w:pStyle w:val="TableParagraph"/>
              <w:spacing w:line="238" w:lineRule="exact"/>
              <w:ind w:left="97" w:right="0"/>
              <w:jc w:val="both"/>
              <w:rPr>
                <w:rFonts w:ascii="宋体" w:hAnsi="宋体" w:cs="宋体" w:eastAsia="宋体" w:hint="default"/>
                <w:sz w:val="21"/>
                <w:szCs w:val="21"/>
              </w:rPr>
            </w:pPr>
            <w:r>
              <w:rPr>
                <w:rFonts w:ascii="宋体" w:hAnsi="宋体" w:cs="宋体" w:eastAsia="宋体" w:hint="default"/>
                <w:sz w:val="21"/>
                <w:szCs w:val="21"/>
              </w:rPr>
              <w:t>技术开发、技术咨询、技术服务、</w:t>
            </w:r>
          </w:p>
          <w:p>
            <w:pPr>
              <w:pStyle w:val="TableParagraph"/>
              <w:spacing w:line="272" w:lineRule="exact" w:before="26"/>
              <w:ind w:left="97" w:right="106"/>
              <w:jc w:val="both"/>
              <w:rPr>
                <w:rFonts w:ascii="宋体" w:hAnsi="宋体" w:cs="宋体" w:eastAsia="宋体" w:hint="default"/>
                <w:sz w:val="21"/>
                <w:szCs w:val="21"/>
              </w:rPr>
            </w:pPr>
            <w:r>
              <w:rPr>
                <w:rFonts w:ascii="宋体" w:hAnsi="宋体" w:cs="宋体" w:eastAsia="宋体" w:hint="default"/>
                <w:sz w:val="21"/>
                <w:szCs w:val="21"/>
              </w:rPr>
              <w:t>技术培训；销售计算机、软件及辅 助设备、通讯设备、仪器仪表；计 算机系统服务；应用软件服务；基 础软件服务；软件开发；技术进出 口。</w:t>
            </w:r>
          </w:p>
        </w:tc>
        <w:tc>
          <w:tcPr>
            <w:tcW w:w="1559"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5"/>
              <w:jc w:val="right"/>
              <w:rPr>
                <w:rFonts w:ascii="宋体" w:hAnsi="宋体" w:cs="宋体" w:eastAsia="宋体" w:hint="default"/>
                <w:sz w:val="21"/>
                <w:szCs w:val="21"/>
              </w:rPr>
            </w:pPr>
            <w:r>
              <w:rPr>
                <w:rFonts w:ascii="宋体"/>
                <w:sz w:val="21"/>
              </w:rPr>
              <w:t>50,000.00</w:t>
            </w:r>
          </w:p>
        </w:tc>
        <w:tc>
          <w:tcPr>
            <w:tcW w:w="1419"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sz w:val="21"/>
              </w:rPr>
              <w:t>0.00</w:t>
            </w:r>
          </w:p>
        </w:tc>
        <w:tc>
          <w:tcPr>
            <w:tcW w:w="1447"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-25.60</w:t>
            </w:r>
          </w:p>
        </w:tc>
        <w:tc>
          <w:tcPr>
            <w:tcW w:w="1246"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7"/>
              <w:jc w:val="right"/>
              <w:rPr>
                <w:rFonts w:ascii="宋体" w:hAnsi="宋体" w:cs="宋体" w:eastAsia="宋体" w:hint="default"/>
                <w:sz w:val="21"/>
                <w:szCs w:val="21"/>
              </w:rPr>
            </w:pPr>
            <w:r>
              <w:rPr>
                <w:rFonts w:ascii="宋体"/>
                <w:sz w:val="21"/>
              </w:rPr>
              <w:t>9,974.40</w:t>
            </w:r>
          </w:p>
        </w:tc>
      </w:tr>
      <w:tr>
        <w:trPr>
          <w:trHeight w:val="1921" w:hRule="exact"/>
        </w:trPr>
        <w:tc>
          <w:tcPr>
            <w:tcW w:w="1446" w:type="dxa"/>
            <w:tcBorders>
              <w:top w:val="single" w:sz="4" w:space="0" w:color="000000"/>
              <w:left w:val="single" w:sz="8" w:space="0" w:color="000000"/>
              <w:bottom w:val="single" w:sz="8" w:space="0" w:color="000000"/>
              <w:right w:val="single" w:sz="8" w:space="0" w:color="000000"/>
            </w:tcBorders>
          </w:tcPr>
          <w:p>
            <w:pPr>
              <w:pStyle w:val="TableParagraph"/>
              <w:spacing w:line="239" w:lineRule="exact"/>
              <w:ind w:left="98" w:right="0"/>
              <w:jc w:val="both"/>
              <w:rPr>
                <w:rFonts w:ascii="宋体" w:hAnsi="宋体" w:cs="宋体" w:eastAsia="宋体" w:hint="default"/>
                <w:sz w:val="21"/>
                <w:szCs w:val="21"/>
              </w:rPr>
            </w:pPr>
            <w:r>
              <w:rPr>
                <w:rFonts w:ascii="宋体" w:hAnsi="宋体" w:cs="宋体" w:eastAsia="宋体" w:hint="default"/>
                <w:sz w:val="21"/>
                <w:szCs w:val="21"/>
              </w:rPr>
              <w:t>北京华胜天</w:t>
            </w:r>
          </w:p>
          <w:p>
            <w:pPr>
              <w:pStyle w:val="TableParagraph"/>
              <w:spacing w:line="272" w:lineRule="exact" w:before="26"/>
              <w:ind w:left="98" w:right="276"/>
              <w:jc w:val="both"/>
              <w:rPr>
                <w:rFonts w:ascii="宋体" w:hAnsi="宋体" w:cs="宋体" w:eastAsia="宋体" w:hint="default"/>
                <w:sz w:val="21"/>
                <w:szCs w:val="21"/>
              </w:rPr>
            </w:pPr>
            <w:r>
              <w:rPr>
                <w:rFonts w:ascii="宋体" w:hAnsi="宋体" w:cs="宋体" w:eastAsia="宋体" w:hint="default"/>
                <w:sz w:val="21"/>
                <w:szCs w:val="21"/>
              </w:rPr>
              <w:t>成低碳产业 创业投资中 心（有限合 伙）</w:t>
            </w:r>
          </w:p>
        </w:tc>
        <w:tc>
          <w:tcPr>
            <w:tcW w:w="3375" w:type="dxa"/>
            <w:tcBorders>
              <w:top w:val="single" w:sz="4" w:space="0" w:color="000000"/>
              <w:left w:val="single" w:sz="8" w:space="0" w:color="000000"/>
              <w:bottom w:val="single" w:sz="8" w:space="0" w:color="000000"/>
              <w:right w:val="single" w:sz="8" w:space="0" w:color="000000"/>
            </w:tcBorders>
          </w:tcPr>
          <w:p>
            <w:pPr>
              <w:pStyle w:val="TableParagraph"/>
              <w:spacing w:line="239" w:lineRule="exact"/>
              <w:ind w:left="97" w:right="0"/>
              <w:jc w:val="left"/>
              <w:rPr>
                <w:rFonts w:ascii="宋体" w:hAnsi="宋体" w:cs="宋体" w:eastAsia="宋体" w:hint="default"/>
                <w:sz w:val="21"/>
                <w:szCs w:val="21"/>
              </w:rPr>
            </w:pPr>
            <w:r>
              <w:rPr>
                <w:rFonts w:ascii="宋体" w:hAnsi="宋体" w:cs="宋体" w:eastAsia="宋体" w:hint="default"/>
                <w:sz w:val="21"/>
                <w:szCs w:val="21"/>
              </w:rPr>
              <w:t>许可经营项目：无</w:t>
            </w:r>
          </w:p>
          <w:p>
            <w:pPr>
              <w:pStyle w:val="TableParagraph"/>
              <w:spacing w:line="272" w:lineRule="exact" w:before="26"/>
              <w:ind w:left="97" w:right="106" w:firstLine="211"/>
              <w:jc w:val="both"/>
              <w:rPr>
                <w:rFonts w:ascii="宋体" w:hAnsi="宋体" w:cs="宋体" w:eastAsia="宋体" w:hint="default"/>
                <w:sz w:val="21"/>
                <w:szCs w:val="21"/>
              </w:rPr>
            </w:pPr>
            <w:r>
              <w:rPr>
                <w:rFonts w:ascii="宋体" w:hAnsi="宋体" w:cs="宋体" w:eastAsia="宋体" w:hint="default"/>
                <w:sz w:val="21"/>
                <w:szCs w:val="21"/>
              </w:rPr>
              <w:t>一般经营项目：创业投资业务； 代理其他创业投资企业等机构或个 人的创业投资业务；创业投资咨询 业务；为创业企业提供创业管理服 务业务。（未取得行政许可的项目 除外</w:t>
            </w:r>
            <w:r>
              <w:rPr>
                <w:rFonts w:ascii="宋体" w:hAnsi="宋体" w:cs="宋体" w:eastAsia="宋体" w:hint="default"/>
                <w:sz w:val="21"/>
                <w:szCs w:val="21"/>
              </w:rPr>
              <w:t>)</w:t>
            </w:r>
          </w:p>
        </w:tc>
        <w:tc>
          <w:tcPr>
            <w:tcW w:w="1559" w:type="dxa"/>
            <w:tcBorders>
              <w:top w:val="single" w:sz="4" w:space="0" w:color="000000"/>
              <w:left w:val="single" w:sz="8" w:space="0" w:color="000000"/>
              <w:bottom w:val="single" w:sz="8" w:space="0" w:color="000000"/>
              <w:right w:val="single" w:sz="8" w:space="0" w:color="000000"/>
            </w:tcBorders>
          </w:tcPr>
          <w:p>
            <w:pPr>
              <w:pStyle w:val="TableParagraph"/>
              <w:spacing w:line="241" w:lineRule="exact"/>
              <w:ind w:left="414" w:right="0"/>
              <w:jc w:val="left"/>
              <w:rPr>
                <w:rFonts w:ascii="宋体" w:hAnsi="宋体" w:cs="宋体" w:eastAsia="宋体" w:hint="default"/>
                <w:sz w:val="21"/>
                <w:szCs w:val="21"/>
              </w:rPr>
            </w:pPr>
            <w:r>
              <w:rPr>
                <w:rFonts w:ascii="宋体"/>
                <w:sz w:val="21"/>
              </w:rPr>
              <w:t>15,600.00</w:t>
            </w:r>
          </w:p>
        </w:tc>
        <w:tc>
          <w:tcPr>
            <w:tcW w:w="1419" w:type="dxa"/>
            <w:tcBorders>
              <w:top w:val="single" w:sz="4" w:space="0" w:color="000000"/>
              <w:left w:val="single" w:sz="8" w:space="0" w:color="000000"/>
              <w:bottom w:val="single" w:sz="8" w:space="0" w:color="000000"/>
              <w:right w:val="single" w:sz="8"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w:t>
            </w:r>
          </w:p>
        </w:tc>
        <w:tc>
          <w:tcPr>
            <w:tcW w:w="1447" w:type="dxa"/>
            <w:tcBorders>
              <w:top w:val="single" w:sz="4" w:space="0" w:color="000000"/>
              <w:left w:val="single" w:sz="8" w:space="0" w:color="000000"/>
              <w:bottom w:val="single" w:sz="8" w:space="0" w:color="000000"/>
              <w:right w:val="single" w:sz="8" w:space="0" w:color="000000"/>
            </w:tcBorders>
          </w:tcPr>
          <w:p>
            <w:pPr>
              <w:pStyle w:val="TableParagraph"/>
              <w:spacing w:line="241" w:lineRule="exact"/>
              <w:ind w:left="97" w:right="0"/>
              <w:jc w:val="left"/>
              <w:rPr>
                <w:rFonts w:ascii="宋体" w:hAnsi="宋体" w:cs="宋体" w:eastAsia="宋体" w:hint="default"/>
                <w:sz w:val="21"/>
                <w:szCs w:val="21"/>
              </w:rPr>
            </w:pPr>
            <w:r>
              <w:rPr>
                <w:rFonts w:ascii="宋体"/>
                <w:sz w:val="21"/>
              </w:rPr>
              <w:t>-503.62</w:t>
            </w:r>
          </w:p>
        </w:tc>
        <w:tc>
          <w:tcPr>
            <w:tcW w:w="1246" w:type="dxa"/>
            <w:tcBorders>
              <w:top w:val="single" w:sz="4" w:space="0" w:color="000000"/>
              <w:left w:val="single" w:sz="8" w:space="0" w:color="000000"/>
              <w:bottom w:val="single" w:sz="8" w:space="0" w:color="000000"/>
              <w:right w:val="single" w:sz="8" w:space="0" w:color="000000"/>
            </w:tcBorders>
          </w:tcPr>
          <w:p>
            <w:pPr>
              <w:pStyle w:val="TableParagraph"/>
              <w:spacing w:line="241" w:lineRule="exact"/>
              <w:ind w:left="97" w:right="0"/>
              <w:jc w:val="left"/>
              <w:rPr>
                <w:rFonts w:ascii="宋体" w:hAnsi="宋体" w:cs="宋体" w:eastAsia="宋体" w:hint="default"/>
                <w:sz w:val="21"/>
                <w:szCs w:val="21"/>
              </w:rPr>
            </w:pPr>
            <w:r>
              <w:rPr>
                <w:rFonts w:ascii="宋体"/>
                <w:sz w:val="21"/>
              </w:rPr>
              <w:t>15,096.38</w:t>
            </w:r>
          </w:p>
        </w:tc>
      </w:tr>
    </w:tbl>
    <w:p>
      <w:pPr>
        <w:pStyle w:val="BodyText"/>
        <w:spacing w:line="310" w:lineRule="exact" w:before="115"/>
        <w:ind w:left="1118" w:right="779"/>
        <w:jc w:val="left"/>
      </w:pPr>
      <w:r>
        <w:rPr>
          <w:spacing w:val="-2"/>
        </w:rPr>
        <w:t>说明：深圳华胜天成信息技术有限公司、成都华胜天成信息技术有限公司本期因核销</w:t>
      </w:r>
      <w:r>
        <w:rPr>
          <w:spacing w:val="-94"/>
        </w:rPr>
        <w:t> </w:t>
      </w:r>
      <w:r>
        <w:rPr>
          <w:spacing w:val="-94"/>
        </w:rPr>
      </w:r>
      <w:r>
        <w:rPr/>
        <w:t>公司间坏账准备，导致净利润波动较大。</w:t>
      </w:r>
    </w:p>
    <w:p>
      <w:pPr>
        <w:spacing w:after="0" w:line="310" w:lineRule="exact"/>
        <w:jc w:val="left"/>
        <w:sectPr>
          <w:pgSz w:w="11910" w:h="16840"/>
          <w:pgMar w:header="882" w:footer="1194" w:top="1080" w:bottom="1380" w:left="680" w:right="480"/>
        </w:sectPr>
      </w:pPr>
    </w:p>
    <w:p>
      <w:pPr>
        <w:spacing w:line="240" w:lineRule="auto" w:before="1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4" w:top="1080" w:bottom="1380" w:left="1580" w:right="1040"/>
        </w:sectPr>
      </w:pPr>
    </w:p>
    <w:p>
      <w:pPr>
        <w:pStyle w:val="Heading2"/>
        <w:spacing w:line="240" w:lineRule="auto"/>
        <w:ind w:right="-12"/>
        <w:jc w:val="left"/>
        <w:rPr>
          <w:b w:val="0"/>
          <w:bCs w:val="0"/>
        </w:rPr>
      </w:pPr>
      <w:r>
        <w:rPr>
          <w:rFonts w:ascii="宋体" w:hAnsi="宋体" w:cs="宋体" w:eastAsia="宋体" w:hint="default"/>
        </w:rPr>
        <w:t>5</w:t>
      </w:r>
      <w:r>
        <w:rPr/>
        <w:t>、</w:t>
      </w:r>
      <w:r>
        <w:rPr>
          <w:spacing w:val="-73"/>
        </w:rPr>
        <w:t> </w:t>
      </w:r>
      <w:r>
        <w:rPr/>
        <w:t>非募集资金项目情况</w:t>
      </w:r>
      <w:r>
        <w:rPr>
          <w:b w:val="0"/>
          <w:bCs w:val="0"/>
        </w:rPr>
      </w:r>
    </w:p>
    <w:p>
      <w:pPr>
        <w:spacing w:before="60"/>
        <w:ind w:left="218" w:right="-1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tabs>
          <w:tab w:pos="1163" w:val="left" w:leader="none"/>
        </w:tabs>
        <w:spacing w:before="149"/>
        <w:ind w:left="218"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w:t>
        <w:tab/>
        <w:t>币种</w:t>
      </w:r>
      <w:r>
        <w:rPr>
          <w:rFonts w:ascii="宋体" w:hAnsi="宋体" w:cs="宋体" w:eastAsia="宋体" w:hint="default"/>
          <w:sz w:val="21"/>
          <w:szCs w:val="21"/>
        </w:rPr>
        <w:t>:</w:t>
      </w:r>
      <w:r>
        <w:rPr>
          <w:rFonts w:ascii="宋体" w:hAnsi="宋体" w:cs="宋体" w:eastAsia="宋体" w:hint="default"/>
          <w:sz w:val="21"/>
          <w:szCs w:val="21"/>
        </w:rPr>
        <w:t>人民币</w:t>
      </w:r>
    </w:p>
    <w:p>
      <w:pPr>
        <w:spacing w:after="0"/>
        <w:jc w:val="left"/>
        <w:rPr>
          <w:rFonts w:ascii="宋体" w:hAnsi="宋体" w:cs="宋体" w:eastAsia="宋体" w:hint="default"/>
          <w:sz w:val="21"/>
          <w:szCs w:val="21"/>
        </w:rPr>
        <w:sectPr>
          <w:type w:val="continuous"/>
          <w:pgSz w:w="11910" w:h="16840"/>
          <w:pgMar w:top="1080" w:bottom="1380" w:left="1580" w:right="1040"/>
          <w:cols w:num="2" w:equalWidth="0">
            <w:col w:w="2805" w:space="3930"/>
            <w:col w:w="255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10"/>
        <w:gridCol w:w="1507"/>
        <w:gridCol w:w="1509"/>
        <w:gridCol w:w="1508"/>
        <w:gridCol w:w="1508"/>
        <w:gridCol w:w="1508"/>
      </w:tblGrid>
      <w:tr>
        <w:trPr>
          <w:trHeight w:val="555"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2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27" w:right="0"/>
              <w:jc w:val="left"/>
              <w:rPr>
                <w:rFonts w:ascii="宋体" w:hAnsi="宋体" w:cs="宋体" w:eastAsia="宋体" w:hint="default"/>
                <w:sz w:val="21"/>
                <w:szCs w:val="21"/>
              </w:rPr>
            </w:pPr>
            <w:r>
              <w:rPr>
                <w:rFonts w:ascii="宋体" w:hAnsi="宋体" w:cs="宋体" w:eastAsia="宋体" w:hint="default"/>
                <w:sz w:val="21"/>
                <w:szCs w:val="21"/>
              </w:rPr>
              <w:t>项目金额</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29" w:right="0"/>
              <w:jc w:val="left"/>
              <w:rPr>
                <w:rFonts w:ascii="宋体" w:hAnsi="宋体" w:cs="宋体" w:eastAsia="宋体" w:hint="default"/>
                <w:sz w:val="21"/>
                <w:szCs w:val="21"/>
              </w:rPr>
            </w:pPr>
            <w:r>
              <w:rPr>
                <w:rFonts w:ascii="宋体" w:hAnsi="宋体" w:cs="宋体" w:eastAsia="宋体" w:hint="default"/>
                <w:sz w:val="21"/>
                <w:szCs w:val="21"/>
              </w:rPr>
              <w:t>项目进度</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本年度投入金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额</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累计实际投入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19"/>
              <w:jc w:val="right"/>
              <w:rPr>
                <w:rFonts w:ascii="宋体" w:hAnsi="宋体" w:cs="宋体" w:eastAsia="宋体" w:hint="default"/>
                <w:sz w:val="21"/>
                <w:szCs w:val="21"/>
              </w:rPr>
            </w:pPr>
            <w:r>
              <w:rPr>
                <w:rFonts w:ascii="宋体" w:hAnsi="宋体" w:cs="宋体" w:eastAsia="宋体" w:hint="default"/>
                <w:sz w:val="21"/>
                <w:szCs w:val="21"/>
              </w:rPr>
              <w:t>项目收益情况</w:t>
            </w:r>
          </w:p>
        </w:tc>
      </w:tr>
      <w:tr>
        <w:trPr>
          <w:trHeight w:val="1100"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北京中域绿色</w:t>
            </w:r>
          </w:p>
          <w:p>
            <w:pPr>
              <w:pStyle w:val="TableParagraph"/>
              <w:spacing w:line="272" w:lineRule="exact" w:before="26"/>
              <w:ind w:left="103" w:right="103"/>
              <w:jc w:val="both"/>
              <w:rPr>
                <w:rFonts w:ascii="宋体" w:hAnsi="宋体" w:cs="宋体" w:eastAsia="宋体" w:hint="default"/>
                <w:sz w:val="21"/>
                <w:szCs w:val="21"/>
              </w:rPr>
            </w:pPr>
            <w:r>
              <w:rPr>
                <w:rFonts w:ascii="宋体" w:hAnsi="宋体" w:cs="宋体" w:eastAsia="宋体" w:hint="default"/>
                <w:spacing w:val="4"/>
                <w:sz w:val="21"/>
                <w:szCs w:val="21"/>
              </w:rPr>
              <w:t>智能城市系统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研究院（有限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合伙）</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2,997,000</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已出资</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2,397,000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2,997,000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1,248,938.75</w:t>
            </w:r>
          </w:p>
        </w:tc>
      </w:tr>
      <w:tr>
        <w:trPr>
          <w:trHeight w:val="827"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北京新云东方</w:t>
            </w:r>
          </w:p>
          <w:p>
            <w:pPr>
              <w:pStyle w:val="TableParagraph"/>
              <w:spacing w:line="272" w:lineRule="exact" w:before="26"/>
              <w:ind w:left="103" w:right="103"/>
              <w:jc w:val="left"/>
              <w:rPr>
                <w:rFonts w:ascii="宋体" w:hAnsi="宋体" w:cs="宋体" w:eastAsia="宋体" w:hint="default"/>
                <w:sz w:val="21"/>
                <w:szCs w:val="21"/>
              </w:rPr>
            </w:pPr>
            <w:r>
              <w:rPr>
                <w:rFonts w:ascii="宋体" w:hAnsi="宋体" w:cs="宋体" w:eastAsia="宋体" w:hint="default"/>
                <w:spacing w:val="4"/>
                <w:sz w:val="21"/>
                <w:szCs w:val="21"/>
              </w:rPr>
              <w:t>系统科技有限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责任公司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35,000,000</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已出资</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35,000,000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35,000,000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-338,869.75</w:t>
            </w:r>
          </w:p>
        </w:tc>
      </w:tr>
      <w:tr>
        <w:trPr>
          <w:trHeight w:val="827"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华胜蓝泰科技</w:t>
            </w:r>
          </w:p>
          <w:p>
            <w:pPr>
              <w:pStyle w:val="TableParagraph"/>
              <w:spacing w:line="272" w:lineRule="exact" w:before="26"/>
              <w:ind w:left="103" w:right="103"/>
              <w:jc w:val="left"/>
              <w:rPr>
                <w:rFonts w:ascii="宋体" w:hAnsi="宋体" w:cs="宋体" w:eastAsia="宋体" w:hint="default"/>
                <w:sz w:val="21"/>
                <w:szCs w:val="21"/>
              </w:rPr>
            </w:pPr>
            <w:r>
              <w:rPr>
                <w:rFonts w:ascii="宋体" w:hAnsi="宋体" w:cs="宋体" w:eastAsia="宋体" w:hint="default"/>
                <w:spacing w:val="4"/>
                <w:sz w:val="21"/>
                <w:szCs w:val="21"/>
              </w:rPr>
              <w:t>（天津）有限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责任公司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10,410,000</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已出资</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10,410,000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10,410,000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-205,442.17</w:t>
            </w:r>
          </w:p>
        </w:tc>
      </w:tr>
      <w:tr>
        <w:trPr>
          <w:trHeight w:val="827"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广州石竹计算</w:t>
            </w:r>
          </w:p>
          <w:p>
            <w:pPr>
              <w:pStyle w:val="TableParagraph"/>
              <w:spacing w:line="272" w:lineRule="exact" w:before="26"/>
              <w:ind w:left="103" w:right="103"/>
              <w:jc w:val="left"/>
              <w:rPr>
                <w:rFonts w:ascii="宋体" w:hAnsi="宋体" w:cs="宋体" w:eastAsia="宋体" w:hint="default"/>
                <w:sz w:val="21"/>
                <w:szCs w:val="21"/>
              </w:rPr>
            </w:pPr>
            <w:r>
              <w:rPr>
                <w:rFonts w:ascii="宋体" w:hAnsi="宋体" w:cs="宋体" w:eastAsia="宋体" w:hint="default"/>
                <w:spacing w:val="4"/>
                <w:sz w:val="21"/>
                <w:szCs w:val="21"/>
              </w:rPr>
              <w:t>机软件有限公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115,020,000</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已出资</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12,720,000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115,020,000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5,067,175.09</w:t>
            </w:r>
          </w:p>
        </w:tc>
      </w:tr>
      <w:tr>
        <w:trPr>
          <w:trHeight w:val="827"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浙江兰德纵横</w:t>
            </w:r>
          </w:p>
          <w:p>
            <w:pPr>
              <w:pStyle w:val="TableParagraph"/>
              <w:spacing w:line="272" w:lineRule="exact" w:before="26"/>
              <w:ind w:left="103" w:right="103"/>
              <w:jc w:val="left"/>
              <w:rPr>
                <w:rFonts w:ascii="宋体" w:hAnsi="宋体" w:cs="宋体" w:eastAsia="宋体" w:hint="default"/>
                <w:sz w:val="21"/>
                <w:szCs w:val="21"/>
              </w:rPr>
            </w:pPr>
            <w:r>
              <w:rPr>
                <w:rFonts w:ascii="宋体" w:hAnsi="宋体" w:cs="宋体" w:eastAsia="宋体" w:hint="default"/>
                <w:spacing w:val="4"/>
                <w:sz w:val="21"/>
                <w:szCs w:val="21"/>
              </w:rPr>
              <w:t>网络技术有限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27,126,900</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已出资</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2,712,690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27,126,900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9,695,434.08</w:t>
            </w:r>
          </w:p>
        </w:tc>
      </w:tr>
      <w:tr>
        <w:trPr>
          <w:trHeight w:val="827"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华胜天成（中</w:t>
            </w:r>
          </w:p>
          <w:p>
            <w:pPr>
              <w:pStyle w:val="TableParagraph"/>
              <w:spacing w:line="272" w:lineRule="exact" w:before="26"/>
              <w:ind w:left="103" w:right="103"/>
              <w:jc w:val="left"/>
              <w:rPr>
                <w:rFonts w:ascii="宋体" w:hAnsi="宋体" w:cs="宋体" w:eastAsia="宋体" w:hint="default"/>
                <w:sz w:val="21"/>
                <w:szCs w:val="21"/>
              </w:rPr>
            </w:pPr>
            <w:r>
              <w:rPr>
                <w:rFonts w:ascii="宋体" w:hAnsi="宋体" w:cs="宋体" w:eastAsia="宋体" w:hint="default"/>
                <w:spacing w:val="4"/>
                <w:sz w:val="21"/>
                <w:szCs w:val="21"/>
              </w:rPr>
              <w:t>国）融资租赁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183,570,000</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已出资</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61,190,000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183,570,000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9,454,234.31</w:t>
            </w:r>
          </w:p>
        </w:tc>
      </w:tr>
      <w:tr>
        <w:trPr>
          <w:trHeight w:val="1101"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北京华胜天成</w:t>
            </w:r>
          </w:p>
          <w:p>
            <w:pPr>
              <w:pStyle w:val="TableParagraph"/>
              <w:spacing w:line="272" w:lineRule="exact" w:before="26"/>
              <w:ind w:left="103" w:right="103"/>
              <w:jc w:val="both"/>
              <w:rPr>
                <w:rFonts w:ascii="宋体" w:hAnsi="宋体" w:cs="宋体" w:eastAsia="宋体" w:hint="default"/>
                <w:sz w:val="21"/>
                <w:szCs w:val="21"/>
              </w:rPr>
            </w:pPr>
            <w:r>
              <w:rPr>
                <w:rFonts w:ascii="宋体" w:hAnsi="宋体" w:cs="宋体" w:eastAsia="宋体" w:hint="default"/>
                <w:spacing w:val="4"/>
                <w:sz w:val="21"/>
                <w:szCs w:val="21"/>
              </w:rPr>
              <w:t>低碳产业创业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投资中心（有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限合伙）</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55,000,000</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已出资</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38,500,000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38,500,000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-989,616.29</w:t>
            </w:r>
          </w:p>
        </w:tc>
      </w:tr>
      <w:tr>
        <w:trPr>
          <w:trHeight w:val="554"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华胜信泰科技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500,000,000</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已出资</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-256,019.59</w:t>
            </w:r>
          </w:p>
        </w:tc>
      </w:tr>
      <w:tr>
        <w:trPr>
          <w:trHeight w:val="827"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石家庄华胜正</w:t>
            </w:r>
          </w:p>
          <w:p>
            <w:pPr>
              <w:pStyle w:val="TableParagraph"/>
              <w:spacing w:line="272" w:lineRule="exact" w:before="26"/>
              <w:ind w:left="103" w:right="103"/>
              <w:jc w:val="left"/>
              <w:rPr>
                <w:rFonts w:ascii="宋体" w:hAnsi="宋体" w:cs="宋体" w:eastAsia="宋体" w:hint="default"/>
                <w:sz w:val="21"/>
                <w:szCs w:val="21"/>
              </w:rPr>
            </w:pPr>
            <w:r>
              <w:rPr>
                <w:rFonts w:ascii="宋体" w:hAnsi="宋体" w:cs="宋体" w:eastAsia="宋体" w:hint="default"/>
                <w:spacing w:val="4"/>
                <w:sz w:val="21"/>
                <w:szCs w:val="21"/>
              </w:rPr>
              <w:t>明软件技术有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6,650,000</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已出资</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6,650,000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6,650,000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-186,918.45</w:t>
            </w:r>
          </w:p>
        </w:tc>
      </w:tr>
      <w:tr>
        <w:trPr>
          <w:trHeight w:val="827"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天津兰德纵横</w:t>
            </w:r>
          </w:p>
          <w:p>
            <w:pPr>
              <w:pStyle w:val="TableParagraph"/>
              <w:spacing w:line="272" w:lineRule="exact" w:before="26"/>
              <w:ind w:left="103" w:right="103"/>
              <w:jc w:val="left"/>
              <w:rPr>
                <w:rFonts w:ascii="宋体" w:hAnsi="宋体" w:cs="宋体" w:eastAsia="宋体" w:hint="default"/>
                <w:sz w:val="21"/>
                <w:szCs w:val="21"/>
              </w:rPr>
            </w:pPr>
            <w:r>
              <w:rPr>
                <w:rFonts w:ascii="宋体" w:hAnsi="宋体" w:cs="宋体" w:eastAsia="宋体" w:hint="default"/>
                <w:spacing w:val="4"/>
                <w:sz w:val="21"/>
                <w:szCs w:val="21"/>
              </w:rPr>
              <w:t>网络技术有限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8,000,000</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已出资</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-41,267.39</w:t>
            </w:r>
          </w:p>
        </w:tc>
      </w:tr>
      <w:tr>
        <w:trPr>
          <w:trHeight w:val="283"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305,950</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已出资</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244,760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305,950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-15,062.56</w:t>
            </w:r>
          </w:p>
        </w:tc>
      </w:tr>
      <w:tr>
        <w:trPr>
          <w:trHeight w:val="282"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944,079,850</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Calibri" w:hAnsi="Calibri" w:cs="Calibri" w:eastAsia="Calibri" w:hint="default"/>
                <w:sz w:val="21"/>
                <w:szCs w:val="21"/>
              </w:rPr>
            </w:pPr>
            <w:r>
              <w:rPr>
                <w:rFonts w:ascii="Calibri"/>
                <w:sz w:val="21"/>
              </w:rPr>
              <w:t>/</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269,874,450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519,629,850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Calibri" w:hAnsi="Calibri" w:cs="Calibri" w:eastAsia="Calibri" w:hint="default"/>
                <w:sz w:val="21"/>
                <w:szCs w:val="21"/>
              </w:rPr>
            </w:pPr>
            <w:r>
              <w:rPr>
                <w:rFonts w:ascii="Calibri"/>
                <w:sz w:val="21"/>
              </w:rPr>
              <w:t>/</w:t>
            </w:r>
          </w:p>
        </w:tc>
      </w:tr>
      <w:tr>
        <w:trPr>
          <w:trHeight w:val="282" w:hRule="exact"/>
        </w:trPr>
        <w:tc>
          <w:tcPr>
            <w:tcW w:w="30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非募集资金项目情况说明</w:t>
            </w:r>
          </w:p>
        </w:tc>
        <w:tc>
          <w:tcPr>
            <w:tcW w:w="6033" w:type="dxa"/>
            <w:gridSpan w:val="4"/>
            <w:tcBorders>
              <w:top w:val="single" w:sz="4" w:space="0" w:color="000000"/>
              <w:left w:val="single" w:sz="4" w:space="0" w:color="000000"/>
              <w:bottom w:val="single" w:sz="4" w:space="0" w:color="000000"/>
              <w:right w:val="single" w:sz="4" w:space="0" w:color="000000"/>
            </w:tcBorders>
          </w:tcPr>
          <w:p>
            <w:pPr/>
          </w:p>
        </w:tc>
      </w:tr>
    </w:tbl>
    <w:p>
      <w:pPr>
        <w:spacing w:line="237" w:lineRule="auto" w:before="83"/>
        <w:ind w:left="218" w:right="233" w:firstLine="480"/>
        <w:jc w:val="both"/>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pacing w:val="-9"/>
          <w:sz w:val="24"/>
          <w:szCs w:val="24"/>
        </w:rPr>
        <w:t> </w:t>
      </w:r>
      <w:r>
        <w:rPr>
          <w:rFonts w:ascii="宋体" w:hAnsi="宋体" w:cs="宋体" w:eastAsia="宋体" w:hint="default"/>
          <w:sz w:val="23"/>
          <w:szCs w:val="23"/>
        </w:rPr>
        <w:t>经本公司全资子公司华胜香港之全资子公司富昇控股有限公司股东会审议通</w:t>
      </w:r>
      <w:r>
        <w:rPr>
          <w:rFonts w:ascii="宋体" w:hAnsi="宋体" w:cs="宋体" w:eastAsia="宋体" w:hint="default"/>
          <w:w w:val="100"/>
          <w:sz w:val="23"/>
          <w:szCs w:val="23"/>
        </w:rPr>
        <w:t> </w:t>
      </w:r>
      <w:r>
        <w:rPr>
          <w:rFonts w:ascii="宋体" w:hAnsi="宋体" w:cs="宋体" w:eastAsia="宋体" w:hint="default"/>
          <w:spacing w:val="-1"/>
          <w:sz w:val="23"/>
          <w:szCs w:val="23"/>
        </w:rPr>
        <w:t>过。</w:t>
      </w:r>
      <w:r>
        <w:rPr>
          <w:rFonts w:ascii="宋体" w:hAnsi="宋体" w:cs="宋体" w:eastAsia="宋体" w:hint="default"/>
          <w:spacing w:val="-1"/>
          <w:sz w:val="24"/>
          <w:szCs w:val="24"/>
        </w:rPr>
        <w:t>公司全资子公司华胜天成科技（香港）有限公司通过其全资子公司富昇控股有限</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2"/>
          <w:sz w:val="24"/>
          <w:szCs w:val="24"/>
        </w:rPr>
        <w:t>公司对华胜租赁公司增资</w:t>
      </w:r>
      <w:r>
        <w:rPr>
          <w:rFonts w:ascii="宋体" w:hAnsi="宋体" w:cs="宋体" w:eastAsia="宋体" w:hint="default"/>
          <w:spacing w:val="-2"/>
          <w:sz w:val="24"/>
          <w:szCs w:val="24"/>
        </w:rPr>
        <w:t>1000</w:t>
      </w:r>
      <w:r>
        <w:rPr>
          <w:rFonts w:ascii="宋体" w:hAnsi="宋体" w:cs="宋体" w:eastAsia="宋体" w:hint="default"/>
          <w:spacing w:val="-2"/>
          <w:sz w:val="24"/>
          <w:szCs w:val="24"/>
        </w:rPr>
        <w:t>万美元。截至本报告期末，本公司对华胜租赁实际出资</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额为</w:t>
      </w:r>
      <w:r>
        <w:rPr>
          <w:rFonts w:ascii="宋体" w:hAnsi="宋体" w:cs="宋体" w:eastAsia="宋体" w:hint="default"/>
          <w:sz w:val="24"/>
          <w:szCs w:val="24"/>
        </w:rPr>
        <w:t>3,000</w:t>
      </w:r>
      <w:r>
        <w:rPr>
          <w:rFonts w:ascii="宋体" w:hAnsi="宋体" w:cs="宋体" w:eastAsia="宋体" w:hint="default"/>
          <w:sz w:val="24"/>
          <w:szCs w:val="24"/>
        </w:rPr>
        <w:t>万美元。</w:t>
      </w:r>
    </w:p>
    <w:p>
      <w:pPr>
        <w:pStyle w:val="BodyText"/>
        <w:spacing w:line="237" w:lineRule="auto" w:before="120"/>
        <w:ind w:left="218" w:right="233" w:firstLine="480"/>
        <w:jc w:val="both"/>
      </w:pPr>
      <w:r>
        <w:rPr/>
        <w:t>（</w:t>
      </w:r>
      <w:r>
        <w:rPr>
          <w:rFonts w:ascii="宋体" w:hAnsi="宋体" w:cs="宋体" w:eastAsia="宋体" w:hint="default"/>
        </w:rPr>
        <w:t>2</w:t>
      </w:r>
      <w:r>
        <w:rPr/>
        <w:t>）经本公司控股子公司华胜软件</w:t>
      </w:r>
      <w:r>
        <w:rPr>
          <w:rFonts w:ascii="宋体" w:hAnsi="宋体" w:cs="宋体" w:eastAsia="宋体" w:hint="default"/>
        </w:rPr>
        <w:t>2014</w:t>
      </w:r>
      <w:r>
        <w:rPr/>
        <w:t>年第一次临时股东会审议通过，华胜软 </w:t>
      </w:r>
      <w:r>
        <w:rPr>
          <w:spacing w:val="-2"/>
        </w:rPr>
        <w:t>件与天津先进信息产品有限公司共同投资在天津设立天津华胜蓝泰科技有限公司。本</w:t>
      </w:r>
      <w:r>
        <w:rPr>
          <w:spacing w:val="-93"/>
        </w:rPr>
        <w:t> </w:t>
      </w:r>
      <w:r>
        <w:rPr>
          <w:spacing w:val="-93"/>
        </w:rPr>
      </w:r>
      <w:r>
        <w:rPr/>
        <w:t>项目计划投资</w:t>
      </w:r>
      <w:r>
        <w:rPr>
          <w:rFonts w:ascii="宋体" w:hAnsi="宋体" w:cs="宋体" w:eastAsia="宋体" w:hint="default"/>
        </w:rPr>
        <w:t>2,041</w:t>
      </w:r>
      <w:r>
        <w:rPr/>
        <w:t>万人民币，华胜软件出资</w:t>
      </w:r>
      <w:r>
        <w:rPr>
          <w:rFonts w:ascii="宋体" w:hAnsi="宋体" w:cs="宋体" w:eastAsia="宋体" w:hint="default"/>
        </w:rPr>
        <w:t>1,041</w:t>
      </w:r>
      <w:r>
        <w:rPr/>
        <w:t>万元人民币，占华胜蓝泰</w:t>
      </w:r>
      <w:r>
        <w:rPr>
          <w:rFonts w:ascii="宋体" w:hAnsi="宋体" w:cs="宋体" w:eastAsia="宋体" w:hint="default"/>
        </w:rPr>
        <w:t>51%</w:t>
      </w:r>
      <w:r>
        <w:rPr/>
        <w:t>的股</w:t>
      </w:r>
    </w:p>
    <w:p>
      <w:pPr>
        <w:spacing w:after="0" w:line="237" w:lineRule="auto"/>
        <w:jc w:val="both"/>
        <w:sectPr>
          <w:type w:val="continuous"/>
          <w:pgSz w:w="11910" w:h="16840"/>
          <w:pgMar w:top="1080" w:bottom="1380" w:left="1580" w:right="1040"/>
        </w:sectPr>
      </w:pPr>
    </w:p>
    <w:p>
      <w:pPr>
        <w:spacing w:line="240" w:lineRule="auto" w:before="12"/>
        <w:rPr>
          <w:rFonts w:ascii="宋体" w:hAnsi="宋体" w:cs="宋体" w:eastAsia="宋体" w:hint="default"/>
          <w:sz w:val="28"/>
          <w:szCs w:val="28"/>
        </w:rPr>
      </w:pPr>
    </w:p>
    <w:p>
      <w:pPr>
        <w:pStyle w:val="BodyText"/>
        <w:spacing w:line="310" w:lineRule="exact" w:before="58"/>
        <w:ind w:right="133"/>
        <w:jc w:val="both"/>
      </w:pPr>
      <w:r>
        <w:rPr>
          <w:spacing w:val="-10"/>
        </w:rPr>
        <w:t>权。截至本报告期末，本公司对华胜蓝泰科技（天津）有限责任公司实际出资额为</w:t>
      </w:r>
      <w:r>
        <w:rPr>
          <w:rFonts w:ascii="宋体" w:hAnsi="宋体" w:cs="宋体" w:eastAsia="宋体" w:hint="default"/>
          <w:spacing w:val="-10"/>
        </w:rPr>
        <w:t>1,041</w:t>
      </w:r>
      <w:r>
        <w:rPr>
          <w:rFonts w:ascii="宋体" w:hAnsi="宋体" w:cs="宋体" w:eastAsia="宋体" w:hint="default"/>
          <w:spacing w:val="-118"/>
        </w:rPr>
        <w:t> </w:t>
      </w:r>
      <w:r>
        <w:rPr/>
        <w:t>万元人民币。</w:t>
      </w:r>
    </w:p>
    <w:p>
      <w:pPr>
        <w:pStyle w:val="BodyText"/>
        <w:spacing w:line="237" w:lineRule="auto" w:before="92"/>
        <w:ind w:right="135" w:firstLine="600"/>
        <w:jc w:val="both"/>
      </w:pPr>
      <w:r>
        <w:rPr>
          <w:rFonts w:ascii="宋体" w:hAnsi="宋体" w:cs="宋体" w:eastAsia="宋体" w:hint="default"/>
          <w:spacing w:val="-2"/>
        </w:rPr>
        <w:t>(3)</w:t>
      </w:r>
      <w:r>
        <w:rPr>
          <w:spacing w:val="-2"/>
        </w:rPr>
        <w:t>经公司</w:t>
      </w:r>
      <w:r>
        <w:rPr>
          <w:rFonts w:ascii="宋体" w:hAnsi="宋体" w:cs="宋体" w:eastAsia="宋体" w:hint="default"/>
          <w:spacing w:val="-2"/>
        </w:rPr>
        <w:t>2014</w:t>
      </w:r>
      <w:r>
        <w:rPr>
          <w:spacing w:val="-2"/>
        </w:rPr>
        <w:t>年第二次临时董事会审议通过。根据公司发展战略，为实现公司</w:t>
      </w:r>
      <w:r>
        <w:rPr/>
        <w:t> </w:t>
      </w:r>
      <w:r>
        <w:rPr>
          <w:spacing w:val="-2"/>
        </w:rPr>
        <w:t>业务结构升级，满足向高端信息技术服务提供商转变的需要，公司拟与郝庄严共同投</w:t>
      </w:r>
      <w:r>
        <w:rPr>
          <w:spacing w:val="-94"/>
        </w:rPr>
        <w:t> </w:t>
      </w:r>
      <w:r>
        <w:rPr>
          <w:spacing w:val="-94"/>
        </w:rPr>
      </w:r>
      <w:r>
        <w:rPr/>
        <w:t>资，成立北京新云东方系统科技有限责任公司。同时，华胜天成、郝庄严共同与</w:t>
      </w:r>
      <w:r>
        <w:rPr>
          <w:rFonts w:ascii="宋体" w:hAnsi="宋体" w:cs="宋体" w:eastAsia="宋体" w:hint="default"/>
        </w:rPr>
        <w:t>IBM </w:t>
      </w:r>
      <w:r>
        <w:rPr/>
        <w:t>签署同意投资框架协议，在满足一定条件的基础上，由</w:t>
      </w:r>
      <w:r>
        <w:rPr>
          <w:rFonts w:ascii="宋体" w:hAnsi="宋体" w:cs="宋体" w:eastAsia="宋体" w:hint="default"/>
        </w:rPr>
        <w:t>IBM</w:t>
      </w:r>
      <w:r>
        <w:rPr/>
        <w:t>对拟设立的北京新云系统 </w:t>
      </w:r>
      <w:r>
        <w:rPr>
          <w:spacing w:val="-2"/>
        </w:rPr>
        <w:t>科技有限责任公司以现金方式增资</w:t>
      </w:r>
      <w:r>
        <w:rPr>
          <w:rFonts w:ascii="宋体" w:hAnsi="宋体" w:cs="宋体" w:eastAsia="宋体" w:hint="default"/>
          <w:spacing w:val="-2"/>
        </w:rPr>
        <w:t>1200</w:t>
      </w:r>
      <w:r>
        <w:rPr>
          <w:spacing w:val="-2"/>
        </w:rPr>
        <w:t>万元人民币。截至本报告期末，本公司对北京</w:t>
      </w:r>
      <w:r>
        <w:rPr>
          <w:spacing w:val="-90"/>
        </w:rPr>
        <w:t> </w:t>
      </w:r>
      <w:r>
        <w:rPr>
          <w:spacing w:val="-90"/>
        </w:rPr>
      </w:r>
      <w:r>
        <w:rPr/>
        <w:t>新云东方系统科技有限责任公司实际出资额为</w:t>
      </w:r>
      <w:r>
        <w:rPr>
          <w:rFonts w:ascii="宋体" w:hAnsi="宋体" w:cs="宋体" w:eastAsia="宋体" w:hint="default"/>
        </w:rPr>
        <w:t>3,500</w:t>
      </w:r>
      <w:r>
        <w:rPr/>
        <w:t>万元人民币。</w:t>
      </w:r>
    </w:p>
    <w:p>
      <w:pPr>
        <w:pStyle w:val="BodyText"/>
        <w:spacing w:line="237" w:lineRule="auto" w:before="121"/>
        <w:ind w:right="205" w:firstLine="480"/>
        <w:jc w:val="both"/>
      </w:pPr>
      <w:r>
        <w:rPr/>
        <w:t>（</w:t>
      </w:r>
      <w:r>
        <w:rPr>
          <w:rFonts w:ascii="宋体" w:hAnsi="宋体" w:cs="宋体" w:eastAsia="宋体" w:hint="default"/>
        </w:rPr>
        <w:t>4</w:t>
      </w:r>
      <w:r>
        <w:rPr/>
        <w:t>）经华胜天成</w:t>
      </w:r>
      <w:r>
        <w:rPr>
          <w:rFonts w:ascii="宋体" w:hAnsi="宋体" w:cs="宋体" w:eastAsia="宋体" w:hint="default"/>
        </w:rPr>
        <w:t>2014</w:t>
      </w:r>
      <w:r>
        <w:rPr/>
        <w:t>年第三次临时董事会和公司</w:t>
      </w:r>
      <w:r>
        <w:rPr>
          <w:rFonts w:ascii="宋体" w:hAnsi="宋体" w:cs="宋体" w:eastAsia="宋体" w:hint="default"/>
        </w:rPr>
        <w:t>2014</w:t>
      </w:r>
      <w:r>
        <w:rPr/>
        <w:t>年第二次临时股东大会审 议通过。华胜天成作为唯一的发起人，投资</w:t>
      </w:r>
      <w:r>
        <w:rPr>
          <w:rFonts w:ascii="宋体" w:hAnsi="宋体" w:cs="宋体" w:eastAsia="宋体" w:hint="default"/>
        </w:rPr>
        <w:t>5</w:t>
      </w:r>
      <w:r>
        <w:rPr/>
        <w:t>亿元人民币，成立华胜信泰科技有限公 司。截至本报告期末，本公司对华胜信泰科技有限公司实际出资额为</w:t>
      </w:r>
      <w:r>
        <w:rPr>
          <w:rFonts w:ascii="宋体" w:hAnsi="宋体" w:cs="宋体" w:eastAsia="宋体" w:hint="default"/>
        </w:rPr>
        <w:t>1</w:t>
      </w:r>
      <w:r>
        <w:rPr/>
        <w:t>亿元人民币。</w:t>
      </w:r>
    </w:p>
    <w:p>
      <w:pPr>
        <w:pStyle w:val="BodyText"/>
        <w:spacing w:line="240" w:lineRule="auto" w:before="117"/>
        <w:ind w:left="618" w:right="128"/>
        <w:jc w:val="left"/>
      </w:pPr>
      <w:r>
        <w:rPr/>
        <w:t>注：本项目收益为本年度归属于母公司的收益。</w:t>
      </w:r>
    </w:p>
    <w:p>
      <w:pPr>
        <w:spacing w:line="240" w:lineRule="auto" w:before="4"/>
        <w:rPr>
          <w:rFonts w:ascii="宋体" w:hAnsi="宋体" w:cs="宋体" w:eastAsia="宋体" w:hint="default"/>
          <w:sz w:val="34"/>
          <w:szCs w:val="34"/>
        </w:rPr>
      </w:pPr>
    </w:p>
    <w:p>
      <w:pPr>
        <w:pStyle w:val="Heading2"/>
        <w:spacing w:line="240" w:lineRule="auto" w:before="0"/>
        <w:ind w:left="138" w:right="0"/>
        <w:jc w:val="both"/>
        <w:rPr>
          <w:b w:val="0"/>
          <w:bCs w:val="0"/>
        </w:rPr>
      </w:pPr>
      <w:r>
        <w:rPr/>
        <w:t>二、董事会关于公司未来发展的讨论与分析</w:t>
      </w:r>
      <w:r>
        <w:rPr>
          <w:b w:val="0"/>
          <w:bCs w:val="0"/>
        </w:rPr>
      </w:r>
    </w:p>
    <w:p>
      <w:pPr>
        <w:spacing w:line="300" w:lineRule="auto" w:before="58"/>
        <w:ind w:left="558" w:right="128" w:hanging="420"/>
        <w:jc w:val="left"/>
        <w:rPr>
          <w:rFonts w:ascii="宋体" w:hAnsi="宋体" w:cs="宋体" w:eastAsia="宋体" w:hint="default"/>
          <w:sz w:val="24"/>
          <w:szCs w:val="24"/>
        </w:rPr>
      </w:pPr>
      <w:r>
        <w:rPr>
          <w:rFonts w:ascii="Calibri" w:hAnsi="Calibri" w:cs="Calibri" w:eastAsia="Calibri" w:hint="default"/>
          <w:b/>
          <w:bCs/>
          <w:sz w:val="24"/>
          <w:szCs w:val="24"/>
        </w:rPr>
        <w:t>(</w:t>
      </w:r>
      <w:r>
        <w:rPr>
          <w:rFonts w:ascii="宋体" w:hAnsi="宋体" w:cs="宋体" w:eastAsia="宋体" w:hint="default"/>
          <w:b/>
          <w:bCs/>
          <w:sz w:val="24"/>
          <w:szCs w:val="24"/>
        </w:rPr>
        <w:t>一</w:t>
      </w:r>
      <w:r>
        <w:rPr>
          <w:rFonts w:ascii="Calibri" w:hAnsi="Calibri" w:cs="Calibri" w:eastAsia="Calibri" w:hint="default"/>
          <w:b/>
          <w:bCs/>
          <w:sz w:val="24"/>
          <w:szCs w:val="24"/>
        </w:rPr>
        <w:t>)</w:t>
      </w:r>
      <w:r>
        <w:rPr>
          <w:rFonts w:ascii="Calibri" w:hAnsi="Calibri" w:cs="Calibri" w:eastAsia="Calibri" w:hint="default"/>
          <w:b/>
          <w:bCs/>
          <w:spacing w:val="35"/>
          <w:sz w:val="24"/>
          <w:szCs w:val="24"/>
        </w:rPr>
        <w:t> </w:t>
      </w:r>
      <w:r>
        <w:rPr>
          <w:rFonts w:ascii="宋体" w:hAnsi="宋体" w:cs="宋体" w:eastAsia="宋体" w:hint="default"/>
          <w:b/>
          <w:bCs/>
          <w:sz w:val="24"/>
          <w:szCs w:val="24"/>
        </w:rPr>
        <w:t>行业竞争格局和发展趋势</w:t>
      </w:r>
      <w:r>
        <w:rPr>
          <w:rFonts w:ascii="宋体" w:hAnsi="宋体" w:cs="宋体" w:eastAsia="宋体" w:hint="default"/>
          <w:b/>
          <w:bCs/>
          <w:w w:val="99"/>
          <w:sz w:val="24"/>
          <w:szCs w:val="24"/>
        </w:rPr>
        <w:t> </w:t>
      </w:r>
      <w:r>
        <w:rPr>
          <w:rFonts w:ascii="宋体" w:hAnsi="宋体" w:cs="宋体" w:eastAsia="宋体" w:hint="default"/>
          <w:sz w:val="24"/>
          <w:szCs w:val="24"/>
        </w:rPr>
        <w:t>软件和信息技术服务业作为国民经济基础性、先导性和战略性产业，持续实现较</w:t>
      </w:r>
    </w:p>
    <w:p>
      <w:pPr>
        <w:pStyle w:val="BodyText"/>
        <w:spacing w:line="250" w:lineRule="exact"/>
        <w:ind w:right="0"/>
        <w:jc w:val="both"/>
      </w:pPr>
      <w:r>
        <w:rPr/>
        <w:t>快的增长，产业发展态势良好。</w:t>
      </w:r>
      <w:r>
        <w:rPr>
          <w:rFonts w:ascii="宋体" w:hAnsi="宋体" w:cs="宋体" w:eastAsia="宋体" w:hint="default"/>
        </w:rPr>
        <w:t>2014</w:t>
      </w:r>
      <w:r>
        <w:rPr/>
        <w:t>年，我国软件和信息技术服务业实现业务近</w:t>
      </w:r>
      <w:r>
        <w:rPr>
          <w:rFonts w:ascii="宋体" w:hAnsi="宋体" w:cs="宋体" w:eastAsia="宋体" w:hint="default"/>
        </w:rPr>
        <w:t>4</w:t>
      </w:r>
      <w:r>
        <w:rPr/>
        <w:t>万</w:t>
      </w:r>
    </w:p>
    <w:p>
      <w:pPr>
        <w:pStyle w:val="BodyText"/>
        <w:spacing w:line="237" w:lineRule="auto" w:before="1"/>
        <w:ind w:right="205"/>
        <w:jc w:val="both"/>
      </w:pPr>
      <w:r>
        <w:rPr/>
        <w:t>亿元，同比增长</w:t>
      </w:r>
      <w:r>
        <w:rPr>
          <w:rFonts w:ascii="宋体" w:hAnsi="宋体" w:cs="宋体" w:eastAsia="宋体" w:hint="default"/>
        </w:rPr>
        <w:t>20%</w:t>
      </w:r>
      <w:r>
        <w:rPr/>
        <w:t>以上，其中：数据处理和存储服务实现收入超过</w:t>
      </w:r>
      <w:r>
        <w:rPr>
          <w:rFonts w:ascii="宋体" w:hAnsi="宋体" w:cs="宋体" w:eastAsia="宋体" w:hint="default"/>
        </w:rPr>
        <w:t>6000</w:t>
      </w:r>
      <w:r>
        <w:rPr/>
        <w:t>亿元，同比 增长</w:t>
      </w:r>
      <w:r>
        <w:rPr>
          <w:rFonts w:ascii="宋体" w:hAnsi="宋体" w:cs="宋体" w:eastAsia="宋体" w:hint="default"/>
        </w:rPr>
        <w:t>25%</w:t>
      </w:r>
      <w:r>
        <w:rPr/>
        <w:t>以上，云计算和大数据等新</w:t>
      </w:r>
      <w:r>
        <w:rPr>
          <w:rFonts w:ascii="宋体" w:hAnsi="宋体" w:cs="宋体" w:eastAsia="宋体" w:hint="default"/>
        </w:rPr>
        <w:t>IT</w:t>
      </w:r>
      <w:r>
        <w:rPr/>
        <w:t>技术应用发展迅猛，使得数据处理和存储服务 的增速继续高出全行业</w:t>
      </w:r>
      <w:r>
        <w:rPr>
          <w:rFonts w:ascii="宋体" w:hAnsi="宋体" w:cs="宋体" w:eastAsia="宋体" w:hint="default"/>
        </w:rPr>
        <w:t>5</w:t>
      </w:r>
      <w:r>
        <w:rPr/>
        <w:t>个百分点以上。根据《软件和信息技术服务业“十二五”发 展规划》，预计到</w:t>
      </w:r>
      <w:r>
        <w:rPr>
          <w:rFonts w:ascii="宋体" w:hAnsi="宋体" w:cs="宋体" w:eastAsia="宋体" w:hint="default"/>
        </w:rPr>
        <w:t>2015</w:t>
      </w:r>
      <w:r>
        <w:rPr/>
        <w:t>年，我国软件和信息技术服务占信息产业比重达到</w:t>
      </w:r>
      <w:r>
        <w:rPr>
          <w:rFonts w:ascii="宋体" w:hAnsi="宋体" w:cs="宋体" w:eastAsia="宋体" w:hint="default"/>
        </w:rPr>
        <w:t>25%</w:t>
      </w:r>
      <w:r>
        <w:rPr/>
        <w:t>，其中 信息技术服务收入占软件和信息技术服务业总收入比重超过</w:t>
      </w:r>
      <w:r>
        <w:rPr>
          <w:rFonts w:ascii="宋体" w:hAnsi="宋体" w:cs="宋体" w:eastAsia="宋体" w:hint="default"/>
        </w:rPr>
        <w:t>60%</w:t>
      </w:r>
      <w:r>
        <w:rPr/>
        <w:t>。</w:t>
      </w:r>
    </w:p>
    <w:p>
      <w:pPr>
        <w:pStyle w:val="BodyText"/>
        <w:spacing w:line="237" w:lineRule="auto" w:before="121"/>
        <w:ind w:right="133" w:firstLine="480"/>
        <w:jc w:val="both"/>
      </w:pPr>
      <w:r>
        <w:rPr>
          <w:rFonts w:ascii="宋体" w:hAnsi="宋体" w:cs="宋体" w:eastAsia="宋体" w:hint="default"/>
          <w:spacing w:val="-2"/>
        </w:rPr>
        <w:t>2014</w:t>
      </w:r>
      <w:r>
        <w:rPr>
          <w:spacing w:val="-2"/>
        </w:rPr>
        <w:t>年，中央网络安全和信息化领导小组把网络安全和信息化作为国家战略，彰</w:t>
      </w:r>
      <w:r>
        <w:rPr/>
        <w:t> </w:t>
      </w:r>
      <w:r>
        <w:rPr>
          <w:spacing w:val="-2"/>
        </w:rPr>
        <w:t>显了国家意志在保障网络安全、维护国家利益方面的坚强决心，表明了国家对信息化</w:t>
      </w:r>
      <w:r>
        <w:rPr>
          <w:spacing w:val="-94"/>
        </w:rPr>
        <w:t> </w:t>
      </w:r>
      <w:r>
        <w:rPr>
          <w:spacing w:val="-94"/>
        </w:rPr>
      </w:r>
      <w:r>
        <w:rPr>
          <w:spacing w:val="-2"/>
        </w:rPr>
        <w:t>工作的高度重视，自主产品、信息安全、互联网已经成为信息工作的重点，网络经济</w:t>
      </w:r>
      <w:r>
        <w:rPr>
          <w:spacing w:val="-94"/>
        </w:rPr>
        <w:t> </w:t>
      </w:r>
      <w:r>
        <w:rPr>
          <w:spacing w:val="-94"/>
        </w:rPr>
      </w:r>
      <w:r>
        <w:rPr>
          <w:spacing w:val="-2"/>
        </w:rPr>
        <w:t>将成为未来十年中国的增长动力。金融、运营商、政企等行业用户均在积极转型和部</w:t>
      </w:r>
      <w:r>
        <w:rPr>
          <w:spacing w:val="-94"/>
        </w:rPr>
        <w:t> </w:t>
      </w:r>
      <w:r>
        <w:rPr>
          <w:spacing w:val="-94"/>
        </w:rPr>
      </w:r>
      <w:r>
        <w:rPr/>
        <w:t>署各类云计算和大数据应用，新一轮</w:t>
      </w:r>
      <w:r>
        <w:rPr>
          <w:rFonts w:ascii="宋体" w:hAnsi="宋体" w:cs="宋体" w:eastAsia="宋体" w:hint="default"/>
        </w:rPr>
        <w:t>IT</w:t>
      </w:r>
      <w:r>
        <w:rPr/>
        <w:t>建设热点正在出现。</w:t>
      </w:r>
    </w:p>
    <w:p>
      <w:pPr>
        <w:pStyle w:val="BodyText"/>
        <w:spacing w:line="237" w:lineRule="auto" w:before="121"/>
        <w:ind w:right="132" w:firstLine="480"/>
        <w:jc w:val="both"/>
      </w:pPr>
      <w:r>
        <w:rPr>
          <w:spacing w:val="-2"/>
        </w:rPr>
        <w:t>新一代信息技术产业和高科技服务产业正在加速融合发展，信息技术加快向服务</w:t>
      </w:r>
      <w:r>
        <w:rPr/>
        <w:t> </w:t>
      </w:r>
      <w:r>
        <w:rPr>
          <w:spacing w:val="-8"/>
        </w:rPr>
        <w:t>化、网络化转变，信息技术的技术含量和附加值高，发展潜力大，辐射带动作用突出。</w:t>
      </w:r>
      <w:r>
        <w:rPr>
          <w:spacing w:val="-104"/>
        </w:rPr>
        <w:t> </w:t>
      </w:r>
      <w:r>
        <w:rPr>
          <w:spacing w:val="-104"/>
        </w:rPr>
      </w:r>
      <w:r>
        <w:rPr>
          <w:spacing w:val="-2"/>
        </w:rPr>
        <w:t>目前国内各类信息企业均在实施战略转型，软件行业正向服务化加速发展；信息集成</w:t>
      </w:r>
      <w:r>
        <w:rPr>
          <w:spacing w:val="-94"/>
        </w:rPr>
        <w:t> </w:t>
      </w:r>
      <w:r>
        <w:rPr>
          <w:spacing w:val="-94"/>
        </w:rPr>
      </w:r>
      <w:r>
        <w:rPr>
          <w:spacing w:val="-2"/>
        </w:rPr>
        <w:t>企业积极开展自主知识产权的产品研发或引进消化再创新国际企业的产品和技术；金</w:t>
      </w:r>
      <w:r>
        <w:rPr>
          <w:spacing w:val="-93"/>
        </w:rPr>
        <w:t> </w:t>
      </w:r>
      <w:r>
        <w:rPr>
          <w:spacing w:val="-93"/>
        </w:rPr>
      </w:r>
      <w:r>
        <w:rPr/>
        <w:t>融业和电信企业纷纷实施去“管道化”，步入“互联网</w:t>
      </w:r>
      <w:r>
        <w:rPr>
          <w:rFonts w:ascii="宋体" w:hAnsi="宋体" w:cs="宋体" w:eastAsia="宋体" w:hint="default"/>
        </w:rPr>
        <w:t>+</w:t>
      </w:r>
      <w:r>
        <w:rPr/>
        <w:t>”；传统工业企业正加紧实 </w:t>
      </w:r>
      <w:r>
        <w:rPr>
          <w:spacing w:val="-5"/>
        </w:rPr>
        <w:t>施两化深度融合，打造信息化的“工业</w:t>
      </w:r>
      <w:r>
        <w:rPr>
          <w:rFonts w:ascii="宋体" w:hAnsi="宋体" w:cs="宋体" w:eastAsia="宋体" w:hint="default"/>
          <w:spacing w:val="-5"/>
        </w:rPr>
        <w:t>4.0</w:t>
      </w:r>
      <w:r>
        <w:rPr>
          <w:spacing w:val="-5"/>
        </w:rPr>
        <w:t>”新时代。国家对产品自主化战略的重视，</w:t>
      </w:r>
      <w:r>
        <w:rPr>
          <w:spacing w:val="-93"/>
        </w:rPr>
        <w:t> </w:t>
      </w:r>
      <w:r>
        <w:rPr>
          <w:spacing w:val="-93"/>
        </w:rPr>
      </w:r>
      <w:r>
        <w:rPr>
          <w:spacing w:val="-2"/>
        </w:rPr>
        <w:t>让计算机产业迎来了新的发展空间，自主、安全、可靠的软硬件创新发展迎来历史性</w:t>
      </w:r>
      <w:r>
        <w:rPr>
          <w:spacing w:val="-94"/>
        </w:rPr>
        <w:t> </w:t>
      </w:r>
      <w:r>
        <w:rPr>
          <w:spacing w:val="-94"/>
        </w:rPr>
      </w:r>
      <w:r>
        <w:rPr/>
        <w:t>机遇。</w:t>
      </w:r>
    </w:p>
    <w:p>
      <w:pPr>
        <w:pStyle w:val="BodyText"/>
        <w:spacing w:line="237" w:lineRule="auto" w:before="121"/>
        <w:ind w:right="133" w:firstLine="480"/>
        <w:jc w:val="both"/>
      </w:pPr>
      <w:r>
        <w:rPr/>
        <w:t>报告期内，公司投资了“可信开放高端计算系统研发与产业化”项目（简称</w:t>
      </w:r>
      <w:r>
        <w:rPr>
          <w:rFonts w:ascii="宋体" w:hAnsi="宋体" w:cs="宋体" w:eastAsia="宋体" w:hint="default"/>
        </w:rPr>
        <w:t>TOP </w:t>
      </w:r>
      <w:r>
        <w:rPr>
          <w:spacing w:val="-2"/>
        </w:rPr>
        <w:t>项目），通过引进、消化、吸收国际公司核心软硬件技术和知识产权（服务器、操作</w:t>
      </w:r>
      <w:r>
        <w:rPr>
          <w:spacing w:val="-98"/>
        </w:rPr>
        <w:t> </w:t>
      </w:r>
      <w:r>
        <w:rPr>
          <w:spacing w:val="-98"/>
        </w:rPr>
      </w:r>
      <w:r>
        <w:rPr>
          <w:spacing w:val="-2"/>
        </w:rPr>
        <w:t>系统、数据库、中间件），嫁接融合中国可信安全技术，扩展重构开发系列可信计算</w:t>
      </w:r>
      <w:r>
        <w:rPr>
          <w:spacing w:val="-96"/>
        </w:rPr>
        <w:t> </w:t>
      </w:r>
      <w:r>
        <w:rPr>
          <w:spacing w:val="-96"/>
        </w:rPr>
      </w:r>
      <w:r>
        <w:rPr>
          <w:spacing w:val="-2"/>
        </w:rPr>
        <w:t>技术和产品，打造可信、开放、高端计算系统产业链，为解决国家信息安全问题探索</w:t>
      </w:r>
      <w:r>
        <w:rPr>
          <w:spacing w:val="-94"/>
        </w:rPr>
        <w:t> </w:t>
      </w:r>
      <w:r>
        <w:rPr>
          <w:spacing w:val="-94"/>
        </w:rPr>
      </w:r>
      <w:r>
        <w:rPr/>
        <w:t>有效路径，积极推进国家信息安全战略落地。</w:t>
      </w:r>
    </w:p>
    <w:p>
      <w:pPr>
        <w:spacing w:after="0" w:line="237" w:lineRule="auto"/>
        <w:jc w:val="both"/>
        <w:sectPr>
          <w:pgSz w:w="11910" w:h="16840"/>
          <w:pgMar w:header="882" w:footer="1194" w:top="1080" w:bottom="1380" w:left="1660" w:right="1140"/>
        </w:sectPr>
      </w:pPr>
    </w:p>
    <w:p>
      <w:pPr>
        <w:spacing w:line="240" w:lineRule="auto" w:before="12"/>
        <w:rPr>
          <w:rFonts w:ascii="宋体" w:hAnsi="宋体" w:cs="宋体" w:eastAsia="宋体" w:hint="default"/>
          <w:sz w:val="28"/>
          <w:szCs w:val="28"/>
        </w:rPr>
      </w:pPr>
    </w:p>
    <w:p>
      <w:pPr>
        <w:pStyle w:val="BodyText"/>
        <w:spacing w:line="310" w:lineRule="exact" w:before="58"/>
        <w:ind w:right="288" w:firstLine="480"/>
        <w:jc w:val="left"/>
      </w:pPr>
      <w:r>
        <w:rPr>
          <w:spacing w:val="-2"/>
        </w:rPr>
        <w:t>公司积极抓住当下难得的发展机遇，加快转型升级，加大现有自主产品的研制开</w:t>
      </w:r>
      <w:r>
        <w:rPr/>
        <w:t> 发、市场推广和销售力度，决心加速融入中国的信息化技术产业跨越式发展大潮。。</w:t>
      </w:r>
    </w:p>
    <w:p>
      <w:pPr>
        <w:spacing w:line="240" w:lineRule="auto" w:before="4"/>
        <w:rPr>
          <w:rFonts w:ascii="宋体" w:hAnsi="宋体" w:cs="宋体" w:eastAsia="宋体" w:hint="default"/>
          <w:sz w:val="32"/>
          <w:szCs w:val="32"/>
        </w:rPr>
      </w:pPr>
    </w:p>
    <w:p>
      <w:pPr>
        <w:spacing w:line="300" w:lineRule="auto" w:before="0"/>
        <w:ind w:left="558" w:right="348" w:hanging="420"/>
        <w:jc w:val="left"/>
        <w:rPr>
          <w:rFonts w:ascii="宋体" w:hAnsi="宋体" w:cs="宋体" w:eastAsia="宋体" w:hint="default"/>
          <w:sz w:val="24"/>
          <w:szCs w:val="24"/>
        </w:rPr>
      </w:pPr>
      <w:r>
        <w:rPr>
          <w:rFonts w:ascii="Calibri" w:hAnsi="Calibri" w:cs="Calibri" w:eastAsia="Calibri" w:hint="default"/>
          <w:b/>
          <w:bCs/>
          <w:sz w:val="24"/>
          <w:szCs w:val="24"/>
        </w:rPr>
        <w:t>(</w:t>
      </w:r>
      <w:r>
        <w:rPr>
          <w:rFonts w:ascii="宋体" w:hAnsi="宋体" w:cs="宋体" w:eastAsia="宋体" w:hint="default"/>
          <w:b/>
          <w:bCs/>
          <w:sz w:val="24"/>
          <w:szCs w:val="24"/>
        </w:rPr>
        <w:t>二</w:t>
      </w:r>
      <w:r>
        <w:rPr>
          <w:rFonts w:ascii="Calibri" w:hAnsi="Calibri" w:cs="Calibri" w:eastAsia="Calibri" w:hint="default"/>
          <w:b/>
          <w:bCs/>
          <w:sz w:val="24"/>
          <w:szCs w:val="24"/>
        </w:rPr>
        <w:t>)</w:t>
      </w:r>
      <w:r>
        <w:rPr>
          <w:rFonts w:ascii="Calibri" w:hAnsi="Calibri" w:cs="Calibri" w:eastAsia="Calibri" w:hint="default"/>
          <w:b/>
          <w:bCs/>
          <w:spacing w:val="35"/>
          <w:sz w:val="24"/>
          <w:szCs w:val="24"/>
        </w:rPr>
        <w:t> </w:t>
      </w:r>
      <w:r>
        <w:rPr>
          <w:rFonts w:ascii="宋体" w:hAnsi="宋体" w:cs="宋体" w:eastAsia="宋体" w:hint="default"/>
          <w:b/>
          <w:bCs/>
          <w:sz w:val="24"/>
          <w:szCs w:val="24"/>
        </w:rPr>
        <w:t>公司发展战略</w:t>
      </w:r>
      <w:r>
        <w:rPr>
          <w:rFonts w:ascii="宋体" w:hAnsi="宋体" w:cs="宋体" w:eastAsia="宋体" w:hint="default"/>
          <w:b/>
          <w:bCs/>
          <w:w w:val="99"/>
          <w:sz w:val="24"/>
          <w:szCs w:val="24"/>
        </w:rPr>
        <w:t> </w:t>
      </w:r>
      <w:r>
        <w:rPr>
          <w:rFonts w:ascii="宋体" w:hAnsi="宋体" w:cs="宋体" w:eastAsia="宋体" w:hint="default"/>
          <w:sz w:val="24"/>
          <w:szCs w:val="24"/>
        </w:rPr>
        <w:t>尽快完成打造具有完整产品链的高端计算系统，加大在可信开放高端计算系统项</w:t>
      </w:r>
    </w:p>
    <w:p>
      <w:pPr>
        <w:pStyle w:val="BodyText"/>
        <w:spacing w:line="250" w:lineRule="exact"/>
        <w:ind w:right="0"/>
        <w:jc w:val="left"/>
      </w:pPr>
      <w:r>
        <w:rPr/>
        <w:t>目（“</w:t>
      </w:r>
      <w:r>
        <w:rPr>
          <w:rFonts w:ascii="宋体" w:hAnsi="宋体" w:cs="宋体" w:eastAsia="宋体" w:hint="default"/>
        </w:rPr>
        <w:t>TOP</w:t>
      </w:r>
      <w:r>
        <w:rPr/>
        <w:t>”项目）上的资源投入，早日实现自主产品产业化；以客户为中心，将信</w:t>
      </w:r>
    </w:p>
    <w:p>
      <w:pPr>
        <w:pStyle w:val="BodyText"/>
        <w:spacing w:line="328" w:lineRule="auto"/>
        <w:ind w:left="618" w:right="336" w:hanging="480"/>
        <w:jc w:val="left"/>
      </w:pPr>
      <w:r>
        <w:rPr/>
        <w:t>息服务与客户深入结合，以互联网</w:t>
      </w:r>
      <w:r>
        <w:rPr>
          <w:rFonts w:ascii="宋体" w:hAnsi="宋体" w:cs="宋体" w:eastAsia="宋体" w:hint="default"/>
        </w:rPr>
        <w:t>+</w:t>
      </w:r>
      <w:r>
        <w:rPr/>
        <w:t>为方向，实现服务的实业化。 </w:t>
      </w:r>
      <w:r>
        <w:rPr>
          <w:spacing w:val="-7"/>
        </w:rPr>
        <w:t>综合各方面因素，</w:t>
      </w:r>
      <w:r>
        <w:rPr>
          <w:rFonts w:ascii="宋体" w:hAnsi="宋体" w:cs="宋体" w:eastAsia="宋体" w:hint="default"/>
          <w:spacing w:val="-7"/>
        </w:rPr>
        <w:t>2015</w:t>
      </w:r>
      <w:r>
        <w:rPr>
          <w:spacing w:val="-7"/>
        </w:rPr>
        <w:t>公司业务发展的主要预期目标是：业务收入同比增长</w:t>
      </w:r>
      <w:r>
        <w:rPr>
          <w:rFonts w:ascii="宋体" w:hAnsi="宋体" w:cs="宋体" w:eastAsia="宋体" w:hint="default"/>
          <w:spacing w:val="-7"/>
        </w:rPr>
        <w:t>33</w:t>
      </w:r>
      <w:r>
        <w:rPr>
          <w:rFonts w:ascii="宋体" w:hAnsi="宋体" w:cs="宋体" w:eastAsia="宋体" w:hint="default"/>
          <w:spacing w:val="-29"/>
        </w:rPr>
        <w:t> </w:t>
      </w:r>
      <w:r>
        <w:rPr>
          <w:rFonts w:ascii="宋体" w:hAnsi="宋体" w:cs="宋体" w:eastAsia="宋体" w:hint="default"/>
        </w:rPr>
        <w:t>%</w:t>
      </w:r>
      <w:r>
        <w:rPr/>
        <w:t>，</w:t>
      </w:r>
    </w:p>
    <w:p>
      <w:pPr>
        <w:pStyle w:val="BodyText"/>
        <w:spacing w:line="222" w:lineRule="exact"/>
        <w:ind w:right="0"/>
        <w:jc w:val="left"/>
      </w:pPr>
      <w:r>
        <w:rPr/>
        <w:t>净利润实现</w:t>
      </w:r>
      <w:r>
        <w:rPr>
          <w:rFonts w:ascii="宋体" w:hAnsi="宋体" w:cs="宋体" w:eastAsia="宋体" w:hint="default"/>
        </w:rPr>
        <w:t>16%</w:t>
      </w:r>
      <w:r>
        <w:rPr/>
        <w:t>的增长。</w:t>
      </w:r>
    </w:p>
    <w:p>
      <w:pPr>
        <w:spacing w:line="240" w:lineRule="auto" w:before="5"/>
        <w:rPr>
          <w:rFonts w:ascii="宋体" w:hAnsi="宋体" w:cs="宋体" w:eastAsia="宋体" w:hint="default"/>
          <w:sz w:val="34"/>
          <w:szCs w:val="34"/>
        </w:rPr>
      </w:pPr>
    </w:p>
    <w:p>
      <w:pPr>
        <w:spacing w:line="300" w:lineRule="auto" w:before="0"/>
        <w:ind w:left="138" w:right="5208" w:firstLine="0"/>
        <w:jc w:val="left"/>
        <w:rPr>
          <w:rFonts w:ascii="宋体" w:hAnsi="宋体" w:cs="宋体" w:eastAsia="宋体" w:hint="default"/>
          <w:sz w:val="24"/>
          <w:szCs w:val="24"/>
        </w:rPr>
      </w:pPr>
      <w:r>
        <w:rPr>
          <w:rFonts w:ascii="Calibri" w:hAnsi="Calibri" w:cs="Calibri" w:eastAsia="Calibri" w:hint="default"/>
          <w:b/>
          <w:bCs/>
          <w:sz w:val="24"/>
          <w:szCs w:val="24"/>
        </w:rPr>
        <w:t>(</w:t>
      </w:r>
      <w:r>
        <w:rPr>
          <w:rFonts w:ascii="宋体" w:hAnsi="宋体" w:cs="宋体" w:eastAsia="宋体" w:hint="default"/>
          <w:b/>
          <w:bCs/>
          <w:sz w:val="24"/>
          <w:szCs w:val="24"/>
        </w:rPr>
        <w:t>三</w:t>
      </w:r>
      <w:r>
        <w:rPr>
          <w:rFonts w:ascii="Calibri" w:hAnsi="Calibri" w:cs="Calibri" w:eastAsia="Calibri" w:hint="default"/>
          <w:b/>
          <w:bCs/>
          <w:sz w:val="24"/>
          <w:szCs w:val="24"/>
        </w:rPr>
        <w:t>)</w:t>
      </w:r>
      <w:r>
        <w:rPr>
          <w:rFonts w:ascii="Calibri" w:hAnsi="Calibri" w:cs="Calibri" w:eastAsia="Calibri" w:hint="default"/>
          <w:b/>
          <w:bCs/>
          <w:spacing w:val="35"/>
          <w:sz w:val="24"/>
          <w:szCs w:val="24"/>
        </w:rPr>
        <w:t> </w:t>
      </w:r>
      <w:r>
        <w:rPr>
          <w:rFonts w:ascii="宋体" w:hAnsi="宋体" w:cs="宋体" w:eastAsia="宋体" w:hint="default"/>
          <w:b/>
          <w:bCs/>
          <w:sz w:val="24"/>
          <w:szCs w:val="24"/>
        </w:rPr>
        <w:t>经营计划</w:t>
      </w:r>
      <w:r>
        <w:rPr>
          <w:rFonts w:ascii="宋体" w:hAnsi="宋体" w:cs="宋体" w:eastAsia="宋体" w:hint="default"/>
          <w:b/>
          <w:bCs/>
          <w:spacing w:val="1"/>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、围绕战略方向，匹配公司组织架构</w:t>
      </w:r>
    </w:p>
    <w:p>
      <w:pPr>
        <w:pStyle w:val="BodyText"/>
        <w:spacing w:line="237" w:lineRule="auto" w:before="59"/>
        <w:ind w:right="355" w:firstLine="480"/>
        <w:jc w:val="both"/>
      </w:pPr>
      <w:r>
        <w:rPr>
          <w:spacing w:val="-2"/>
        </w:rPr>
        <w:t>优化上市公司业务及管理架构，将原产品、服务和解决方案体系等按业务板块进</w:t>
      </w:r>
      <w:r>
        <w:rPr/>
        <w:t> </w:t>
      </w:r>
      <w:r>
        <w:rPr>
          <w:spacing w:val="-2"/>
        </w:rPr>
        <w:t>行重新整合，聚合相近业务，实现定向精细化管理，提升业务运营效率，确保董事会</w:t>
      </w:r>
      <w:r>
        <w:rPr>
          <w:spacing w:val="-94"/>
        </w:rPr>
        <w:t> </w:t>
      </w:r>
      <w:r>
        <w:rPr>
          <w:spacing w:val="-94"/>
        </w:rPr>
      </w:r>
      <w:r>
        <w:rPr/>
        <w:t>年度目标顺利达成。</w:t>
      </w:r>
    </w:p>
    <w:p>
      <w:pPr>
        <w:pStyle w:val="BodyText"/>
        <w:spacing w:line="328" w:lineRule="auto" w:before="118"/>
        <w:ind w:left="618" w:right="0" w:hanging="480"/>
        <w:jc w:val="left"/>
      </w:pPr>
      <w:r>
        <w:rPr>
          <w:rFonts w:ascii="宋体" w:hAnsi="宋体" w:cs="宋体" w:eastAsia="宋体" w:hint="default"/>
        </w:rPr>
        <w:t>2</w:t>
      </w:r>
      <w:r>
        <w:rPr/>
        <w:t>、集中力量研发与生产，加快产品产业化进程 </w:t>
      </w:r>
      <w:r>
        <w:rPr>
          <w:spacing w:val="-2"/>
        </w:rPr>
        <w:t>集中力量投入研发和生产，公司将发布面对重要行业信息系统的自主的可信服务</w:t>
      </w:r>
    </w:p>
    <w:p>
      <w:pPr>
        <w:pStyle w:val="BodyText"/>
        <w:spacing w:line="222" w:lineRule="exact"/>
        <w:ind w:right="0"/>
        <w:jc w:val="left"/>
      </w:pPr>
      <w:r>
        <w:rPr/>
        <w:t>器、交易型数据库、数据库一体机、中间件等相关产品。</w:t>
      </w:r>
    </w:p>
    <w:p>
      <w:pPr>
        <w:pStyle w:val="BodyText"/>
        <w:spacing w:line="240" w:lineRule="auto" w:before="118"/>
        <w:ind w:right="0"/>
        <w:jc w:val="left"/>
      </w:pPr>
      <w:r>
        <w:rPr>
          <w:rFonts w:ascii="宋体" w:hAnsi="宋体" w:cs="宋体" w:eastAsia="宋体" w:hint="default"/>
        </w:rPr>
        <w:t>3</w:t>
      </w:r>
      <w:r>
        <w:rPr/>
        <w:t>、 加快建设渠道体系，加强市场营销能力</w:t>
      </w:r>
    </w:p>
    <w:p>
      <w:pPr>
        <w:pStyle w:val="BodyText"/>
        <w:spacing w:line="328" w:lineRule="auto" w:before="116"/>
        <w:ind w:right="0" w:firstLine="480"/>
        <w:jc w:val="left"/>
      </w:pPr>
      <w:r>
        <w:rPr/>
        <w:t>扩大合作伙伴业务协同范围，构建适合华胜天成自主产品发展的规模渠道体系。 </w:t>
      </w:r>
      <w:r>
        <w:rPr>
          <w:rFonts w:ascii="宋体" w:hAnsi="宋体" w:cs="宋体" w:eastAsia="宋体" w:hint="default"/>
        </w:rPr>
        <w:t>4</w:t>
      </w:r>
      <w:r>
        <w:rPr/>
        <w:t>、以客户为中心，整合服务和产品</w:t>
      </w:r>
    </w:p>
    <w:p>
      <w:pPr>
        <w:pStyle w:val="BodyText"/>
        <w:spacing w:line="240" w:lineRule="auto" w:before="29"/>
        <w:ind w:left="618" w:right="0"/>
        <w:jc w:val="left"/>
      </w:pPr>
      <w:r>
        <w:rPr/>
        <w:t>将公司自主研发产品融入应用集成解决方案，提供公司业务粘性和整体竞争实力。</w:t>
      </w:r>
    </w:p>
    <w:p>
      <w:pPr>
        <w:spacing w:line="240" w:lineRule="auto" w:before="4"/>
        <w:rPr>
          <w:rFonts w:ascii="宋体" w:hAnsi="宋体" w:cs="宋体" w:eastAsia="宋体" w:hint="default"/>
          <w:sz w:val="34"/>
          <w:szCs w:val="34"/>
        </w:rPr>
      </w:pPr>
    </w:p>
    <w:p>
      <w:pPr>
        <w:spacing w:line="300" w:lineRule="auto" w:before="0"/>
        <w:ind w:left="558" w:right="222" w:hanging="420"/>
        <w:jc w:val="left"/>
        <w:rPr>
          <w:rFonts w:ascii="宋体" w:hAnsi="宋体" w:cs="宋体" w:eastAsia="宋体" w:hint="default"/>
          <w:sz w:val="24"/>
          <w:szCs w:val="24"/>
        </w:rPr>
      </w:pPr>
      <w:r>
        <w:rPr>
          <w:rFonts w:ascii="Calibri" w:hAnsi="Calibri" w:cs="Calibri" w:eastAsia="Calibri" w:hint="default"/>
          <w:b/>
          <w:bCs/>
          <w:sz w:val="24"/>
          <w:szCs w:val="24"/>
        </w:rPr>
        <w:t>(</w:t>
      </w:r>
      <w:r>
        <w:rPr>
          <w:rFonts w:ascii="宋体" w:hAnsi="宋体" w:cs="宋体" w:eastAsia="宋体" w:hint="default"/>
          <w:b/>
          <w:bCs/>
          <w:sz w:val="24"/>
          <w:szCs w:val="24"/>
        </w:rPr>
        <w:t>四</w:t>
      </w:r>
      <w:r>
        <w:rPr>
          <w:rFonts w:ascii="Calibri" w:hAnsi="Calibri" w:cs="Calibri" w:eastAsia="Calibri" w:hint="default"/>
          <w:b/>
          <w:bCs/>
          <w:sz w:val="24"/>
          <w:szCs w:val="24"/>
        </w:rPr>
        <w:t>)</w:t>
      </w:r>
      <w:r>
        <w:rPr>
          <w:rFonts w:ascii="Calibri" w:hAnsi="Calibri" w:cs="Calibri" w:eastAsia="Calibri" w:hint="default"/>
          <w:b/>
          <w:bCs/>
          <w:spacing w:val="34"/>
          <w:sz w:val="24"/>
          <w:szCs w:val="24"/>
        </w:rPr>
        <w:t> </w:t>
      </w:r>
      <w:r>
        <w:rPr>
          <w:rFonts w:ascii="宋体" w:hAnsi="宋体" w:cs="宋体" w:eastAsia="宋体" w:hint="default"/>
          <w:b/>
          <w:bCs/>
          <w:sz w:val="24"/>
          <w:szCs w:val="24"/>
        </w:rPr>
        <w:t>因维持当前业务并完成在建投资项目公司所需的资金需求</w:t>
      </w:r>
      <w:r>
        <w:rPr>
          <w:rFonts w:ascii="宋体" w:hAnsi="宋体" w:cs="宋体" w:eastAsia="宋体" w:hint="default"/>
          <w:b/>
          <w:bCs/>
          <w:w w:val="99"/>
          <w:sz w:val="24"/>
          <w:szCs w:val="24"/>
        </w:rPr>
        <w:t> </w:t>
      </w:r>
      <w:r>
        <w:rPr>
          <w:rFonts w:ascii="宋体" w:hAnsi="宋体" w:cs="宋体" w:eastAsia="宋体" w:hint="default"/>
          <w:spacing w:val="-3"/>
          <w:sz w:val="24"/>
          <w:szCs w:val="24"/>
        </w:rPr>
        <w:t>公司在</w:t>
      </w:r>
      <w:r>
        <w:rPr>
          <w:rFonts w:ascii="宋体" w:hAnsi="宋体" w:cs="宋体" w:eastAsia="宋体" w:hint="default"/>
          <w:spacing w:val="-3"/>
          <w:sz w:val="24"/>
          <w:szCs w:val="24"/>
        </w:rPr>
        <w:t>2015</w:t>
      </w:r>
      <w:r>
        <w:rPr>
          <w:rFonts w:ascii="宋体" w:hAnsi="宋体" w:cs="宋体" w:eastAsia="宋体" w:hint="default"/>
          <w:spacing w:val="-3"/>
          <w:sz w:val="24"/>
          <w:szCs w:val="24"/>
        </w:rPr>
        <w:t>年将继续增加对高端计算系统项目的资源投入，尤其是加大研发投入，</w:t>
      </w:r>
    </w:p>
    <w:p>
      <w:pPr>
        <w:pStyle w:val="BodyText"/>
        <w:spacing w:line="251" w:lineRule="exact"/>
        <w:ind w:right="0"/>
        <w:jc w:val="left"/>
      </w:pPr>
      <w:r>
        <w:rPr/>
        <w:t>加快自主产品推向市场的力度。</w:t>
      </w:r>
    </w:p>
    <w:p>
      <w:pPr>
        <w:pStyle w:val="BodyText"/>
        <w:spacing w:line="312" w:lineRule="exact" w:before="147"/>
        <w:ind w:right="408" w:firstLine="480"/>
        <w:jc w:val="left"/>
      </w:pPr>
      <w:r>
        <w:rPr/>
        <w:t>为实现</w:t>
      </w:r>
      <w:r>
        <w:rPr>
          <w:spacing w:val="-60"/>
        </w:rPr>
        <w:t> </w:t>
      </w:r>
      <w:r>
        <w:rPr>
          <w:rFonts w:ascii="宋体" w:hAnsi="宋体" w:cs="宋体" w:eastAsia="宋体" w:hint="default"/>
        </w:rPr>
        <w:t>2015</w:t>
      </w:r>
      <w:r>
        <w:rPr>
          <w:rFonts w:ascii="宋体" w:hAnsi="宋体" w:cs="宋体" w:eastAsia="宋体" w:hint="default"/>
          <w:spacing w:val="-60"/>
        </w:rPr>
        <w:t> </w:t>
      </w:r>
      <w:r>
        <w:rPr/>
        <w:t>年经营目标，公司将积极进行合理的财务规划，推进业务整合并购 以及战略合作，加强对</w:t>
      </w:r>
      <w:r>
        <w:rPr>
          <w:spacing w:val="-60"/>
        </w:rPr>
        <w:t> </w:t>
      </w:r>
      <w:r>
        <w:rPr>
          <w:rFonts w:ascii="宋体" w:hAnsi="宋体" w:cs="宋体" w:eastAsia="宋体" w:hint="default"/>
        </w:rPr>
        <w:t>TOP</w:t>
      </w:r>
      <w:r>
        <w:rPr>
          <w:rFonts w:ascii="宋体" w:hAnsi="宋体" w:cs="宋体" w:eastAsia="宋体" w:hint="default"/>
          <w:spacing w:val="-60"/>
        </w:rPr>
        <w:t> </w:t>
      </w:r>
      <w:r>
        <w:rPr/>
        <w:t>项目的资金投入，加快资源的整合和外延式发展。</w:t>
      </w:r>
    </w:p>
    <w:p>
      <w:pPr>
        <w:spacing w:line="240" w:lineRule="auto" w:before="2"/>
        <w:rPr>
          <w:rFonts w:ascii="宋体" w:hAnsi="宋体" w:cs="宋体" w:eastAsia="宋体" w:hint="default"/>
          <w:sz w:val="32"/>
          <w:szCs w:val="32"/>
        </w:rPr>
      </w:pPr>
    </w:p>
    <w:p>
      <w:pPr>
        <w:spacing w:line="300" w:lineRule="auto" w:before="0"/>
        <w:ind w:left="558" w:right="348" w:hanging="420"/>
        <w:jc w:val="left"/>
        <w:rPr>
          <w:rFonts w:ascii="宋体" w:hAnsi="宋体" w:cs="宋体" w:eastAsia="宋体" w:hint="default"/>
          <w:sz w:val="24"/>
          <w:szCs w:val="24"/>
        </w:rPr>
      </w:pPr>
      <w:r>
        <w:rPr>
          <w:rFonts w:ascii="Calibri" w:hAnsi="Calibri" w:cs="Calibri" w:eastAsia="Calibri" w:hint="default"/>
          <w:b/>
          <w:bCs/>
          <w:sz w:val="24"/>
          <w:szCs w:val="24"/>
        </w:rPr>
        <w:t>(</w:t>
      </w:r>
      <w:r>
        <w:rPr>
          <w:rFonts w:ascii="宋体" w:hAnsi="宋体" w:cs="宋体" w:eastAsia="宋体" w:hint="default"/>
          <w:b/>
          <w:bCs/>
          <w:sz w:val="24"/>
          <w:szCs w:val="24"/>
        </w:rPr>
        <w:t>五</w:t>
      </w:r>
      <w:r>
        <w:rPr>
          <w:rFonts w:ascii="Calibri" w:hAnsi="Calibri" w:cs="Calibri" w:eastAsia="Calibri" w:hint="default"/>
          <w:b/>
          <w:bCs/>
          <w:sz w:val="24"/>
          <w:szCs w:val="24"/>
        </w:rPr>
        <w:t>)</w:t>
      </w:r>
      <w:r>
        <w:rPr>
          <w:rFonts w:ascii="Calibri" w:hAnsi="Calibri" w:cs="Calibri" w:eastAsia="Calibri" w:hint="default"/>
          <w:b/>
          <w:bCs/>
          <w:spacing w:val="35"/>
          <w:sz w:val="24"/>
          <w:szCs w:val="24"/>
        </w:rPr>
        <w:t> </w:t>
      </w:r>
      <w:r>
        <w:rPr>
          <w:rFonts w:ascii="宋体" w:hAnsi="宋体" w:cs="宋体" w:eastAsia="宋体" w:hint="default"/>
          <w:b/>
          <w:bCs/>
          <w:sz w:val="24"/>
          <w:szCs w:val="24"/>
        </w:rPr>
        <w:t>可能面对的风险</w:t>
      </w:r>
      <w:r>
        <w:rPr>
          <w:rFonts w:ascii="宋体" w:hAnsi="宋体" w:cs="宋体" w:eastAsia="宋体" w:hint="default"/>
          <w:b/>
          <w:bCs/>
          <w:w w:val="99"/>
          <w:sz w:val="24"/>
          <w:szCs w:val="24"/>
        </w:rPr>
        <w:t> </w:t>
      </w:r>
      <w:r>
        <w:rPr>
          <w:rFonts w:ascii="宋体" w:hAnsi="宋体" w:cs="宋体" w:eastAsia="宋体" w:hint="default"/>
          <w:sz w:val="24"/>
          <w:szCs w:val="24"/>
        </w:rPr>
        <w:t>虽面临难得的机遇期，但在新环境下，</w:t>
      </w:r>
      <w:r>
        <w:rPr>
          <w:rFonts w:ascii="宋体" w:hAnsi="宋体" w:cs="宋体" w:eastAsia="宋体" w:hint="default"/>
          <w:sz w:val="24"/>
          <w:szCs w:val="24"/>
        </w:rPr>
        <w:t>IT</w:t>
      </w:r>
      <w:r>
        <w:rPr>
          <w:rFonts w:ascii="宋体" w:hAnsi="宋体" w:cs="宋体" w:eastAsia="宋体" w:hint="default"/>
          <w:sz w:val="24"/>
          <w:szCs w:val="24"/>
        </w:rPr>
        <w:t>技术快速变革，互联网跨界颠覆，业内</w:t>
      </w:r>
    </w:p>
    <w:p>
      <w:pPr>
        <w:pStyle w:val="BodyText"/>
        <w:spacing w:line="250" w:lineRule="exact"/>
        <w:ind w:right="0"/>
        <w:jc w:val="left"/>
      </w:pPr>
      <w:r>
        <w:rPr/>
        <w:t>同行加速竞争，要求公司的产品和服务不断优化，管理和运营快速应变，与之对应的</w:t>
      </w:r>
    </w:p>
    <w:p>
      <w:pPr>
        <w:pStyle w:val="BodyText"/>
        <w:spacing w:line="331" w:lineRule="auto"/>
        <w:ind w:left="618" w:right="2448" w:hanging="480"/>
        <w:jc w:val="left"/>
      </w:pPr>
      <w:r>
        <w:rPr/>
        <w:t>组织、机制、流程、人力资源必须随市场变化，适时进行调整。 公司在发展过程中，以下风险值得关注：</w:t>
      </w:r>
    </w:p>
    <w:p>
      <w:pPr>
        <w:pStyle w:val="Heading2"/>
        <w:spacing w:line="240" w:lineRule="auto" w:before="25"/>
        <w:ind w:left="138" w:right="0"/>
        <w:jc w:val="left"/>
        <w:rPr>
          <w:b w:val="0"/>
          <w:bCs w:val="0"/>
        </w:rPr>
      </w:pPr>
      <w:r>
        <w:rPr>
          <w:rFonts w:ascii="宋体" w:hAnsi="宋体" w:cs="宋体" w:eastAsia="宋体" w:hint="default"/>
        </w:rPr>
        <w:t>1</w:t>
      </w:r>
      <w:r>
        <w:rPr/>
        <w:t>、自主研发管理需继续加强</w:t>
      </w:r>
      <w:r>
        <w:rPr>
          <w:b w:val="0"/>
          <w:bCs w:val="0"/>
        </w:rPr>
      </w:r>
    </w:p>
    <w:p>
      <w:pPr>
        <w:spacing w:after="0" w:line="240" w:lineRule="auto"/>
        <w:jc w:val="left"/>
        <w:sectPr>
          <w:pgSz w:w="11910" w:h="16840"/>
          <w:pgMar w:header="882" w:footer="1194" w:top="1080" w:bottom="1380" w:left="1660" w:right="920"/>
        </w:sectPr>
      </w:pPr>
    </w:p>
    <w:p>
      <w:pPr>
        <w:spacing w:line="240" w:lineRule="auto" w:before="12"/>
        <w:rPr>
          <w:rFonts w:ascii="宋体" w:hAnsi="宋体" w:cs="宋体" w:eastAsia="宋体" w:hint="default"/>
          <w:b/>
          <w:bCs/>
          <w:sz w:val="28"/>
          <w:szCs w:val="28"/>
        </w:rPr>
      </w:pPr>
    </w:p>
    <w:p>
      <w:pPr>
        <w:pStyle w:val="BodyText"/>
        <w:spacing w:line="237" w:lineRule="auto" w:before="28"/>
        <w:ind w:left="218" w:right="212" w:firstLine="480"/>
        <w:jc w:val="both"/>
      </w:pPr>
      <w:r>
        <w:rPr>
          <w:spacing w:val="-2"/>
        </w:rPr>
        <w:t>公司面临着从为传统</w:t>
      </w:r>
      <w:r>
        <w:rPr>
          <w:rFonts w:ascii="宋体" w:hAnsi="宋体" w:cs="宋体" w:eastAsia="宋体" w:hint="default"/>
          <w:spacing w:val="-2"/>
        </w:rPr>
        <w:t>IT</w:t>
      </w:r>
      <w:r>
        <w:rPr>
          <w:spacing w:val="-2"/>
        </w:rPr>
        <w:t>服务向综合自主</w:t>
      </w:r>
      <w:r>
        <w:rPr>
          <w:rFonts w:ascii="宋体" w:hAnsi="宋体" w:cs="宋体" w:eastAsia="宋体" w:hint="default"/>
          <w:spacing w:val="-2"/>
        </w:rPr>
        <w:t>IT</w:t>
      </w:r>
      <w:r>
        <w:rPr>
          <w:spacing w:val="-2"/>
        </w:rPr>
        <w:t>产品、服务的转型，如何更好的实现产</w:t>
      </w:r>
      <w:r>
        <w:rPr/>
        <w:t> </w:t>
      </w:r>
      <w:r>
        <w:rPr>
          <w:spacing w:val="-2"/>
        </w:rPr>
        <w:t>品间的研发资源整合，能力有效互补，并形成技术优势，公司的技术研发管理将面临</w:t>
      </w:r>
      <w:r>
        <w:rPr>
          <w:spacing w:val="-94"/>
        </w:rPr>
        <w:t> </w:t>
      </w:r>
      <w:r>
        <w:rPr>
          <w:spacing w:val="-94"/>
        </w:rPr>
      </w:r>
      <w:r>
        <w:rPr/>
        <w:t>融合新经验和新内容的挑战。</w:t>
      </w:r>
    </w:p>
    <w:p>
      <w:pPr>
        <w:spacing w:line="328" w:lineRule="auto" w:before="117"/>
        <w:ind w:left="698" w:right="127" w:hanging="48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、融合性、综合化集成需求将不断提升</w:t>
      </w:r>
      <w:r>
        <w:rPr>
          <w:rFonts w:ascii="宋体" w:hAnsi="宋体" w:cs="宋体" w:eastAsia="宋体" w:hint="default"/>
          <w:b/>
          <w:bCs/>
          <w:w w:val="99"/>
          <w:sz w:val="24"/>
          <w:szCs w:val="24"/>
        </w:rPr>
        <w:t> </w:t>
      </w:r>
      <w:r>
        <w:rPr>
          <w:rFonts w:ascii="宋体" w:hAnsi="宋体" w:cs="宋体" w:eastAsia="宋体" w:hint="default"/>
          <w:spacing w:val="-2"/>
          <w:sz w:val="24"/>
          <w:szCs w:val="24"/>
        </w:rPr>
        <w:t>大数据、云计算时代，诸如智慧城市等项目，客户更需要的是将多层次产品和服</w:t>
      </w:r>
    </w:p>
    <w:p>
      <w:pPr>
        <w:pStyle w:val="BodyText"/>
        <w:spacing w:line="222" w:lineRule="exact"/>
        <w:ind w:left="218" w:right="127"/>
        <w:jc w:val="left"/>
      </w:pPr>
      <w:r>
        <w:rPr/>
        <w:t>务融合的整体解决方案，对技术前瞻和全面掌控能力，服务人员的实施能力，应用的</w:t>
      </w:r>
    </w:p>
    <w:p>
      <w:pPr>
        <w:spacing w:line="328" w:lineRule="auto" w:before="0"/>
        <w:ind w:left="218" w:right="5908" w:firstLine="0"/>
        <w:jc w:val="left"/>
        <w:rPr>
          <w:rFonts w:ascii="宋体" w:hAnsi="宋体" w:cs="宋体" w:eastAsia="宋体" w:hint="default"/>
          <w:sz w:val="24"/>
          <w:szCs w:val="24"/>
        </w:rPr>
      </w:pPr>
      <w:r>
        <w:rPr>
          <w:rFonts w:ascii="宋体" w:hAnsi="宋体" w:cs="宋体" w:eastAsia="宋体" w:hint="default"/>
          <w:sz w:val="24"/>
          <w:szCs w:val="24"/>
        </w:rPr>
        <w:t>研发部署模式等带来新挑战。 </w:t>
      </w:r>
      <w:r>
        <w:rPr>
          <w:rFonts w:ascii="宋体" w:hAnsi="宋体" w:cs="宋体" w:eastAsia="宋体" w:hint="default"/>
          <w:b/>
          <w:bCs/>
          <w:sz w:val="24"/>
          <w:szCs w:val="24"/>
        </w:rPr>
        <w:t>3</w:t>
      </w:r>
      <w:r>
        <w:rPr>
          <w:rFonts w:ascii="宋体" w:hAnsi="宋体" w:cs="宋体" w:eastAsia="宋体" w:hint="default"/>
          <w:b/>
          <w:bCs/>
          <w:sz w:val="24"/>
          <w:szCs w:val="24"/>
        </w:rPr>
        <w:t>、行业竞争将愈激烈</w:t>
      </w:r>
      <w:r>
        <w:rPr>
          <w:rFonts w:ascii="宋体" w:hAnsi="宋体" w:cs="宋体" w:eastAsia="宋体" w:hint="default"/>
          <w:sz w:val="24"/>
          <w:szCs w:val="24"/>
        </w:rPr>
      </w:r>
    </w:p>
    <w:p>
      <w:pPr>
        <w:pStyle w:val="BodyText"/>
        <w:spacing w:line="237" w:lineRule="auto" w:before="32"/>
        <w:ind w:left="218" w:right="212" w:firstLine="480"/>
        <w:jc w:val="both"/>
      </w:pPr>
      <w:r>
        <w:rPr>
          <w:spacing w:val="-2"/>
        </w:rPr>
        <w:t>云计算开源的理念降低了</w:t>
      </w:r>
      <w:r>
        <w:rPr>
          <w:rFonts w:ascii="宋体" w:hAnsi="宋体" w:cs="宋体" w:eastAsia="宋体" w:hint="default"/>
          <w:spacing w:val="-2"/>
        </w:rPr>
        <w:t>IT</w:t>
      </w:r>
      <w:r>
        <w:rPr>
          <w:spacing w:val="-2"/>
        </w:rPr>
        <w:t>企业研发产品的门槛，自主化战略意味着公司将面临</w:t>
      </w:r>
      <w:r>
        <w:rPr/>
        <w:t> </w:t>
      </w:r>
      <w:r>
        <w:rPr>
          <w:spacing w:val="-2"/>
        </w:rPr>
        <w:t>更多的国内对手，在激烈的市场和价格竞争环境下，如何保持产品和市场优势，保持</w:t>
      </w:r>
      <w:r>
        <w:rPr>
          <w:spacing w:val="-94"/>
        </w:rPr>
        <w:t> </w:t>
      </w:r>
      <w:r>
        <w:rPr>
          <w:spacing w:val="-94"/>
        </w:rPr>
      </w:r>
      <w:r>
        <w:rPr/>
        <w:t>合理的企业收益将给公司带来新挑战。</w:t>
      </w:r>
    </w:p>
    <w:p>
      <w:pPr>
        <w:pStyle w:val="BodyText"/>
        <w:spacing w:line="237" w:lineRule="auto" w:before="120"/>
        <w:ind w:left="218" w:right="213" w:firstLine="480"/>
        <w:jc w:val="both"/>
      </w:pPr>
      <w:r>
        <w:rPr>
          <w:spacing w:val="-2"/>
        </w:rPr>
        <w:t>为防范上述风险，公司建立了针对环境风险的定期分析防范机制，通过战略研讨</w:t>
      </w:r>
      <w:r>
        <w:rPr/>
        <w:t> </w:t>
      </w:r>
      <w:r>
        <w:rPr>
          <w:spacing w:val="-2"/>
        </w:rPr>
        <w:t>和专家闭门会议等多种形式，分析行业内趋势、公司发展和国家产业政策变化，及时</w:t>
      </w:r>
      <w:r>
        <w:rPr>
          <w:spacing w:val="-94"/>
        </w:rPr>
        <w:t> </w:t>
      </w:r>
      <w:r>
        <w:rPr>
          <w:spacing w:val="-94"/>
        </w:rPr>
      </w:r>
      <w:r>
        <w:rPr>
          <w:spacing w:val="-3"/>
        </w:rPr>
        <w:t>修正战略方向。同时每</w:t>
      </w:r>
      <w:r>
        <w:rPr>
          <w:spacing w:val="-69"/>
        </w:rPr>
        <w:t> </w:t>
      </w:r>
      <w:r>
        <w:rPr>
          <w:rFonts w:ascii="宋体" w:hAnsi="宋体" w:cs="宋体" w:eastAsia="宋体" w:hint="default"/>
        </w:rPr>
        <w:t>2-3</w:t>
      </w:r>
      <w:r>
        <w:rPr>
          <w:rFonts w:ascii="宋体" w:hAnsi="宋体" w:cs="宋体" w:eastAsia="宋体" w:hint="default"/>
          <w:spacing w:val="-69"/>
        </w:rPr>
        <w:t> </w:t>
      </w:r>
      <w:r>
        <w:rPr/>
        <w:t>年研究和调整公司大的发展战略，保持公司的发展战略与</w:t>
      </w:r>
    </w:p>
    <w:p>
      <w:pPr>
        <w:pStyle w:val="BodyText"/>
        <w:spacing w:line="311" w:lineRule="exact"/>
        <w:ind w:left="218" w:right="127"/>
        <w:jc w:val="left"/>
      </w:pPr>
      <w:r>
        <w:rPr/>
        <w:t>市场形势和客户需求接轨，保障公司持续稳定的发展，以最大程度保护投资者利益。</w:t>
      </w:r>
    </w:p>
    <w:p>
      <w:pPr>
        <w:spacing w:line="240" w:lineRule="auto" w:before="4"/>
        <w:rPr>
          <w:rFonts w:ascii="宋体" w:hAnsi="宋体" w:cs="宋体" w:eastAsia="宋体" w:hint="default"/>
          <w:sz w:val="34"/>
          <w:szCs w:val="34"/>
        </w:rPr>
      </w:pPr>
    </w:p>
    <w:p>
      <w:pPr>
        <w:pStyle w:val="Heading2"/>
        <w:spacing w:line="240" w:lineRule="auto" w:before="0"/>
        <w:ind w:right="127"/>
        <w:jc w:val="left"/>
        <w:rPr>
          <w:b w:val="0"/>
          <w:bCs w:val="0"/>
        </w:rPr>
      </w:pPr>
      <w:r>
        <w:rPr/>
        <w:t>三、董事会对会计师事务所</w:t>
      </w:r>
      <w:r>
        <w:rPr>
          <w:rFonts w:ascii="Arial" w:hAnsi="Arial" w:cs="Arial" w:eastAsia="Arial" w:hint="default"/>
        </w:rPr>
        <w:t>“</w:t>
      </w:r>
      <w:r>
        <w:rPr/>
        <w:t>非标准审计报告</w:t>
      </w:r>
      <w:r>
        <w:rPr>
          <w:rFonts w:ascii="Arial" w:hAnsi="Arial" w:cs="Arial" w:eastAsia="Arial" w:hint="default"/>
        </w:rPr>
        <w:t>”</w:t>
      </w:r>
      <w:r>
        <w:rPr/>
        <w:t>的说明</w:t>
      </w:r>
      <w:r>
        <w:rPr>
          <w:b w:val="0"/>
          <w:bCs w:val="0"/>
        </w:rPr>
      </w:r>
    </w:p>
    <w:p>
      <w:pPr>
        <w:pStyle w:val="Heading2"/>
        <w:spacing w:line="240" w:lineRule="auto" w:before="41"/>
        <w:ind w:left="110" w:right="127"/>
        <w:jc w:val="left"/>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8"/>
        </w:rPr>
        <w:t> </w:t>
      </w:r>
      <w:r>
        <w:rPr/>
        <w:t>董事会、监事会对会计师事务所</w:t>
      </w:r>
      <w:r>
        <w:rPr>
          <w:rFonts w:ascii="Calibri" w:hAnsi="Calibri" w:cs="Calibri" w:eastAsia="Calibri" w:hint="default"/>
        </w:rPr>
        <w:t>“</w:t>
      </w:r>
      <w:r>
        <w:rPr/>
        <w:t>非标准审计报告</w:t>
      </w:r>
      <w:r>
        <w:rPr>
          <w:rFonts w:ascii="Calibri" w:hAnsi="Calibri" w:cs="Calibri" w:eastAsia="Calibri" w:hint="default"/>
        </w:rPr>
        <w:t>”</w:t>
      </w:r>
      <w:r>
        <w:rPr/>
        <w:t>的说明</w:t>
      </w:r>
      <w:r>
        <w:rPr>
          <w:b w:val="0"/>
          <w:bCs w:val="0"/>
        </w:rPr>
      </w:r>
    </w:p>
    <w:p>
      <w:pPr>
        <w:pStyle w:val="BodyText"/>
        <w:spacing w:line="240" w:lineRule="auto" w:before="26"/>
        <w:ind w:left="218" w:right="127"/>
        <w:jc w:val="left"/>
      </w:pPr>
      <w:r>
        <w:rPr/>
        <w:t>□适用 √不适用</w:t>
      </w:r>
    </w:p>
    <w:p>
      <w:pPr>
        <w:spacing w:line="240" w:lineRule="auto" w:before="3"/>
        <w:rPr>
          <w:rFonts w:ascii="宋体" w:hAnsi="宋体" w:cs="宋体" w:eastAsia="宋体" w:hint="default"/>
          <w:sz w:val="28"/>
          <w:szCs w:val="28"/>
        </w:rPr>
      </w:pPr>
    </w:p>
    <w:p>
      <w:pPr>
        <w:pStyle w:val="Heading2"/>
        <w:spacing w:line="240" w:lineRule="auto" w:before="0"/>
        <w:ind w:left="110" w:right="12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52"/>
        </w:rPr>
        <w:t> </w:t>
      </w:r>
      <w:r>
        <w:rPr/>
        <w:t>董事会对会计政策、会计估计或核算方法变更的原因和影响的分析说明</w:t>
      </w:r>
      <w:r>
        <w:rPr>
          <w:b w:val="0"/>
          <w:bCs w:val="0"/>
        </w:rPr>
      </w:r>
    </w:p>
    <w:p>
      <w:pPr>
        <w:pStyle w:val="BodyText"/>
        <w:spacing w:line="240" w:lineRule="auto" w:before="26"/>
        <w:ind w:left="218" w:right="127"/>
        <w:jc w:val="left"/>
      </w:pPr>
      <w:r>
        <w:rPr/>
        <w:t>□适用 √不适用</w:t>
      </w:r>
    </w:p>
    <w:p>
      <w:pPr>
        <w:spacing w:line="240" w:lineRule="auto" w:before="2"/>
        <w:rPr>
          <w:rFonts w:ascii="宋体" w:hAnsi="宋体" w:cs="宋体" w:eastAsia="宋体" w:hint="default"/>
          <w:sz w:val="28"/>
          <w:szCs w:val="28"/>
        </w:rPr>
      </w:pPr>
    </w:p>
    <w:p>
      <w:pPr>
        <w:pStyle w:val="Heading2"/>
        <w:spacing w:line="240" w:lineRule="auto" w:before="0"/>
        <w:ind w:left="110" w:right="127"/>
        <w:jc w:val="left"/>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5"/>
        </w:rPr>
        <w:t> </w:t>
      </w:r>
      <w:r>
        <w:rPr/>
        <w:t>董事会对重要前期差错更正的原因及影响的分析说明</w:t>
      </w:r>
      <w:r>
        <w:rPr>
          <w:b w:val="0"/>
          <w:bCs w:val="0"/>
        </w:rPr>
      </w:r>
    </w:p>
    <w:p>
      <w:pPr>
        <w:pStyle w:val="BodyText"/>
        <w:spacing w:line="240" w:lineRule="auto" w:before="26"/>
        <w:ind w:left="218" w:right="127"/>
        <w:jc w:val="left"/>
      </w:pPr>
      <w:r>
        <w:rPr/>
        <w:t>□适用 √不适用</w:t>
      </w:r>
    </w:p>
    <w:p>
      <w:pPr>
        <w:spacing w:line="240" w:lineRule="auto" w:before="2"/>
        <w:rPr>
          <w:rFonts w:ascii="宋体" w:hAnsi="宋体" w:cs="宋体" w:eastAsia="宋体" w:hint="default"/>
          <w:sz w:val="28"/>
          <w:szCs w:val="28"/>
        </w:rPr>
      </w:pPr>
    </w:p>
    <w:p>
      <w:pPr>
        <w:pStyle w:val="Heading2"/>
        <w:spacing w:line="240" w:lineRule="auto" w:before="0"/>
        <w:ind w:right="127"/>
        <w:jc w:val="left"/>
        <w:rPr>
          <w:b w:val="0"/>
          <w:bCs w:val="0"/>
        </w:rPr>
      </w:pPr>
      <w:r>
        <w:rPr/>
        <w:t>四、利润分配或资本公积金转增预案</w:t>
      </w:r>
      <w:r>
        <w:rPr>
          <w:b w:val="0"/>
          <w:bCs w:val="0"/>
        </w:rPr>
      </w:r>
    </w:p>
    <w:p>
      <w:pPr>
        <w:spacing w:line="300" w:lineRule="auto" w:before="58"/>
        <w:ind w:left="638" w:right="196" w:hanging="420"/>
        <w:jc w:val="left"/>
        <w:rPr>
          <w:rFonts w:ascii="宋体" w:hAnsi="宋体" w:cs="宋体" w:eastAsia="宋体" w:hint="default"/>
          <w:sz w:val="24"/>
          <w:szCs w:val="24"/>
        </w:rPr>
      </w:pPr>
      <w:r>
        <w:rPr>
          <w:rFonts w:ascii="Calibri" w:hAnsi="Calibri" w:cs="Calibri" w:eastAsia="Calibri" w:hint="default"/>
          <w:b/>
          <w:bCs/>
          <w:sz w:val="24"/>
          <w:szCs w:val="24"/>
        </w:rPr>
        <w:t>(</w:t>
      </w:r>
      <w:r>
        <w:rPr>
          <w:rFonts w:ascii="宋体" w:hAnsi="宋体" w:cs="宋体" w:eastAsia="宋体" w:hint="default"/>
          <w:b/>
          <w:bCs/>
          <w:sz w:val="24"/>
          <w:szCs w:val="24"/>
        </w:rPr>
        <w:t>一</w:t>
      </w:r>
      <w:r>
        <w:rPr>
          <w:rFonts w:ascii="Calibri" w:hAnsi="Calibri" w:cs="Calibri" w:eastAsia="Calibri" w:hint="default"/>
          <w:b/>
          <w:bCs/>
          <w:sz w:val="24"/>
          <w:szCs w:val="24"/>
        </w:rPr>
        <w:t>)</w:t>
      </w:r>
      <w:r>
        <w:rPr>
          <w:rFonts w:ascii="Calibri" w:hAnsi="Calibri" w:cs="Calibri" w:eastAsia="Calibri" w:hint="default"/>
          <w:b/>
          <w:bCs/>
          <w:spacing w:val="-26"/>
          <w:sz w:val="24"/>
          <w:szCs w:val="24"/>
        </w:rPr>
        <w:t> </w:t>
      </w:r>
      <w:r>
        <w:rPr>
          <w:rFonts w:ascii="宋体" w:hAnsi="宋体" w:cs="宋体" w:eastAsia="宋体" w:hint="default"/>
          <w:b/>
          <w:bCs/>
          <w:sz w:val="24"/>
          <w:szCs w:val="24"/>
        </w:rPr>
        <w:t>现金分红政策的制定、执行或调整情况</w:t>
      </w:r>
      <w:r>
        <w:rPr>
          <w:rFonts w:ascii="宋体" w:hAnsi="宋体" w:cs="宋体" w:eastAsia="宋体" w:hint="default"/>
          <w:b/>
          <w:bCs/>
          <w:w w:val="99"/>
          <w:sz w:val="24"/>
          <w:szCs w:val="24"/>
        </w:rPr>
        <w:t> </w:t>
      </w:r>
      <w:r>
        <w:rPr>
          <w:rFonts w:ascii="宋体" w:hAnsi="宋体" w:cs="宋体" w:eastAsia="宋体" w:hint="default"/>
          <w:sz w:val="24"/>
          <w:szCs w:val="24"/>
        </w:rPr>
        <w:t>报告期内，公司严格执行《公司章程》中规定的现金分红政策。公司于</w:t>
      </w:r>
      <w:r>
        <w:rPr>
          <w:rFonts w:ascii="宋体" w:hAnsi="宋体" w:cs="宋体" w:eastAsia="宋体" w:hint="default"/>
          <w:spacing w:val="-76"/>
          <w:sz w:val="24"/>
          <w:szCs w:val="24"/>
        </w:rPr>
        <w:t> </w:t>
      </w:r>
      <w:r>
        <w:rPr>
          <w:rFonts w:ascii="宋体" w:hAnsi="宋体" w:cs="宋体" w:eastAsia="宋体" w:hint="default"/>
          <w:sz w:val="24"/>
          <w:szCs w:val="24"/>
        </w:rPr>
        <w:t>2014</w:t>
      </w:r>
      <w:r>
        <w:rPr>
          <w:rFonts w:ascii="宋体" w:hAnsi="宋体" w:cs="宋体" w:eastAsia="宋体" w:hint="default"/>
          <w:spacing w:val="-76"/>
          <w:sz w:val="24"/>
          <w:szCs w:val="24"/>
        </w:rPr>
        <w:t> </w:t>
      </w:r>
      <w:r>
        <w:rPr>
          <w:rFonts w:ascii="宋体" w:hAnsi="宋体" w:cs="宋体" w:eastAsia="宋体" w:hint="default"/>
          <w:sz w:val="24"/>
          <w:szCs w:val="24"/>
        </w:rPr>
        <w:t>年</w:t>
      </w:r>
      <w:r>
        <w:rPr>
          <w:rFonts w:ascii="宋体" w:hAnsi="宋体" w:cs="宋体" w:eastAsia="宋体" w:hint="default"/>
          <w:spacing w:val="-76"/>
          <w:sz w:val="24"/>
          <w:szCs w:val="24"/>
        </w:rPr>
        <w:t> </w:t>
      </w:r>
      <w:r>
        <w:rPr>
          <w:rFonts w:ascii="宋体" w:hAnsi="宋体" w:cs="宋体" w:eastAsia="宋体" w:hint="default"/>
          <w:sz w:val="24"/>
          <w:szCs w:val="24"/>
        </w:rPr>
        <w:t>7</w:t>
      </w:r>
    </w:p>
    <w:p>
      <w:pPr>
        <w:pStyle w:val="BodyText"/>
        <w:spacing w:line="250" w:lineRule="exact"/>
        <w:ind w:left="218" w:right="127"/>
        <w:jc w:val="left"/>
      </w:pPr>
      <w:r>
        <w:rPr>
          <w:spacing w:val="15"/>
        </w:rPr>
        <w:t>月实施了 </w:t>
      </w:r>
      <w:r>
        <w:rPr>
          <w:rFonts w:ascii="宋体" w:hAnsi="宋体" w:cs="宋体" w:eastAsia="宋体" w:hint="default"/>
        </w:rPr>
        <w:t>2013</w:t>
      </w:r>
      <w:r>
        <w:rPr>
          <w:rFonts w:ascii="宋体" w:hAnsi="宋体" w:cs="宋体" w:eastAsia="宋体" w:hint="default"/>
          <w:spacing w:val="37"/>
        </w:rPr>
        <w:t> </w:t>
      </w:r>
      <w:r>
        <w:rPr>
          <w:spacing w:val="20"/>
        </w:rPr>
        <w:t>年度利润分配及资本公积金转增股本方案，共计分派现金红利</w:t>
      </w:r>
    </w:p>
    <w:p>
      <w:pPr>
        <w:pStyle w:val="BodyText"/>
        <w:spacing w:line="310" w:lineRule="exact" w:before="31"/>
        <w:ind w:left="218" w:right="213"/>
        <w:jc w:val="both"/>
      </w:pPr>
      <w:r>
        <w:rPr>
          <w:rFonts w:ascii="宋体" w:hAnsi="宋体" w:cs="宋体" w:eastAsia="宋体" w:hint="default"/>
        </w:rPr>
        <w:t>3,535.94</w:t>
      </w:r>
      <w:r>
        <w:rPr>
          <w:rFonts w:ascii="宋体" w:hAnsi="宋体" w:cs="宋体" w:eastAsia="宋体" w:hint="default"/>
          <w:spacing w:val="-39"/>
        </w:rPr>
        <w:t> </w:t>
      </w:r>
      <w:r>
        <w:rPr>
          <w:spacing w:val="-4"/>
        </w:rPr>
        <w:t>万元。公司现金分红比例符合《公司章程》中的规定。在股东大会审议利润</w:t>
      </w:r>
      <w:r>
        <w:rPr>
          <w:spacing w:val="-118"/>
        </w:rPr>
        <w:t> </w:t>
      </w:r>
      <w:r>
        <w:rPr>
          <w:spacing w:val="-118"/>
        </w:rPr>
      </w:r>
      <w:r>
        <w:rPr>
          <w:spacing w:val="-2"/>
        </w:rPr>
        <w:t>分配方案时，公司为中小股东提供了充分表达意见和诉求的机会，认真听取股东提出</w:t>
      </w:r>
      <w:r>
        <w:rPr>
          <w:spacing w:val="-94"/>
        </w:rPr>
        <w:t> </w:t>
      </w:r>
      <w:r>
        <w:rPr>
          <w:spacing w:val="-94"/>
        </w:rPr>
      </w:r>
      <w:r>
        <w:rPr/>
        <w:t>的意见和建议，切实维护了中小股东的合法利益。</w:t>
      </w:r>
    </w:p>
    <w:p>
      <w:pPr>
        <w:pStyle w:val="BodyText"/>
        <w:spacing w:line="237" w:lineRule="auto" w:before="92"/>
        <w:ind w:left="218" w:right="212" w:firstLine="480"/>
        <w:jc w:val="both"/>
      </w:pPr>
      <w:r>
        <w:rPr/>
        <w:t>为进一步增强公司现金分红力度，强化回报股东的意识，公司于</w:t>
      </w:r>
      <w:r>
        <w:rPr>
          <w:spacing w:val="-42"/>
        </w:rPr>
        <w:t> </w:t>
      </w:r>
      <w:r>
        <w:rPr>
          <w:rFonts w:ascii="宋体" w:hAnsi="宋体" w:cs="宋体" w:eastAsia="宋体" w:hint="default"/>
        </w:rPr>
        <w:t>2012</w:t>
      </w:r>
      <w:r>
        <w:rPr>
          <w:rFonts w:ascii="宋体" w:hAnsi="宋体" w:cs="宋体" w:eastAsia="宋体" w:hint="default"/>
          <w:spacing w:val="-42"/>
        </w:rPr>
        <w:t> </w:t>
      </w:r>
      <w:r>
        <w:rPr/>
        <w:t>年</w:t>
      </w:r>
      <w:r>
        <w:rPr>
          <w:spacing w:val="-41"/>
        </w:rPr>
        <w:t> </w:t>
      </w:r>
      <w:r>
        <w:rPr>
          <w:rFonts w:ascii="宋体" w:hAnsi="宋体" w:cs="宋体" w:eastAsia="宋体" w:hint="default"/>
        </w:rPr>
        <w:t>7</w:t>
      </w:r>
      <w:r>
        <w:rPr>
          <w:rFonts w:ascii="宋体" w:hAnsi="宋体" w:cs="宋体" w:eastAsia="宋体" w:hint="default"/>
          <w:spacing w:val="-42"/>
        </w:rPr>
        <w:t> </w:t>
      </w:r>
      <w:r>
        <w:rPr/>
        <w:t>月根 </w:t>
      </w:r>
      <w:r>
        <w:rPr>
          <w:spacing w:val="-2"/>
        </w:rPr>
        <w:t>据相关规范要求，对利润分配政策进行了修订，现金分红标准和比例更加明确，审批</w:t>
      </w:r>
      <w:r>
        <w:rPr>
          <w:spacing w:val="-94"/>
        </w:rPr>
        <w:t> </w:t>
      </w:r>
      <w:r>
        <w:rPr>
          <w:spacing w:val="-94"/>
        </w:rPr>
      </w:r>
      <w:r>
        <w:rPr/>
        <w:t>程序更加完备。</w:t>
      </w:r>
    </w:p>
    <w:p>
      <w:pPr>
        <w:spacing w:after="0" w:line="237" w:lineRule="auto"/>
        <w:jc w:val="both"/>
        <w:sectPr>
          <w:pgSz w:w="11910" w:h="16840"/>
          <w:pgMar w:header="882" w:footer="1194" w:top="1080" w:bottom="1380" w:left="1580" w:right="1060"/>
        </w:sectPr>
      </w:pPr>
    </w:p>
    <w:p>
      <w:pPr>
        <w:spacing w:line="240" w:lineRule="auto" w:before="12"/>
        <w:rPr>
          <w:rFonts w:ascii="宋体" w:hAnsi="宋体" w:cs="宋体" w:eastAsia="宋体" w:hint="default"/>
          <w:sz w:val="28"/>
          <w:szCs w:val="28"/>
        </w:rPr>
      </w:pPr>
    </w:p>
    <w:p>
      <w:pPr>
        <w:pStyle w:val="Heading2"/>
        <w:spacing w:line="310" w:lineRule="exact" w:before="58"/>
        <w:ind w:left="638" w:right="288" w:hanging="420"/>
        <w:jc w:val="left"/>
        <w:rPr>
          <w:b w:val="0"/>
          <w:bCs w:val="0"/>
        </w:rPr>
      </w:pPr>
      <w:r>
        <w:rPr>
          <w:rFonts w:ascii="Calibri" w:hAnsi="Calibri" w:cs="Calibri" w:eastAsia="Calibri" w:hint="default"/>
          <w:w w:val="95"/>
        </w:rPr>
        <w:t>(</w:t>
      </w:r>
      <w:r>
        <w:rPr>
          <w:w w:val="95"/>
        </w:rPr>
        <w:t>二</w:t>
      </w:r>
      <w:r>
        <w:rPr>
          <w:rFonts w:ascii="Calibri" w:hAnsi="Calibri" w:cs="Calibri" w:eastAsia="Calibri" w:hint="default"/>
          <w:w w:val="95"/>
        </w:rPr>
        <w:t>)    </w:t>
      </w:r>
      <w:r>
        <w:rPr>
          <w:w w:val="95"/>
        </w:rPr>
        <w:t>公司近三年（含报告期）的利润分配方案或预案、资本公积金转增股本方案或预</w:t>
      </w:r>
      <w:r>
        <w:rPr>
          <w:spacing w:val="95"/>
          <w:w w:val="95"/>
        </w:rPr>
        <w:t> </w:t>
      </w:r>
      <w:r>
        <w:rPr>
          <w:spacing w:val="95"/>
          <w:w w:val="95"/>
        </w:rPr>
      </w:r>
      <w:r>
        <w:rPr/>
        <w:t>案</w:t>
      </w:r>
      <w:r>
        <w:rPr>
          <w:b w:val="0"/>
          <w:bCs w:val="0"/>
        </w:rPr>
      </w:r>
    </w:p>
    <w:p>
      <w:pPr>
        <w:tabs>
          <w:tab w:pos="1049" w:val="left" w:leader="none"/>
        </w:tabs>
        <w:spacing w:before="33"/>
        <w:ind w:left="0" w:right="232"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49"/>
        <w:gridCol w:w="1148"/>
        <w:gridCol w:w="1114"/>
        <w:gridCol w:w="1150"/>
        <w:gridCol w:w="1582"/>
        <w:gridCol w:w="1686"/>
        <w:gridCol w:w="1421"/>
      </w:tblGrid>
      <w:tr>
        <w:trPr>
          <w:trHeight w:val="1372" w:hRule="exact"/>
        </w:trPr>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259" w:right="258"/>
              <w:jc w:val="left"/>
              <w:rPr>
                <w:rFonts w:ascii="宋体" w:hAnsi="宋体" w:cs="宋体" w:eastAsia="宋体" w:hint="default"/>
                <w:sz w:val="21"/>
                <w:szCs w:val="21"/>
              </w:rPr>
            </w:pPr>
            <w:r>
              <w:rPr>
                <w:rFonts w:ascii="宋体" w:hAnsi="宋体" w:cs="宋体" w:eastAsia="宋体" w:hint="default"/>
                <w:sz w:val="21"/>
                <w:szCs w:val="21"/>
              </w:rPr>
              <w:t>分红 年度</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1" w:right="101"/>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0"/>
                <w:sz w:val="21"/>
                <w:szCs w:val="21"/>
              </w:rPr>
              <w:t> </w:t>
            </w:r>
            <w:r>
              <w:rPr>
                <w:rFonts w:ascii="宋体" w:hAnsi="宋体" w:cs="宋体" w:eastAsia="宋体" w:hint="default"/>
                <w:sz w:val="21"/>
                <w:szCs w:val="21"/>
              </w:rPr>
              <w:t>10</w:t>
            </w:r>
            <w:r>
              <w:rPr>
                <w:rFonts w:ascii="宋体" w:hAnsi="宋体" w:cs="宋体" w:eastAsia="宋体" w:hint="default"/>
                <w:spacing w:val="-59"/>
                <w:sz w:val="21"/>
                <w:szCs w:val="21"/>
              </w:rPr>
              <w:t> </w:t>
            </w:r>
            <w:r>
              <w:rPr>
                <w:rFonts w:ascii="宋体" w:hAnsi="宋体" w:cs="宋体" w:eastAsia="宋体" w:hint="default"/>
                <w:sz w:val="21"/>
                <w:szCs w:val="21"/>
              </w:rPr>
              <w:t>股送 红股数</w:t>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31" w:right="101" w:hanging="29"/>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78"/>
                <w:sz w:val="21"/>
                <w:szCs w:val="21"/>
              </w:rPr>
              <w:t> </w:t>
            </w:r>
            <w:r>
              <w:rPr>
                <w:rFonts w:ascii="宋体" w:hAnsi="宋体" w:cs="宋体" w:eastAsia="宋体" w:hint="default"/>
                <w:sz w:val="21"/>
                <w:szCs w:val="21"/>
              </w:rPr>
              <w:t>10</w:t>
            </w:r>
            <w:r>
              <w:rPr>
                <w:rFonts w:ascii="宋体" w:hAnsi="宋体" w:cs="宋体" w:eastAsia="宋体" w:hint="default"/>
                <w:spacing w:val="-77"/>
                <w:sz w:val="21"/>
                <w:szCs w:val="21"/>
              </w:rPr>
              <w:t> </w:t>
            </w:r>
            <w:r>
              <w:rPr>
                <w:rFonts w:ascii="宋体" w:hAnsi="宋体" w:cs="宋体" w:eastAsia="宋体" w:hint="default"/>
                <w:sz w:val="21"/>
                <w:szCs w:val="21"/>
              </w:rPr>
              <w:t>股派 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8" w:lineRule="exact"/>
              <w:ind w:left="131"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1" w:right="-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9"/>
                <w:sz w:val="21"/>
                <w:szCs w:val="21"/>
              </w:rPr>
              <w:t> </w:t>
            </w:r>
            <w:r>
              <w:rPr>
                <w:rFonts w:ascii="宋体" w:hAnsi="宋体" w:cs="宋体" w:eastAsia="宋体" w:hint="default"/>
                <w:sz w:val="21"/>
                <w:szCs w:val="21"/>
              </w:rPr>
              <w:t>10</w:t>
            </w:r>
            <w:r>
              <w:rPr>
                <w:rFonts w:ascii="宋体" w:hAnsi="宋体" w:cs="宋体" w:eastAsia="宋体" w:hint="default"/>
                <w:spacing w:val="-58"/>
                <w:sz w:val="21"/>
                <w:szCs w:val="21"/>
              </w:rPr>
              <w:t> </w:t>
            </w:r>
            <w:r>
              <w:rPr>
                <w:rFonts w:ascii="宋体" w:hAnsi="宋体" w:cs="宋体" w:eastAsia="宋体" w:hint="default"/>
                <w:sz w:val="21"/>
                <w:szCs w:val="21"/>
              </w:rPr>
              <w:t>股转 </w:t>
            </w:r>
            <w:r>
              <w:rPr>
                <w:rFonts w:ascii="宋体" w:hAnsi="宋体" w:cs="宋体" w:eastAsia="宋体" w:hint="default"/>
                <w:spacing w:val="-3"/>
                <w:sz w:val="21"/>
                <w:szCs w:val="21"/>
              </w:rPr>
              <w:t>增数（股）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56" w:right="155"/>
              <w:jc w:val="center"/>
              <w:rPr>
                <w:rFonts w:ascii="宋体" w:hAnsi="宋体" w:cs="宋体" w:eastAsia="宋体" w:hint="default"/>
                <w:sz w:val="21"/>
                <w:szCs w:val="21"/>
              </w:rPr>
            </w:pPr>
            <w:r>
              <w:rPr>
                <w:rFonts w:ascii="宋体" w:hAnsi="宋体" w:cs="宋体" w:eastAsia="宋体" w:hint="default"/>
                <w:sz w:val="21"/>
                <w:szCs w:val="21"/>
              </w:rPr>
              <w:t>现金分红的数 额</w:t>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1" w:right="102"/>
              <w:jc w:val="center"/>
              <w:rPr>
                <w:rFonts w:ascii="宋体" w:hAnsi="宋体" w:cs="宋体" w:eastAsia="宋体" w:hint="default"/>
                <w:sz w:val="21"/>
                <w:szCs w:val="21"/>
              </w:rPr>
            </w:pPr>
            <w:r>
              <w:rPr>
                <w:rFonts w:ascii="宋体" w:hAnsi="宋体" w:cs="宋体" w:eastAsia="宋体" w:hint="default"/>
                <w:sz w:val="21"/>
                <w:szCs w:val="21"/>
              </w:rPr>
              <w:t>分红年度合并报 表中归属于上市 公司股东的净利 润</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72" w:lineRule="exact" w:before="26"/>
              <w:ind w:left="178" w:right="180"/>
              <w:jc w:val="center"/>
              <w:rPr>
                <w:rFonts w:ascii="宋体" w:hAnsi="宋体" w:cs="宋体" w:eastAsia="宋体" w:hint="default"/>
                <w:sz w:val="21"/>
                <w:szCs w:val="21"/>
              </w:rPr>
            </w:pPr>
            <w:r>
              <w:rPr>
                <w:rFonts w:ascii="宋体" w:hAnsi="宋体" w:cs="宋体" w:eastAsia="宋体" w:hint="default"/>
                <w:sz w:val="21"/>
                <w:szCs w:val="21"/>
              </w:rPr>
              <w:t>中归属于上 市公司股东 的净利润的 比率</w:t>
            </w:r>
            <w:r>
              <w:rPr>
                <w:rFonts w:ascii="宋体" w:hAnsi="宋体" w:cs="宋体" w:eastAsia="宋体" w:hint="default"/>
                <w:sz w:val="21"/>
                <w:szCs w:val="21"/>
              </w:rPr>
              <w:t>(%)</w:t>
            </w:r>
          </w:p>
        </w:tc>
      </w:tr>
      <w:tr>
        <w:trPr>
          <w:trHeight w:val="282" w:hRule="exact"/>
        </w:trPr>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0.62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0.55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35,359,409.14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41,763,954.73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84.66</w:t>
            </w:r>
          </w:p>
        </w:tc>
      </w:tr>
      <w:tr>
        <w:trPr>
          <w:trHeight w:val="283" w:hRule="exact"/>
        </w:trPr>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64,603,406.80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156,710,565.41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41.22</w:t>
            </w:r>
          </w:p>
        </w:tc>
      </w:tr>
    </w:tbl>
    <w:p>
      <w:pPr>
        <w:pStyle w:val="BodyText"/>
        <w:spacing w:line="237" w:lineRule="auto" w:before="83"/>
        <w:ind w:left="218" w:right="231" w:firstLine="480"/>
        <w:jc w:val="both"/>
      </w:pPr>
      <w:r>
        <w:rPr>
          <w:spacing w:val="-6"/>
        </w:rPr>
        <w:t>经致同会计师事务所审计，公司</w:t>
      </w:r>
      <w:r>
        <w:rPr>
          <w:spacing w:val="-55"/>
        </w:rPr>
        <w:t> </w:t>
      </w:r>
      <w:r>
        <w:rPr>
          <w:rFonts w:ascii="宋体" w:hAnsi="宋体" w:cs="宋体" w:eastAsia="宋体" w:hint="default"/>
        </w:rPr>
        <w:t>2014</w:t>
      </w:r>
      <w:r>
        <w:rPr>
          <w:rFonts w:ascii="宋体" w:hAnsi="宋体" w:cs="宋体" w:eastAsia="宋体" w:hint="default"/>
          <w:spacing w:val="-55"/>
        </w:rPr>
        <w:t> </w:t>
      </w:r>
      <w:r>
        <w:rPr>
          <w:spacing w:val="-5"/>
        </w:rPr>
        <w:t>年度实现归属于上市公司股东的净利润（合</w:t>
      </w:r>
      <w:r>
        <w:rPr/>
        <w:t> </w:t>
      </w:r>
      <w:r>
        <w:rPr>
          <w:spacing w:val="-3"/>
        </w:rPr>
        <w:t>并）</w:t>
      </w:r>
      <w:r>
        <w:rPr>
          <w:rFonts w:ascii="宋体" w:hAnsi="宋体" w:cs="宋体" w:eastAsia="宋体" w:hint="default"/>
          <w:spacing w:val="-3"/>
        </w:rPr>
        <w:t>9,513.36</w:t>
      </w:r>
      <w:r>
        <w:rPr>
          <w:rFonts w:ascii="宋体" w:hAnsi="宋体" w:cs="宋体" w:eastAsia="宋体" w:hint="default"/>
          <w:spacing w:val="-69"/>
        </w:rPr>
        <w:t> </w:t>
      </w:r>
      <w:r>
        <w:rPr>
          <w:spacing w:val="-4"/>
        </w:rPr>
        <w:t>万元，</w:t>
      </w:r>
      <w:r>
        <w:rPr>
          <w:rFonts w:ascii="宋体" w:hAnsi="宋体" w:cs="宋体" w:eastAsia="宋体" w:hint="default"/>
          <w:spacing w:val="-4"/>
        </w:rPr>
        <w:t>2014</w:t>
      </w:r>
      <w:r>
        <w:rPr>
          <w:rFonts w:ascii="宋体" w:hAnsi="宋体" w:cs="宋体" w:eastAsia="宋体" w:hint="default"/>
          <w:spacing w:val="-69"/>
        </w:rPr>
        <w:t> </w:t>
      </w:r>
      <w:r>
        <w:rPr/>
        <w:t>年期末可供股东分配的利润（合并）</w:t>
      </w:r>
      <w:r>
        <w:rPr>
          <w:rFonts w:ascii="宋体" w:hAnsi="宋体" w:cs="宋体" w:eastAsia="宋体" w:hint="default"/>
        </w:rPr>
        <w:t>93,381.71</w:t>
      </w:r>
      <w:r>
        <w:rPr>
          <w:rFonts w:ascii="宋体" w:hAnsi="宋体" w:cs="宋体" w:eastAsia="宋体" w:hint="default"/>
          <w:spacing w:val="-69"/>
        </w:rPr>
        <w:t> </w:t>
      </w:r>
      <w:r>
        <w:rPr>
          <w:spacing w:val="-5"/>
        </w:rPr>
        <w:t>万元，母公</w:t>
      </w:r>
      <w:r>
        <w:rPr/>
        <w:t> </w:t>
      </w:r>
      <w:r>
        <w:rPr>
          <w:spacing w:val="13"/>
        </w:rPr>
        <w:t>司可供股东分配的利润为 </w:t>
      </w:r>
      <w:r>
        <w:rPr>
          <w:rFonts w:ascii="宋体" w:hAnsi="宋体" w:cs="宋体" w:eastAsia="宋体" w:hint="default"/>
        </w:rPr>
        <w:t>39,035.00 </w:t>
      </w:r>
      <w:r>
        <w:rPr>
          <w:spacing w:val="6"/>
        </w:rPr>
        <w:t>万元。</w:t>
      </w:r>
      <w:r>
        <w:rPr>
          <w:rFonts w:ascii="宋体" w:hAnsi="宋体" w:cs="宋体" w:eastAsia="宋体" w:hint="default"/>
          <w:spacing w:val="6"/>
        </w:rPr>
        <w:t>2014</w:t>
      </w:r>
      <w:r>
        <w:rPr>
          <w:rFonts w:ascii="宋体" w:hAnsi="宋体" w:cs="宋体" w:eastAsia="宋体" w:hint="default"/>
          <w:spacing w:val="51"/>
        </w:rPr>
        <w:t> </w:t>
      </w:r>
      <w:r>
        <w:rPr>
          <w:spacing w:val="13"/>
        </w:rPr>
        <w:t>年期末资本公积余额（合并）</w:t>
      </w:r>
      <w:r>
        <w:rPr/>
        <w:t> </w:t>
      </w:r>
      <w:r>
        <w:rPr>
          <w:rFonts w:ascii="宋体" w:hAnsi="宋体" w:cs="宋体" w:eastAsia="宋体" w:hint="default"/>
        </w:rPr>
        <w:t>64,343.50</w:t>
      </w:r>
      <w:r>
        <w:rPr>
          <w:rFonts w:ascii="宋体" w:hAnsi="宋体" w:cs="宋体" w:eastAsia="宋体" w:hint="default"/>
          <w:spacing w:val="-58"/>
        </w:rPr>
        <w:t> </w:t>
      </w:r>
      <w:r>
        <w:rPr>
          <w:spacing w:val="-3"/>
        </w:rPr>
        <w:t>万元，母公司资本公积余额为</w:t>
      </w:r>
      <w:r>
        <w:rPr>
          <w:spacing w:val="-58"/>
        </w:rPr>
        <w:t> </w:t>
      </w:r>
      <w:r>
        <w:rPr>
          <w:rFonts w:ascii="宋体" w:hAnsi="宋体" w:cs="宋体" w:eastAsia="宋体" w:hint="default"/>
        </w:rPr>
        <w:t>63,976.91</w:t>
      </w:r>
      <w:r>
        <w:rPr>
          <w:rFonts w:ascii="宋体" w:hAnsi="宋体" w:cs="宋体" w:eastAsia="宋体" w:hint="default"/>
          <w:spacing w:val="-58"/>
        </w:rPr>
        <w:t> </w:t>
      </w:r>
      <w:r>
        <w:rPr/>
        <w:t>万元。</w:t>
      </w:r>
      <w:r>
        <w:rPr>
          <w:spacing w:val="-33"/>
        </w:rPr>
        <w:t> </w:t>
      </w:r>
      <w:r>
        <w:rPr>
          <w:spacing w:val="-4"/>
        </w:rPr>
        <w:t>根据上述经营情况，公司</w:t>
      </w:r>
    </w:p>
    <w:p>
      <w:pPr>
        <w:pStyle w:val="BodyText"/>
        <w:spacing w:line="310" w:lineRule="exact"/>
        <w:ind w:left="218" w:right="101"/>
        <w:jc w:val="left"/>
      </w:pPr>
      <w:r>
        <w:rPr>
          <w:spacing w:val="-4"/>
        </w:rPr>
        <w:t>拟实施的利润分配预案为：以</w:t>
      </w:r>
      <w:r>
        <w:rPr>
          <w:spacing w:val="-58"/>
        </w:rPr>
        <w:t> </w:t>
      </w:r>
      <w:r>
        <w:rPr>
          <w:rFonts w:ascii="宋体" w:hAnsi="宋体" w:cs="宋体" w:eastAsia="宋体" w:hint="default"/>
        </w:rPr>
        <w:t>2014</w:t>
      </w:r>
      <w:r>
        <w:rPr>
          <w:rFonts w:ascii="宋体" w:hAnsi="宋体" w:cs="宋体" w:eastAsia="宋体" w:hint="default"/>
          <w:spacing w:val="-58"/>
        </w:rPr>
        <w:t> </w:t>
      </w:r>
      <w:r>
        <w:rPr/>
        <w:t>年度利润分配股权登记日总股本为基数</w:t>
      </w:r>
      <w:r>
        <w:rPr>
          <w:rFonts w:ascii="宋体" w:hAnsi="宋体" w:cs="宋体" w:eastAsia="宋体" w:hint="default"/>
        </w:rPr>
        <w:t>,</w:t>
      </w:r>
      <w:r>
        <w:rPr/>
        <w:t>向全体股</w:t>
      </w:r>
    </w:p>
    <w:p>
      <w:pPr>
        <w:pStyle w:val="BodyText"/>
        <w:spacing w:line="313" w:lineRule="exact"/>
        <w:ind w:left="218" w:right="101"/>
        <w:jc w:val="left"/>
      </w:pPr>
      <w:r>
        <w:rPr/>
        <w:t>东每</w:t>
      </w:r>
      <w:r>
        <w:rPr>
          <w:spacing w:val="-60"/>
        </w:rPr>
        <w:t> </w:t>
      </w:r>
      <w:r>
        <w:rPr>
          <w:rFonts w:ascii="宋体" w:hAnsi="宋体" w:cs="宋体" w:eastAsia="宋体" w:hint="default"/>
        </w:rPr>
        <w:t>10</w:t>
      </w:r>
      <w:r>
        <w:rPr>
          <w:rFonts w:ascii="宋体" w:hAnsi="宋体" w:cs="宋体" w:eastAsia="宋体" w:hint="default"/>
          <w:spacing w:val="-60"/>
        </w:rPr>
        <w:t> </w:t>
      </w:r>
      <w:r>
        <w:rPr/>
        <w:t>股 派发现金红利</w:t>
      </w:r>
      <w:r>
        <w:rPr>
          <w:spacing w:val="-60"/>
        </w:rPr>
        <w:t> </w:t>
      </w:r>
      <w:r>
        <w:rPr>
          <w:rFonts w:ascii="宋体" w:hAnsi="宋体" w:cs="宋体" w:eastAsia="宋体" w:hint="default"/>
        </w:rPr>
        <w:t>0.62</w:t>
      </w:r>
      <w:r>
        <w:rPr>
          <w:rFonts w:ascii="宋体" w:hAnsi="宋体" w:cs="宋体" w:eastAsia="宋体" w:hint="default"/>
          <w:spacing w:val="-60"/>
        </w:rPr>
        <w:t> </w:t>
      </w:r>
      <w:r>
        <w:rPr/>
        <w:t>元</w:t>
      </w:r>
      <w:r>
        <w:rPr>
          <w:rFonts w:ascii="宋体" w:hAnsi="宋体" w:cs="宋体" w:eastAsia="宋体" w:hint="default"/>
        </w:rPr>
        <w:t>(</w:t>
      </w:r>
      <w:r>
        <w:rPr/>
        <w:t>含税</w:t>
      </w:r>
      <w:r>
        <w:rPr>
          <w:rFonts w:ascii="宋体" w:hAnsi="宋体" w:cs="宋体" w:eastAsia="宋体" w:hint="default"/>
        </w:rPr>
        <w:t>)</w:t>
      </w:r>
      <w:r>
        <w:rPr/>
        <w:t>。</w:t>
      </w:r>
    </w:p>
    <w:p>
      <w:pPr>
        <w:spacing w:line="240" w:lineRule="auto" w:before="4"/>
        <w:rPr>
          <w:rFonts w:ascii="宋体" w:hAnsi="宋体" w:cs="宋体" w:eastAsia="宋体" w:hint="default"/>
          <w:sz w:val="34"/>
          <w:szCs w:val="34"/>
        </w:rPr>
      </w:pPr>
    </w:p>
    <w:p>
      <w:pPr>
        <w:pStyle w:val="Heading2"/>
        <w:spacing w:line="283" w:lineRule="auto" w:before="0"/>
        <w:ind w:right="5264"/>
        <w:jc w:val="left"/>
        <w:rPr>
          <w:b w:val="0"/>
          <w:bCs w:val="0"/>
        </w:rPr>
      </w:pPr>
      <w:r>
        <w:rPr>
          <w:w w:val="95"/>
        </w:rPr>
        <w:t>五、积极履行社会责任的工作情况</w:t>
      </w:r>
      <w:r>
        <w:rPr>
          <w:spacing w:val="53"/>
          <w:w w:val="95"/>
        </w:rPr>
        <w:t> </w:t>
      </w:r>
      <w:r>
        <w:rPr>
          <w:spacing w:val="53"/>
          <w:w w:val="95"/>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90"/>
        </w:rPr>
        <w:t> </w:t>
      </w:r>
      <w:r>
        <w:rPr/>
        <w:t>社会责任工作情况</w:t>
      </w:r>
      <w:r>
        <w:rPr>
          <w:b w:val="0"/>
          <w:bCs w:val="0"/>
        </w:rPr>
      </w:r>
    </w:p>
    <w:p>
      <w:pPr>
        <w:pStyle w:val="BodyText"/>
        <w:spacing w:line="312" w:lineRule="exact" w:before="105"/>
        <w:ind w:left="218" w:right="233" w:firstLine="420"/>
        <w:jc w:val="both"/>
      </w:pPr>
      <w:r>
        <w:rPr>
          <w:spacing w:val="-7"/>
        </w:rPr>
        <w:t>公司高度重视社会责任，加强与各利益相关方的交流互动，努力创造顾客、企业、</w:t>
      </w:r>
      <w:r>
        <w:rPr/>
        <w:t> 员工、股东、社会的多赢局面。</w:t>
      </w:r>
    </w:p>
    <w:p>
      <w:pPr>
        <w:pStyle w:val="BodyText"/>
        <w:spacing w:line="328" w:lineRule="auto" w:before="89"/>
        <w:ind w:left="698" w:right="101"/>
        <w:jc w:val="left"/>
      </w:pPr>
      <w:r>
        <w:rPr>
          <w:rFonts w:ascii="宋体" w:hAnsi="宋体" w:cs="宋体" w:eastAsia="宋体" w:hint="default"/>
        </w:rPr>
        <w:t>1</w:t>
      </w:r>
      <w:r>
        <w:rPr/>
        <w:t>、股东权益保护方面 </w:t>
      </w:r>
      <w:r>
        <w:rPr>
          <w:spacing w:val="-2"/>
        </w:rPr>
        <w:t>公司按照《公司法》、《证券法》、《上市公司股东大会规则》、《上海证券交</w:t>
      </w:r>
    </w:p>
    <w:p>
      <w:pPr>
        <w:pStyle w:val="BodyText"/>
        <w:spacing w:line="221" w:lineRule="exact"/>
        <w:ind w:left="218" w:right="101"/>
        <w:jc w:val="left"/>
      </w:pPr>
      <w:r>
        <w:rPr/>
        <w:t>易所股票上市规则》等法律、行政法规的要求建立了较为完善的法人治理结构。公司</w:t>
      </w:r>
    </w:p>
    <w:p>
      <w:pPr>
        <w:pStyle w:val="BodyText"/>
        <w:spacing w:line="237" w:lineRule="auto" w:before="1"/>
        <w:ind w:left="218" w:right="231"/>
        <w:jc w:val="both"/>
      </w:pPr>
      <w:r>
        <w:rPr>
          <w:spacing w:val="-2"/>
        </w:rPr>
        <w:t>法人治理结构的实际情况符合《上市公司治理准则》和《公司法》的要求。公司守法</w:t>
      </w:r>
      <w:r>
        <w:rPr>
          <w:spacing w:val="-96"/>
        </w:rPr>
        <w:t> </w:t>
      </w:r>
      <w:r>
        <w:rPr>
          <w:spacing w:val="-96"/>
        </w:rPr>
      </w:r>
      <w:r>
        <w:rPr>
          <w:spacing w:val="-8"/>
        </w:rPr>
        <w:t>经营，规范运作，在业务、资产、人员、机构、财务等方面均独立于股东。报告期内，</w:t>
      </w:r>
      <w:r>
        <w:rPr>
          <w:spacing w:val="-103"/>
        </w:rPr>
        <w:t> </w:t>
      </w:r>
      <w:r>
        <w:rPr>
          <w:spacing w:val="-103"/>
        </w:rPr>
      </w:r>
      <w:r>
        <w:rPr>
          <w:spacing w:val="-5"/>
        </w:rPr>
        <w:t>公司召开</w:t>
      </w:r>
      <w:r>
        <w:rPr>
          <w:rFonts w:ascii="宋体" w:hAnsi="宋体" w:cs="宋体" w:eastAsia="宋体" w:hint="default"/>
          <w:spacing w:val="-5"/>
        </w:rPr>
        <w:t>3</w:t>
      </w:r>
      <w:r>
        <w:rPr>
          <w:spacing w:val="-5"/>
        </w:rPr>
        <w:t>次股东大会，会议共审议通过</w:t>
      </w:r>
      <w:r>
        <w:rPr>
          <w:rFonts w:ascii="宋体" w:hAnsi="宋体" w:cs="宋体" w:eastAsia="宋体" w:hint="default"/>
          <w:spacing w:val="-5"/>
        </w:rPr>
        <w:t>14</w:t>
      </w:r>
      <w:r>
        <w:rPr>
          <w:spacing w:val="-5"/>
        </w:rPr>
        <w:t>项议案。确保股东能充分享有法律、法规、</w:t>
      </w:r>
      <w:r>
        <w:rPr>
          <w:spacing w:val="-93"/>
        </w:rPr>
        <w:t> </w:t>
      </w:r>
      <w:r>
        <w:rPr>
          <w:spacing w:val="-93"/>
        </w:rPr>
      </w:r>
      <w:r>
        <w:rPr/>
        <w:t>规章制度所赋予的各项合法权益。</w:t>
      </w:r>
    </w:p>
    <w:p>
      <w:pPr>
        <w:pStyle w:val="BodyText"/>
        <w:spacing w:line="331" w:lineRule="auto" w:before="117"/>
        <w:ind w:left="698" w:right="101"/>
        <w:jc w:val="left"/>
      </w:pPr>
      <w:r>
        <w:rPr>
          <w:rFonts w:ascii="宋体" w:hAnsi="宋体" w:cs="宋体" w:eastAsia="宋体" w:hint="default"/>
        </w:rPr>
        <w:t>2</w:t>
      </w:r>
      <w:r>
        <w:rPr/>
        <w:t>、进一步健全公司内控管理体系 </w:t>
      </w:r>
      <w:r>
        <w:rPr>
          <w:spacing w:val="-2"/>
        </w:rPr>
        <w:t>报告期内，公司按照财政部、审计署、中国保监会、中国银监会、中国证监会联</w:t>
      </w:r>
    </w:p>
    <w:p>
      <w:pPr>
        <w:pStyle w:val="BodyText"/>
        <w:spacing w:line="218" w:lineRule="exact"/>
        <w:ind w:left="218" w:right="101"/>
        <w:jc w:val="left"/>
      </w:pPr>
      <w:r>
        <w:rPr/>
        <w:t>合发布的 《企业内部控制基本规范》及其配套指引等相关法律法规的要求，对公司</w:t>
      </w:r>
    </w:p>
    <w:p>
      <w:pPr>
        <w:pStyle w:val="BodyText"/>
        <w:spacing w:line="328" w:lineRule="auto"/>
        <w:ind w:left="698" w:right="216" w:hanging="480"/>
        <w:jc w:val="left"/>
      </w:pPr>
      <w:r>
        <w:rPr/>
        <w:t>的内控体系进行了全面梳理，修订了《公司内部控制管理手册》。 </w:t>
      </w:r>
      <w:r>
        <w:rPr>
          <w:rFonts w:ascii="宋体" w:hAnsi="宋体" w:cs="宋体" w:eastAsia="宋体" w:hint="default"/>
        </w:rPr>
        <w:t>3</w:t>
      </w:r>
      <w:r>
        <w:rPr/>
        <w:t>、注重信息披露管理，维护良好投资者关系。 </w:t>
      </w:r>
      <w:r>
        <w:rPr>
          <w:spacing w:val="-8"/>
        </w:rPr>
        <w:t>公司制定了《公司信息披露管理办法》，明确了信息披露程序和相关人员的职责，</w:t>
      </w:r>
    </w:p>
    <w:p>
      <w:pPr>
        <w:pStyle w:val="BodyText"/>
        <w:spacing w:line="221" w:lineRule="exact"/>
        <w:ind w:left="218" w:right="101"/>
        <w:jc w:val="left"/>
      </w:pPr>
      <w:r>
        <w:rPr/>
        <w:t>完善了信息披露管理工作。公司制定了《公司内幕信息及知情人管理制度》，公司严</w:t>
      </w:r>
    </w:p>
    <w:p>
      <w:pPr>
        <w:pStyle w:val="BodyText"/>
        <w:spacing w:line="312" w:lineRule="exact" w:before="29"/>
        <w:ind w:left="218" w:right="101"/>
        <w:jc w:val="left"/>
      </w:pPr>
      <w:r>
        <w:rPr>
          <w:spacing w:val="-2"/>
        </w:rPr>
        <w:t>格按照有关法律法规真实、准确、完整、及时地披露有关信息，确保了公司信息的透</w:t>
      </w:r>
      <w:r>
        <w:rPr>
          <w:spacing w:val="-94"/>
        </w:rPr>
        <w:t> </w:t>
      </w:r>
      <w:r>
        <w:rPr>
          <w:spacing w:val="-94"/>
        </w:rPr>
      </w:r>
      <w:r>
        <w:rPr/>
        <w:t>明度和所有股东有平等机会获取信息。</w:t>
      </w:r>
    </w:p>
    <w:p>
      <w:pPr>
        <w:pStyle w:val="BodyText"/>
        <w:spacing w:line="240" w:lineRule="auto" w:before="89"/>
        <w:ind w:left="698" w:right="101"/>
        <w:jc w:val="left"/>
      </w:pPr>
      <w:r>
        <w:rPr>
          <w:rFonts w:ascii="宋体" w:hAnsi="宋体" w:cs="宋体" w:eastAsia="宋体" w:hint="default"/>
        </w:rPr>
        <w:t>4</w:t>
      </w:r>
      <w:r>
        <w:rPr/>
        <w:t>、注重业绩回报，坚持回馈股东。</w:t>
      </w:r>
    </w:p>
    <w:p>
      <w:pPr>
        <w:spacing w:after="0" w:line="240" w:lineRule="auto"/>
        <w:jc w:val="left"/>
        <w:sectPr>
          <w:footerReference w:type="default" r:id="rId14"/>
          <w:pgSz w:w="11910" w:h="16840"/>
          <w:pgMar w:footer="1194" w:header="882" w:top="1080" w:bottom="1380" w:left="1580" w:right="1040"/>
        </w:sectPr>
      </w:pPr>
    </w:p>
    <w:p>
      <w:pPr>
        <w:spacing w:line="240" w:lineRule="auto" w:before="12"/>
        <w:rPr>
          <w:rFonts w:ascii="宋体" w:hAnsi="宋体" w:cs="宋体" w:eastAsia="宋体" w:hint="default"/>
          <w:sz w:val="28"/>
          <w:szCs w:val="28"/>
        </w:rPr>
      </w:pPr>
    </w:p>
    <w:p>
      <w:pPr>
        <w:pStyle w:val="BodyText"/>
        <w:spacing w:line="237" w:lineRule="auto" w:before="28"/>
        <w:ind w:right="0" w:firstLine="480"/>
        <w:jc w:val="left"/>
      </w:pPr>
      <w:r>
        <w:rPr>
          <w:spacing w:val="-5"/>
        </w:rPr>
        <w:t>公司十分重视对投资者的合理回报，让股东分享公司发展的成果。</w:t>
      </w:r>
      <w:r>
        <w:rPr>
          <w:rFonts w:ascii="宋体" w:hAnsi="宋体" w:cs="宋体" w:eastAsia="宋体" w:hint="default"/>
          <w:spacing w:val="-5"/>
        </w:rPr>
        <w:t>2014</w:t>
      </w:r>
      <w:r>
        <w:rPr>
          <w:spacing w:val="-5"/>
        </w:rPr>
        <w:t>年</w:t>
      </w:r>
      <w:r>
        <w:rPr>
          <w:rFonts w:ascii="宋体" w:hAnsi="宋体" w:cs="宋体" w:eastAsia="宋体" w:hint="default"/>
          <w:spacing w:val="-5"/>
        </w:rPr>
        <w:t>7</w:t>
      </w:r>
      <w:r>
        <w:rPr>
          <w:spacing w:val="-5"/>
        </w:rPr>
        <w:t>月</w:t>
      </w:r>
      <w:r>
        <w:rPr>
          <w:rFonts w:ascii="宋体" w:hAnsi="宋体" w:cs="宋体" w:eastAsia="宋体" w:hint="default"/>
          <w:spacing w:val="-5"/>
        </w:rPr>
        <w:t>4</w:t>
      </w:r>
      <w:r>
        <w:rPr>
          <w:spacing w:val="-5"/>
        </w:rPr>
        <w:t>日，</w:t>
      </w:r>
      <w:r>
        <w:rPr/>
        <w:t> </w:t>
      </w:r>
      <w:r>
        <w:rPr>
          <w:spacing w:val="22"/>
        </w:rPr>
        <w:t>公司实施了</w:t>
      </w:r>
      <w:r>
        <w:rPr>
          <w:spacing w:val="-90"/>
        </w:rPr>
        <w:t> </w:t>
      </w:r>
      <w:r>
        <w:rPr>
          <w:rFonts w:ascii="宋体" w:hAnsi="宋体" w:cs="宋体" w:eastAsia="宋体" w:hint="default"/>
        </w:rPr>
        <w:t>2013</w:t>
      </w:r>
      <w:r>
        <w:rPr>
          <w:rFonts w:ascii="宋体" w:hAnsi="宋体" w:cs="宋体" w:eastAsia="宋体" w:hint="default"/>
          <w:spacing w:val="-90"/>
        </w:rPr>
        <w:t> </w:t>
      </w:r>
      <w:r>
        <w:rPr>
          <w:spacing w:val="25"/>
        </w:rPr>
        <w:t>年度利润分配方案：</w:t>
      </w:r>
      <w:r>
        <w:rPr>
          <w:spacing w:val="-92"/>
        </w:rPr>
        <w:t> </w:t>
      </w:r>
      <w:r>
        <w:rPr/>
        <w:t>以</w:t>
      </w:r>
      <w:r>
        <w:rPr>
          <w:spacing w:val="-88"/>
        </w:rPr>
        <w:t> </w:t>
      </w:r>
      <w:r>
        <w:rPr>
          <w:spacing w:val="23"/>
        </w:rPr>
        <w:t>股权登记日：</w:t>
      </w:r>
      <w:r>
        <w:rPr>
          <w:spacing w:val="-89"/>
        </w:rPr>
        <w:t> </w:t>
      </w:r>
      <w:r>
        <w:rPr>
          <w:rFonts w:ascii="宋体" w:hAnsi="宋体" w:cs="宋体" w:eastAsia="宋体" w:hint="default"/>
        </w:rPr>
        <w:t>2014</w:t>
      </w:r>
      <w:r>
        <w:rPr>
          <w:rFonts w:ascii="宋体" w:hAnsi="宋体" w:cs="宋体" w:eastAsia="宋体" w:hint="default"/>
          <w:spacing w:val="-90"/>
        </w:rPr>
        <w:t> </w:t>
      </w:r>
      <w:r>
        <w:rPr/>
        <w:t>年</w:t>
      </w:r>
      <w:r>
        <w:rPr>
          <w:spacing w:val="-90"/>
        </w:rPr>
        <w:t> </w:t>
      </w:r>
      <w:r>
        <w:rPr>
          <w:rFonts w:ascii="宋体" w:hAnsi="宋体" w:cs="宋体" w:eastAsia="宋体" w:hint="default"/>
        </w:rPr>
        <w:t>7</w:t>
      </w:r>
      <w:r>
        <w:rPr>
          <w:rFonts w:ascii="宋体" w:hAnsi="宋体" w:cs="宋体" w:eastAsia="宋体" w:hint="default"/>
          <w:spacing w:val="-92"/>
        </w:rPr>
        <w:t> </w:t>
      </w:r>
      <w:r>
        <w:rPr/>
        <w:t>月</w:t>
      </w:r>
      <w:r>
        <w:rPr>
          <w:spacing w:val="-90"/>
        </w:rPr>
        <w:t> </w:t>
      </w:r>
      <w:r>
        <w:rPr>
          <w:rFonts w:ascii="宋体" w:hAnsi="宋体" w:cs="宋体" w:eastAsia="宋体" w:hint="default"/>
        </w:rPr>
        <w:t>3</w:t>
      </w:r>
      <w:r>
        <w:rPr>
          <w:rFonts w:ascii="宋体" w:hAnsi="宋体" w:cs="宋体" w:eastAsia="宋体" w:hint="default"/>
          <w:spacing w:val="-92"/>
        </w:rPr>
        <w:t> </w:t>
      </w:r>
      <w:r>
        <w:rPr/>
        <w:t>日</w:t>
      </w:r>
      <w:r>
        <w:rPr>
          <w:spacing w:val="-90"/>
        </w:rPr>
        <w:t> </w:t>
      </w:r>
      <w:r>
        <w:rPr>
          <w:spacing w:val="21"/>
        </w:rPr>
        <w:t>的总股本</w:t>
      </w:r>
      <w:r>
        <w:rPr>
          <w:spacing w:val="-117"/>
        </w:rPr>
        <w:t> </w:t>
      </w:r>
      <w:r>
        <w:rPr>
          <w:spacing w:val="-117"/>
        </w:rPr>
      </w:r>
      <w:r>
        <w:rPr>
          <w:rFonts w:ascii="宋体" w:hAnsi="宋体" w:cs="宋体" w:eastAsia="宋体" w:hint="default"/>
        </w:rPr>
        <w:t>642,898,348</w:t>
      </w:r>
      <w:r>
        <w:rPr/>
        <w:t>股为基数，向全体股东每</w:t>
      </w:r>
      <w:r>
        <w:rPr>
          <w:rFonts w:ascii="宋体" w:hAnsi="宋体" w:cs="宋体" w:eastAsia="宋体" w:hint="default"/>
        </w:rPr>
        <w:t>10</w:t>
      </w:r>
      <w:r>
        <w:rPr/>
        <w:t>股派发现金红利</w:t>
      </w:r>
      <w:r>
        <w:rPr>
          <w:rFonts w:ascii="宋体" w:hAnsi="宋体" w:cs="宋体" w:eastAsia="宋体" w:hint="default"/>
        </w:rPr>
        <w:t>0.55</w:t>
      </w:r>
      <w:r>
        <w:rPr/>
        <w:t>元（含税），共计派发</w:t>
      </w:r>
      <w:r>
        <w:rPr>
          <w:spacing w:val="-59"/>
        </w:rPr>
        <w:t> </w:t>
      </w:r>
      <w:r>
        <w:rPr/>
        <w:t>现金股利</w:t>
      </w:r>
      <w:r>
        <w:rPr>
          <w:rFonts w:ascii="宋体" w:hAnsi="宋体" w:cs="宋体" w:eastAsia="宋体" w:hint="default"/>
        </w:rPr>
        <w:t>3,535.94</w:t>
      </w:r>
      <w:r>
        <w:rPr/>
        <w:t>万元。</w:t>
      </w:r>
    </w:p>
    <w:p>
      <w:pPr>
        <w:pStyle w:val="BodyText"/>
        <w:spacing w:line="331" w:lineRule="auto" w:before="117"/>
        <w:ind w:left="618" w:right="0"/>
        <w:jc w:val="left"/>
      </w:pPr>
      <w:r>
        <w:rPr>
          <w:rFonts w:ascii="宋体" w:hAnsi="宋体" w:cs="宋体" w:eastAsia="宋体" w:hint="default"/>
        </w:rPr>
        <w:t>5</w:t>
      </w:r>
      <w:r>
        <w:rPr/>
        <w:t>、兼顾相关者利益。 </w:t>
      </w:r>
      <w:r>
        <w:rPr>
          <w:spacing w:val="-2"/>
        </w:rPr>
        <w:t>公司的各项重大经营决策过程，均充分兼顾了相关者的合法权益。尊重和维护相</w:t>
      </w:r>
    </w:p>
    <w:p>
      <w:pPr>
        <w:pStyle w:val="BodyText"/>
        <w:spacing w:line="218" w:lineRule="exact"/>
        <w:ind w:right="0"/>
        <w:jc w:val="left"/>
      </w:pPr>
      <w:r>
        <w:rPr/>
        <w:t>关利益者的合法权益，实现股东、员工、社会等各方利益的协调平衡，共同推动公司</w:t>
      </w:r>
    </w:p>
    <w:p>
      <w:pPr>
        <w:pStyle w:val="BodyText"/>
        <w:spacing w:line="331" w:lineRule="auto"/>
        <w:ind w:left="618" w:right="6048" w:hanging="480"/>
        <w:jc w:val="left"/>
      </w:pPr>
      <w:r>
        <w:rPr/>
        <w:t>持续、健康地发展。 </w:t>
      </w:r>
      <w:r>
        <w:rPr>
          <w:rFonts w:ascii="宋体" w:hAnsi="宋体" w:cs="宋体" w:eastAsia="宋体" w:hint="default"/>
        </w:rPr>
        <w:t>6</w:t>
      </w:r>
      <w:r>
        <w:rPr/>
        <w:t>、保护员工权益方面。</w:t>
      </w:r>
    </w:p>
    <w:p>
      <w:pPr>
        <w:pStyle w:val="BodyText"/>
        <w:spacing w:line="237" w:lineRule="auto" w:before="28"/>
        <w:ind w:right="233" w:firstLine="480"/>
        <w:jc w:val="both"/>
      </w:pPr>
      <w:r>
        <w:rPr>
          <w:spacing w:val="-2"/>
        </w:rPr>
        <w:t>公司坚持以人为本、依法治企的原则，始终把保障和维护员工的合法权益放在第</w:t>
      </w:r>
      <w:r>
        <w:rPr/>
        <w:t> </w:t>
      </w:r>
      <w:r>
        <w:rPr>
          <w:spacing w:val="-2"/>
        </w:rPr>
        <w:t>一位。坚持落实员工与领导的民主对话会制度，重视落实职工代表提案，保证员工的</w:t>
      </w:r>
      <w:r>
        <w:rPr>
          <w:spacing w:val="-94"/>
        </w:rPr>
        <w:t> </w:t>
      </w:r>
      <w:r>
        <w:rPr>
          <w:spacing w:val="-94"/>
        </w:rPr>
      </w:r>
      <w:r>
        <w:rPr>
          <w:spacing w:val="-2"/>
        </w:rPr>
        <w:t>工作岗位基本稳定、工资收入年年增长、生产环境明显改善、文化生活日益丰富。公</w:t>
      </w:r>
    </w:p>
    <w:p>
      <w:pPr>
        <w:pStyle w:val="BodyText"/>
        <w:spacing w:line="237" w:lineRule="auto"/>
        <w:ind w:right="0"/>
        <w:jc w:val="left"/>
      </w:pPr>
      <w:r>
        <w:rPr/>
        <w:t>司在为员工足额缴纳“五险一金”基础上，继续缴纳补充商业医疗保险。除此之外，</w:t>
      </w:r>
      <w:r>
        <w:rPr>
          <w:spacing w:val="-62"/>
        </w:rPr>
        <w:t> </w:t>
      </w:r>
      <w:r>
        <w:rPr>
          <w:spacing w:val="-62"/>
        </w:rPr>
      </w:r>
      <w:r>
        <w:rPr/>
        <w:t>公司还为全体员工投保了团体意外险和交通意外险。公司在倡导低碳、绿色经济、灾</w:t>
      </w:r>
      <w:r>
        <w:rPr/>
        <w:t> 区重建、关爱学生、捐建希望小学等公益行动方面一直投入相当大的力量。在国家实 施“绿色</w:t>
      </w:r>
      <w:r>
        <w:rPr>
          <w:rFonts w:ascii="宋体" w:hAnsi="宋体" w:cs="宋体" w:eastAsia="宋体" w:hint="default"/>
        </w:rPr>
        <w:t>GDP</w:t>
      </w:r>
      <w:r>
        <w:rPr/>
        <w:t>”战略的同时，公司以云计算为手段，帮助客户实现节能减排，发挥低 碳、绿色经济效能。</w:t>
      </w:r>
    </w:p>
    <w:p>
      <w:pPr>
        <w:pStyle w:val="BodyText"/>
        <w:spacing w:line="240" w:lineRule="auto" w:before="117"/>
        <w:ind w:left="618" w:right="0"/>
        <w:jc w:val="left"/>
      </w:pPr>
      <w:r>
        <w:rPr>
          <w:rFonts w:ascii="宋体" w:hAnsi="宋体" w:cs="宋体" w:eastAsia="宋体" w:hint="default"/>
        </w:rPr>
        <w:t>7</w:t>
      </w:r>
      <w:r>
        <w:rPr/>
        <w:t>、债权人权益保护方面</w:t>
      </w:r>
    </w:p>
    <w:p>
      <w:pPr>
        <w:pStyle w:val="BodyText"/>
        <w:spacing w:line="237" w:lineRule="auto" w:before="120"/>
        <w:ind w:right="0" w:firstLine="480"/>
        <w:jc w:val="left"/>
      </w:pPr>
      <w:r>
        <w:rPr/>
        <w:t>公司在保证财务状况稳定与公司资产、资金安全的基础上，兼顾债权人的利益。 公司在各项重大经营决策过程，均充分考虑了债权人的合法权益，及时向债权人回馈 与其债权权益相关的重大信息，严格按照与债权人签订的合同履行债务，实现公司与 债权人利益的双赢。</w:t>
      </w:r>
    </w:p>
    <w:p>
      <w:pPr>
        <w:pStyle w:val="BodyText"/>
        <w:spacing w:line="328" w:lineRule="auto" w:before="117"/>
        <w:ind w:left="618" w:right="216"/>
        <w:jc w:val="left"/>
      </w:pPr>
      <w:r>
        <w:rPr>
          <w:rFonts w:ascii="宋体" w:hAnsi="宋体" w:cs="宋体" w:eastAsia="宋体" w:hint="default"/>
        </w:rPr>
        <w:t>8</w:t>
      </w:r>
      <w:r>
        <w:rPr/>
        <w:t>、保护供应商、客户权益方面。 </w:t>
      </w:r>
      <w:r>
        <w:rPr>
          <w:spacing w:val="-8"/>
        </w:rPr>
        <w:t>公司尊重并保护供应商、客户的著作权、商标权、专利权等知识产权、商业机密，</w:t>
      </w:r>
    </w:p>
    <w:p>
      <w:pPr>
        <w:pStyle w:val="BodyText"/>
        <w:spacing w:line="222" w:lineRule="exact"/>
        <w:ind w:right="0"/>
        <w:jc w:val="left"/>
      </w:pPr>
      <w:r>
        <w:rPr/>
        <w:t>合法、合理且正当地使用相关方（包括供应商、客户、商务伙伴或竞争者）的信息、</w:t>
      </w:r>
    </w:p>
    <w:p>
      <w:pPr>
        <w:pStyle w:val="BodyText"/>
        <w:spacing w:line="312" w:lineRule="exact" w:before="29"/>
        <w:ind w:right="0"/>
        <w:jc w:val="left"/>
      </w:pPr>
      <w:r>
        <w:rPr>
          <w:spacing w:val="-2"/>
        </w:rPr>
        <w:t>材料、产品。公司通过售前咨询、售中实施、售后服务三段完备的业务环节为客户提</w:t>
      </w:r>
      <w:r>
        <w:rPr>
          <w:spacing w:val="-94"/>
        </w:rPr>
        <w:t> </w:t>
      </w:r>
      <w:r>
        <w:rPr>
          <w:spacing w:val="-94"/>
        </w:rPr>
      </w:r>
      <w:r>
        <w:rPr/>
        <w:t>供专业化服务，实现客户价值的最大化。</w:t>
      </w:r>
    </w:p>
    <w:p>
      <w:pPr>
        <w:pStyle w:val="BodyText"/>
        <w:spacing w:line="237" w:lineRule="auto" w:before="91"/>
        <w:ind w:right="0" w:firstLine="480"/>
        <w:jc w:val="left"/>
      </w:pPr>
      <w:r>
        <w:rPr>
          <w:rFonts w:ascii="宋体" w:hAnsi="宋体" w:cs="宋体" w:eastAsia="宋体" w:hint="default"/>
        </w:rPr>
        <w:t>2015</w:t>
      </w:r>
      <w:r>
        <w:rPr/>
        <w:t>年公司将继续深化企业社会责任理念，加强与各利益相关方的沟通与交流， 完善企业社会责任执行机制，用我们的实际行动回报社会，实现企业与社会和谐、健 康、可持续发展。</w:t>
      </w:r>
    </w:p>
    <w:p>
      <w:pPr>
        <w:spacing w:after="0" w:line="237" w:lineRule="auto"/>
        <w:jc w:val="left"/>
        <w:sectPr>
          <w:footerReference w:type="default" r:id="rId15"/>
          <w:pgSz w:w="11910" w:h="16840"/>
          <w:pgMar w:footer="1194" w:header="882" w:top="1080" w:bottom="1380" w:left="1660" w:right="1040"/>
          <w:pgNumType w:start="3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1"/>
        <w:tabs>
          <w:tab w:pos="4742" w:val="left" w:leader="none"/>
        </w:tabs>
        <w:spacing w:line="240" w:lineRule="auto"/>
        <w:ind w:left="3482" w:right="0"/>
        <w:jc w:val="left"/>
        <w:rPr>
          <w:rFonts w:ascii="黑体" w:hAnsi="黑体" w:cs="黑体" w:eastAsia="黑体" w:hint="default"/>
          <w:b w:val="0"/>
          <w:bCs w:val="0"/>
        </w:rPr>
      </w:pPr>
      <w:bookmarkStart w:name="_TOC_250006" w:id="5"/>
      <w:r>
        <w:rPr>
          <w:rFonts w:ascii="黑体" w:hAnsi="黑体" w:cs="黑体" w:eastAsia="黑体" w:hint="default"/>
          <w:w w:val="95"/>
        </w:rPr>
        <w:t>第五节</w:t>
        <w:tab/>
      </w:r>
      <w:r>
        <w:rPr>
          <w:rFonts w:ascii="黑体" w:hAnsi="黑体" w:cs="黑体" w:eastAsia="黑体" w:hint="default"/>
        </w:rPr>
        <w:t>重要事项</w:t>
      </w:r>
      <w:bookmarkEnd w:id="5"/>
      <w:r>
        <w:rPr>
          <w:rFonts w:ascii="黑体" w:hAnsi="黑体" w:cs="黑体" w:eastAsia="黑体" w:hint="default"/>
          <w:b w:val="0"/>
          <w:bCs w:val="0"/>
        </w:rPr>
      </w:r>
    </w:p>
    <w:p>
      <w:pPr>
        <w:pStyle w:val="Heading2"/>
        <w:spacing w:line="240" w:lineRule="auto" w:before="245"/>
        <w:ind w:left="258" w:right="0"/>
        <w:jc w:val="left"/>
        <w:rPr>
          <w:b w:val="0"/>
          <w:bCs w:val="0"/>
        </w:rPr>
      </w:pPr>
      <w:r>
        <w:rPr/>
        <w:t>一、重大诉讼、仲裁和媒体普遍质疑的事项</w:t>
      </w:r>
      <w:r>
        <w:rPr>
          <w:b w:val="0"/>
          <w:bCs w:val="0"/>
        </w:rPr>
      </w:r>
    </w:p>
    <w:p>
      <w:pPr>
        <w:pStyle w:val="BodyText"/>
        <w:spacing w:line="240" w:lineRule="auto" w:before="57"/>
        <w:ind w:left="258" w:right="0"/>
        <w:jc w:val="left"/>
      </w:pPr>
      <w:r>
        <w:rPr/>
        <w:t>□适用 √不适用</w:t>
      </w:r>
    </w:p>
    <w:p>
      <w:pPr>
        <w:spacing w:line="240" w:lineRule="auto" w:before="2"/>
        <w:rPr>
          <w:rFonts w:ascii="宋体" w:hAnsi="宋体" w:cs="宋体" w:eastAsia="宋体" w:hint="default"/>
          <w:sz w:val="25"/>
          <w:szCs w:val="25"/>
        </w:rPr>
      </w:pPr>
    </w:p>
    <w:p>
      <w:pPr>
        <w:pStyle w:val="Heading2"/>
        <w:spacing w:line="240" w:lineRule="auto" w:before="0"/>
        <w:ind w:left="258" w:right="0"/>
        <w:jc w:val="left"/>
        <w:rPr>
          <w:b w:val="0"/>
          <w:bCs w:val="0"/>
        </w:rPr>
      </w:pPr>
      <w:r>
        <w:rPr/>
        <w:t>二、报告期内资金被占用情况及清欠进展情况</w:t>
      </w:r>
      <w:r>
        <w:rPr>
          <w:b w:val="0"/>
          <w:bCs w:val="0"/>
        </w:rPr>
      </w:r>
    </w:p>
    <w:p>
      <w:pPr>
        <w:pStyle w:val="BodyText"/>
        <w:spacing w:line="240" w:lineRule="auto" w:before="58"/>
        <w:ind w:left="258" w:right="0"/>
        <w:jc w:val="left"/>
      </w:pPr>
      <w:r>
        <w:rPr/>
        <w:t>□适用 √不适用</w:t>
      </w:r>
    </w:p>
    <w:p>
      <w:pPr>
        <w:spacing w:line="240" w:lineRule="auto" w:before="2"/>
        <w:rPr>
          <w:rFonts w:ascii="宋体" w:hAnsi="宋体" w:cs="宋体" w:eastAsia="宋体" w:hint="default"/>
          <w:sz w:val="28"/>
          <w:szCs w:val="28"/>
        </w:rPr>
      </w:pPr>
    </w:p>
    <w:p>
      <w:pPr>
        <w:pStyle w:val="Heading2"/>
        <w:spacing w:line="283" w:lineRule="auto" w:before="0"/>
        <w:ind w:left="738" w:right="6639" w:hanging="480"/>
        <w:jc w:val="left"/>
        <w:rPr>
          <w:rFonts w:ascii="宋体" w:hAnsi="宋体" w:cs="宋体" w:eastAsia="宋体" w:hint="default"/>
          <w:b w:val="0"/>
          <w:bCs w:val="0"/>
        </w:rPr>
      </w:pPr>
      <w:r>
        <w:rPr/>
        <w:t>三、破产重整相关事项</w:t>
      </w:r>
      <w:r>
        <w:rPr>
          <w:w w:val="99"/>
        </w:rPr>
        <w:t> </w:t>
      </w:r>
      <w:r>
        <w:rPr>
          <w:rFonts w:ascii="宋体" w:hAnsi="宋体" w:cs="宋体" w:eastAsia="宋体" w:hint="default"/>
          <w:b w:val="0"/>
          <w:bCs w:val="0"/>
        </w:rPr>
        <w:t>无</w:t>
      </w:r>
    </w:p>
    <w:p>
      <w:pPr>
        <w:spacing w:line="240" w:lineRule="auto" w:before="11"/>
        <w:rPr>
          <w:rFonts w:ascii="宋体" w:hAnsi="宋体" w:cs="宋体" w:eastAsia="宋体" w:hint="default"/>
          <w:sz w:val="24"/>
          <w:szCs w:val="24"/>
        </w:rPr>
      </w:pPr>
    </w:p>
    <w:p>
      <w:pPr>
        <w:pStyle w:val="Heading2"/>
        <w:spacing w:line="240" w:lineRule="auto" w:before="0"/>
        <w:ind w:left="258" w:right="0"/>
        <w:jc w:val="left"/>
        <w:rPr>
          <w:b w:val="0"/>
          <w:bCs w:val="0"/>
        </w:rPr>
      </w:pPr>
      <w:r>
        <w:rPr/>
        <w:t>四、资产交易、企业合并事项</w:t>
      </w:r>
      <w:r>
        <w:rPr>
          <w:b w:val="0"/>
          <w:bCs w:val="0"/>
        </w:rPr>
      </w:r>
    </w:p>
    <w:p>
      <w:pPr>
        <w:pStyle w:val="BodyText"/>
        <w:spacing w:line="240" w:lineRule="auto" w:before="56"/>
        <w:ind w:left="258" w:right="0"/>
        <w:jc w:val="left"/>
      </w:pPr>
      <w:r>
        <w:rPr/>
        <w:t>√适用□不适用</w:t>
      </w:r>
    </w:p>
    <w:p>
      <w:pPr>
        <w:spacing w:line="240" w:lineRule="auto" w:before="2"/>
        <w:rPr>
          <w:rFonts w:ascii="宋体" w:hAnsi="宋体" w:cs="宋体" w:eastAsia="宋体" w:hint="default"/>
          <w:sz w:val="28"/>
          <w:szCs w:val="28"/>
        </w:rPr>
      </w:pPr>
    </w:p>
    <w:p>
      <w:pPr>
        <w:pStyle w:val="Heading2"/>
        <w:spacing w:line="240" w:lineRule="auto" w:before="0"/>
        <w:ind w:left="258" w:right="0"/>
        <w:jc w:val="left"/>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6"/>
        </w:rPr>
        <w:t> </w:t>
      </w:r>
      <w:r>
        <w:rPr/>
        <w:t>公司收购、出售资产和企业合并事项已在临时公告披露且后续实施无变化的</w:t>
      </w:r>
      <w:r>
        <w:rPr>
          <w:b w:val="0"/>
          <w:bCs w:val="0"/>
        </w:rPr>
      </w:r>
    </w:p>
    <w:p>
      <w:pPr>
        <w:spacing w:line="240" w:lineRule="auto" w:before="13"/>
        <w:rPr>
          <w:rFonts w:ascii="宋体" w:hAnsi="宋体" w:cs="宋体" w:eastAsia="宋体" w:hint="default"/>
          <w:b/>
          <w:bCs/>
          <w:sz w:val="4"/>
          <w:szCs w:val="4"/>
        </w:rPr>
      </w:pPr>
    </w:p>
    <w:tbl>
      <w:tblPr>
        <w:tblW w:w="0" w:type="auto"/>
        <w:jc w:val="left"/>
        <w:tblInd w:w="145" w:type="dxa"/>
        <w:tblLayout w:type="fixed"/>
        <w:tblCellMar>
          <w:top w:w="0" w:type="dxa"/>
          <w:left w:w="0" w:type="dxa"/>
          <w:bottom w:w="0" w:type="dxa"/>
          <w:right w:w="0" w:type="dxa"/>
        </w:tblCellMar>
        <w:tblLook w:val="01E0"/>
      </w:tblPr>
      <w:tblGrid>
        <w:gridCol w:w="4932"/>
        <w:gridCol w:w="4118"/>
      </w:tblGrid>
      <w:tr>
        <w:trPr>
          <w:trHeight w:val="282" w:hRule="exact"/>
        </w:trPr>
        <w:tc>
          <w:tcPr>
            <w:tcW w:w="4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事项概述及类型</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100" w:hRule="exact"/>
        </w:trPr>
        <w:tc>
          <w:tcPr>
            <w:tcW w:w="4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本公司间接控制</w:t>
            </w:r>
            <w:r>
              <w:rPr>
                <w:rFonts w:ascii="宋体" w:hAnsi="宋体" w:cs="宋体" w:eastAsia="宋体" w:hint="default"/>
                <w:spacing w:val="-54"/>
                <w:sz w:val="21"/>
                <w:szCs w:val="21"/>
              </w:rPr>
              <w:t> </w:t>
            </w:r>
            <w:r>
              <w:rPr>
                <w:rFonts w:ascii="宋体" w:hAnsi="宋体" w:cs="宋体" w:eastAsia="宋体" w:hint="default"/>
                <w:sz w:val="21"/>
                <w:szCs w:val="21"/>
              </w:rPr>
              <w:t>ASL</w:t>
            </w:r>
            <w:r>
              <w:rPr>
                <w:rFonts w:ascii="宋体" w:hAnsi="宋体" w:cs="宋体" w:eastAsia="宋体" w:hint="default"/>
                <w:spacing w:val="-53"/>
                <w:sz w:val="21"/>
                <w:szCs w:val="21"/>
              </w:rPr>
              <w:t> </w:t>
            </w:r>
            <w:r>
              <w:rPr>
                <w:rFonts w:ascii="宋体" w:hAnsi="宋体" w:cs="宋体" w:eastAsia="宋体" w:hint="default"/>
                <w:sz w:val="21"/>
                <w:szCs w:val="21"/>
              </w:rPr>
              <w:t>公司之全资子公司</w:t>
            </w:r>
            <w:r>
              <w:rPr>
                <w:rFonts w:ascii="宋体" w:hAnsi="宋体" w:cs="宋体" w:eastAsia="宋体" w:hint="default"/>
                <w:spacing w:val="-53"/>
                <w:sz w:val="21"/>
                <w:szCs w:val="21"/>
              </w:rPr>
              <w:t> </w:t>
            </w:r>
            <w:r>
              <w:rPr>
                <w:rFonts w:ascii="宋体" w:hAnsi="宋体" w:cs="宋体" w:eastAsia="宋体" w:hint="default"/>
                <w:sz w:val="21"/>
                <w:szCs w:val="21"/>
              </w:rPr>
              <w:t>ASL</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Security</w:t>
            </w:r>
            <w:r>
              <w:rPr>
                <w:rFonts w:ascii="宋体" w:hAnsi="宋体" w:cs="宋体" w:eastAsia="宋体" w:hint="default"/>
                <w:spacing w:val="-6"/>
                <w:sz w:val="21"/>
                <w:szCs w:val="21"/>
              </w:rPr>
              <w:t> </w:t>
            </w:r>
            <w:r>
              <w:rPr>
                <w:rFonts w:ascii="宋体" w:hAnsi="宋体" w:cs="宋体" w:eastAsia="宋体" w:hint="default"/>
                <w:sz w:val="21"/>
                <w:szCs w:val="21"/>
              </w:rPr>
              <w:t>Solutions</w:t>
            </w:r>
            <w:r>
              <w:rPr>
                <w:rFonts w:ascii="宋体" w:hAnsi="宋体" w:cs="宋体" w:eastAsia="宋体" w:hint="default"/>
                <w:spacing w:val="-5"/>
                <w:sz w:val="21"/>
                <w:szCs w:val="21"/>
              </w:rPr>
              <w:t> </w:t>
            </w:r>
            <w:r>
              <w:rPr>
                <w:rFonts w:ascii="宋体" w:hAnsi="宋体" w:cs="宋体" w:eastAsia="宋体" w:hint="default"/>
                <w:sz w:val="21"/>
                <w:szCs w:val="21"/>
              </w:rPr>
              <w:t>Limited</w:t>
            </w:r>
            <w:r>
              <w:rPr>
                <w:rFonts w:ascii="宋体" w:hAnsi="宋体" w:cs="宋体" w:eastAsia="宋体" w:hint="default"/>
                <w:spacing w:val="-53"/>
                <w:sz w:val="21"/>
                <w:szCs w:val="21"/>
              </w:rPr>
              <w:t> </w:t>
            </w:r>
            <w:r>
              <w:rPr>
                <w:rFonts w:ascii="宋体" w:hAnsi="宋体" w:cs="宋体" w:eastAsia="宋体" w:hint="default"/>
                <w:sz w:val="21"/>
                <w:szCs w:val="21"/>
              </w:rPr>
              <w:t>转让其持有</w:t>
            </w:r>
            <w:r>
              <w:rPr>
                <w:rFonts w:ascii="宋体" w:hAnsi="宋体" w:cs="宋体" w:eastAsia="宋体" w:hint="default"/>
                <w:spacing w:val="-53"/>
                <w:sz w:val="21"/>
                <w:szCs w:val="21"/>
              </w:rPr>
              <w:t> </w:t>
            </w:r>
            <w:r>
              <w:rPr>
                <w:rFonts w:ascii="宋体" w:hAnsi="宋体" w:cs="宋体" w:eastAsia="宋体" w:hint="default"/>
                <w:sz w:val="21"/>
                <w:szCs w:val="21"/>
              </w:rPr>
              <w:t>I-Sprint Innovations Pte</w:t>
            </w:r>
            <w:r>
              <w:rPr>
                <w:rFonts w:ascii="宋体" w:hAnsi="宋体" w:cs="宋体" w:eastAsia="宋体" w:hint="default"/>
                <w:spacing w:val="-2"/>
                <w:sz w:val="21"/>
                <w:szCs w:val="21"/>
              </w:rPr>
              <w:t> </w:t>
            </w:r>
            <w:r>
              <w:rPr>
                <w:rFonts w:ascii="宋体" w:hAnsi="宋体" w:cs="宋体" w:eastAsia="宋体" w:hint="default"/>
                <w:sz w:val="21"/>
                <w:szCs w:val="21"/>
              </w:rPr>
              <w:t>Ltd.</w:t>
            </w:r>
            <w:r>
              <w:rPr>
                <w:rFonts w:ascii="宋体" w:hAnsi="宋体" w:cs="宋体" w:eastAsia="宋体" w:hint="default"/>
                <w:sz w:val="21"/>
                <w:szCs w:val="21"/>
              </w:rPr>
              <w:t>部分股权</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详细内容参见公司于</w:t>
            </w:r>
            <w:r>
              <w:rPr>
                <w:rFonts w:ascii="宋体" w:hAnsi="宋体" w:cs="宋体" w:eastAsia="宋体" w:hint="default"/>
                <w:spacing w:val="-68"/>
                <w:sz w:val="21"/>
                <w:szCs w:val="21"/>
              </w:rPr>
              <w:t> </w:t>
            </w:r>
            <w:r>
              <w:rPr>
                <w:rFonts w:ascii="宋体" w:hAnsi="宋体" w:cs="宋体" w:eastAsia="宋体" w:hint="default"/>
                <w:sz w:val="21"/>
                <w:szCs w:val="21"/>
              </w:rPr>
              <w:t>2014</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2</w:t>
            </w:r>
            <w:r>
              <w:rPr>
                <w:rFonts w:ascii="宋体" w:hAnsi="宋体" w:cs="宋体" w:eastAsia="宋体" w:hint="default"/>
                <w:spacing w:val="-68"/>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17</w:t>
            </w:r>
            <w:r>
              <w:rPr>
                <w:rFonts w:ascii="宋体" w:hAnsi="宋体" w:cs="宋体" w:eastAsia="宋体" w:hint="default"/>
                <w:spacing w:val="-68"/>
                <w:sz w:val="21"/>
                <w:szCs w:val="21"/>
              </w:rPr>
              <w:t> </w:t>
            </w:r>
            <w:r>
              <w:rPr>
                <w:rFonts w:ascii="宋体" w:hAnsi="宋体" w:cs="宋体" w:eastAsia="宋体" w:hint="default"/>
                <w:sz w:val="21"/>
                <w:szCs w:val="21"/>
              </w:rPr>
              <w:t>日在上</w:t>
            </w:r>
          </w:p>
          <w:p>
            <w:pPr>
              <w:pStyle w:val="TableParagraph"/>
              <w:spacing w:line="272" w:lineRule="exact" w:before="26"/>
              <w:ind w:left="102" w:right="906"/>
              <w:jc w:val="left"/>
              <w:rPr>
                <w:rFonts w:ascii="宋体" w:hAnsi="宋体" w:cs="宋体" w:eastAsia="宋体" w:hint="default"/>
                <w:sz w:val="21"/>
                <w:szCs w:val="21"/>
              </w:rPr>
            </w:pPr>
            <w:r>
              <w:rPr>
                <w:rFonts w:ascii="宋体" w:hAnsi="宋体" w:cs="宋体" w:eastAsia="宋体" w:hint="default"/>
                <w:sz w:val="21"/>
                <w:szCs w:val="21"/>
              </w:rPr>
              <w:t>海证券交易所网站 </w:t>
            </w:r>
            <w:hyperlink r:id="rId9">
              <w:r>
                <w:rPr>
                  <w:rFonts w:ascii="宋体" w:hAnsi="宋体" w:cs="宋体" w:eastAsia="宋体" w:hint="default"/>
                  <w:sz w:val="21"/>
                  <w:szCs w:val="21"/>
                </w:rPr>
                <w:t>http://www.sse.com.cn</w:t>
              </w:r>
            </w:hyperlink>
            <w:r>
              <w:rPr>
                <w:rFonts w:ascii="宋体" w:hAnsi="宋体" w:cs="宋体" w:eastAsia="宋体" w:hint="default"/>
                <w:spacing w:val="-53"/>
                <w:sz w:val="21"/>
                <w:szCs w:val="21"/>
              </w:rPr>
              <w:t> </w:t>
            </w:r>
            <w:r>
              <w:rPr>
                <w:rFonts w:ascii="宋体" w:hAnsi="宋体" w:cs="宋体" w:eastAsia="宋体" w:hint="default"/>
                <w:sz w:val="21"/>
                <w:szCs w:val="21"/>
              </w:rPr>
              <w:t>披露的临 </w:t>
            </w:r>
            <w:r>
              <w:rPr>
                <w:rFonts w:ascii="宋体" w:hAnsi="宋体" w:cs="宋体" w:eastAsia="宋体" w:hint="default"/>
                <w:sz w:val="21"/>
                <w:szCs w:val="21"/>
              </w:rPr>
              <w:t>2014-003</w:t>
            </w:r>
            <w:r>
              <w:rPr>
                <w:rFonts w:ascii="宋体" w:hAnsi="宋体" w:cs="宋体" w:eastAsia="宋体" w:hint="default"/>
                <w:spacing w:val="-54"/>
                <w:sz w:val="21"/>
                <w:szCs w:val="21"/>
              </w:rPr>
              <w:t> </w:t>
            </w:r>
            <w:r>
              <w:rPr>
                <w:rFonts w:ascii="宋体" w:hAnsi="宋体" w:cs="宋体" w:eastAsia="宋体" w:hint="default"/>
                <w:sz w:val="21"/>
                <w:szCs w:val="21"/>
              </w:rPr>
              <w:t>公告。</w:t>
            </w:r>
          </w:p>
        </w:tc>
      </w:tr>
      <w:tr>
        <w:trPr>
          <w:trHeight w:val="282" w:hRule="exact"/>
        </w:trPr>
        <w:tc>
          <w:tcPr>
            <w:tcW w:w="4932" w:type="dxa"/>
            <w:tcBorders>
              <w:top w:val="single" w:sz="4" w:space="0" w:color="000000"/>
              <w:left w:val="single" w:sz="4" w:space="0" w:color="000000"/>
              <w:bottom w:val="single" w:sz="4" w:space="0" w:color="000000"/>
              <w:right w:val="single" w:sz="4" w:space="0" w:color="000000"/>
            </w:tcBorders>
          </w:tcPr>
          <w:p>
            <w:pPr/>
          </w:p>
        </w:tc>
        <w:tc>
          <w:tcPr>
            <w:tcW w:w="41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2" w:footer="1194" w:top="1080" w:bottom="1380" w:left="1540" w:right="1040"/>
        </w:sectPr>
      </w:pPr>
    </w:p>
    <w:p>
      <w:pPr>
        <w:pStyle w:val="Heading2"/>
        <w:spacing w:line="300" w:lineRule="auto"/>
        <w:ind w:left="25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53"/>
        </w:rPr>
        <w:t> </w:t>
      </w:r>
      <w:r>
        <w:rPr/>
        <w:t>临时公告未披露或有后续进展的情况</w:t>
      </w:r>
      <w:r>
        <w:rPr>
          <w:w w:val="99"/>
        </w:rPr>
        <w:t> </w:t>
      </w:r>
      <w:r>
        <w:rPr>
          <w:rFonts w:ascii="宋体" w:hAnsi="宋体" w:cs="宋体" w:eastAsia="宋体" w:hint="default"/>
        </w:rPr>
        <w:t>1</w:t>
      </w:r>
      <w:r>
        <w:rPr/>
        <w:t>、</w:t>
      </w:r>
      <w:r>
        <w:rPr>
          <w:spacing w:val="-75"/>
        </w:rPr>
        <w:t> </w:t>
      </w:r>
      <w:r>
        <w:rPr/>
        <w:t>企业本期新纳入合并范围的主体</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12"/>
        <w:rPr>
          <w:rFonts w:ascii="宋体" w:hAnsi="宋体" w:cs="宋体" w:eastAsia="宋体" w:hint="default"/>
          <w:b/>
          <w:bCs/>
          <w:sz w:val="19"/>
          <w:szCs w:val="19"/>
        </w:rPr>
      </w:pPr>
    </w:p>
    <w:p>
      <w:pPr>
        <w:pStyle w:val="BodyText"/>
        <w:spacing w:line="240" w:lineRule="auto"/>
        <w:ind w:left="257" w:right="0"/>
        <w:jc w:val="left"/>
      </w:pPr>
      <w:r>
        <w:rPr/>
        <w:t>单位</w:t>
      </w:r>
      <w:r>
        <w:rPr>
          <w:rFonts w:ascii="宋体" w:hAnsi="宋体" w:cs="宋体" w:eastAsia="宋体" w:hint="default"/>
        </w:rPr>
        <w:t>:</w:t>
      </w:r>
      <w:r>
        <w:rPr/>
        <w:t>元 币种</w:t>
      </w:r>
      <w:r>
        <w:rPr>
          <w:rFonts w:ascii="宋体" w:hAnsi="宋体" w:cs="宋体" w:eastAsia="宋体" w:hint="default"/>
        </w:rPr>
        <w:t>:</w:t>
      </w:r>
      <w:r>
        <w:rPr/>
        <w:t>人民币</w:t>
      </w:r>
    </w:p>
    <w:p>
      <w:pPr>
        <w:spacing w:after="0" w:line="240" w:lineRule="auto"/>
        <w:jc w:val="left"/>
        <w:sectPr>
          <w:type w:val="continuous"/>
          <w:pgSz w:w="11910" w:h="16840"/>
          <w:pgMar w:top="1080" w:bottom="1380" w:left="1540" w:right="1040"/>
          <w:cols w:num="2" w:equalWidth="0">
            <w:col w:w="4678" w:space="1756"/>
            <w:col w:w="2896"/>
          </w:cols>
        </w:sectPr>
      </w:pPr>
    </w:p>
    <w:p>
      <w:pPr>
        <w:spacing w:line="240" w:lineRule="auto" w:before="12"/>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4678"/>
        <w:gridCol w:w="1844"/>
        <w:gridCol w:w="2552"/>
      </w:tblGrid>
      <w:tr>
        <w:trPr>
          <w:trHeight w:val="407"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64" w:right="0"/>
              <w:jc w:val="left"/>
              <w:rPr>
                <w:rFonts w:ascii="宋体" w:hAnsi="宋体" w:cs="宋体" w:eastAsia="宋体" w:hint="default"/>
                <w:sz w:val="18"/>
                <w:szCs w:val="18"/>
              </w:rPr>
            </w:pPr>
            <w:r>
              <w:rPr>
                <w:rFonts w:ascii="宋体" w:hAnsi="宋体" w:cs="宋体" w:eastAsia="宋体" w:hint="default"/>
                <w:b/>
                <w:bCs/>
                <w:sz w:val="18"/>
                <w:szCs w:val="18"/>
              </w:rPr>
              <w:t>期末净资产</w:t>
            </w:r>
            <w:r>
              <w:rPr>
                <w:rFonts w:ascii="宋体" w:hAnsi="宋体" w:cs="宋体" w:eastAsia="宋体" w:hint="default"/>
                <w:sz w:val="18"/>
                <w:szCs w:val="18"/>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18" w:right="0"/>
              <w:jc w:val="left"/>
              <w:rPr>
                <w:rFonts w:ascii="宋体" w:hAnsi="宋体" w:cs="宋体" w:eastAsia="宋体" w:hint="default"/>
                <w:sz w:val="18"/>
                <w:szCs w:val="18"/>
              </w:rPr>
            </w:pPr>
            <w:r>
              <w:rPr>
                <w:rFonts w:ascii="宋体" w:hAnsi="宋体" w:cs="宋体" w:eastAsia="宋体" w:hint="default"/>
                <w:b/>
                <w:bCs/>
                <w:sz w:val="18"/>
                <w:szCs w:val="18"/>
              </w:rPr>
              <w:t>本期净利润</w:t>
            </w:r>
            <w:r>
              <w:rPr>
                <w:rFonts w:ascii="宋体" w:hAnsi="宋体" w:cs="宋体" w:eastAsia="宋体" w:hint="default"/>
                <w:sz w:val="18"/>
                <w:szCs w:val="18"/>
              </w:rPr>
            </w:r>
          </w:p>
        </w:tc>
      </w:tr>
      <w:tr>
        <w:trPr>
          <w:trHeight w:val="408"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石家庄华胜正明软件技术有限公司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3,471,358.59</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-267,026.36</w:t>
            </w:r>
          </w:p>
        </w:tc>
      </w:tr>
      <w:tr>
        <w:trPr>
          <w:trHeight w:val="407"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北京中域绿色智能城市系统研究院（有限合伙）</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7,432,853.50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3,243,996.76</w:t>
            </w:r>
          </w:p>
        </w:tc>
      </w:tr>
      <w:tr>
        <w:trPr>
          <w:trHeight w:val="407"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华胜蓝泰科技（天津）有限责任公司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20,002,938.78</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-407,061.22</w:t>
            </w:r>
          </w:p>
        </w:tc>
      </w:tr>
      <w:tr>
        <w:trPr>
          <w:trHeight w:val="407"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北京新云东方系统科技有限责任公司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61,399,699.29</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-600,300.71</w:t>
            </w:r>
          </w:p>
        </w:tc>
      </w:tr>
      <w:tr>
        <w:trPr>
          <w:trHeight w:val="407"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北京华胜天成低碳产业创业投资中心（有限合伙）</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150,963,784.78</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-5,036,215.22</w:t>
            </w:r>
          </w:p>
        </w:tc>
      </w:tr>
      <w:tr>
        <w:trPr>
          <w:trHeight w:val="407"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天津兰德纵横网络技术有限公司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-31,766.83</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-81,766.83</w:t>
            </w:r>
          </w:p>
        </w:tc>
      </w:tr>
      <w:tr>
        <w:trPr>
          <w:trHeight w:val="408"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华胜信泰科技有限公司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99,743,980.41</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-256,019.59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6"/>
        <w:ind w:left="258" w:right="0" w:firstLine="0"/>
        <w:jc w:val="left"/>
        <w:rPr>
          <w:rFonts w:ascii="宋体" w:hAnsi="宋体" w:cs="宋体" w:eastAsia="宋体" w:hint="default"/>
          <w:sz w:val="21"/>
          <w:szCs w:val="21"/>
        </w:rPr>
      </w:pPr>
      <w:r>
        <w:rPr>
          <w:rFonts w:ascii="宋体" w:hAnsi="宋体" w:cs="宋体" w:eastAsia="宋体" w:hint="default"/>
          <w:b/>
          <w:bCs/>
          <w:sz w:val="21"/>
          <w:szCs w:val="21"/>
        </w:rPr>
        <w:t>五、公司股权激励情况及其影响</w:t>
      </w:r>
      <w:r>
        <w:rPr>
          <w:rFonts w:ascii="宋体" w:hAnsi="宋体" w:cs="宋体" w:eastAsia="宋体" w:hint="default"/>
          <w:sz w:val="21"/>
          <w:szCs w:val="21"/>
        </w:rPr>
      </w:r>
    </w:p>
    <w:p>
      <w:pPr>
        <w:spacing w:before="57"/>
        <w:ind w:left="25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p>
    <w:p>
      <w:pPr>
        <w:pStyle w:val="Heading2"/>
        <w:spacing w:line="240" w:lineRule="auto" w:before="113"/>
        <w:ind w:left="258" w:right="0"/>
        <w:jc w:val="left"/>
        <w:rPr>
          <w:b w:val="0"/>
          <w:bCs w:val="0"/>
        </w:rPr>
      </w:pPr>
      <w:r>
        <w:rPr/>
        <w:t>（一）本公司股权激励情况</w:t>
      </w:r>
      <w:r>
        <w:rPr>
          <w:b w:val="0"/>
          <w:bCs w:val="0"/>
        </w:rPr>
      </w:r>
    </w:p>
    <w:p>
      <w:pPr>
        <w:spacing w:after="0" w:line="240" w:lineRule="auto"/>
        <w:jc w:val="left"/>
        <w:sectPr>
          <w:type w:val="continuous"/>
          <w:pgSz w:w="11910" w:h="16840"/>
          <w:pgMar w:top="1080" w:bottom="1380" w:left="1540" w:right="1040"/>
        </w:sectPr>
      </w:pPr>
    </w:p>
    <w:p>
      <w:pPr>
        <w:spacing w:line="240" w:lineRule="auto" w:before="12"/>
        <w:rPr>
          <w:rFonts w:ascii="宋体" w:hAnsi="宋体" w:cs="宋体" w:eastAsia="宋体" w:hint="default"/>
          <w:b/>
          <w:bCs/>
          <w:sz w:val="28"/>
          <w:szCs w:val="28"/>
        </w:rPr>
      </w:pPr>
    </w:p>
    <w:p>
      <w:pPr>
        <w:pStyle w:val="BodyText"/>
        <w:spacing w:line="312" w:lineRule="exact" w:before="26"/>
        <w:ind w:left="698" w:right="101"/>
        <w:jc w:val="left"/>
      </w:pPr>
      <w:r>
        <w:rPr/>
        <w:t>本公司</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5</w:t>
      </w:r>
      <w:r>
        <w:rPr>
          <w:rFonts w:ascii="宋体" w:hAnsi="宋体" w:cs="宋体" w:eastAsia="宋体" w:hint="default"/>
          <w:spacing w:val="-60"/>
        </w:rPr>
        <w:t> </w:t>
      </w:r>
      <w:r>
        <w:rPr/>
        <w:t>日第二次临时股东大会审议通过了《北京华胜天成科技股</w:t>
      </w:r>
    </w:p>
    <w:p>
      <w:pPr>
        <w:pStyle w:val="BodyText"/>
        <w:spacing w:line="311" w:lineRule="exact"/>
        <w:ind w:left="218" w:right="101"/>
        <w:jc w:val="left"/>
      </w:pPr>
      <w:r>
        <w:rPr/>
        <w:t>份有限公司首期股权激励计划（草案修订稿）》，本公司于</w:t>
      </w:r>
      <w:r>
        <w:rPr>
          <w:spacing w:val="-68"/>
        </w:rPr>
        <w:t> </w:t>
      </w:r>
      <w:r>
        <w:rPr>
          <w:rFonts w:ascii="宋体" w:hAnsi="宋体" w:cs="宋体" w:eastAsia="宋体" w:hint="default"/>
        </w:rPr>
        <w:t>2010</w:t>
      </w:r>
      <w:r>
        <w:rPr>
          <w:rFonts w:ascii="宋体" w:hAnsi="宋体" w:cs="宋体" w:eastAsia="宋体" w:hint="default"/>
          <w:spacing w:val="-68"/>
        </w:rPr>
        <w:t> </w:t>
      </w:r>
      <w:r>
        <w:rPr/>
        <w:t>年</w:t>
      </w:r>
      <w:r>
        <w:rPr>
          <w:spacing w:val="-68"/>
        </w:rPr>
        <w:t> </w:t>
      </w:r>
      <w:r>
        <w:rPr>
          <w:rFonts w:ascii="宋体" w:hAnsi="宋体" w:cs="宋体" w:eastAsia="宋体" w:hint="default"/>
        </w:rPr>
        <w:t>9</w:t>
      </w:r>
      <w:r>
        <w:rPr>
          <w:rFonts w:ascii="宋体" w:hAnsi="宋体" w:cs="宋体" w:eastAsia="宋体" w:hint="default"/>
          <w:spacing w:val="-68"/>
        </w:rPr>
        <w:t> </w:t>
      </w:r>
      <w:r>
        <w:rPr/>
        <w:t>月</w:t>
      </w:r>
      <w:r>
        <w:rPr>
          <w:spacing w:val="-68"/>
        </w:rPr>
        <w:t> </w:t>
      </w:r>
      <w:r>
        <w:rPr>
          <w:rFonts w:ascii="宋体" w:hAnsi="宋体" w:cs="宋体" w:eastAsia="宋体" w:hint="default"/>
        </w:rPr>
        <w:t>21</w:t>
      </w:r>
      <w:r>
        <w:rPr>
          <w:rFonts w:ascii="宋体" w:hAnsi="宋体" w:cs="宋体" w:eastAsia="宋体" w:hint="default"/>
          <w:spacing w:val="-68"/>
        </w:rPr>
        <w:t> </w:t>
      </w:r>
      <w:r>
        <w:rPr/>
        <w:t>日向合资</w:t>
      </w:r>
    </w:p>
    <w:p>
      <w:pPr>
        <w:pStyle w:val="BodyText"/>
        <w:spacing w:line="313" w:lineRule="exact"/>
        <w:ind w:left="218" w:right="101"/>
        <w:jc w:val="left"/>
      </w:pPr>
      <w:r>
        <w:rPr/>
        <w:t>格员工(“激励对象”)授予限制性股票</w:t>
      </w:r>
      <w:r>
        <w:rPr>
          <w:spacing w:val="-60"/>
        </w:rPr>
        <w:t> </w:t>
      </w:r>
      <w:r>
        <w:rPr>
          <w:rFonts w:ascii="宋体" w:hAnsi="宋体" w:cs="宋体" w:eastAsia="宋体" w:hint="default"/>
        </w:rPr>
        <w:t>23,100,880</w:t>
      </w:r>
      <w:r>
        <w:rPr>
          <w:rFonts w:ascii="宋体" w:hAnsi="宋体" w:cs="宋体" w:eastAsia="宋体" w:hint="default"/>
          <w:spacing w:val="-60"/>
        </w:rPr>
        <w:t> </w:t>
      </w:r>
      <w:r>
        <w:rPr/>
        <w:t>股，授予价格</w:t>
      </w:r>
      <w:r>
        <w:rPr>
          <w:spacing w:val="-60"/>
        </w:rPr>
        <w:t> </w:t>
      </w:r>
      <w:r>
        <w:rPr>
          <w:rFonts w:ascii="宋体" w:hAnsi="宋体" w:cs="宋体" w:eastAsia="宋体" w:hint="default"/>
        </w:rPr>
        <w:t>8.96</w:t>
      </w:r>
      <w:r>
        <w:rPr>
          <w:rFonts w:ascii="宋体" w:hAnsi="宋体" w:cs="宋体" w:eastAsia="宋体" w:hint="default"/>
          <w:spacing w:val="-60"/>
        </w:rPr>
        <w:t> </w:t>
      </w:r>
      <w:r>
        <w:rPr/>
        <w:t>元</w:t>
      </w:r>
      <w:r>
        <w:rPr>
          <w:rFonts w:ascii="宋体" w:hAnsi="宋体" w:cs="宋体" w:eastAsia="宋体" w:hint="default"/>
        </w:rPr>
        <w:t>/</w:t>
      </w:r>
      <w:r>
        <w:rPr/>
        <w:t>股。</w:t>
      </w:r>
    </w:p>
    <w:p>
      <w:pPr>
        <w:pStyle w:val="BodyText"/>
        <w:spacing w:line="312" w:lineRule="exact" w:before="117"/>
        <w:ind w:left="698" w:right="101"/>
        <w:jc w:val="left"/>
      </w:pPr>
      <w:r>
        <w:rPr/>
        <w:t>本股权激励计划的有效期为</w:t>
      </w:r>
      <w:r>
        <w:rPr>
          <w:spacing w:val="-51"/>
        </w:rPr>
        <w:t> </w:t>
      </w:r>
      <w:r>
        <w:rPr>
          <w:rFonts w:ascii="宋体" w:hAnsi="宋体" w:cs="宋体" w:eastAsia="宋体" w:hint="default"/>
        </w:rPr>
        <w:t>5</w:t>
      </w:r>
      <w:r>
        <w:rPr>
          <w:rFonts w:ascii="宋体" w:hAnsi="宋体" w:cs="宋体" w:eastAsia="宋体" w:hint="default"/>
          <w:spacing w:val="-51"/>
        </w:rPr>
        <w:t> </w:t>
      </w:r>
      <w:r>
        <w:rPr>
          <w:spacing w:val="-3"/>
        </w:rPr>
        <w:t>年，自华胜天成股东大会批准本股权激励计划之日</w:t>
      </w:r>
    </w:p>
    <w:p>
      <w:pPr>
        <w:pStyle w:val="BodyText"/>
        <w:spacing w:line="237" w:lineRule="auto" w:before="1"/>
        <w:ind w:left="218" w:right="113"/>
        <w:jc w:val="both"/>
      </w:pPr>
      <w:r>
        <w:rPr/>
        <w:t>起计；自华胜天成授予日起</w:t>
      </w:r>
      <w:r>
        <w:rPr>
          <w:spacing w:val="-72"/>
        </w:rPr>
        <w:t> </w:t>
      </w:r>
      <w:r>
        <w:rPr>
          <w:rFonts w:ascii="宋体" w:hAnsi="宋体" w:cs="宋体" w:eastAsia="宋体" w:hint="default"/>
        </w:rPr>
        <w:t>1</w:t>
      </w:r>
      <w:r>
        <w:rPr>
          <w:rFonts w:ascii="宋体" w:hAnsi="宋体" w:cs="宋体" w:eastAsia="宋体" w:hint="default"/>
          <w:spacing w:val="-72"/>
        </w:rPr>
        <w:t> </w:t>
      </w:r>
      <w:r>
        <w:rPr/>
        <w:t>年为禁售期，在禁售期内，激励对象根据本股权激励计 划获授的标的股票被锁定，不得转让。获授的限制性股票在解锁前也不得转让。授予 </w:t>
      </w:r>
      <w:r>
        <w:rPr>
          <w:spacing w:val="-3"/>
        </w:rPr>
        <w:t>后（包括禁售期在内）的</w:t>
      </w:r>
      <w:r>
        <w:rPr>
          <w:spacing w:val="-64"/>
        </w:rPr>
        <w:t> </w:t>
      </w:r>
      <w:r>
        <w:rPr>
          <w:rFonts w:ascii="宋体" w:hAnsi="宋体" w:cs="宋体" w:eastAsia="宋体" w:hint="default"/>
        </w:rPr>
        <w:t>4</w:t>
      </w:r>
      <w:r>
        <w:rPr>
          <w:rFonts w:ascii="宋体" w:hAnsi="宋体" w:cs="宋体" w:eastAsia="宋体" w:hint="default"/>
          <w:spacing w:val="-64"/>
        </w:rPr>
        <w:t> </w:t>
      </w:r>
      <w:r>
        <w:rPr/>
        <w:t>年为解锁期，在解锁期内，若达到本股权激励计划规定的 解锁条件，激励对象可分四次申请解锁：</w:t>
      </w:r>
    </w:p>
    <w:p>
      <w:pPr>
        <w:pStyle w:val="BodyText"/>
        <w:spacing w:line="240" w:lineRule="auto" w:before="118"/>
        <w:ind w:left="218" w:right="0"/>
        <w:jc w:val="left"/>
      </w:pPr>
      <w:r>
        <w:rPr>
          <w:rFonts w:ascii="宋体" w:hAnsi="宋体" w:cs="宋体" w:eastAsia="宋体" w:hint="default"/>
        </w:rPr>
        <w:t>1</w:t>
      </w:r>
      <w:r>
        <w:rPr/>
        <w:t>、第一次解锁期为授予日后的第一个周年日，解锁数量是获授标的股票总数的</w:t>
      </w:r>
      <w:r>
        <w:rPr>
          <w:spacing w:val="-54"/>
        </w:rPr>
        <w:t> </w:t>
      </w:r>
      <w:r>
        <w:rPr>
          <w:rFonts w:ascii="宋体" w:hAnsi="宋体" w:cs="宋体" w:eastAsia="宋体" w:hint="default"/>
        </w:rPr>
        <w:t>25%</w:t>
      </w:r>
      <w:r>
        <w:rPr/>
        <w:t>；</w:t>
      </w:r>
    </w:p>
    <w:p>
      <w:pPr>
        <w:pStyle w:val="BodyText"/>
        <w:spacing w:line="240" w:lineRule="auto" w:before="116"/>
        <w:ind w:left="218" w:right="0"/>
        <w:jc w:val="left"/>
      </w:pPr>
      <w:r>
        <w:rPr>
          <w:rFonts w:ascii="宋体" w:hAnsi="宋体" w:cs="宋体" w:eastAsia="宋体" w:hint="default"/>
        </w:rPr>
        <w:t>2</w:t>
      </w:r>
      <w:r>
        <w:rPr/>
        <w:t>、第二次解锁期为授予日后的第二个周年日，解锁数量是获授标的股票总数的</w:t>
      </w:r>
      <w:r>
        <w:rPr>
          <w:spacing w:val="-54"/>
        </w:rPr>
        <w:t> </w:t>
      </w:r>
      <w:r>
        <w:rPr>
          <w:rFonts w:ascii="宋体" w:hAnsi="宋体" w:cs="宋体" w:eastAsia="宋体" w:hint="default"/>
        </w:rPr>
        <w:t>25%</w:t>
      </w:r>
      <w:r>
        <w:rPr/>
        <w:t>；</w:t>
      </w:r>
    </w:p>
    <w:p>
      <w:pPr>
        <w:pStyle w:val="BodyText"/>
        <w:spacing w:line="240" w:lineRule="auto" w:before="118"/>
        <w:ind w:left="218" w:right="0"/>
        <w:jc w:val="left"/>
      </w:pPr>
      <w:r>
        <w:rPr>
          <w:rFonts w:ascii="宋体" w:hAnsi="宋体" w:cs="宋体" w:eastAsia="宋体" w:hint="default"/>
        </w:rPr>
        <w:t>3</w:t>
      </w:r>
      <w:r>
        <w:rPr/>
        <w:t>、第三次解锁期为授予日后的第三个周年日，解锁数量是获授标的股票总数的</w:t>
      </w:r>
      <w:r>
        <w:rPr>
          <w:spacing w:val="-54"/>
        </w:rPr>
        <w:t> </w:t>
      </w:r>
      <w:r>
        <w:rPr>
          <w:rFonts w:ascii="宋体" w:hAnsi="宋体" w:cs="宋体" w:eastAsia="宋体" w:hint="default"/>
        </w:rPr>
        <w:t>25%</w:t>
      </w:r>
      <w:r>
        <w:rPr/>
        <w:t>；</w:t>
      </w:r>
    </w:p>
    <w:p>
      <w:pPr>
        <w:pStyle w:val="BodyText"/>
        <w:spacing w:line="328" w:lineRule="auto" w:before="116"/>
        <w:ind w:left="698" w:right="103" w:hanging="480"/>
        <w:jc w:val="left"/>
      </w:pPr>
      <w:r>
        <w:rPr>
          <w:rFonts w:ascii="宋体" w:hAnsi="宋体" w:cs="宋体" w:eastAsia="宋体" w:hint="default"/>
        </w:rPr>
        <w:t>4</w:t>
      </w:r>
      <w:r>
        <w:rPr/>
        <w:t>、第四次解锁期为授予日后的第四个周年日，解锁数量是获授标的股票总数的</w:t>
      </w:r>
      <w:r>
        <w:rPr>
          <w:spacing w:val="-55"/>
        </w:rPr>
        <w:t> </w:t>
      </w:r>
      <w:r>
        <w:rPr>
          <w:rFonts w:ascii="宋体" w:hAnsi="宋体" w:cs="宋体" w:eastAsia="宋体" w:hint="default"/>
        </w:rPr>
        <w:t>25%</w:t>
      </w:r>
      <w:r>
        <w:rPr/>
        <w:t>。 解锁期的任一年度公司绩效条件未达到解锁条件的，这部分标的股票可以递延到</w:t>
      </w:r>
    </w:p>
    <w:p>
      <w:pPr>
        <w:pStyle w:val="BodyText"/>
        <w:spacing w:line="222" w:lineRule="exact"/>
        <w:ind w:left="218" w:right="101"/>
        <w:jc w:val="left"/>
      </w:pPr>
      <w:r>
        <w:rPr/>
        <w:t>下一年，在下一年达到解锁条件时一并解锁。若下一年仍未达到解锁条件，该部分股</w:t>
      </w:r>
    </w:p>
    <w:p>
      <w:pPr>
        <w:pStyle w:val="BodyText"/>
        <w:spacing w:line="237" w:lineRule="auto" w:before="1"/>
        <w:ind w:left="218" w:right="233"/>
        <w:jc w:val="both"/>
      </w:pPr>
      <w:r>
        <w:rPr>
          <w:spacing w:val="-2"/>
        </w:rPr>
        <w:t>票不再解锁，公司应予以回购该部分标的股票。如解锁期的任一年度激励对象个人业</w:t>
      </w:r>
      <w:r>
        <w:rPr>
          <w:spacing w:val="-94"/>
        </w:rPr>
        <w:t> </w:t>
      </w:r>
      <w:r>
        <w:rPr>
          <w:spacing w:val="-94"/>
        </w:rPr>
      </w:r>
      <w:r>
        <w:rPr>
          <w:spacing w:val="-2"/>
        </w:rPr>
        <w:t>绩条件未达到解锁条件的，则不进行递延，该部分标的股票不再解锁，公司应予以回</w:t>
      </w:r>
      <w:r>
        <w:rPr>
          <w:spacing w:val="-94"/>
        </w:rPr>
        <w:t> </w:t>
      </w:r>
      <w:r>
        <w:rPr>
          <w:spacing w:val="-94"/>
        </w:rPr>
      </w:r>
      <w:r>
        <w:rPr/>
        <w:t>购该部分标的股票。</w:t>
      </w:r>
    </w:p>
    <w:p>
      <w:pPr>
        <w:pStyle w:val="BodyText"/>
        <w:spacing w:line="331" w:lineRule="auto" w:before="117"/>
        <w:ind w:left="698" w:right="217" w:hanging="480"/>
        <w:jc w:val="left"/>
        <w:rPr>
          <w:rFonts w:ascii="宋体" w:hAnsi="宋体" w:cs="宋体" w:eastAsia="宋体" w:hint="default"/>
        </w:rPr>
      </w:pPr>
      <w:r>
        <w:rPr/>
        <w:t>上述限制性股票的解锁条件主要为： </w:t>
      </w:r>
      <w:r>
        <w:rPr>
          <w:spacing w:val="-7"/>
        </w:rPr>
        <w:t>对于首次授予的限制性股票，每次解锁需要满足的公司业绩条件为：（</w:t>
      </w:r>
      <w:r>
        <w:rPr>
          <w:rFonts w:ascii="宋体" w:hAnsi="宋体" w:cs="宋体" w:eastAsia="宋体" w:hint="default"/>
          <w:spacing w:val="-7"/>
        </w:rPr>
        <w:t>1</w:t>
      </w:r>
      <w:r>
        <w:rPr>
          <w:spacing w:val="-7"/>
        </w:rPr>
        <w:t>）以</w:t>
      </w:r>
      <w:r>
        <w:rPr>
          <w:spacing w:val="-47"/>
        </w:rPr>
        <w:t> </w:t>
      </w:r>
      <w:r>
        <w:rPr>
          <w:rFonts w:ascii="宋体" w:hAnsi="宋体" w:cs="宋体" w:eastAsia="宋体" w:hint="default"/>
          <w:spacing w:val="-1"/>
        </w:rPr>
        <w:t>2009</w:t>
      </w:r>
    </w:p>
    <w:p>
      <w:pPr>
        <w:pStyle w:val="BodyText"/>
        <w:spacing w:line="218" w:lineRule="exact"/>
        <w:ind w:left="218" w:right="101"/>
        <w:jc w:val="left"/>
      </w:pPr>
      <w:r>
        <w:rPr/>
        <w:t>年净利润为固定基数，公司解锁日上一年度经审计的净利润较</w:t>
      </w:r>
      <w:r>
        <w:rPr>
          <w:spacing w:val="-60"/>
        </w:rPr>
        <w:t> </w:t>
      </w:r>
      <w:r>
        <w:rPr>
          <w:rFonts w:ascii="宋体" w:hAnsi="宋体" w:cs="宋体" w:eastAsia="宋体" w:hint="default"/>
        </w:rPr>
        <w:t>2009</w:t>
      </w:r>
      <w:r>
        <w:rPr>
          <w:rFonts w:ascii="宋体" w:hAnsi="宋体" w:cs="宋体" w:eastAsia="宋体" w:hint="default"/>
          <w:spacing w:val="-60"/>
        </w:rPr>
        <w:t> </w:t>
      </w:r>
      <w:r>
        <w:rPr/>
        <w:t>年度的净利润年</w:t>
      </w:r>
    </w:p>
    <w:p>
      <w:pPr>
        <w:pStyle w:val="BodyText"/>
        <w:spacing w:line="237" w:lineRule="auto" w:before="1"/>
        <w:ind w:left="218" w:right="216"/>
        <w:jc w:val="left"/>
      </w:pPr>
      <w:r>
        <w:rPr/>
        <w:t>复合增长率达到或超过</w:t>
      </w:r>
      <w:r>
        <w:rPr>
          <w:spacing w:val="-52"/>
        </w:rPr>
        <w:t> </w:t>
      </w:r>
      <w:r>
        <w:rPr>
          <w:rFonts w:ascii="宋体" w:hAnsi="宋体" w:cs="宋体" w:eastAsia="宋体" w:hint="default"/>
          <w:spacing w:val="-4"/>
        </w:rPr>
        <w:t>10%</w:t>
      </w:r>
      <w:r>
        <w:rPr>
          <w:spacing w:val="-4"/>
        </w:rPr>
        <w:t>；（</w:t>
      </w:r>
      <w:r>
        <w:rPr>
          <w:rFonts w:ascii="宋体" w:hAnsi="宋体" w:cs="宋体" w:eastAsia="宋体" w:hint="default"/>
          <w:spacing w:val="-4"/>
        </w:rPr>
        <w:t>2</w:t>
      </w:r>
      <w:r>
        <w:rPr>
          <w:spacing w:val="-4"/>
        </w:rPr>
        <w:t>）解锁日上一年度归属于上市公司股东的扣除非经常</w:t>
      </w:r>
      <w:r>
        <w:rPr/>
        <w:t> 性损益的净利润不得低于授予日前最近三个会计年度的平均水平且不得为负；（</w:t>
      </w:r>
      <w:r>
        <w:rPr>
          <w:rFonts w:ascii="宋体" w:hAnsi="宋体" w:cs="宋体" w:eastAsia="宋体" w:hint="default"/>
        </w:rPr>
        <w:t>3</w:t>
      </w:r>
      <w:r>
        <w:rPr/>
        <w:t>） 解锁日上一年度扣除非经常性损益的加权平均净资产收益率不低于</w:t>
      </w:r>
      <w:r>
        <w:rPr>
          <w:spacing w:val="-60"/>
        </w:rPr>
        <w:t> </w:t>
      </w:r>
      <w:r>
        <w:rPr>
          <w:rFonts w:ascii="宋体" w:hAnsi="宋体" w:cs="宋体" w:eastAsia="宋体" w:hint="default"/>
        </w:rPr>
        <w:t>10%</w:t>
      </w:r>
      <w:r>
        <w:rPr/>
        <w:t>。其中，净资 产收益率与净利润的指标均以扣除非经常性损益的净利润与不扣除非经常性损益的 净利润二者孰低者作为计算依据，净利润指归属于母公司所有者的净利润。</w:t>
      </w:r>
    </w:p>
    <w:p>
      <w:pPr>
        <w:pStyle w:val="BodyText"/>
        <w:spacing w:line="312" w:lineRule="exact" w:before="147"/>
        <w:ind w:left="218" w:right="101" w:firstLine="480"/>
        <w:jc w:val="left"/>
      </w:pPr>
      <w:r>
        <w:rPr>
          <w:spacing w:val="-2"/>
        </w:rPr>
        <w:t>激励对象每次申请限制性股票解锁需要满足：上一年度个人绩效考核结果必须达</w:t>
      </w:r>
      <w:r>
        <w:rPr/>
        <w:t> 到合格或以上。</w:t>
      </w:r>
    </w:p>
    <w:p>
      <w:pPr>
        <w:spacing w:before="92"/>
        <w:ind w:left="0" w:right="350" w:firstLine="0"/>
        <w:jc w:val="right"/>
        <w:rPr>
          <w:rFonts w:ascii="宋体" w:hAnsi="宋体" w:cs="宋体" w:eastAsia="宋体" w:hint="default"/>
          <w:sz w:val="21"/>
          <w:szCs w:val="21"/>
        </w:rPr>
      </w:pPr>
      <w:r>
        <w:rPr>
          <w:rFonts w:ascii="宋体" w:hAnsi="宋体" w:cs="宋体" w:eastAsia="宋体" w:hint="default"/>
          <w:sz w:val="21"/>
          <w:szCs w:val="21"/>
        </w:rPr>
        <w:t>单位：份</w:t>
      </w:r>
    </w:p>
    <w:p>
      <w:pPr>
        <w:spacing w:line="240" w:lineRule="auto" w:before="1"/>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4217"/>
        <w:gridCol w:w="4752"/>
      </w:tblGrid>
      <w:tr>
        <w:trPr>
          <w:trHeight w:val="2461"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报告期内激励对象的范围</w:t>
            </w:r>
          </w:p>
        </w:tc>
        <w:tc>
          <w:tcPr>
            <w:tcW w:w="47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2"/>
              <w:jc w:val="left"/>
              <w:rPr>
                <w:rFonts w:ascii="宋体" w:hAnsi="宋体" w:cs="宋体" w:eastAsia="宋体" w:hint="default"/>
                <w:sz w:val="21"/>
                <w:szCs w:val="21"/>
              </w:rPr>
            </w:pPr>
            <w:r>
              <w:rPr>
                <w:rFonts w:ascii="宋体" w:hAnsi="宋体" w:cs="宋体" w:eastAsia="宋体" w:hint="default"/>
                <w:sz w:val="21"/>
                <w:szCs w:val="21"/>
              </w:rPr>
              <w:t>公司的高级管理人员和公司及其控股子公司的核</w:t>
            </w:r>
          </w:p>
          <w:p>
            <w:pPr>
              <w:pStyle w:val="TableParagraph"/>
              <w:spacing w:line="272" w:lineRule="exact" w:before="26"/>
              <w:ind w:left="103" w:right="-2"/>
              <w:jc w:val="left"/>
              <w:rPr>
                <w:rFonts w:ascii="宋体" w:hAnsi="宋体" w:cs="宋体" w:eastAsia="宋体" w:hint="default"/>
                <w:sz w:val="21"/>
                <w:szCs w:val="21"/>
              </w:rPr>
            </w:pPr>
            <w:r>
              <w:rPr>
                <w:rFonts w:ascii="宋体" w:hAnsi="宋体" w:cs="宋体" w:eastAsia="宋体" w:hint="default"/>
                <w:spacing w:val="-9"/>
                <w:sz w:val="21"/>
                <w:szCs w:val="21"/>
              </w:rPr>
              <w:t>心技术（业务）人员。高级管理人员，指公司总裁、</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4"/>
                <w:sz w:val="21"/>
                <w:szCs w:val="21"/>
              </w:rPr>
              <w:t>高级副总裁、副总裁、财务总监、董事会秘书、技</w:t>
            </w:r>
            <w:r>
              <w:rPr>
                <w:rFonts w:ascii="宋体" w:hAnsi="宋体" w:cs="宋体" w:eastAsia="宋体" w:hint="default"/>
                <w:sz w:val="21"/>
                <w:szCs w:val="21"/>
              </w:rPr>
              <w:t> 术总监和《公司章程》规定的其他高级管理人员。 </w:t>
            </w:r>
            <w:r>
              <w:rPr>
                <w:rFonts w:ascii="宋体" w:hAnsi="宋体" w:cs="宋体" w:eastAsia="宋体" w:hint="default"/>
                <w:spacing w:val="-4"/>
                <w:sz w:val="21"/>
                <w:szCs w:val="21"/>
              </w:rPr>
              <w:t>核心技术（业务）人员，指经董事会认可的在公司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及其控股子公司任职的有资格参加本股权激励计 </w:t>
            </w:r>
            <w:r>
              <w:rPr>
                <w:rFonts w:ascii="宋体" w:hAnsi="宋体" w:cs="宋体" w:eastAsia="宋体" w:hint="default"/>
                <w:spacing w:val="-4"/>
                <w:sz w:val="21"/>
                <w:szCs w:val="21"/>
              </w:rPr>
              <w:t>划的骨干员工，该等员工是具备全局的能力，掌握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核心技术、从事核心业务，对企业发展能够带来特</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殊贡献的人。</w:t>
            </w:r>
          </w:p>
        </w:tc>
      </w:tr>
      <w:tr>
        <w:trPr>
          <w:trHeight w:val="28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报告期内授出的权益总额</w:t>
            </w:r>
          </w:p>
        </w:tc>
        <w:tc>
          <w:tcPr>
            <w:tcW w:w="4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28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报告期内行使的权益总额</w:t>
            </w:r>
          </w:p>
        </w:tc>
        <w:tc>
          <w:tcPr>
            <w:tcW w:w="4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283"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报告期内失效的权益总额</w:t>
            </w:r>
          </w:p>
        </w:tc>
        <w:tc>
          <w:tcPr>
            <w:tcW w:w="4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4,710,183</w:t>
            </w:r>
          </w:p>
        </w:tc>
      </w:tr>
      <w:tr>
        <w:trPr>
          <w:trHeight w:val="554"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至报告期末累计已授出但尚未行使的权益总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4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3,878,389</w:t>
            </w:r>
          </w:p>
        </w:tc>
      </w:tr>
    </w:tbl>
    <w:p>
      <w:pPr>
        <w:spacing w:after="0" w:line="240" w:lineRule="exact"/>
        <w:jc w:val="right"/>
        <w:rPr>
          <w:rFonts w:ascii="宋体" w:hAnsi="宋体" w:cs="宋体" w:eastAsia="宋体" w:hint="default"/>
          <w:sz w:val="21"/>
          <w:szCs w:val="21"/>
        </w:rPr>
        <w:sectPr>
          <w:pgSz w:w="11910" w:h="16840"/>
          <w:pgMar w:header="882" w:footer="1194" w:top="108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2029"/>
        <w:gridCol w:w="2188"/>
        <w:gridCol w:w="1591"/>
        <w:gridCol w:w="1620"/>
        <w:gridCol w:w="1541"/>
      </w:tblGrid>
      <w:tr>
        <w:trPr>
          <w:trHeight w:val="282" w:hRule="exact"/>
        </w:trPr>
        <w:tc>
          <w:tcPr>
            <w:tcW w:w="42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至报告期末累计已授出且已行使的权益总额</w:t>
            </w:r>
          </w:p>
        </w:tc>
        <w:tc>
          <w:tcPr>
            <w:tcW w:w="47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11,192,025</w:t>
            </w:r>
          </w:p>
        </w:tc>
      </w:tr>
      <w:tr>
        <w:trPr>
          <w:trHeight w:val="827" w:hRule="exact"/>
        </w:trPr>
        <w:tc>
          <w:tcPr>
            <w:tcW w:w="42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3" w:right="112"/>
              <w:jc w:val="left"/>
              <w:rPr>
                <w:rFonts w:ascii="宋体" w:hAnsi="宋体" w:cs="宋体" w:eastAsia="宋体" w:hint="default"/>
                <w:sz w:val="21"/>
                <w:szCs w:val="21"/>
              </w:rPr>
            </w:pPr>
            <w:r>
              <w:rPr>
                <w:rFonts w:ascii="宋体" w:hAnsi="宋体" w:cs="宋体" w:eastAsia="宋体" w:hint="default"/>
                <w:sz w:val="21"/>
                <w:szCs w:val="21"/>
              </w:rPr>
              <w:t>报告期内授予价格与行权价格历次调整的情 况以及经调整后的最新授予价格与行权价格</w:t>
            </w:r>
          </w:p>
        </w:tc>
        <w:tc>
          <w:tcPr>
            <w:tcW w:w="47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公司授予激励对象每一股标的股票的授予价格为</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8.96</w:t>
            </w:r>
            <w:r>
              <w:rPr>
                <w:rFonts w:ascii="宋体" w:hAnsi="宋体" w:cs="宋体" w:eastAsia="宋体" w:hint="default"/>
                <w:spacing w:val="-2"/>
                <w:sz w:val="21"/>
                <w:szCs w:val="21"/>
              </w:rPr>
              <w:t> </w:t>
            </w:r>
            <w:r>
              <w:rPr>
                <w:rFonts w:ascii="宋体" w:hAnsi="宋体" w:cs="宋体" w:eastAsia="宋体" w:hint="default"/>
                <w:sz w:val="21"/>
                <w:szCs w:val="21"/>
              </w:rPr>
              <w:t>元（按照股权激励计划规定调整后价格，原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价格为</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1"/>
                <w:sz w:val="21"/>
                <w:szCs w:val="21"/>
              </w:rPr>
              <w:t> </w:t>
            </w:r>
            <w:r>
              <w:rPr>
                <w:rFonts w:ascii="宋体" w:hAnsi="宋体" w:cs="宋体" w:eastAsia="宋体" w:hint="default"/>
                <w:sz w:val="21"/>
                <w:szCs w:val="21"/>
              </w:rPr>
              <w:t>元，除权除息后价格为</w:t>
            </w:r>
            <w:r>
              <w:rPr>
                <w:rFonts w:ascii="宋体" w:hAnsi="宋体" w:cs="宋体" w:eastAsia="宋体" w:hint="default"/>
                <w:spacing w:val="-53"/>
                <w:sz w:val="21"/>
                <w:szCs w:val="21"/>
              </w:rPr>
              <w:t> </w:t>
            </w:r>
            <w:r>
              <w:rPr>
                <w:rFonts w:ascii="宋体" w:hAnsi="宋体" w:cs="宋体" w:eastAsia="宋体" w:hint="default"/>
                <w:sz w:val="21"/>
                <w:szCs w:val="21"/>
              </w:rPr>
              <w:t>8.96</w:t>
            </w:r>
            <w:r>
              <w:rPr>
                <w:rFonts w:ascii="宋体" w:hAnsi="宋体" w:cs="宋体" w:eastAsia="宋体" w:hint="default"/>
                <w:spacing w:val="-54"/>
                <w:sz w:val="21"/>
                <w:szCs w:val="21"/>
              </w:rPr>
              <w:t> </w:t>
            </w:r>
            <w:r>
              <w:rPr>
                <w:rFonts w:ascii="宋体" w:hAnsi="宋体" w:cs="宋体" w:eastAsia="宋体" w:hint="default"/>
                <w:sz w:val="21"/>
                <w:szCs w:val="21"/>
              </w:rPr>
              <w:t>元。）。</w:t>
            </w:r>
          </w:p>
        </w:tc>
      </w:tr>
      <w:tr>
        <w:trPr>
          <w:trHeight w:val="351" w:hRule="exact"/>
        </w:trPr>
        <w:tc>
          <w:tcPr>
            <w:tcW w:w="89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85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董事、监事、高级管理人员报告期内获授和行使权益情况</w:t>
            </w:r>
          </w:p>
        </w:tc>
      </w:tr>
      <w:tr>
        <w:trPr>
          <w:trHeight w:val="827" w:hRule="exact"/>
        </w:trPr>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职务</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370" w:right="158" w:hanging="210"/>
              <w:jc w:val="left"/>
              <w:rPr>
                <w:rFonts w:ascii="宋体" w:hAnsi="宋体" w:cs="宋体" w:eastAsia="宋体" w:hint="default"/>
                <w:sz w:val="21"/>
                <w:szCs w:val="21"/>
              </w:rPr>
            </w:pPr>
            <w:r>
              <w:rPr>
                <w:rFonts w:ascii="宋体" w:hAnsi="宋体" w:cs="宋体" w:eastAsia="宋体" w:hint="default"/>
                <w:sz w:val="21"/>
                <w:szCs w:val="21"/>
              </w:rPr>
              <w:t>报告期内获授 权益数量</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385" w:right="173" w:hanging="210"/>
              <w:jc w:val="left"/>
              <w:rPr>
                <w:rFonts w:ascii="宋体" w:hAnsi="宋体" w:cs="宋体" w:eastAsia="宋体" w:hint="default"/>
                <w:sz w:val="21"/>
                <w:szCs w:val="21"/>
              </w:rPr>
            </w:pPr>
            <w:r>
              <w:rPr>
                <w:rFonts w:ascii="宋体" w:hAnsi="宋体" w:cs="宋体" w:eastAsia="宋体" w:hint="default"/>
                <w:sz w:val="21"/>
                <w:szCs w:val="21"/>
              </w:rPr>
              <w:t>报告期内行使 权益数量</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5" w:right="0"/>
              <w:jc w:val="left"/>
              <w:rPr>
                <w:rFonts w:ascii="宋体" w:hAnsi="宋体" w:cs="宋体" w:eastAsia="宋体" w:hint="default"/>
                <w:sz w:val="21"/>
                <w:szCs w:val="21"/>
              </w:rPr>
            </w:pPr>
            <w:r>
              <w:rPr>
                <w:rFonts w:ascii="宋体" w:hAnsi="宋体" w:cs="宋体" w:eastAsia="宋体" w:hint="default"/>
                <w:sz w:val="21"/>
                <w:szCs w:val="21"/>
              </w:rPr>
              <w:t>报告期末尚未</w:t>
            </w:r>
          </w:p>
          <w:p>
            <w:pPr>
              <w:pStyle w:val="TableParagraph"/>
              <w:spacing w:line="272" w:lineRule="exact" w:before="26"/>
              <w:ind w:left="659" w:right="133" w:hanging="525"/>
              <w:jc w:val="left"/>
              <w:rPr>
                <w:rFonts w:ascii="宋体" w:hAnsi="宋体" w:cs="宋体" w:eastAsia="宋体" w:hint="default"/>
                <w:sz w:val="21"/>
                <w:szCs w:val="21"/>
              </w:rPr>
            </w:pPr>
            <w:r>
              <w:rPr>
                <w:rFonts w:ascii="宋体" w:hAnsi="宋体" w:cs="宋体" w:eastAsia="宋体" w:hint="default"/>
                <w:sz w:val="21"/>
                <w:szCs w:val="21"/>
              </w:rPr>
              <w:t>行使的权益数 量</w:t>
            </w:r>
          </w:p>
        </w:tc>
      </w:tr>
      <w:tr>
        <w:trPr>
          <w:trHeight w:val="350" w:hRule="exact"/>
        </w:trPr>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陈朝晖</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396,090</w:t>
            </w:r>
          </w:p>
        </w:tc>
      </w:tr>
      <w:tr>
        <w:trPr>
          <w:trHeight w:val="350" w:hRule="exact"/>
        </w:trPr>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朱红仙</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99,022</w:t>
            </w:r>
          </w:p>
        </w:tc>
      </w:tr>
      <w:tr>
        <w:trPr>
          <w:trHeight w:val="349" w:hRule="exact"/>
        </w:trPr>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崔勇</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高级管理人员</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343,278</w:t>
            </w:r>
          </w:p>
        </w:tc>
      </w:tr>
      <w:tr>
        <w:trPr>
          <w:trHeight w:val="350" w:hRule="exact"/>
        </w:trPr>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杜欣</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高级管理人员</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349,880</w:t>
            </w:r>
          </w:p>
        </w:tc>
      </w:tr>
      <w:tr>
        <w:trPr>
          <w:trHeight w:val="350" w:hRule="exact"/>
        </w:trPr>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杨俏丛</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高级管理人员</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660,150</w:t>
            </w:r>
          </w:p>
        </w:tc>
      </w:tr>
      <w:tr>
        <w:trPr>
          <w:trHeight w:val="349" w:hRule="exact"/>
        </w:trPr>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任学英</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高级管理人员</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33,008</w:t>
            </w:r>
          </w:p>
        </w:tc>
      </w:tr>
      <w:tr>
        <w:trPr>
          <w:trHeight w:val="350" w:hRule="exact"/>
        </w:trPr>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代双珠</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高级管理人员</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16,504</w:t>
            </w:r>
          </w:p>
        </w:tc>
      </w:tr>
      <w:tr>
        <w:trPr>
          <w:trHeight w:val="8998" w:hRule="exact"/>
        </w:trPr>
        <w:tc>
          <w:tcPr>
            <w:tcW w:w="42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因激励对象行权所引起的股本变动情况</w:t>
            </w:r>
          </w:p>
        </w:tc>
        <w:tc>
          <w:tcPr>
            <w:tcW w:w="47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、公司原订股权激励计划的激励对象为</w:t>
            </w:r>
            <w:r>
              <w:rPr>
                <w:rFonts w:ascii="宋体" w:hAnsi="宋体" w:cs="宋体" w:eastAsia="宋体" w:hint="default"/>
                <w:spacing w:val="-56"/>
                <w:sz w:val="21"/>
                <w:szCs w:val="21"/>
              </w:rPr>
              <w:t> </w:t>
            </w:r>
            <w:r>
              <w:rPr>
                <w:rFonts w:ascii="宋体" w:hAnsi="宋体" w:cs="宋体" w:eastAsia="宋体" w:hint="default"/>
                <w:sz w:val="21"/>
                <w:szCs w:val="21"/>
              </w:rPr>
              <w:t>80</w:t>
            </w:r>
            <w:r>
              <w:rPr>
                <w:rFonts w:ascii="宋体" w:hAnsi="宋体" w:cs="宋体" w:eastAsia="宋体" w:hint="default"/>
                <w:spacing w:val="-56"/>
                <w:sz w:val="21"/>
                <w:szCs w:val="21"/>
              </w:rPr>
              <w:t> </w:t>
            </w:r>
            <w:r>
              <w:rPr>
                <w:rFonts w:ascii="宋体" w:hAnsi="宋体" w:cs="宋体" w:eastAsia="宋体" w:hint="default"/>
                <w:sz w:val="21"/>
                <w:szCs w:val="21"/>
              </w:rPr>
              <w:t>人。</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月，因</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名原激励对象不再符合授予的 </w:t>
            </w:r>
            <w:r>
              <w:rPr>
                <w:rFonts w:ascii="宋体" w:hAnsi="宋体" w:cs="宋体" w:eastAsia="宋体" w:hint="default"/>
                <w:spacing w:val="-4"/>
                <w:sz w:val="21"/>
                <w:szCs w:val="21"/>
              </w:rPr>
              <w:t>条件或者放弃获授限制性股票。该部分尚未授予的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限制性股票共计</w:t>
            </w:r>
            <w:r>
              <w:rPr>
                <w:rFonts w:ascii="宋体" w:hAnsi="宋体" w:cs="宋体" w:eastAsia="宋体" w:hint="default"/>
                <w:spacing w:val="-54"/>
                <w:sz w:val="21"/>
                <w:szCs w:val="21"/>
              </w:rPr>
              <w:t> </w:t>
            </w:r>
            <w:r>
              <w:rPr>
                <w:rFonts w:ascii="宋体" w:hAnsi="宋体" w:cs="宋体" w:eastAsia="宋体" w:hint="default"/>
                <w:sz w:val="21"/>
                <w:szCs w:val="21"/>
              </w:rPr>
              <w:t>2,255,000</w:t>
            </w:r>
            <w:r>
              <w:rPr>
                <w:rFonts w:ascii="宋体" w:hAnsi="宋体" w:cs="宋体" w:eastAsia="宋体" w:hint="default"/>
                <w:spacing w:val="-53"/>
                <w:sz w:val="21"/>
                <w:szCs w:val="21"/>
              </w:rPr>
              <w:t> </w:t>
            </w:r>
            <w:r>
              <w:rPr>
                <w:rFonts w:ascii="宋体" w:hAnsi="宋体" w:cs="宋体" w:eastAsia="宋体" w:hint="default"/>
                <w:sz w:val="21"/>
                <w:szCs w:val="21"/>
              </w:rPr>
              <w:t>股，根据本公司</w:t>
            </w:r>
            <w:r>
              <w:rPr>
                <w:rFonts w:ascii="宋体" w:hAnsi="宋体" w:cs="宋体" w:eastAsia="宋体" w:hint="default"/>
                <w:spacing w:val="-54"/>
                <w:sz w:val="21"/>
                <w:szCs w:val="21"/>
              </w:rPr>
              <w:t> </w:t>
            </w:r>
            <w:r>
              <w:rPr>
                <w:rFonts w:ascii="宋体" w:hAnsi="宋体" w:cs="宋体" w:eastAsia="宋体" w:hint="default"/>
                <w:sz w:val="21"/>
                <w:szCs w:val="21"/>
              </w:rPr>
              <w:t>2010</w:t>
            </w:r>
          </w:p>
          <w:p>
            <w:pPr>
              <w:pStyle w:val="TableParagraph"/>
              <w:spacing w:line="272" w:lineRule="exact"/>
              <w:ind w:left="103" w:right="122"/>
              <w:jc w:val="both"/>
              <w:rPr>
                <w:rFonts w:ascii="宋体" w:hAnsi="宋体" w:cs="宋体" w:eastAsia="宋体" w:hint="default"/>
                <w:sz w:val="21"/>
                <w:szCs w:val="21"/>
              </w:rPr>
            </w:pPr>
            <w:r>
              <w:rPr>
                <w:rFonts w:ascii="宋体" w:hAnsi="宋体" w:cs="宋体" w:eastAsia="宋体" w:hint="default"/>
                <w:sz w:val="21"/>
                <w:szCs w:val="21"/>
              </w:rPr>
              <w:t>年第八次临时董事会议决议，于</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1"/>
                <w:sz w:val="21"/>
                <w:szCs w:val="21"/>
              </w:rPr>
              <w:t> </w:t>
            </w:r>
            <w:r>
              <w:rPr>
                <w:rFonts w:ascii="宋体" w:hAnsi="宋体" w:cs="宋体" w:eastAsia="宋体" w:hint="default"/>
                <w:sz w:val="21"/>
                <w:szCs w:val="21"/>
              </w:rPr>
              <w:t>日予以注销。股权激励对象持有的限售流通股为 </w:t>
            </w:r>
            <w:r>
              <w:rPr>
                <w:rFonts w:ascii="宋体" w:hAnsi="宋体" w:cs="宋体" w:eastAsia="宋体" w:hint="default"/>
                <w:sz w:val="21"/>
                <w:szCs w:val="21"/>
              </w:rPr>
              <w:t>23,100,880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spacing w:val="103"/>
                <w:sz w:val="21"/>
                <w:szCs w:val="21"/>
              </w:rPr>
              <w:t> </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日，公司第</w:t>
            </w:r>
          </w:p>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一次解锁的</w:t>
            </w:r>
            <w:r>
              <w:rPr>
                <w:rFonts w:ascii="宋体" w:hAnsi="宋体" w:cs="宋体" w:eastAsia="宋体" w:hint="default"/>
                <w:spacing w:val="-54"/>
                <w:sz w:val="21"/>
                <w:szCs w:val="21"/>
              </w:rPr>
              <w:t> </w:t>
            </w:r>
            <w:r>
              <w:rPr>
                <w:rFonts w:ascii="宋体" w:hAnsi="宋体" w:cs="宋体" w:eastAsia="宋体" w:hint="default"/>
                <w:sz w:val="21"/>
                <w:szCs w:val="21"/>
              </w:rPr>
              <w:t>5,775,220</w:t>
            </w:r>
            <w:r>
              <w:rPr>
                <w:rFonts w:ascii="宋体" w:hAnsi="宋体" w:cs="宋体" w:eastAsia="宋体" w:hint="default"/>
                <w:spacing w:val="-53"/>
                <w:sz w:val="21"/>
                <w:szCs w:val="21"/>
              </w:rPr>
              <w:t> </w:t>
            </w:r>
            <w:r>
              <w:rPr>
                <w:rFonts w:ascii="宋体" w:hAnsi="宋体" w:cs="宋体" w:eastAsia="宋体" w:hint="default"/>
                <w:sz w:val="21"/>
                <w:szCs w:val="21"/>
              </w:rPr>
              <w:t>股股权激励股份上市流通。</w:t>
            </w:r>
          </w:p>
          <w:p>
            <w:pPr>
              <w:pStyle w:val="TableParagraph"/>
              <w:tabs>
                <w:tab w:pos="733" w:val="left" w:leader="none"/>
              </w:tabs>
              <w:spacing w:line="237" w:lineRule="auto" w:before="1"/>
              <w:ind w:left="103" w:right="101"/>
              <w:jc w:val="left"/>
              <w:rPr>
                <w:rFonts w:ascii="宋体" w:hAnsi="宋体" w:cs="宋体" w:eastAsia="宋体" w:hint="default"/>
                <w:sz w:val="21"/>
                <w:szCs w:val="21"/>
              </w:rPr>
            </w:pPr>
            <w:r>
              <w:rPr>
                <w:rFonts w:ascii="宋体" w:hAnsi="宋体" w:cs="宋体" w:eastAsia="宋体" w:hint="default"/>
                <w:sz w:val="21"/>
                <w:szCs w:val="21"/>
              </w:rPr>
              <w:t>股权激励对象持有的限售流通股为</w:t>
            </w:r>
            <w:r>
              <w:rPr>
                <w:rFonts w:ascii="宋体" w:hAnsi="宋体" w:cs="宋体" w:eastAsia="宋体" w:hint="default"/>
                <w:spacing w:val="-52"/>
                <w:sz w:val="21"/>
                <w:szCs w:val="21"/>
              </w:rPr>
              <w:t> </w:t>
            </w:r>
            <w:r>
              <w:rPr>
                <w:rFonts w:ascii="宋体" w:hAnsi="宋体" w:cs="宋体" w:eastAsia="宋体" w:hint="default"/>
                <w:sz w:val="21"/>
                <w:szCs w:val="21"/>
              </w:rPr>
              <w:t>17,325,660 </w:t>
            </w:r>
            <w:r>
              <w:rPr>
                <w:rFonts w:ascii="宋体" w:hAnsi="宋体" w:cs="宋体" w:eastAsia="宋体" w:hint="default"/>
                <w:sz w:val="21"/>
                <w:szCs w:val="21"/>
              </w:rPr>
              <w:t>股。</w:t>
              <w:tab/>
            </w:r>
            <w:r>
              <w:rPr>
                <w:rFonts w:ascii="宋体" w:hAnsi="宋体" w:cs="宋体" w:eastAsia="宋体" w:hint="default"/>
                <w:sz w:val="21"/>
                <w:szCs w:val="21"/>
              </w:rPr>
              <w:t>3</w:t>
            </w:r>
            <w:r>
              <w:rPr>
                <w:rFonts w:ascii="宋体" w:hAnsi="宋体" w:cs="宋体" w:eastAsia="宋体" w:hint="default"/>
                <w:sz w:val="21"/>
                <w:szCs w:val="21"/>
              </w:rPr>
              <w:t>、公司股权激励对象张宏、高保东因个人 </w:t>
            </w:r>
            <w:r>
              <w:rPr>
                <w:rFonts w:ascii="宋体" w:hAnsi="宋体" w:cs="宋体" w:eastAsia="宋体" w:hint="default"/>
                <w:spacing w:val="-4"/>
                <w:sz w:val="21"/>
                <w:szCs w:val="21"/>
              </w:rPr>
              <w:t>原因辞职，该行为触发了《北京华胜天成科技股份</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有限公司首期股权激励计划（草案修订稿）》中规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sz w:val="21"/>
                <w:szCs w:val="21"/>
              </w:rPr>
              <w:t>定的变更和终止的情形，根据股东大会授权，公司</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董事会于</w:t>
            </w:r>
            <w:r>
              <w:rPr>
                <w:rFonts w:ascii="宋体" w:hAnsi="宋体" w:cs="宋体" w:eastAsia="宋体" w:hint="default"/>
                <w:spacing w:val="-64"/>
                <w:sz w:val="21"/>
                <w:szCs w:val="21"/>
              </w:rPr>
              <w:t> </w:t>
            </w:r>
            <w:r>
              <w:rPr>
                <w:rFonts w:ascii="宋体" w:hAnsi="宋体" w:cs="宋体" w:eastAsia="宋体" w:hint="default"/>
                <w:sz w:val="21"/>
                <w:szCs w:val="21"/>
              </w:rPr>
              <w:t>2011</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9</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宋体" w:hAnsi="宋体" w:cs="宋体" w:eastAsia="宋体" w:hint="default"/>
                <w:sz w:val="21"/>
                <w:szCs w:val="21"/>
              </w:rPr>
              <w:t>7</w:t>
            </w:r>
            <w:r>
              <w:rPr>
                <w:rFonts w:ascii="宋体" w:hAnsi="宋体" w:cs="宋体" w:eastAsia="宋体" w:hint="default"/>
                <w:spacing w:val="-63"/>
                <w:sz w:val="21"/>
                <w:szCs w:val="21"/>
              </w:rPr>
              <w:t> </w:t>
            </w:r>
            <w:r>
              <w:rPr>
                <w:rFonts w:ascii="宋体" w:hAnsi="宋体" w:cs="宋体" w:eastAsia="宋体" w:hint="default"/>
                <w:sz w:val="21"/>
                <w:szCs w:val="21"/>
              </w:rPr>
              <w:t>日召开的</w:t>
            </w:r>
            <w:r>
              <w:rPr>
                <w:rFonts w:ascii="宋体" w:hAnsi="宋体" w:cs="宋体" w:eastAsia="宋体" w:hint="default"/>
                <w:spacing w:val="-64"/>
                <w:sz w:val="21"/>
                <w:szCs w:val="21"/>
              </w:rPr>
              <w:t> </w:t>
            </w:r>
            <w:r>
              <w:rPr>
                <w:rFonts w:ascii="宋体" w:hAnsi="宋体" w:cs="宋体" w:eastAsia="宋体" w:hint="default"/>
                <w:sz w:val="21"/>
                <w:szCs w:val="21"/>
              </w:rPr>
              <w:t>2011</w:t>
            </w:r>
            <w:r>
              <w:rPr>
                <w:rFonts w:ascii="宋体" w:hAnsi="宋体" w:cs="宋体" w:eastAsia="宋体" w:hint="default"/>
                <w:spacing w:val="-64"/>
                <w:sz w:val="21"/>
                <w:szCs w:val="21"/>
              </w:rPr>
              <w:t> </w:t>
            </w:r>
            <w:r>
              <w:rPr>
                <w:rFonts w:ascii="宋体" w:hAnsi="宋体" w:cs="宋体" w:eastAsia="宋体" w:hint="default"/>
                <w:sz w:val="21"/>
                <w:szCs w:val="21"/>
              </w:rPr>
              <w:t>年第十次临 时董事会审议通过了回购并注销上述激励对象已 获授但尚未解锁的股权激励股票的相关议</w:t>
            </w:r>
          </w:p>
          <w:p>
            <w:pPr>
              <w:pStyle w:val="TableParagraph"/>
              <w:tabs>
                <w:tab w:pos="733" w:val="left" w:leader="none"/>
              </w:tabs>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案。</w:t>
              <w:tab/>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日，上述股权激励股票</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156,750</w:t>
            </w:r>
            <w:r>
              <w:rPr>
                <w:rFonts w:ascii="宋体" w:hAnsi="宋体" w:cs="宋体" w:eastAsia="宋体" w:hint="default"/>
                <w:spacing w:val="-54"/>
                <w:sz w:val="21"/>
                <w:szCs w:val="21"/>
              </w:rPr>
              <w:t> </w:t>
            </w:r>
            <w:r>
              <w:rPr>
                <w:rFonts w:ascii="宋体" w:hAnsi="宋体" w:cs="宋体" w:eastAsia="宋体" w:hint="default"/>
                <w:sz w:val="21"/>
                <w:szCs w:val="21"/>
              </w:rPr>
              <w:t>股已过户至公司开立的回购专用证券账</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户，该部分股票于</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1"/>
                <w:sz w:val="21"/>
                <w:szCs w:val="21"/>
              </w:rPr>
              <w:t> </w:t>
            </w:r>
            <w:r>
              <w:rPr>
                <w:rFonts w:ascii="宋体" w:hAnsi="宋体" w:cs="宋体" w:eastAsia="宋体" w:hint="default"/>
                <w:spacing w:val="-7"/>
                <w:sz w:val="21"/>
                <w:szCs w:val="21"/>
              </w:rPr>
              <w:t>日予以注销，股</w:t>
            </w:r>
          </w:p>
          <w:p>
            <w:pPr>
              <w:pStyle w:val="TableParagraph"/>
              <w:tabs>
                <w:tab w:pos="733" w:val="left" w:leader="none"/>
              </w:tabs>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权激励对象持有的限售流通股为</w:t>
            </w:r>
            <w:r>
              <w:rPr>
                <w:rFonts w:ascii="宋体" w:hAnsi="宋体" w:cs="宋体" w:eastAsia="宋体" w:hint="default"/>
                <w:spacing w:val="33"/>
                <w:sz w:val="21"/>
                <w:szCs w:val="21"/>
              </w:rPr>
              <w:t> </w:t>
            </w:r>
            <w:r>
              <w:rPr>
                <w:rFonts w:ascii="宋体" w:hAnsi="宋体" w:cs="宋体" w:eastAsia="宋体" w:hint="default"/>
                <w:sz w:val="21"/>
                <w:szCs w:val="21"/>
              </w:rPr>
              <w:t>17,168,910 </w:t>
            </w:r>
            <w:r>
              <w:rPr>
                <w:rFonts w:ascii="宋体" w:hAnsi="宋体" w:cs="宋体" w:eastAsia="宋体" w:hint="default"/>
                <w:sz w:val="21"/>
                <w:szCs w:val="21"/>
              </w:rPr>
              <w:t>股。</w:t>
              <w:tab/>
            </w:r>
            <w:r>
              <w:rPr>
                <w:rFonts w:ascii="宋体" w:hAnsi="宋体" w:cs="宋体" w:eastAsia="宋体" w:hint="default"/>
                <w:sz w:val="21"/>
                <w:szCs w:val="21"/>
              </w:rPr>
              <w:t>4</w:t>
            </w:r>
            <w:r>
              <w:rPr>
                <w:rFonts w:ascii="宋体" w:hAnsi="宋体" w:cs="宋体" w:eastAsia="宋体" w:hint="default"/>
                <w:sz w:val="21"/>
                <w:szCs w:val="21"/>
              </w:rPr>
              <w:t>、北京华胜天成科技股份有限公司股权激 </w:t>
            </w:r>
            <w:r>
              <w:rPr>
                <w:rFonts w:ascii="宋体" w:hAnsi="宋体" w:cs="宋体" w:eastAsia="宋体" w:hint="default"/>
                <w:spacing w:val="-4"/>
                <w:sz w:val="21"/>
                <w:szCs w:val="21"/>
              </w:rPr>
              <w:t>励对象吕松寰因个人原因辞职，该行为触发了《北</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京华胜天成科技股份有限公司首期股权激励计划</w:t>
            </w:r>
          </w:p>
          <w:p>
            <w:pPr>
              <w:pStyle w:val="TableParagraph"/>
              <w:spacing w:line="272" w:lineRule="exact"/>
              <w:ind w:left="103" w:right="101"/>
              <w:jc w:val="left"/>
              <w:rPr>
                <w:rFonts w:ascii="宋体" w:hAnsi="宋体" w:cs="宋体" w:eastAsia="宋体" w:hint="default"/>
                <w:sz w:val="21"/>
                <w:szCs w:val="21"/>
              </w:rPr>
            </w:pPr>
            <w:r>
              <w:rPr>
                <w:rFonts w:ascii="宋体" w:hAnsi="宋体" w:cs="宋体" w:eastAsia="宋体" w:hint="default"/>
                <w:spacing w:val="-4"/>
                <w:sz w:val="21"/>
                <w:szCs w:val="21"/>
              </w:rPr>
              <w:t>（草案修订稿）》中规定的变更和终止的情形，根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据股东大会授权，公司董事会于</w:t>
            </w:r>
            <w:r>
              <w:rPr>
                <w:rFonts w:ascii="宋体" w:hAnsi="宋体" w:cs="宋体" w:eastAsia="宋体" w:hint="default"/>
                <w:spacing w:val="-51"/>
                <w:sz w:val="21"/>
                <w:szCs w:val="21"/>
              </w:rPr>
              <w:t> </w:t>
            </w:r>
            <w:r>
              <w:rPr>
                <w:rFonts w:ascii="宋体" w:hAnsi="宋体" w:cs="宋体" w:eastAsia="宋体" w:hint="default"/>
                <w:sz w:val="21"/>
                <w:szCs w:val="21"/>
              </w:rPr>
              <w:t>2011</w:t>
            </w:r>
            <w:r>
              <w:rPr>
                <w:rFonts w:ascii="宋体" w:hAnsi="宋体" w:cs="宋体" w:eastAsia="宋体"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27</w:t>
            </w:r>
          </w:p>
          <w:p>
            <w:pPr>
              <w:pStyle w:val="TableParagraph"/>
              <w:spacing w:line="272" w:lineRule="exact"/>
              <w:ind w:left="103" w:right="227"/>
              <w:jc w:val="both"/>
              <w:rPr>
                <w:rFonts w:ascii="宋体" w:hAnsi="宋体" w:cs="宋体" w:eastAsia="宋体" w:hint="default"/>
                <w:sz w:val="21"/>
                <w:szCs w:val="21"/>
              </w:rPr>
            </w:pPr>
            <w:r>
              <w:rPr>
                <w:rFonts w:ascii="宋体" w:hAnsi="宋体" w:cs="宋体" w:eastAsia="宋体" w:hint="default"/>
                <w:sz w:val="21"/>
                <w:szCs w:val="21"/>
              </w:rPr>
              <w:t>日召开的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年第十三次临时董事会审议通过 了回购并注销上述激励对象已获授但尚未解锁的 股权激励股票的相关议案。  </w:t>
            </w:r>
            <w:r>
              <w:rPr>
                <w:rFonts w:ascii="宋体" w:hAnsi="宋体" w:cs="宋体" w:eastAsia="宋体" w:hint="default"/>
                <w:sz w:val="21"/>
                <w:szCs w:val="21"/>
              </w:rPr>
              <w:t>2012</w:t>
            </w:r>
          </w:p>
          <w:p>
            <w:pPr>
              <w:pStyle w:val="TableParagraph"/>
              <w:spacing w:line="272" w:lineRule="exact"/>
              <w:ind w:left="103" w:right="101" w:firstLine="211"/>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1"/>
                <w:sz w:val="21"/>
                <w:szCs w:val="21"/>
              </w:rPr>
              <w:t> </w:t>
            </w:r>
            <w:r>
              <w:rPr>
                <w:rFonts w:ascii="宋体" w:hAnsi="宋体" w:cs="宋体" w:eastAsia="宋体" w:hint="default"/>
                <w:sz w:val="21"/>
                <w:szCs w:val="21"/>
              </w:rPr>
              <w:t>日，上述股权激励股票</w:t>
            </w:r>
            <w:r>
              <w:rPr>
                <w:rFonts w:ascii="宋体" w:hAnsi="宋体" w:cs="宋体" w:eastAsia="宋体" w:hint="default"/>
                <w:spacing w:val="-53"/>
                <w:sz w:val="21"/>
                <w:szCs w:val="21"/>
              </w:rPr>
              <w:t> </w:t>
            </w:r>
            <w:r>
              <w:rPr>
                <w:rFonts w:ascii="宋体" w:hAnsi="宋体" w:cs="宋体" w:eastAsia="宋体" w:hint="default"/>
                <w:sz w:val="21"/>
                <w:szCs w:val="21"/>
              </w:rPr>
              <w:t>742,500</w:t>
            </w:r>
            <w:r>
              <w:rPr>
                <w:rFonts w:ascii="宋体" w:hAnsi="宋体" w:cs="宋体" w:eastAsia="宋体" w:hint="default"/>
                <w:spacing w:val="-1"/>
                <w:sz w:val="21"/>
                <w:szCs w:val="21"/>
              </w:rPr>
              <w:t> </w:t>
            </w:r>
            <w:r>
              <w:rPr>
                <w:rFonts w:ascii="宋体" w:hAnsi="宋体" w:cs="宋体" w:eastAsia="宋体" w:hint="default"/>
                <w:sz w:val="21"/>
                <w:szCs w:val="21"/>
              </w:rPr>
              <w:t>股 </w:t>
            </w:r>
            <w:r>
              <w:rPr>
                <w:rFonts w:ascii="宋体" w:hAnsi="宋体" w:cs="宋体" w:eastAsia="宋体" w:hint="default"/>
                <w:spacing w:val="-4"/>
                <w:sz w:val="21"/>
                <w:szCs w:val="21"/>
              </w:rPr>
              <w:t>已过户至公司开立的回购专用证券账户，该部分股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票将于</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23</w:t>
            </w:r>
            <w:r>
              <w:rPr>
                <w:rFonts w:ascii="宋体" w:hAnsi="宋体" w:cs="宋体" w:eastAsia="宋体" w:hint="default"/>
                <w:spacing w:val="-1"/>
                <w:sz w:val="21"/>
                <w:szCs w:val="21"/>
              </w:rPr>
              <w:t> </w:t>
            </w:r>
            <w:r>
              <w:rPr>
                <w:rFonts w:ascii="宋体" w:hAnsi="宋体" w:cs="宋体" w:eastAsia="宋体" w:hint="default"/>
                <w:sz w:val="21"/>
                <w:szCs w:val="21"/>
              </w:rPr>
              <w:t>日予以注销，股权激励对 象持有的限售流通股为 </w:t>
            </w:r>
            <w:r>
              <w:rPr>
                <w:rFonts w:ascii="宋体" w:hAnsi="宋体" w:cs="宋体" w:eastAsia="宋体" w:hint="default"/>
                <w:sz w:val="21"/>
                <w:szCs w:val="21"/>
              </w:rPr>
              <w:t>16,426,410 </w:t>
            </w:r>
            <w:r>
              <w:rPr>
                <w:rFonts w:ascii="宋体" w:hAnsi="宋体" w:cs="宋体" w:eastAsia="宋体" w:hint="default"/>
                <w:sz w:val="21"/>
                <w:szCs w:val="21"/>
              </w:rPr>
              <w:t>股。</w:t>
            </w:r>
            <w:r>
              <w:rPr>
                <w:rFonts w:ascii="宋体" w:hAnsi="宋体" w:cs="宋体" w:eastAsia="宋体" w:hint="default"/>
                <w:spacing w:val="-42"/>
                <w:sz w:val="21"/>
                <w:szCs w:val="21"/>
              </w:rPr>
              <w:t> </w:t>
            </w:r>
            <w:r>
              <w:rPr>
                <w:rFonts w:ascii="宋体" w:hAnsi="宋体" w:cs="宋体" w:eastAsia="宋体" w:hint="default"/>
                <w:spacing w:val="-11"/>
                <w:sz w:val="21"/>
                <w:szCs w:val="21"/>
              </w:rPr>
              <w:t>5</w:t>
            </w:r>
            <w:r>
              <w:rPr>
                <w:rFonts w:ascii="宋体" w:hAnsi="宋体" w:cs="宋体" w:eastAsia="宋体" w:hint="default"/>
                <w:spacing w:val="-11"/>
                <w:sz w:val="21"/>
                <w:szCs w:val="21"/>
              </w:rPr>
              <w:t>、因公</w:t>
            </w:r>
            <w:r>
              <w:rPr>
                <w:rFonts w:ascii="宋体" w:hAnsi="宋体" w:cs="宋体" w:eastAsia="宋体" w:hint="default"/>
                <w:sz w:val="21"/>
                <w:szCs w:val="21"/>
              </w:rPr>
              <w:t> 司实施《公司</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年度转增股本的预案》，股权</w:t>
            </w:r>
          </w:p>
        </w:tc>
      </w:tr>
    </w:tbl>
    <w:p>
      <w:pPr>
        <w:spacing w:after="0" w:line="272" w:lineRule="exact"/>
        <w:jc w:val="left"/>
        <w:rPr>
          <w:rFonts w:ascii="宋体" w:hAnsi="宋体" w:cs="宋体" w:eastAsia="宋体" w:hint="default"/>
          <w:sz w:val="21"/>
          <w:szCs w:val="21"/>
        </w:rPr>
        <w:sectPr>
          <w:pgSz w:w="11910" w:h="16840"/>
          <w:pgMar w:header="882" w:footer="1194" w:top="1080" w:bottom="1380" w:left="1580" w:right="11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4217"/>
        <w:gridCol w:w="4752"/>
      </w:tblGrid>
      <w:tr>
        <w:trPr>
          <w:trHeight w:val="276" w:hRule="exact"/>
        </w:trPr>
        <w:tc>
          <w:tcPr>
            <w:tcW w:w="4217" w:type="dxa"/>
            <w:vMerge w:val="restart"/>
            <w:tcBorders>
              <w:top w:val="single" w:sz="4" w:space="0" w:color="000000"/>
              <w:left w:val="single" w:sz="4" w:space="0" w:color="000000"/>
              <w:right w:val="single" w:sz="4" w:space="0" w:color="000000"/>
            </w:tcBorders>
          </w:tcPr>
          <w:p>
            <w:pPr/>
          </w:p>
        </w:tc>
        <w:tc>
          <w:tcPr>
            <w:tcW w:w="4752"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激励对象本报告期增加限售流通股</w:t>
            </w:r>
            <w:r>
              <w:rPr>
                <w:rFonts w:ascii="宋体" w:hAnsi="宋体" w:cs="宋体" w:eastAsia="宋体" w:hint="default"/>
                <w:spacing w:val="-54"/>
                <w:sz w:val="21"/>
                <w:szCs w:val="21"/>
              </w:rPr>
              <w:t> </w:t>
            </w:r>
            <w:r>
              <w:rPr>
                <w:rFonts w:ascii="宋体" w:hAnsi="宋体" w:cs="宋体" w:eastAsia="宋体" w:hint="default"/>
                <w:sz w:val="21"/>
                <w:szCs w:val="21"/>
              </w:rPr>
              <w:t>3,289,794</w:t>
            </w:r>
            <w:r>
              <w:rPr>
                <w:rFonts w:ascii="宋体" w:hAnsi="宋体" w:cs="宋体" w:eastAsia="宋体" w:hint="default"/>
                <w:spacing w:val="-54"/>
                <w:sz w:val="21"/>
                <w:szCs w:val="21"/>
              </w:rPr>
              <w:t> </w:t>
            </w:r>
            <w:r>
              <w:rPr>
                <w:rFonts w:ascii="宋体" w:hAnsi="宋体" w:cs="宋体" w:eastAsia="宋体" w:hint="default"/>
                <w:sz w:val="21"/>
                <w:szCs w:val="21"/>
              </w:rPr>
              <w:t>股，</w:t>
            </w:r>
          </w:p>
        </w:tc>
      </w:tr>
      <w:tr>
        <w:trPr>
          <w:trHeight w:val="272"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本次利润分配后，上述激励对象持有的限售流通股</w:t>
            </w:r>
          </w:p>
        </w:tc>
      </w:tr>
      <w:tr>
        <w:trPr>
          <w:trHeight w:val="272"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为 </w:t>
            </w:r>
            <w:r>
              <w:rPr>
                <w:rFonts w:ascii="宋体" w:hAnsi="宋体" w:cs="宋体" w:eastAsia="宋体" w:hint="default"/>
                <w:sz w:val="21"/>
                <w:szCs w:val="21"/>
              </w:rPr>
              <w:t>19,716,204 </w:t>
            </w:r>
            <w:r>
              <w:rPr>
                <w:rFonts w:ascii="宋体" w:hAnsi="宋体" w:cs="宋体" w:eastAsia="宋体" w:hint="default"/>
                <w:sz w:val="21"/>
                <w:szCs w:val="21"/>
              </w:rPr>
              <w:t>股。</w:t>
            </w:r>
            <w:r>
              <w:rPr>
                <w:rFonts w:ascii="宋体" w:hAnsi="宋体" w:cs="宋体" w:eastAsia="宋体" w:hint="default"/>
                <w:spacing w:val="-35"/>
                <w:sz w:val="21"/>
                <w:szCs w:val="21"/>
              </w:rPr>
              <w:t> </w:t>
            </w:r>
            <w:r>
              <w:rPr>
                <w:rFonts w:ascii="宋体" w:hAnsi="宋体" w:cs="宋体" w:eastAsia="宋体" w:hint="default"/>
                <w:spacing w:val="-4"/>
                <w:sz w:val="21"/>
                <w:szCs w:val="21"/>
              </w:rPr>
              <w:t>6</w:t>
            </w:r>
            <w:r>
              <w:rPr>
                <w:rFonts w:ascii="宋体" w:hAnsi="宋体" w:cs="宋体" w:eastAsia="宋体" w:hint="default"/>
                <w:spacing w:val="-4"/>
                <w:sz w:val="21"/>
                <w:szCs w:val="21"/>
              </w:rPr>
              <w:t>、北京华胜天成科技股份有</w:t>
            </w:r>
          </w:p>
        </w:tc>
      </w:tr>
      <w:tr>
        <w:trPr>
          <w:trHeight w:val="273"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限公司股权激励对象薛晓忠因个人原因辞职，该行</w:t>
            </w:r>
          </w:p>
        </w:tc>
      </w:tr>
      <w:tr>
        <w:trPr>
          <w:trHeight w:val="273"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为触发了《北京华胜天成科技股份有限公司首期股</w:t>
            </w:r>
          </w:p>
        </w:tc>
      </w:tr>
      <w:tr>
        <w:trPr>
          <w:trHeight w:val="272"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权激励计划（草案修订稿）》中规定的变更和终止</w:t>
            </w:r>
          </w:p>
        </w:tc>
      </w:tr>
      <w:tr>
        <w:trPr>
          <w:trHeight w:val="272"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的情形，根据股东大会授权，公司董事会于</w:t>
            </w:r>
            <w:r>
              <w:rPr>
                <w:rFonts w:ascii="宋体" w:hAnsi="宋体" w:cs="宋体" w:eastAsia="宋体" w:hint="default"/>
                <w:spacing w:val="-52"/>
                <w:sz w:val="21"/>
                <w:szCs w:val="21"/>
              </w:rPr>
              <w:t> </w:t>
            </w:r>
            <w:r>
              <w:rPr>
                <w:rFonts w:ascii="宋体" w:hAnsi="宋体" w:cs="宋体" w:eastAsia="宋体" w:hint="default"/>
                <w:sz w:val="21"/>
                <w:szCs w:val="21"/>
              </w:rPr>
              <w:t>2012</w:t>
            </w:r>
          </w:p>
        </w:tc>
      </w:tr>
      <w:tr>
        <w:trPr>
          <w:trHeight w:val="272"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4</w:t>
            </w:r>
            <w:r>
              <w:rPr>
                <w:rFonts w:ascii="宋体" w:hAnsi="宋体" w:cs="宋体" w:eastAsia="宋体" w:hint="default"/>
                <w:spacing w:val="-67"/>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26</w:t>
            </w:r>
            <w:r>
              <w:rPr>
                <w:rFonts w:ascii="宋体" w:hAnsi="宋体" w:cs="宋体" w:eastAsia="宋体" w:hint="default"/>
                <w:spacing w:val="-67"/>
                <w:sz w:val="21"/>
                <w:szCs w:val="21"/>
              </w:rPr>
              <w:t> </w:t>
            </w:r>
            <w:r>
              <w:rPr>
                <w:rFonts w:ascii="宋体" w:hAnsi="宋体" w:cs="宋体" w:eastAsia="宋体" w:hint="default"/>
                <w:sz w:val="21"/>
                <w:szCs w:val="21"/>
              </w:rPr>
              <w:t>日召开的</w:t>
            </w:r>
            <w:r>
              <w:rPr>
                <w:rFonts w:ascii="宋体" w:hAnsi="宋体" w:cs="宋体" w:eastAsia="宋体" w:hint="default"/>
                <w:spacing w:val="-68"/>
                <w:sz w:val="21"/>
                <w:szCs w:val="21"/>
              </w:rPr>
              <w:t> </w:t>
            </w:r>
            <w:r>
              <w:rPr>
                <w:rFonts w:ascii="宋体" w:hAnsi="宋体" w:cs="宋体" w:eastAsia="宋体" w:hint="default"/>
                <w:sz w:val="21"/>
                <w:szCs w:val="21"/>
              </w:rPr>
              <w:t>2012</w:t>
            </w:r>
            <w:r>
              <w:rPr>
                <w:rFonts w:ascii="宋体" w:hAnsi="宋体" w:cs="宋体" w:eastAsia="宋体" w:hint="default"/>
                <w:spacing w:val="-69"/>
                <w:sz w:val="21"/>
                <w:szCs w:val="21"/>
              </w:rPr>
              <w:t> </w:t>
            </w:r>
            <w:r>
              <w:rPr>
                <w:rFonts w:ascii="宋体" w:hAnsi="宋体" w:cs="宋体" w:eastAsia="宋体" w:hint="default"/>
                <w:sz w:val="21"/>
                <w:szCs w:val="21"/>
              </w:rPr>
              <w:t>年第三次临时董事会审议</w:t>
            </w:r>
          </w:p>
        </w:tc>
      </w:tr>
      <w:tr>
        <w:trPr>
          <w:trHeight w:val="272"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通过了回购并注销上述激励对象已获授但尚未解</w:t>
            </w:r>
          </w:p>
        </w:tc>
      </w:tr>
      <w:tr>
        <w:trPr>
          <w:trHeight w:val="272"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tabs>
                <w:tab w:pos="3253"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锁的股权激励股票的相关议案。</w:t>
              <w:tab/>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p>
        </w:tc>
      </w:tr>
      <w:tr>
        <w:trPr>
          <w:trHeight w:val="272"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日，上述股权激励股票</w:t>
            </w:r>
            <w:r>
              <w:rPr>
                <w:rFonts w:ascii="宋体" w:hAnsi="宋体" w:cs="宋体" w:eastAsia="宋体" w:hint="default"/>
                <w:spacing w:val="-51"/>
                <w:sz w:val="21"/>
                <w:szCs w:val="21"/>
              </w:rPr>
              <w:t> </w:t>
            </w:r>
            <w:r>
              <w:rPr>
                <w:rFonts w:ascii="宋体" w:hAnsi="宋体" w:cs="宋体" w:eastAsia="宋体" w:hint="default"/>
                <w:sz w:val="21"/>
                <w:szCs w:val="21"/>
              </w:rPr>
              <w:t>3,465,789</w:t>
            </w:r>
            <w:r>
              <w:rPr>
                <w:rFonts w:ascii="宋体" w:hAnsi="宋体" w:cs="宋体" w:eastAsia="宋体" w:hint="default"/>
                <w:spacing w:val="-50"/>
                <w:sz w:val="21"/>
                <w:szCs w:val="21"/>
              </w:rPr>
              <w:t> </w:t>
            </w:r>
            <w:r>
              <w:rPr>
                <w:rFonts w:ascii="宋体" w:hAnsi="宋体" w:cs="宋体" w:eastAsia="宋体" w:hint="default"/>
                <w:sz w:val="21"/>
                <w:szCs w:val="21"/>
              </w:rPr>
              <w:t>股已过户至公司</w:t>
            </w:r>
          </w:p>
        </w:tc>
      </w:tr>
      <w:tr>
        <w:trPr>
          <w:trHeight w:val="272"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开立的回购专用证券账户，该部分股票将于</w:t>
            </w:r>
            <w:r>
              <w:rPr>
                <w:rFonts w:ascii="宋体" w:hAnsi="宋体" w:cs="宋体" w:eastAsia="宋体" w:hint="default"/>
                <w:spacing w:val="-52"/>
                <w:sz w:val="21"/>
                <w:szCs w:val="21"/>
              </w:rPr>
              <w:t> </w:t>
            </w:r>
            <w:r>
              <w:rPr>
                <w:rFonts w:ascii="宋体" w:hAnsi="宋体" w:cs="宋体" w:eastAsia="宋体" w:hint="default"/>
                <w:sz w:val="21"/>
                <w:szCs w:val="21"/>
              </w:rPr>
              <w:t>2012</w:t>
            </w:r>
          </w:p>
        </w:tc>
      </w:tr>
      <w:tr>
        <w:trPr>
          <w:trHeight w:val="272"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日予以注销，股权激励对象持有的限售</w:t>
            </w:r>
          </w:p>
        </w:tc>
      </w:tr>
      <w:tr>
        <w:trPr>
          <w:trHeight w:val="272"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tabs>
                <w:tab w:pos="2687"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流通股为</w:t>
            </w:r>
            <w:r>
              <w:rPr>
                <w:rFonts w:ascii="宋体" w:hAnsi="宋体" w:cs="宋体" w:eastAsia="宋体" w:hint="default"/>
                <w:spacing w:val="-74"/>
                <w:sz w:val="21"/>
                <w:szCs w:val="21"/>
              </w:rPr>
              <w:t> </w:t>
            </w:r>
            <w:r>
              <w:rPr>
                <w:rFonts w:ascii="宋体" w:hAnsi="宋体" w:cs="宋体" w:eastAsia="宋体" w:hint="default"/>
                <w:sz w:val="21"/>
                <w:szCs w:val="21"/>
              </w:rPr>
              <w:t>1</w:t>
            </w:r>
            <w:r>
              <w:rPr>
                <w:rFonts w:ascii="宋体" w:hAnsi="宋体" w:cs="宋体" w:eastAsia="宋体" w:hint="default"/>
                <w:spacing w:val="1"/>
                <w:sz w:val="21"/>
                <w:szCs w:val="21"/>
              </w:rPr>
              <w:t>6</w:t>
            </w:r>
            <w:r>
              <w:rPr>
                <w:rFonts w:ascii="宋体" w:hAnsi="宋体" w:cs="宋体" w:eastAsia="宋体" w:hint="default"/>
                <w:sz w:val="21"/>
                <w:szCs w:val="21"/>
              </w:rPr>
              <w:t>,250,415</w:t>
            </w:r>
            <w:r>
              <w:rPr>
                <w:rFonts w:ascii="宋体" w:hAnsi="宋体" w:cs="宋体" w:eastAsia="宋体" w:hint="default"/>
                <w:spacing w:val="-73"/>
                <w:sz w:val="21"/>
                <w:szCs w:val="21"/>
              </w:rPr>
              <w:t> </w:t>
            </w:r>
            <w:r>
              <w:rPr>
                <w:rFonts w:ascii="宋体" w:hAnsi="宋体" w:cs="宋体" w:eastAsia="宋体" w:hint="default"/>
                <w:spacing w:val="-2"/>
                <w:sz w:val="21"/>
                <w:szCs w:val="21"/>
              </w:rPr>
              <w:t>股</w:t>
            </w:r>
            <w:r>
              <w:rPr>
                <w:rFonts w:ascii="宋体" w:hAnsi="宋体" w:cs="宋体" w:eastAsia="宋体" w:hint="default"/>
                <w:sz w:val="21"/>
                <w:szCs w:val="21"/>
              </w:rPr>
              <w:t>。</w:t>
              <w:tab/>
            </w:r>
            <w:r>
              <w:rPr>
                <w:rFonts w:ascii="宋体" w:hAnsi="宋体" w:cs="宋体" w:eastAsia="宋体" w:hint="default"/>
                <w:sz w:val="21"/>
                <w:szCs w:val="21"/>
              </w:rPr>
              <w:t>7</w:t>
            </w:r>
            <w:r>
              <w:rPr>
                <w:rFonts w:ascii="宋体" w:hAnsi="宋体" w:cs="宋体" w:eastAsia="宋体" w:hint="default"/>
                <w:spacing w:val="-106"/>
                <w:sz w:val="21"/>
                <w:szCs w:val="21"/>
              </w:rPr>
              <w:t>、</w:t>
            </w:r>
            <w:r>
              <w:rPr>
                <w:rFonts w:ascii="宋体" w:hAnsi="宋体" w:cs="宋体" w:eastAsia="宋体" w:hint="default"/>
                <w:sz w:val="21"/>
                <w:szCs w:val="21"/>
              </w:rPr>
              <w:t>2012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7</w:t>
            </w:r>
            <w:r>
              <w:rPr>
                <w:rFonts w:ascii="宋体" w:hAnsi="宋体" w:cs="宋体" w:eastAsia="宋体"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74"/>
                <w:sz w:val="21"/>
                <w:szCs w:val="21"/>
              </w:rPr>
              <w:t> </w:t>
            </w:r>
            <w:r>
              <w:rPr>
                <w:rFonts w:ascii="宋体" w:hAnsi="宋体" w:cs="宋体" w:eastAsia="宋体" w:hint="default"/>
                <w:sz w:val="21"/>
                <w:szCs w:val="21"/>
              </w:rPr>
              <w:t>20 </w:t>
            </w:r>
            <w:r>
              <w:rPr>
                <w:rFonts w:ascii="宋体" w:hAnsi="宋体" w:cs="宋体" w:eastAsia="宋体" w:hint="default"/>
                <w:sz w:val="21"/>
                <w:szCs w:val="21"/>
              </w:rPr>
              <w:t>日</w:t>
            </w:r>
          </w:p>
        </w:tc>
      </w:tr>
      <w:tr>
        <w:trPr>
          <w:trHeight w:val="272"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召开的公司</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年第五次临时董事会审议通过了</w:t>
            </w:r>
          </w:p>
        </w:tc>
      </w:tr>
      <w:tr>
        <w:trPr>
          <w:trHeight w:val="272"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《关于公司首期股权激励股票符合解锁条件的议</w:t>
            </w:r>
          </w:p>
        </w:tc>
      </w:tr>
      <w:tr>
        <w:trPr>
          <w:trHeight w:val="272"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案》（第二批），本次解锁的股权激励股份数量为</w:t>
            </w:r>
          </w:p>
        </w:tc>
      </w:tr>
      <w:tr>
        <w:trPr>
          <w:trHeight w:val="272"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5,416,805</w:t>
            </w:r>
            <w:r>
              <w:rPr>
                <w:rFonts w:ascii="宋体" w:hAnsi="宋体" w:cs="宋体" w:eastAsia="宋体" w:hint="default"/>
                <w:spacing w:val="-86"/>
                <w:sz w:val="21"/>
                <w:szCs w:val="21"/>
              </w:rPr>
              <w:t> </w:t>
            </w:r>
            <w:r>
              <w:rPr>
                <w:rFonts w:ascii="宋体" w:hAnsi="宋体" w:cs="宋体" w:eastAsia="宋体" w:hint="default"/>
                <w:sz w:val="21"/>
                <w:szCs w:val="21"/>
              </w:rPr>
              <w:t>股。股权激励对象持有的限售流通股为</w:t>
            </w:r>
          </w:p>
        </w:tc>
      </w:tr>
      <w:tr>
        <w:trPr>
          <w:trHeight w:val="272"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10,833,610</w:t>
            </w:r>
            <w:r>
              <w:rPr>
                <w:rFonts w:ascii="宋体" w:hAnsi="宋体" w:cs="宋体" w:eastAsia="宋体" w:hint="default"/>
                <w:spacing w:val="-87"/>
                <w:sz w:val="21"/>
                <w:szCs w:val="21"/>
              </w:rPr>
              <w:t> </w:t>
            </w:r>
            <w:r>
              <w:rPr>
                <w:rFonts w:ascii="宋体" w:hAnsi="宋体" w:cs="宋体" w:eastAsia="宋体" w:hint="default"/>
                <w:sz w:val="21"/>
                <w:szCs w:val="21"/>
              </w:rPr>
              <w:t>股。</w:t>
            </w:r>
            <w:r>
              <w:rPr>
                <w:rFonts w:ascii="宋体" w:hAnsi="宋体" w:cs="宋体" w:eastAsia="宋体" w:hint="default"/>
                <w:sz w:val="21"/>
                <w:szCs w:val="21"/>
              </w:rPr>
              <w:t>8</w:t>
            </w:r>
            <w:r>
              <w:rPr>
                <w:rFonts w:ascii="宋体" w:hAnsi="宋体" w:cs="宋体" w:eastAsia="宋体" w:hint="default"/>
                <w:sz w:val="21"/>
                <w:szCs w:val="21"/>
              </w:rPr>
              <w:t>、北京华胜天成科技股份有限公</w:t>
            </w:r>
          </w:p>
        </w:tc>
      </w:tr>
      <w:tr>
        <w:trPr>
          <w:trHeight w:val="272"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司股权激励对象邱鲁闽等</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pacing w:val="-50"/>
                <w:sz w:val="21"/>
                <w:szCs w:val="21"/>
              </w:rPr>
              <w:t> </w:t>
            </w:r>
            <w:r>
              <w:rPr>
                <w:rFonts w:ascii="宋体" w:hAnsi="宋体" w:cs="宋体" w:eastAsia="宋体" w:hint="default"/>
                <w:spacing w:val="-9"/>
                <w:sz w:val="21"/>
                <w:szCs w:val="21"/>
              </w:rPr>
              <w:t>人因个人原因辞职，该</w:t>
            </w:r>
          </w:p>
        </w:tc>
      </w:tr>
      <w:tr>
        <w:trPr>
          <w:trHeight w:val="272"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行为触发了《北京华胜天成科技股份有限公司首期</w:t>
            </w:r>
          </w:p>
        </w:tc>
      </w:tr>
      <w:tr>
        <w:trPr>
          <w:trHeight w:val="272"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股权激励计划（草案修订稿）》中规定的变更和终</w:t>
            </w:r>
          </w:p>
        </w:tc>
      </w:tr>
      <w:tr>
        <w:trPr>
          <w:trHeight w:val="272"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止的情形，根据股东大会授权，公司董事会于</w:t>
            </w:r>
            <w:r>
              <w:rPr>
                <w:rFonts w:ascii="宋体" w:hAnsi="宋体" w:cs="宋体" w:eastAsia="宋体" w:hint="default"/>
                <w:spacing w:val="-50"/>
                <w:sz w:val="21"/>
                <w:szCs w:val="21"/>
              </w:rPr>
              <w:t> </w:t>
            </w:r>
            <w:r>
              <w:rPr>
                <w:rFonts w:ascii="宋体" w:hAnsi="宋体" w:cs="宋体" w:eastAsia="宋体" w:hint="default"/>
                <w:sz w:val="21"/>
                <w:szCs w:val="21"/>
              </w:rPr>
              <w:t>2012</w:t>
            </w:r>
          </w:p>
        </w:tc>
      </w:tr>
      <w:tr>
        <w:trPr>
          <w:trHeight w:val="272"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11</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30</w:t>
            </w:r>
            <w:r>
              <w:rPr>
                <w:rFonts w:ascii="宋体" w:hAnsi="宋体" w:cs="宋体" w:eastAsia="宋体" w:hint="default"/>
                <w:spacing w:val="-60"/>
                <w:sz w:val="21"/>
                <w:szCs w:val="21"/>
              </w:rPr>
              <w:t> </w:t>
            </w:r>
            <w:r>
              <w:rPr>
                <w:rFonts w:ascii="宋体" w:hAnsi="宋体" w:cs="宋体" w:eastAsia="宋体" w:hint="default"/>
                <w:sz w:val="21"/>
                <w:szCs w:val="21"/>
              </w:rPr>
              <w:t>日召开的</w:t>
            </w:r>
            <w:r>
              <w:rPr>
                <w:rFonts w:ascii="宋体" w:hAnsi="宋体" w:cs="宋体" w:eastAsia="宋体" w:hint="default"/>
                <w:spacing w:val="-2"/>
                <w:sz w:val="21"/>
                <w:szCs w:val="21"/>
              </w:rPr>
              <w:t> </w:t>
            </w:r>
            <w:r>
              <w:rPr>
                <w:rFonts w:ascii="宋体" w:hAnsi="宋体" w:cs="宋体" w:eastAsia="宋体" w:hint="default"/>
                <w:sz w:val="21"/>
                <w:szCs w:val="21"/>
              </w:rPr>
              <w:t>2012</w:t>
            </w:r>
            <w:r>
              <w:rPr>
                <w:rFonts w:ascii="宋体" w:hAnsi="宋体" w:cs="宋体" w:eastAsia="宋体" w:hint="default"/>
                <w:spacing w:val="-59"/>
                <w:sz w:val="21"/>
                <w:szCs w:val="21"/>
              </w:rPr>
              <w:t> </w:t>
            </w:r>
            <w:r>
              <w:rPr>
                <w:rFonts w:ascii="宋体" w:hAnsi="宋体" w:cs="宋体" w:eastAsia="宋体" w:hint="default"/>
                <w:sz w:val="21"/>
                <w:szCs w:val="21"/>
              </w:rPr>
              <w:t>年第十次临时董事会审</w:t>
            </w:r>
          </w:p>
        </w:tc>
      </w:tr>
      <w:tr>
        <w:trPr>
          <w:trHeight w:val="273"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议通过了回购并注销上述激励对象已获授但尚未</w:t>
            </w:r>
          </w:p>
        </w:tc>
      </w:tr>
      <w:tr>
        <w:trPr>
          <w:trHeight w:val="273"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解锁的股权激励股票的相关议案（相关决议公告已</w:t>
            </w:r>
          </w:p>
        </w:tc>
      </w:tr>
      <w:tr>
        <w:trPr>
          <w:trHeight w:val="272"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刊登于《上海证券报》、《中国证券报》及上海证</w:t>
            </w:r>
          </w:p>
        </w:tc>
      </w:tr>
      <w:tr>
        <w:trPr>
          <w:trHeight w:val="272"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券交易所网站）。公司董事会决定回购并注销此</w:t>
            </w:r>
            <w:r>
              <w:rPr>
                <w:rFonts w:ascii="宋体" w:hAnsi="宋体" w:cs="宋体" w:eastAsia="宋体" w:hint="default"/>
                <w:spacing w:val="-84"/>
                <w:sz w:val="21"/>
                <w:szCs w:val="21"/>
              </w:rPr>
              <w:t> </w:t>
            </w:r>
            <w:r>
              <w:rPr>
                <w:rFonts w:ascii="宋体" w:hAnsi="宋体" w:cs="宋体" w:eastAsia="宋体" w:hint="default"/>
                <w:sz w:val="21"/>
                <w:szCs w:val="21"/>
              </w:rPr>
              <w:t>9</w:t>
            </w:r>
          </w:p>
        </w:tc>
      </w:tr>
      <w:tr>
        <w:trPr>
          <w:trHeight w:val="272"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人的股权激励股票共计</w:t>
            </w:r>
            <w:r>
              <w:rPr>
                <w:rFonts w:ascii="宋体" w:hAnsi="宋体" w:cs="宋体" w:eastAsia="宋体" w:hint="default"/>
                <w:spacing w:val="-50"/>
                <w:sz w:val="21"/>
                <w:szCs w:val="21"/>
              </w:rPr>
              <w:t> </w:t>
            </w:r>
            <w:r>
              <w:rPr>
                <w:rFonts w:ascii="宋体" w:hAnsi="宋体" w:cs="宋体" w:eastAsia="宋体" w:hint="default"/>
                <w:sz w:val="21"/>
                <w:szCs w:val="21"/>
              </w:rPr>
              <w:t>2,726,948</w:t>
            </w:r>
            <w:r>
              <w:rPr>
                <w:rFonts w:ascii="宋体" w:hAnsi="宋体" w:cs="宋体" w:eastAsia="宋体" w:hint="default"/>
                <w:spacing w:val="-50"/>
                <w:sz w:val="21"/>
                <w:szCs w:val="21"/>
              </w:rPr>
              <w:t> </w:t>
            </w:r>
            <w:r>
              <w:rPr>
                <w:rFonts w:ascii="宋体" w:hAnsi="宋体" w:cs="宋体" w:eastAsia="宋体" w:hint="default"/>
                <w:spacing w:val="-13"/>
                <w:sz w:val="21"/>
                <w:szCs w:val="21"/>
              </w:rPr>
              <w:t>股。股权激励对</w:t>
            </w:r>
          </w:p>
        </w:tc>
      </w:tr>
      <w:tr>
        <w:trPr>
          <w:trHeight w:val="272"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象徐静江先生因个人原因尚未办理回购手续，其余</w:t>
            </w:r>
          </w:p>
        </w:tc>
      </w:tr>
      <w:tr>
        <w:trPr>
          <w:trHeight w:val="272"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65"/>
                <w:sz w:val="21"/>
                <w:szCs w:val="21"/>
              </w:rPr>
              <w:t> </w:t>
            </w:r>
            <w:r>
              <w:rPr>
                <w:rFonts w:ascii="宋体" w:hAnsi="宋体" w:cs="宋体" w:eastAsia="宋体" w:hint="default"/>
                <w:sz w:val="21"/>
                <w:szCs w:val="21"/>
              </w:rPr>
              <w:t>位股权激励对象的股票</w:t>
            </w:r>
            <w:r>
              <w:rPr>
                <w:rFonts w:ascii="宋体" w:hAnsi="宋体" w:cs="宋体" w:eastAsia="宋体" w:hint="default"/>
                <w:spacing w:val="-65"/>
                <w:sz w:val="21"/>
                <w:szCs w:val="21"/>
              </w:rPr>
              <w:t> </w:t>
            </w:r>
            <w:r>
              <w:rPr>
                <w:rFonts w:ascii="宋体" w:hAnsi="宋体" w:cs="宋体" w:eastAsia="宋体" w:hint="default"/>
                <w:sz w:val="21"/>
                <w:szCs w:val="21"/>
              </w:rPr>
              <w:t>2,245,038</w:t>
            </w:r>
            <w:r>
              <w:rPr>
                <w:rFonts w:ascii="宋体" w:hAnsi="宋体" w:cs="宋体" w:eastAsia="宋体" w:hint="default"/>
                <w:spacing w:val="-65"/>
                <w:sz w:val="21"/>
                <w:szCs w:val="21"/>
              </w:rPr>
              <w:t> </w:t>
            </w:r>
            <w:r>
              <w:rPr>
                <w:rFonts w:ascii="宋体" w:hAnsi="宋体" w:cs="宋体" w:eastAsia="宋体" w:hint="default"/>
                <w:sz w:val="21"/>
                <w:szCs w:val="21"/>
              </w:rPr>
              <w:t>股已过户至公</w:t>
            </w:r>
          </w:p>
        </w:tc>
      </w:tr>
      <w:tr>
        <w:trPr>
          <w:trHeight w:val="272"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司开立的回购专用证券账户，该部分股票已于</w:t>
            </w:r>
          </w:p>
        </w:tc>
      </w:tr>
      <w:tr>
        <w:trPr>
          <w:trHeight w:val="272"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1"/>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0"/>
                <w:sz w:val="21"/>
                <w:szCs w:val="21"/>
              </w:rPr>
              <w:t> </w:t>
            </w:r>
            <w:r>
              <w:rPr>
                <w:rFonts w:ascii="宋体" w:hAnsi="宋体" w:cs="宋体" w:eastAsia="宋体" w:hint="default"/>
                <w:spacing w:val="-3"/>
                <w:sz w:val="21"/>
                <w:szCs w:val="21"/>
              </w:rPr>
              <w:t>日予以注销，公司股本将相应减少。</w:t>
            </w:r>
          </w:p>
        </w:tc>
      </w:tr>
      <w:tr>
        <w:trPr>
          <w:trHeight w:val="272"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、北京华胜天成科技股份有限公司原股权激励对</w:t>
            </w:r>
          </w:p>
        </w:tc>
      </w:tr>
      <w:tr>
        <w:trPr>
          <w:trHeight w:val="272"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象傅浩等</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pacing w:val="-5"/>
                <w:sz w:val="21"/>
                <w:szCs w:val="21"/>
              </w:rPr>
              <w:t>人发生了《北京华胜天成科技股份有限</w:t>
            </w:r>
          </w:p>
        </w:tc>
      </w:tr>
      <w:tr>
        <w:trPr>
          <w:trHeight w:val="272"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公司首期股权激励计划（草案修订稿）》中规定的</w:t>
            </w:r>
          </w:p>
        </w:tc>
      </w:tr>
      <w:tr>
        <w:trPr>
          <w:trHeight w:val="272"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变更和终止的情形，根据股东大会授权，公司董事</w:t>
            </w:r>
          </w:p>
        </w:tc>
      </w:tr>
      <w:tr>
        <w:trPr>
          <w:trHeight w:val="272"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会决定回购并注销此</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人的股权激励股票共计</w:t>
            </w:r>
          </w:p>
        </w:tc>
      </w:tr>
      <w:tr>
        <w:trPr>
          <w:trHeight w:val="272"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250,860</w:t>
            </w:r>
            <w:r>
              <w:rPr>
                <w:rFonts w:ascii="宋体" w:hAnsi="宋体" w:cs="宋体" w:eastAsia="宋体" w:hint="default"/>
                <w:spacing w:val="-54"/>
                <w:sz w:val="21"/>
                <w:szCs w:val="21"/>
              </w:rPr>
              <w:t> </w:t>
            </w:r>
            <w:r>
              <w:rPr>
                <w:rFonts w:ascii="宋体" w:hAnsi="宋体" w:cs="宋体" w:eastAsia="宋体" w:hint="default"/>
                <w:sz w:val="21"/>
                <w:szCs w:val="21"/>
              </w:rPr>
              <w:t>股。公司</w:t>
            </w:r>
            <w:r>
              <w:rPr>
                <w:rFonts w:ascii="宋体" w:hAnsi="宋体" w:cs="宋体" w:eastAsia="宋体" w:hint="default"/>
                <w:spacing w:val="-55"/>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年的业绩未达到股权激励</w:t>
            </w:r>
          </w:p>
        </w:tc>
      </w:tr>
      <w:tr>
        <w:trPr>
          <w:trHeight w:val="272"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股票解锁的条件，依据《北京华胜天成科技股份有</w:t>
            </w:r>
          </w:p>
        </w:tc>
      </w:tr>
      <w:tr>
        <w:trPr>
          <w:trHeight w:val="272"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1"/>
              <w:jc w:val="left"/>
              <w:rPr>
                <w:rFonts w:ascii="宋体" w:hAnsi="宋体" w:cs="宋体" w:eastAsia="宋体" w:hint="default"/>
                <w:sz w:val="21"/>
                <w:szCs w:val="21"/>
              </w:rPr>
            </w:pPr>
            <w:r>
              <w:rPr>
                <w:rFonts w:ascii="宋体" w:hAnsi="宋体" w:cs="宋体" w:eastAsia="宋体" w:hint="default"/>
                <w:spacing w:val="-9"/>
                <w:sz w:val="21"/>
                <w:szCs w:val="21"/>
              </w:rPr>
              <w:t>限公司首期股权激励计划（草案修订稿）》中规定，</w:t>
            </w:r>
          </w:p>
        </w:tc>
      </w:tr>
      <w:tr>
        <w:trPr>
          <w:trHeight w:val="272"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根据股东大会授权，公司董事会决定回购并注销杨</w:t>
            </w:r>
          </w:p>
        </w:tc>
      </w:tr>
      <w:tr>
        <w:trPr>
          <w:trHeight w:val="272"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俏丛等</w:t>
            </w:r>
            <w:r>
              <w:rPr>
                <w:rFonts w:ascii="宋体" w:hAnsi="宋体" w:cs="宋体" w:eastAsia="宋体" w:hint="default"/>
                <w:spacing w:val="-54"/>
                <w:sz w:val="21"/>
                <w:szCs w:val="21"/>
              </w:rPr>
              <w:t> </w:t>
            </w:r>
            <w:r>
              <w:rPr>
                <w:rFonts w:ascii="宋体" w:hAnsi="宋体" w:cs="宋体" w:eastAsia="宋体" w:hint="default"/>
                <w:sz w:val="21"/>
                <w:szCs w:val="21"/>
              </w:rPr>
              <w:t>52</w:t>
            </w:r>
            <w:r>
              <w:rPr>
                <w:rFonts w:ascii="宋体" w:hAnsi="宋体" w:cs="宋体" w:eastAsia="宋体" w:hint="default"/>
                <w:spacing w:val="-53"/>
                <w:sz w:val="21"/>
                <w:szCs w:val="21"/>
              </w:rPr>
              <w:t> </w:t>
            </w:r>
            <w:r>
              <w:rPr>
                <w:rFonts w:ascii="宋体" w:hAnsi="宋体" w:cs="宋体" w:eastAsia="宋体" w:hint="default"/>
                <w:sz w:val="21"/>
                <w:szCs w:val="21"/>
              </w:rPr>
              <w:t>人的股权激励股票共计</w:t>
            </w:r>
            <w:r>
              <w:rPr>
                <w:rFonts w:ascii="宋体" w:hAnsi="宋体" w:cs="宋体" w:eastAsia="宋体" w:hint="default"/>
                <w:spacing w:val="-53"/>
                <w:sz w:val="21"/>
                <w:szCs w:val="21"/>
              </w:rPr>
              <w:t> </w:t>
            </w:r>
            <w:r>
              <w:rPr>
                <w:rFonts w:ascii="宋体" w:hAnsi="宋体" w:cs="宋体" w:eastAsia="宋体" w:hint="default"/>
                <w:sz w:val="21"/>
                <w:szCs w:val="21"/>
              </w:rPr>
              <w:t>3,927,901</w:t>
            </w:r>
            <w:r>
              <w:rPr>
                <w:rFonts w:ascii="宋体" w:hAnsi="宋体" w:cs="宋体" w:eastAsia="宋体" w:hint="default"/>
                <w:spacing w:val="-53"/>
                <w:sz w:val="21"/>
                <w:szCs w:val="21"/>
              </w:rPr>
              <w:t> </w:t>
            </w:r>
            <w:r>
              <w:rPr>
                <w:rFonts w:ascii="宋体" w:hAnsi="宋体" w:cs="宋体" w:eastAsia="宋体" w:hint="default"/>
                <w:sz w:val="21"/>
                <w:szCs w:val="21"/>
              </w:rPr>
              <w:t>股。</w:t>
            </w:r>
          </w:p>
        </w:tc>
      </w:tr>
      <w:tr>
        <w:trPr>
          <w:trHeight w:val="272"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公司董事会决定回购并注销的股权激励股票共计</w:t>
            </w:r>
          </w:p>
        </w:tc>
      </w:tr>
      <w:tr>
        <w:trPr>
          <w:trHeight w:val="272"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4,178,761</w:t>
            </w:r>
            <w:r>
              <w:rPr>
                <w:rFonts w:ascii="宋体" w:hAnsi="宋体" w:cs="宋体" w:eastAsia="宋体" w:hint="default"/>
                <w:spacing w:val="1"/>
                <w:sz w:val="21"/>
                <w:szCs w:val="21"/>
              </w:rPr>
              <w:t> </w:t>
            </w:r>
            <w:r>
              <w:rPr>
                <w:rFonts w:ascii="宋体" w:hAnsi="宋体" w:cs="宋体" w:eastAsia="宋体" w:hint="default"/>
                <w:spacing w:val="-11"/>
                <w:sz w:val="21"/>
                <w:szCs w:val="21"/>
              </w:rPr>
              <w:t>股。公司董事会于</w:t>
            </w:r>
            <w:r>
              <w:rPr>
                <w:rFonts w:ascii="宋体" w:hAnsi="宋体" w:cs="宋体" w:eastAsia="宋体" w:hint="default"/>
                <w:spacing w:val="-52"/>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日召</w:t>
            </w:r>
          </w:p>
        </w:tc>
      </w:tr>
      <w:tr>
        <w:trPr>
          <w:trHeight w:val="273"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开的</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年第二次临时董事会会议审议通过了回</w:t>
            </w:r>
          </w:p>
        </w:tc>
      </w:tr>
      <w:tr>
        <w:trPr>
          <w:trHeight w:val="273"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购并注销上述尚未解锁的股权激励股票的相关议</w:t>
            </w:r>
          </w:p>
        </w:tc>
      </w:tr>
      <w:tr>
        <w:trPr>
          <w:trHeight w:val="272"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案（相关决议公告已刊登于《上海证券报》、《中</w:t>
            </w:r>
          </w:p>
        </w:tc>
      </w:tr>
      <w:tr>
        <w:trPr>
          <w:trHeight w:val="272" w:hRule="exact"/>
        </w:trPr>
        <w:tc>
          <w:tcPr>
            <w:tcW w:w="4217" w:type="dxa"/>
            <w:vMerge/>
            <w:tcBorders>
              <w:left w:val="single" w:sz="4" w:space="0" w:color="000000"/>
              <w:right w:val="single" w:sz="4" w:space="0" w:color="000000"/>
            </w:tcBorders>
          </w:tcPr>
          <w:p>
            <w:pPr/>
          </w:p>
        </w:tc>
        <w:tc>
          <w:tcPr>
            <w:tcW w:w="47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国证券报》及上海证券交易所网站）。沈志明、杨</w:t>
            </w:r>
          </w:p>
        </w:tc>
      </w:tr>
      <w:tr>
        <w:trPr>
          <w:trHeight w:val="279" w:hRule="exact"/>
        </w:trPr>
        <w:tc>
          <w:tcPr>
            <w:tcW w:w="4217" w:type="dxa"/>
            <w:vMerge/>
            <w:tcBorders>
              <w:left w:val="single" w:sz="4" w:space="0" w:color="000000"/>
              <w:bottom w:val="single" w:sz="4" w:space="0" w:color="000000"/>
              <w:right w:val="single" w:sz="4" w:space="0" w:color="000000"/>
            </w:tcBorders>
          </w:tcPr>
          <w:p>
            <w:pPr/>
          </w:p>
        </w:tc>
        <w:tc>
          <w:tcPr>
            <w:tcW w:w="4752"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淮等</w:t>
            </w:r>
            <w:r>
              <w:rPr>
                <w:rFonts w:ascii="宋体" w:hAnsi="宋体" w:cs="宋体" w:eastAsia="宋体" w:hint="default"/>
                <w:spacing w:val="-55"/>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员因个人原因尚未办理回购手续，待另行</w:t>
            </w:r>
          </w:p>
        </w:tc>
      </w:tr>
    </w:tbl>
    <w:p>
      <w:pPr>
        <w:spacing w:after="0" w:line="241" w:lineRule="exact"/>
        <w:jc w:val="left"/>
        <w:rPr>
          <w:rFonts w:ascii="宋体" w:hAnsi="宋体" w:cs="宋体" w:eastAsia="宋体" w:hint="default"/>
          <w:sz w:val="21"/>
          <w:szCs w:val="21"/>
        </w:rPr>
        <w:sectPr>
          <w:pgSz w:w="11910" w:h="16840"/>
          <w:pgMar w:header="882" w:footer="1194" w:top="1080" w:bottom="1380" w:left="1580" w:right="11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tbl>
      <w:tblPr>
        <w:tblW w:w="0" w:type="auto"/>
        <w:jc w:val="left"/>
        <w:tblInd w:w="145" w:type="dxa"/>
        <w:tblLayout w:type="fixed"/>
        <w:tblCellMar>
          <w:top w:w="0" w:type="dxa"/>
          <w:left w:w="0" w:type="dxa"/>
          <w:bottom w:w="0" w:type="dxa"/>
          <w:right w:w="0" w:type="dxa"/>
        </w:tblCellMar>
        <w:tblLook w:val="01E0"/>
      </w:tblPr>
      <w:tblGrid>
        <w:gridCol w:w="4217"/>
        <w:gridCol w:w="4752"/>
      </w:tblGrid>
      <w:tr>
        <w:trPr>
          <w:trHeight w:val="6819" w:hRule="exact"/>
        </w:trPr>
        <w:tc>
          <w:tcPr>
            <w:tcW w:w="4217" w:type="dxa"/>
            <w:tcBorders>
              <w:top w:val="single" w:sz="4" w:space="0" w:color="000000"/>
              <w:left w:val="single" w:sz="4" w:space="0" w:color="000000"/>
              <w:bottom w:val="single" w:sz="4" w:space="0" w:color="000000"/>
              <w:right w:val="single" w:sz="4" w:space="0" w:color="000000"/>
            </w:tcBorders>
          </w:tcPr>
          <w:p>
            <w:pPr/>
          </w:p>
        </w:tc>
        <w:tc>
          <w:tcPr>
            <w:tcW w:w="47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回购。已回购</w:t>
            </w:r>
            <w:r>
              <w:rPr>
                <w:rFonts w:ascii="宋体" w:hAnsi="宋体" w:cs="宋体" w:eastAsia="宋体" w:hint="default"/>
                <w:spacing w:val="-54"/>
                <w:sz w:val="21"/>
                <w:szCs w:val="21"/>
              </w:rPr>
              <w:t> </w:t>
            </w:r>
            <w:r>
              <w:rPr>
                <w:rFonts w:ascii="宋体" w:hAnsi="宋体" w:cs="宋体" w:eastAsia="宋体" w:hint="default"/>
                <w:sz w:val="21"/>
                <w:szCs w:val="21"/>
              </w:rPr>
              <w:t>38</w:t>
            </w:r>
            <w:r>
              <w:rPr>
                <w:rFonts w:ascii="宋体" w:hAnsi="宋体" w:cs="宋体" w:eastAsia="宋体" w:hint="default"/>
                <w:spacing w:val="-53"/>
                <w:sz w:val="21"/>
                <w:szCs w:val="21"/>
              </w:rPr>
              <w:t> </w:t>
            </w:r>
            <w:r>
              <w:rPr>
                <w:rFonts w:ascii="宋体" w:hAnsi="宋体" w:cs="宋体" w:eastAsia="宋体" w:hint="default"/>
                <w:sz w:val="21"/>
                <w:szCs w:val="21"/>
              </w:rPr>
              <w:t>人的股份共计</w:t>
            </w:r>
            <w:r>
              <w:rPr>
                <w:rFonts w:ascii="宋体" w:hAnsi="宋体" w:cs="宋体" w:eastAsia="宋体" w:hint="default"/>
                <w:spacing w:val="-53"/>
                <w:sz w:val="21"/>
                <w:szCs w:val="21"/>
              </w:rPr>
              <w:t> </w:t>
            </w:r>
            <w:r>
              <w:rPr>
                <w:rFonts w:ascii="宋体" w:hAnsi="宋体" w:cs="宋体" w:eastAsia="宋体" w:hint="default"/>
                <w:sz w:val="21"/>
                <w:szCs w:val="21"/>
              </w:rPr>
              <w:t>3,135,720</w:t>
            </w:r>
            <w:r>
              <w:rPr>
                <w:rFonts w:ascii="宋体" w:hAnsi="宋体" w:cs="宋体" w:eastAsia="宋体" w:hint="default"/>
                <w:spacing w:val="-53"/>
                <w:sz w:val="21"/>
                <w:szCs w:val="21"/>
              </w:rPr>
              <w:t> </w:t>
            </w:r>
            <w:r>
              <w:rPr>
                <w:rFonts w:ascii="宋体" w:hAnsi="宋体" w:cs="宋体" w:eastAsia="宋体" w:hint="default"/>
                <w:sz w:val="21"/>
                <w:szCs w:val="21"/>
              </w:rPr>
              <w:t>股，于</w:t>
            </w:r>
          </w:p>
          <w:p>
            <w:pPr>
              <w:pStyle w:val="TableParagraph"/>
              <w:spacing w:line="237" w:lineRule="auto" w:before="1"/>
              <w:ind w:left="103" w:right="99"/>
              <w:jc w:val="both"/>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日注销并公告（相关公告已刊登于</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1"/>
                <w:sz w:val="21"/>
                <w:szCs w:val="21"/>
              </w:rPr>
              <w:t> </w:t>
            </w:r>
            <w:r>
              <w:rPr>
                <w:rFonts w:ascii="宋体" w:hAnsi="宋体" w:cs="宋体" w:eastAsia="宋体" w:hint="default"/>
                <w:spacing w:val="-4"/>
                <w:sz w:val="21"/>
                <w:szCs w:val="21"/>
              </w:rPr>
              <w:t>日的《上海证券报》、《中国证券报》及上海证券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交易所网站），公司股本将相应减少。</w:t>
            </w:r>
            <w:r>
              <w:rPr>
                <w:rFonts w:ascii="宋体" w:hAnsi="宋体" w:cs="宋体" w:eastAsia="宋体" w:hint="default"/>
                <w:spacing w:val="-4"/>
                <w:sz w:val="21"/>
                <w:szCs w:val="21"/>
              </w:rPr>
              <w:t>10</w:t>
            </w:r>
            <w:r>
              <w:rPr>
                <w:rFonts w:ascii="宋体" w:hAnsi="宋体" w:cs="宋体" w:eastAsia="宋体" w:hint="default"/>
                <w:spacing w:val="-4"/>
                <w:sz w:val="21"/>
                <w:szCs w:val="21"/>
              </w:rPr>
              <w:t>、前述人</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员中</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人</w:t>
            </w:r>
            <w:r>
              <w:rPr>
                <w:rFonts w:ascii="宋体" w:hAnsi="宋体" w:cs="宋体" w:eastAsia="宋体" w:hint="default"/>
                <w:sz w:val="21"/>
                <w:szCs w:val="21"/>
              </w:rPr>
              <w:t>,</w:t>
            </w:r>
            <w:r>
              <w:rPr>
                <w:rFonts w:ascii="宋体" w:hAnsi="宋体" w:cs="宋体" w:eastAsia="宋体" w:hint="default"/>
                <w:sz w:val="21"/>
                <w:szCs w:val="21"/>
              </w:rPr>
              <w:t>共计</w:t>
            </w:r>
            <w:r>
              <w:rPr>
                <w:rFonts w:ascii="宋体" w:hAnsi="宋体" w:cs="宋体" w:eastAsia="宋体" w:hint="default"/>
                <w:spacing w:val="-54"/>
                <w:sz w:val="21"/>
                <w:szCs w:val="21"/>
              </w:rPr>
              <w:t> </w:t>
            </w:r>
            <w:r>
              <w:rPr>
                <w:rFonts w:ascii="宋体" w:hAnsi="宋体" w:cs="宋体" w:eastAsia="宋体" w:hint="default"/>
                <w:sz w:val="21"/>
                <w:szCs w:val="21"/>
              </w:rPr>
              <w:t>993,529</w:t>
            </w:r>
            <w:r>
              <w:rPr>
                <w:rFonts w:ascii="宋体" w:hAnsi="宋体" w:cs="宋体" w:eastAsia="宋体" w:hint="default"/>
                <w:spacing w:val="-53"/>
                <w:sz w:val="21"/>
                <w:szCs w:val="21"/>
              </w:rPr>
              <w:t> </w:t>
            </w:r>
            <w:r>
              <w:rPr>
                <w:rFonts w:ascii="宋体" w:hAnsi="宋体" w:cs="宋体" w:eastAsia="宋体" w:hint="default"/>
                <w:sz w:val="21"/>
                <w:szCs w:val="21"/>
              </w:rPr>
              <w:t>股，于</w:t>
            </w:r>
            <w:r>
              <w:rPr>
                <w:rFonts w:ascii="宋体" w:hAnsi="宋体" w:cs="宋体" w:eastAsia="宋体" w:hint="default"/>
                <w:spacing w:val="-55"/>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完成了回购。另外</w:t>
            </w:r>
            <w:r>
              <w:rPr>
                <w:rFonts w:ascii="宋体" w:hAnsi="宋体" w:cs="宋体" w:eastAsia="宋体" w:hint="default"/>
                <w:sz w:val="21"/>
                <w:szCs w:val="21"/>
              </w:rPr>
              <w:t>,</w:t>
            </w:r>
            <w:r>
              <w:rPr>
                <w:rFonts w:ascii="宋体" w:hAnsi="宋体" w:cs="宋体" w:eastAsia="宋体" w:hint="default"/>
                <w:sz w:val="21"/>
                <w:szCs w:val="21"/>
              </w:rPr>
              <w:t>徐静江</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人计</w:t>
            </w:r>
            <w:r>
              <w:rPr>
                <w:rFonts w:ascii="宋体" w:hAnsi="宋体" w:cs="宋体" w:eastAsia="宋体" w:hint="default"/>
                <w:spacing w:val="-55"/>
                <w:sz w:val="21"/>
                <w:szCs w:val="21"/>
              </w:rPr>
              <w:t> </w:t>
            </w:r>
            <w:r>
              <w:rPr>
                <w:rFonts w:ascii="宋体" w:hAnsi="宋体" w:cs="宋体" w:eastAsia="宋体" w:hint="default"/>
                <w:sz w:val="21"/>
                <w:szCs w:val="21"/>
              </w:rPr>
              <w:t>481,910</w:t>
            </w:r>
            <w:r>
              <w:rPr>
                <w:rFonts w:ascii="宋体" w:hAnsi="宋体" w:cs="宋体" w:eastAsia="宋体" w:hint="default"/>
                <w:spacing w:val="-53"/>
                <w:sz w:val="21"/>
                <w:szCs w:val="21"/>
              </w:rPr>
              <w:t> </w:t>
            </w:r>
            <w:r>
              <w:rPr>
                <w:rFonts w:ascii="宋体" w:hAnsi="宋体" w:cs="宋体" w:eastAsia="宋体" w:hint="default"/>
                <w:sz w:val="21"/>
                <w:szCs w:val="21"/>
              </w:rPr>
              <w:t>股也于</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本次完成回购（公司</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年第十次临时董事会审</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批通过）。本次完成回购了</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人的股份，共计</w:t>
            </w:r>
          </w:p>
          <w:p>
            <w:pPr>
              <w:pStyle w:val="TableParagraph"/>
              <w:tabs>
                <w:tab w:pos="3600" w:val="left" w:leader="none"/>
              </w:tabs>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1,475,439</w:t>
            </w:r>
            <w:r>
              <w:rPr>
                <w:rFonts w:ascii="宋体" w:hAnsi="宋体" w:cs="宋体" w:eastAsia="宋体" w:hint="default"/>
                <w:spacing w:val="-65"/>
                <w:sz w:val="21"/>
                <w:szCs w:val="21"/>
              </w:rPr>
              <w:t> </w:t>
            </w:r>
            <w:r>
              <w:rPr>
                <w:rFonts w:ascii="宋体" w:hAnsi="宋体" w:cs="宋体" w:eastAsia="宋体" w:hint="default"/>
                <w:sz w:val="21"/>
                <w:szCs w:val="21"/>
              </w:rPr>
              <w:t>股。公司股本相应减少。</w:t>
              <w:tab/>
            </w:r>
            <w:r>
              <w:rPr>
                <w:rFonts w:ascii="宋体" w:hAnsi="宋体" w:cs="宋体" w:eastAsia="宋体" w:hint="default"/>
                <w:spacing w:val="-2"/>
                <w:sz w:val="21"/>
                <w:szCs w:val="21"/>
              </w:rPr>
              <w:t>11</w:t>
            </w:r>
            <w:r>
              <w:rPr>
                <w:rFonts w:ascii="宋体" w:hAnsi="宋体" w:cs="宋体" w:eastAsia="宋体" w:hint="default"/>
                <w:spacing w:val="-2"/>
                <w:sz w:val="21"/>
                <w:szCs w:val="21"/>
              </w:rPr>
              <w:t>、公司原</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股权激励对象董园园、段明强</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人因离职触发了</w:t>
            </w:r>
          </w:p>
          <w:p>
            <w:pPr>
              <w:pStyle w:val="TableParagraph"/>
              <w:spacing w:line="272" w:lineRule="exact" w:before="26"/>
              <w:ind w:left="103" w:right="-1"/>
              <w:jc w:val="left"/>
              <w:rPr>
                <w:rFonts w:ascii="宋体" w:hAnsi="宋体" w:cs="宋体" w:eastAsia="宋体" w:hint="default"/>
                <w:sz w:val="21"/>
                <w:szCs w:val="21"/>
              </w:rPr>
            </w:pPr>
            <w:r>
              <w:rPr>
                <w:rFonts w:ascii="宋体" w:hAnsi="宋体" w:cs="宋体" w:eastAsia="宋体" w:hint="default"/>
                <w:sz w:val="21"/>
                <w:szCs w:val="21"/>
              </w:rPr>
              <w:t>《北京华胜天成科技股份有限公司首期股权激励 </w:t>
            </w:r>
            <w:r>
              <w:rPr>
                <w:rFonts w:ascii="宋体" w:hAnsi="宋体" w:cs="宋体" w:eastAsia="宋体" w:hint="default"/>
                <w:spacing w:val="-9"/>
                <w:sz w:val="21"/>
                <w:szCs w:val="21"/>
              </w:rPr>
              <w:t>计划（草案修订稿）》中规定的变更和终止的情形，</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公司需回购并注销此</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人的股权激励股票共计</w:t>
            </w:r>
          </w:p>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49,512</w:t>
            </w:r>
            <w:r>
              <w:rPr>
                <w:rFonts w:ascii="宋体" w:hAnsi="宋体" w:cs="宋体" w:eastAsia="宋体" w:hint="default"/>
                <w:spacing w:val="-53"/>
                <w:sz w:val="21"/>
                <w:szCs w:val="21"/>
              </w:rPr>
              <w:t> </w:t>
            </w:r>
            <w:r>
              <w:rPr>
                <w:rFonts w:ascii="宋体" w:hAnsi="宋体" w:cs="宋体" w:eastAsia="宋体" w:hint="default"/>
                <w:sz w:val="21"/>
                <w:szCs w:val="21"/>
              </w:rPr>
              <w:t>股。（相关决议公告已刊登于《上海证券</w:t>
            </w:r>
          </w:p>
          <w:p>
            <w:pPr>
              <w:pStyle w:val="TableParagraph"/>
              <w:spacing w:line="237" w:lineRule="auto" w:before="1"/>
              <w:ind w:left="103" w:right="101"/>
              <w:jc w:val="left"/>
              <w:rPr>
                <w:rFonts w:ascii="宋体" w:hAnsi="宋体" w:cs="宋体" w:eastAsia="宋体" w:hint="default"/>
                <w:sz w:val="21"/>
                <w:szCs w:val="21"/>
              </w:rPr>
            </w:pPr>
            <w:r>
              <w:rPr>
                <w:rFonts w:ascii="宋体" w:hAnsi="宋体" w:cs="宋体" w:eastAsia="宋体" w:hint="default"/>
                <w:spacing w:val="-4"/>
                <w:sz w:val="21"/>
                <w:szCs w:val="21"/>
              </w:rPr>
              <w:t>报》、《中国证券报》及上海证券交易所网站，临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2014-030</w:t>
            </w: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年第二次临时董事会审议 通过的《关于回购并注销部分股权激励股票的议 </w:t>
            </w:r>
            <w:r>
              <w:rPr>
                <w:rFonts w:ascii="宋体" w:hAnsi="宋体" w:cs="宋体" w:eastAsia="宋体" w:hint="default"/>
                <w:spacing w:val="-5"/>
                <w:sz w:val="21"/>
                <w:szCs w:val="21"/>
              </w:rPr>
              <w:t>案》</w:t>
            </w:r>
            <w:r>
              <w:rPr>
                <w:rFonts w:ascii="宋体" w:hAnsi="宋体" w:cs="宋体" w:eastAsia="宋体" w:hint="default"/>
                <w:spacing w:val="-5"/>
                <w:sz w:val="21"/>
                <w:szCs w:val="21"/>
              </w:rPr>
              <w:t>(</w:t>
            </w:r>
            <w:r>
              <w:rPr>
                <w:rFonts w:ascii="宋体" w:hAnsi="宋体" w:cs="宋体" w:eastAsia="宋体" w:hint="default"/>
                <w:spacing w:val="-5"/>
                <w:sz w:val="21"/>
                <w:szCs w:val="21"/>
              </w:rPr>
              <w:t>第六批</w:t>
            </w:r>
            <w:r>
              <w:rPr>
                <w:rFonts w:ascii="宋体" w:hAnsi="宋体" w:cs="宋体" w:eastAsia="宋体" w:hint="default"/>
                <w:spacing w:val="-5"/>
                <w:sz w:val="21"/>
                <w:szCs w:val="21"/>
              </w:rPr>
              <w:t>)</w:t>
            </w:r>
            <w:r>
              <w:rPr>
                <w:rFonts w:ascii="宋体" w:hAnsi="宋体" w:cs="宋体" w:eastAsia="宋体" w:hint="default"/>
                <w:spacing w:val="-5"/>
                <w:sz w:val="21"/>
                <w:szCs w:val="21"/>
              </w:rPr>
              <w:t>中，包含董园园、段明强</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人股票共</w:t>
            </w:r>
          </w:p>
          <w:p>
            <w:pPr>
              <w:pStyle w:val="TableParagraph"/>
              <w:spacing w:line="272" w:lineRule="exact" w:before="25"/>
              <w:ind w:left="103" w:right="17"/>
              <w:jc w:val="left"/>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pacing w:val="-54"/>
                <w:sz w:val="21"/>
                <w:szCs w:val="21"/>
              </w:rPr>
              <w:t> </w:t>
            </w:r>
            <w:r>
              <w:rPr>
                <w:rFonts w:ascii="宋体" w:hAnsi="宋体" w:cs="宋体" w:eastAsia="宋体" w:hint="default"/>
                <w:sz w:val="21"/>
                <w:szCs w:val="21"/>
              </w:rPr>
              <w:t>49,512</w:t>
            </w:r>
            <w:r>
              <w:rPr>
                <w:rFonts w:ascii="宋体" w:hAnsi="宋体" w:cs="宋体" w:eastAsia="宋体" w:hint="default"/>
                <w:spacing w:val="-54"/>
                <w:sz w:val="21"/>
                <w:szCs w:val="21"/>
              </w:rPr>
              <w:t> </w:t>
            </w:r>
            <w:r>
              <w:rPr>
                <w:rFonts w:ascii="宋体" w:hAnsi="宋体" w:cs="宋体" w:eastAsia="宋体" w:hint="default"/>
                <w:sz w:val="21"/>
                <w:szCs w:val="21"/>
              </w:rPr>
              <w:t>股，因</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人提出离职，亦未能及时办理 回购手续。（相关公告已刊登于《上海证券报》、</w:t>
            </w:r>
          </w:p>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《中国证券报》及上海证券交易所网站，临</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4"/>
                <w:sz w:val="21"/>
                <w:szCs w:val="21"/>
              </w:rPr>
              <w:t>2014-035</w:t>
            </w:r>
            <w:r>
              <w:rPr>
                <w:rFonts w:ascii="宋体" w:hAnsi="宋体" w:cs="宋体" w:eastAsia="宋体" w:hint="default"/>
                <w:spacing w:val="-4"/>
                <w:sz w:val="21"/>
                <w:szCs w:val="21"/>
              </w:rPr>
              <w:t>）。上述需要回购并注销的限制性股票共</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计</w:t>
            </w:r>
            <w:r>
              <w:rPr>
                <w:rFonts w:ascii="宋体" w:hAnsi="宋体" w:cs="宋体" w:eastAsia="宋体" w:hint="default"/>
                <w:spacing w:val="-55"/>
                <w:sz w:val="21"/>
                <w:szCs w:val="21"/>
              </w:rPr>
              <w:t> </w:t>
            </w:r>
            <w:r>
              <w:rPr>
                <w:rFonts w:ascii="宋体" w:hAnsi="宋体" w:cs="宋体" w:eastAsia="宋体" w:hint="default"/>
                <w:sz w:val="21"/>
                <w:szCs w:val="21"/>
              </w:rPr>
              <w:t>99,024</w:t>
            </w:r>
            <w:r>
              <w:rPr>
                <w:rFonts w:ascii="宋体" w:hAnsi="宋体" w:cs="宋体" w:eastAsia="宋体" w:hint="default"/>
                <w:spacing w:val="-55"/>
                <w:sz w:val="21"/>
                <w:szCs w:val="21"/>
              </w:rPr>
              <w:t> </w:t>
            </w:r>
            <w:r>
              <w:rPr>
                <w:rFonts w:ascii="宋体" w:hAnsi="宋体" w:cs="宋体" w:eastAsia="宋体" w:hint="default"/>
                <w:sz w:val="21"/>
                <w:szCs w:val="21"/>
              </w:rPr>
              <w:t>股</w:t>
            </w:r>
            <w:r>
              <w:rPr>
                <w:rFonts w:ascii="宋体" w:hAnsi="宋体" w:cs="宋体" w:eastAsia="宋体" w:hint="default"/>
                <w:sz w:val="21"/>
                <w:szCs w:val="21"/>
              </w:rPr>
              <w:t>,</w:t>
            </w:r>
            <w:r>
              <w:rPr>
                <w:rFonts w:ascii="宋体" w:hAnsi="宋体" w:cs="宋体" w:eastAsia="宋体" w:hint="default"/>
                <w:sz w:val="21"/>
                <w:szCs w:val="21"/>
              </w:rPr>
              <w:t>已过户至公司开立的回购专用证券</w:t>
            </w:r>
          </w:p>
          <w:p>
            <w:pPr>
              <w:pStyle w:val="TableParagraph"/>
              <w:spacing w:line="272" w:lineRule="exact"/>
              <w:ind w:left="103" w:right="122"/>
              <w:jc w:val="left"/>
              <w:rPr>
                <w:rFonts w:ascii="宋体" w:hAnsi="宋体" w:cs="宋体" w:eastAsia="宋体" w:hint="default"/>
                <w:sz w:val="21"/>
                <w:szCs w:val="21"/>
              </w:rPr>
            </w:pPr>
            <w:r>
              <w:rPr>
                <w:rFonts w:ascii="宋体" w:hAnsi="宋体" w:cs="宋体" w:eastAsia="宋体" w:hint="default"/>
                <w:sz w:val="21"/>
                <w:szCs w:val="21"/>
              </w:rPr>
              <w:t>账户</w:t>
            </w:r>
            <w:r>
              <w:rPr>
                <w:rFonts w:ascii="宋体" w:hAnsi="宋体" w:cs="宋体" w:eastAsia="宋体" w:hint="default"/>
                <w:sz w:val="21"/>
                <w:szCs w:val="21"/>
              </w:rPr>
              <w:t>,</w:t>
            </w:r>
            <w:r>
              <w:rPr>
                <w:rFonts w:ascii="宋体" w:hAnsi="宋体" w:cs="宋体" w:eastAsia="宋体" w:hint="default"/>
                <w:sz w:val="21"/>
                <w:szCs w:val="21"/>
              </w:rPr>
              <w:t>并于</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日注销，公司股本将相 应减少。</w:t>
            </w:r>
          </w:p>
        </w:tc>
      </w:tr>
      <w:tr>
        <w:trPr>
          <w:trHeight w:val="28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权益工具公允价值的计量方法</w:t>
            </w:r>
          </w:p>
        </w:tc>
        <w:tc>
          <w:tcPr>
            <w:tcW w:w="4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见会计报表附注“三、（</w:t>
            </w:r>
            <w:r>
              <w:rPr>
                <w:rFonts w:ascii="宋体" w:hAnsi="宋体" w:cs="宋体" w:eastAsia="宋体" w:hint="default"/>
                <w:sz w:val="21"/>
                <w:szCs w:val="21"/>
              </w:rPr>
              <w:t>25</w:t>
            </w:r>
            <w:r>
              <w:rPr>
                <w:rFonts w:ascii="宋体" w:hAnsi="宋体" w:cs="宋体" w:eastAsia="宋体" w:hint="default"/>
                <w:sz w:val="21"/>
                <w:szCs w:val="21"/>
              </w:rPr>
              <w:t>）股份支付”</w:t>
            </w:r>
          </w:p>
        </w:tc>
      </w:tr>
      <w:tr>
        <w:trPr>
          <w:trHeight w:val="283"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估值技术采用的模型、参数及选取标准</w:t>
            </w:r>
          </w:p>
        </w:tc>
        <w:tc>
          <w:tcPr>
            <w:tcW w:w="4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见会计报表附注“三、（</w:t>
            </w:r>
            <w:r>
              <w:rPr>
                <w:rFonts w:ascii="宋体" w:hAnsi="宋体" w:cs="宋体" w:eastAsia="宋体" w:hint="default"/>
                <w:sz w:val="21"/>
                <w:szCs w:val="21"/>
              </w:rPr>
              <w:t>25</w:t>
            </w:r>
            <w:r>
              <w:rPr>
                <w:rFonts w:ascii="宋体" w:hAnsi="宋体" w:cs="宋体" w:eastAsia="宋体" w:hint="default"/>
                <w:sz w:val="21"/>
                <w:szCs w:val="21"/>
              </w:rPr>
              <w:t>）股份支付”</w:t>
            </w:r>
          </w:p>
        </w:tc>
      </w:tr>
      <w:tr>
        <w:trPr>
          <w:trHeight w:val="28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权益工具公允价值的分摊期间及结果</w:t>
            </w:r>
          </w:p>
        </w:tc>
        <w:tc>
          <w:tcPr>
            <w:tcW w:w="4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本报告期，分摊管理费用</w:t>
            </w:r>
            <w:r>
              <w:rPr>
                <w:rFonts w:ascii="宋体" w:hAnsi="宋体" w:cs="宋体" w:eastAsia="宋体" w:hint="default"/>
                <w:spacing w:val="-54"/>
                <w:sz w:val="21"/>
                <w:szCs w:val="21"/>
              </w:rPr>
              <w:t> </w:t>
            </w:r>
            <w:r>
              <w:rPr>
                <w:rFonts w:ascii="宋体" w:hAnsi="宋体" w:cs="宋体" w:eastAsia="宋体" w:hint="default"/>
                <w:sz w:val="21"/>
                <w:szCs w:val="21"/>
              </w:rPr>
              <w:t>0</w:t>
            </w:r>
            <w:r>
              <w:rPr>
                <w:rFonts w:ascii="宋体" w:hAnsi="宋体" w:cs="宋体" w:eastAsia="宋体" w:hint="default"/>
                <w:spacing w:val="-54"/>
                <w:sz w:val="21"/>
                <w:szCs w:val="21"/>
              </w:rPr>
              <w:t> </w:t>
            </w:r>
            <w:r>
              <w:rPr>
                <w:rFonts w:ascii="宋体" w:hAnsi="宋体" w:cs="宋体" w:eastAsia="宋体" w:hint="default"/>
                <w:sz w:val="21"/>
                <w:szCs w:val="21"/>
              </w:rPr>
              <w:t>元，销售费用</w:t>
            </w:r>
            <w:r>
              <w:rPr>
                <w:rFonts w:ascii="宋体" w:hAnsi="宋体" w:cs="宋体" w:eastAsia="宋体" w:hint="default"/>
                <w:spacing w:val="-55"/>
                <w:sz w:val="21"/>
                <w:szCs w:val="21"/>
              </w:rPr>
              <w:t> </w:t>
            </w:r>
            <w:r>
              <w:rPr>
                <w:rFonts w:ascii="宋体" w:hAnsi="宋体" w:cs="宋体" w:eastAsia="宋体" w:hint="default"/>
                <w:sz w:val="21"/>
                <w:szCs w:val="21"/>
              </w:rPr>
              <w:t>0</w:t>
            </w:r>
            <w:r>
              <w:rPr>
                <w:rFonts w:ascii="宋体" w:hAnsi="宋体" w:cs="宋体" w:eastAsia="宋体" w:hint="default"/>
                <w:spacing w:val="-54"/>
                <w:sz w:val="21"/>
                <w:szCs w:val="21"/>
              </w:rPr>
              <w:t> </w:t>
            </w:r>
            <w:r>
              <w:rPr>
                <w:rFonts w:ascii="宋体" w:hAnsi="宋体" w:cs="宋体" w:eastAsia="宋体" w:hint="default"/>
                <w:sz w:val="21"/>
                <w:szCs w:val="21"/>
              </w:rPr>
              <w:t>元。</w:t>
            </w:r>
          </w:p>
        </w:tc>
      </w:tr>
    </w:tbl>
    <w:p>
      <w:pPr>
        <w:spacing w:line="240" w:lineRule="auto" w:before="5"/>
        <w:rPr>
          <w:rFonts w:ascii="Times New Roman" w:hAnsi="Times New Roman" w:cs="Times New Roman" w:eastAsia="Times New Roman" w:hint="default"/>
          <w:sz w:val="28"/>
          <w:szCs w:val="28"/>
        </w:rPr>
      </w:pPr>
    </w:p>
    <w:p>
      <w:pPr>
        <w:pStyle w:val="BodyText"/>
        <w:spacing w:line="331" w:lineRule="auto" w:before="26"/>
        <w:ind w:left="258" w:right="2748"/>
        <w:jc w:val="left"/>
      </w:pPr>
      <w:r>
        <w:rPr/>
        <w:t>（二）本公司之间接控制子公司自动系统集团的股份支付情况 </w:t>
      </w:r>
      <w:r>
        <w:rPr>
          <w:rFonts w:ascii="宋体" w:hAnsi="宋体" w:cs="宋体" w:eastAsia="宋体" w:hint="default"/>
        </w:rPr>
        <w:t>1</w:t>
      </w:r>
      <w:r>
        <w:rPr/>
        <w:t>、股份支付基本情况</w:t>
      </w:r>
    </w:p>
    <w:p>
      <w:pPr>
        <w:spacing w:line="240" w:lineRule="auto" w:before="12"/>
        <w:rPr>
          <w:rFonts w:ascii="宋体" w:hAnsi="宋体" w:cs="宋体" w:eastAsia="宋体" w:hint="default"/>
          <w:sz w:val="4"/>
          <w:szCs w:val="4"/>
        </w:rPr>
      </w:pPr>
    </w:p>
    <w:tbl>
      <w:tblPr>
        <w:tblW w:w="0" w:type="auto"/>
        <w:jc w:val="left"/>
        <w:tblInd w:w="116" w:type="dxa"/>
        <w:tblLayout w:type="fixed"/>
        <w:tblCellMar>
          <w:top w:w="0" w:type="dxa"/>
          <w:left w:w="0" w:type="dxa"/>
          <w:bottom w:w="0" w:type="dxa"/>
          <w:right w:w="0" w:type="dxa"/>
        </w:tblCellMar>
        <w:tblLook w:val="01E0"/>
      </w:tblPr>
      <w:tblGrid>
        <w:gridCol w:w="4300"/>
        <w:gridCol w:w="4978"/>
      </w:tblGrid>
      <w:tr>
        <w:trPr>
          <w:trHeight w:val="391" w:hRule="exact"/>
        </w:trPr>
        <w:tc>
          <w:tcPr>
            <w:tcW w:w="4300" w:type="dxa"/>
            <w:tcBorders>
              <w:top w:val="single" w:sz="8" w:space="0" w:color="000000"/>
              <w:left w:val="nil" w:sz="6" w:space="0" w:color="auto"/>
              <w:bottom w:val="nil" w:sz="6" w:space="0" w:color="auto"/>
              <w:right w:val="nil" w:sz="6" w:space="0" w:color="auto"/>
            </w:tcBorders>
          </w:tcPr>
          <w:p>
            <w:pPr>
              <w:pStyle w:val="TableParagraph"/>
              <w:spacing w:line="240" w:lineRule="auto" w:before="17"/>
              <w:ind w:left="106"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4978" w:type="dxa"/>
            <w:tcBorders>
              <w:top w:val="single" w:sz="8" w:space="0" w:color="000000"/>
              <w:left w:val="nil" w:sz="6" w:space="0" w:color="auto"/>
              <w:bottom w:val="nil" w:sz="6" w:space="0" w:color="auto"/>
              <w:right w:val="nil" w:sz="6" w:space="0" w:color="auto"/>
            </w:tcBorders>
          </w:tcPr>
          <w:p>
            <w:pPr>
              <w:pStyle w:val="TableParagraph"/>
              <w:spacing w:line="240" w:lineRule="auto" w:before="17"/>
              <w:ind w:right="107"/>
              <w:jc w:val="right"/>
              <w:rPr>
                <w:rFonts w:ascii="宋体" w:hAnsi="宋体" w:cs="宋体" w:eastAsia="宋体" w:hint="default"/>
                <w:sz w:val="21"/>
                <w:szCs w:val="21"/>
              </w:rPr>
            </w:pPr>
            <w:r>
              <w:rPr>
                <w:rFonts w:ascii="宋体" w:hAnsi="宋体" w:cs="宋体" w:eastAsia="宋体" w:hint="default"/>
                <w:sz w:val="21"/>
                <w:szCs w:val="21"/>
              </w:rPr>
              <w:t>8,659,000</w:t>
            </w:r>
            <w:r>
              <w:rPr>
                <w:rFonts w:ascii="宋体" w:hAnsi="宋体" w:cs="宋体" w:eastAsia="宋体" w:hint="default"/>
                <w:spacing w:val="-54"/>
                <w:sz w:val="21"/>
                <w:szCs w:val="21"/>
              </w:rPr>
              <w:t> </w:t>
            </w:r>
            <w:r>
              <w:rPr>
                <w:rFonts w:ascii="宋体" w:hAnsi="宋体" w:cs="宋体" w:eastAsia="宋体" w:hint="default"/>
                <w:sz w:val="21"/>
                <w:szCs w:val="21"/>
              </w:rPr>
              <w:t>份认股权</w:t>
            </w:r>
          </w:p>
        </w:tc>
      </w:tr>
      <w:tr>
        <w:trPr>
          <w:trHeight w:val="363" w:hRule="exact"/>
        </w:trPr>
        <w:tc>
          <w:tcPr>
            <w:tcW w:w="430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6"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497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7"/>
              <w:jc w:val="right"/>
              <w:rPr>
                <w:rFonts w:ascii="宋体" w:hAnsi="宋体" w:cs="宋体" w:eastAsia="宋体" w:hint="default"/>
                <w:sz w:val="21"/>
                <w:szCs w:val="21"/>
              </w:rPr>
            </w:pPr>
            <w:r>
              <w:rPr>
                <w:rFonts w:ascii="宋体" w:hAnsi="宋体" w:cs="宋体" w:eastAsia="宋体" w:hint="default"/>
                <w:sz w:val="21"/>
                <w:szCs w:val="21"/>
              </w:rPr>
              <w:t>460,000</w:t>
            </w:r>
            <w:r>
              <w:rPr>
                <w:rFonts w:ascii="宋体" w:hAnsi="宋体" w:cs="宋体" w:eastAsia="宋体" w:hint="default"/>
                <w:spacing w:val="-54"/>
                <w:sz w:val="21"/>
                <w:szCs w:val="21"/>
              </w:rPr>
              <w:t> </w:t>
            </w:r>
            <w:r>
              <w:rPr>
                <w:rFonts w:ascii="宋体" w:hAnsi="宋体" w:cs="宋体" w:eastAsia="宋体" w:hint="default"/>
                <w:sz w:val="21"/>
                <w:szCs w:val="21"/>
              </w:rPr>
              <w:t>份认股权</w:t>
            </w:r>
          </w:p>
        </w:tc>
      </w:tr>
      <w:tr>
        <w:trPr>
          <w:trHeight w:val="449" w:hRule="exact"/>
        </w:trPr>
        <w:tc>
          <w:tcPr>
            <w:tcW w:w="4300" w:type="dxa"/>
            <w:tcBorders>
              <w:top w:val="nil" w:sz="6" w:space="0" w:color="auto"/>
              <w:left w:val="nil" w:sz="6" w:space="0" w:color="auto"/>
              <w:bottom w:val="nil" w:sz="6" w:space="0" w:color="auto"/>
              <w:right w:val="nil" w:sz="6" w:space="0" w:color="auto"/>
            </w:tcBorders>
          </w:tcPr>
          <w:p>
            <w:pPr>
              <w:pStyle w:val="TableParagraph"/>
              <w:spacing w:line="274" w:lineRule="exact"/>
              <w:ind w:left="106"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4978" w:type="dxa"/>
            <w:tcBorders>
              <w:top w:val="nil" w:sz="6" w:space="0" w:color="auto"/>
              <w:left w:val="nil" w:sz="6" w:space="0" w:color="auto"/>
              <w:bottom w:val="nil" w:sz="6" w:space="0" w:color="auto"/>
              <w:right w:val="nil" w:sz="6" w:space="0" w:color="auto"/>
            </w:tcBorders>
          </w:tcPr>
          <w:p>
            <w:pPr>
              <w:pStyle w:val="TableParagraph"/>
              <w:spacing w:line="274" w:lineRule="exact"/>
              <w:ind w:right="107"/>
              <w:jc w:val="right"/>
              <w:rPr>
                <w:rFonts w:ascii="宋体" w:hAnsi="宋体" w:cs="宋体" w:eastAsia="宋体" w:hint="default"/>
                <w:sz w:val="21"/>
                <w:szCs w:val="21"/>
              </w:rPr>
            </w:pPr>
            <w:r>
              <w:rPr>
                <w:rFonts w:ascii="宋体" w:hAnsi="宋体" w:cs="宋体" w:eastAsia="宋体" w:hint="default"/>
                <w:sz w:val="21"/>
                <w:szCs w:val="21"/>
              </w:rPr>
              <w:t>2,436,000</w:t>
            </w:r>
            <w:r>
              <w:rPr>
                <w:rFonts w:ascii="宋体" w:hAnsi="宋体" w:cs="宋体" w:eastAsia="宋体" w:hint="default"/>
                <w:spacing w:val="-54"/>
                <w:sz w:val="21"/>
                <w:szCs w:val="21"/>
              </w:rPr>
              <w:t> </w:t>
            </w:r>
            <w:r>
              <w:rPr>
                <w:rFonts w:ascii="宋体" w:hAnsi="宋体" w:cs="宋体" w:eastAsia="宋体" w:hint="default"/>
                <w:sz w:val="21"/>
                <w:szCs w:val="21"/>
              </w:rPr>
              <w:t>份认股权</w:t>
            </w:r>
          </w:p>
        </w:tc>
      </w:tr>
      <w:tr>
        <w:trPr>
          <w:trHeight w:val="2835" w:hRule="exact"/>
        </w:trPr>
        <w:tc>
          <w:tcPr>
            <w:tcW w:w="43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9"/>
              <w:ind w:left="106" w:right="202"/>
              <w:jc w:val="left"/>
              <w:rPr>
                <w:rFonts w:ascii="宋体" w:hAnsi="宋体" w:cs="宋体" w:eastAsia="宋体" w:hint="default"/>
                <w:sz w:val="21"/>
                <w:szCs w:val="21"/>
              </w:rPr>
            </w:pPr>
            <w:r>
              <w:rPr>
                <w:rFonts w:ascii="宋体" w:hAnsi="宋体" w:cs="宋体" w:eastAsia="宋体" w:hint="default"/>
                <w:sz w:val="21"/>
                <w:szCs w:val="21"/>
              </w:rPr>
              <w:t>公司期末发行在外的股份期权行权价格的范 围和合同剩余期限</w:t>
            </w:r>
          </w:p>
        </w:tc>
        <w:tc>
          <w:tcPr>
            <w:tcW w:w="4978" w:type="dxa"/>
            <w:tcBorders>
              <w:top w:val="nil" w:sz="6" w:space="0" w:color="auto"/>
              <w:left w:val="nil" w:sz="6" w:space="0" w:color="auto"/>
              <w:bottom w:val="nil" w:sz="6" w:space="0" w:color="auto"/>
              <w:right w:val="nil" w:sz="6" w:space="0" w:color="auto"/>
            </w:tcBorders>
          </w:tcPr>
          <w:p>
            <w:pPr>
              <w:pStyle w:val="TableParagraph"/>
              <w:spacing w:line="237" w:lineRule="auto" w:before="112"/>
              <w:ind w:left="202" w:right="107"/>
              <w:jc w:val="left"/>
              <w:rPr>
                <w:rFonts w:ascii="宋体" w:hAnsi="宋体" w:cs="宋体" w:eastAsia="宋体" w:hint="default"/>
                <w:sz w:val="21"/>
                <w:szCs w:val="21"/>
              </w:rPr>
            </w:pPr>
            <w:r>
              <w:rPr>
                <w:rFonts w:ascii="宋体" w:hAnsi="宋体" w:cs="宋体" w:eastAsia="宋体" w:hint="default"/>
                <w:sz w:val="21"/>
                <w:szCs w:val="21"/>
              </w:rPr>
              <w:t>6,900,000</w:t>
            </w:r>
            <w:r>
              <w:rPr>
                <w:rFonts w:ascii="宋体" w:hAnsi="宋体" w:cs="宋体" w:eastAsia="宋体" w:hint="default"/>
                <w:spacing w:val="-54"/>
                <w:sz w:val="21"/>
                <w:szCs w:val="21"/>
              </w:rPr>
              <w:t> </w:t>
            </w:r>
            <w:r>
              <w:rPr>
                <w:rFonts w:ascii="宋体" w:hAnsi="宋体" w:cs="宋体" w:eastAsia="宋体" w:hint="default"/>
                <w:sz w:val="21"/>
                <w:szCs w:val="21"/>
              </w:rPr>
              <w:t>份认股权是在</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日授出</w:t>
            </w:r>
            <w:r>
              <w:rPr>
                <w:rFonts w:ascii="宋体" w:hAnsi="宋体" w:cs="宋体" w:eastAsia="宋体" w:hint="default"/>
                <w:sz w:val="21"/>
                <w:szCs w:val="21"/>
              </w:rPr>
              <w:t>,</w:t>
            </w:r>
            <w:r>
              <w:rPr>
                <w:rFonts w:ascii="宋体" w:hAnsi="宋体" w:cs="宋体" w:eastAsia="宋体" w:hint="default"/>
                <w:sz w:val="21"/>
                <w:szCs w:val="21"/>
              </w:rPr>
              <w:t>行 权价为</w:t>
            </w:r>
            <w:r>
              <w:rPr>
                <w:rFonts w:ascii="宋体" w:hAnsi="宋体" w:cs="宋体" w:eastAsia="宋体" w:hint="default"/>
                <w:spacing w:val="-61"/>
                <w:sz w:val="21"/>
                <w:szCs w:val="21"/>
              </w:rPr>
              <w:t> </w:t>
            </w:r>
            <w:r>
              <w:rPr>
                <w:rFonts w:ascii="宋体" w:hAnsi="宋体" w:cs="宋体" w:eastAsia="宋体" w:hint="default"/>
                <w:sz w:val="21"/>
                <w:szCs w:val="21"/>
              </w:rPr>
              <w:t>HK$1.09(</w:t>
            </w:r>
            <w:r>
              <w:rPr>
                <w:rFonts w:ascii="宋体" w:hAnsi="宋体" w:cs="宋体" w:eastAsia="宋体" w:hint="default"/>
                <w:sz w:val="21"/>
                <w:szCs w:val="21"/>
              </w:rPr>
              <w:t>授出认股权前一天的收盘价或前五 天的平均收盘价</w:t>
            </w:r>
            <w:r>
              <w:rPr>
                <w:rFonts w:ascii="宋体" w:hAnsi="宋体" w:cs="宋体" w:eastAsia="宋体" w:hint="default"/>
                <w:sz w:val="21"/>
                <w:szCs w:val="21"/>
              </w:rPr>
              <w:t>,</w:t>
            </w:r>
            <w:r>
              <w:rPr>
                <w:rFonts w:ascii="宋体" w:hAnsi="宋体" w:cs="宋体" w:eastAsia="宋体" w:hint="default"/>
                <w:sz w:val="21"/>
                <w:szCs w:val="21"/>
              </w:rPr>
              <w:t>以较高者为准</w:t>
            </w:r>
            <w:r>
              <w:rPr>
                <w:rFonts w:ascii="宋体" w:hAnsi="宋体" w:cs="宋体" w:eastAsia="宋体" w:hint="default"/>
                <w:sz w:val="21"/>
                <w:szCs w:val="21"/>
              </w:rPr>
              <w:t>),</w:t>
            </w:r>
            <w:r>
              <w:rPr>
                <w:rFonts w:ascii="宋体" w:hAnsi="宋体" w:cs="宋体" w:eastAsia="宋体" w:hint="default"/>
                <w:sz w:val="21"/>
                <w:szCs w:val="21"/>
              </w:rPr>
              <w:t>从授出日开始计 算</w:t>
            </w:r>
            <w:r>
              <w:rPr>
                <w:rFonts w:ascii="宋体" w:hAnsi="宋体" w:cs="宋体" w:eastAsia="宋体" w:hint="default"/>
                <w:sz w:val="21"/>
                <w:szCs w:val="21"/>
              </w:rPr>
              <w:t>,</w:t>
            </w:r>
            <w:r>
              <w:rPr>
                <w:rFonts w:ascii="宋体" w:hAnsi="宋体" w:cs="宋体" w:eastAsia="宋体" w:hint="default"/>
                <w:sz w:val="21"/>
                <w:szCs w:val="21"/>
              </w:rPr>
              <w:t>有效期</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w:t>
            </w:r>
            <w:r>
              <w:rPr>
                <w:rFonts w:ascii="宋体" w:hAnsi="宋体" w:cs="宋体" w:eastAsia="宋体" w:hint="default"/>
                <w:sz w:val="21"/>
                <w:szCs w:val="21"/>
              </w:rPr>
              <w:t>认股权的平均公允价值为 </w:t>
            </w:r>
            <w:r>
              <w:rPr>
                <w:rFonts w:ascii="宋体" w:hAnsi="宋体" w:cs="宋体" w:eastAsia="宋体" w:hint="default"/>
                <w:sz w:val="21"/>
                <w:szCs w:val="21"/>
              </w:rPr>
              <w:t>HK$0.312</w:t>
            </w:r>
            <w:r>
              <w:rPr>
                <w:rFonts w:ascii="宋体" w:hAnsi="宋体" w:cs="宋体" w:eastAsia="宋体" w:hint="default"/>
                <w:spacing w:val="-2"/>
                <w:sz w:val="21"/>
                <w:szCs w:val="21"/>
              </w:rPr>
              <w:t> </w:t>
            </w:r>
            <w:r>
              <w:rPr>
                <w:rFonts w:ascii="宋体" w:hAnsi="宋体" w:cs="宋体" w:eastAsia="宋体" w:hint="default"/>
                <w:sz w:val="21"/>
                <w:szCs w:val="21"/>
              </w:rPr>
              <w:t>(HK$0.307toHK$0.315)</w:t>
            </w:r>
          </w:p>
          <w:p>
            <w:pPr>
              <w:pStyle w:val="TableParagraph"/>
              <w:spacing w:line="237" w:lineRule="auto"/>
              <w:ind w:left="202" w:right="107"/>
              <w:jc w:val="left"/>
              <w:rPr>
                <w:rFonts w:ascii="宋体" w:hAnsi="宋体" w:cs="宋体" w:eastAsia="宋体" w:hint="default"/>
                <w:sz w:val="21"/>
                <w:szCs w:val="21"/>
              </w:rPr>
            </w:pPr>
            <w:r>
              <w:rPr>
                <w:rFonts w:ascii="宋体" w:hAnsi="宋体" w:cs="宋体" w:eastAsia="宋体" w:hint="default"/>
                <w:sz w:val="21"/>
                <w:szCs w:val="21"/>
              </w:rPr>
              <w:t>6,755,000</w:t>
            </w:r>
            <w:r>
              <w:rPr>
                <w:rFonts w:ascii="宋体" w:hAnsi="宋体" w:cs="宋体" w:eastAsia="宋体" w:hint="default"/>
                <w:spacing w:val="-53"/>
                <w:sz w:val="21"/>
                <w:szCs w:val="21"/>
              </w:rPr>
              <w:t> </w:t>
            </w:r>
            <w:r>
              <w:rPr>
                <w:rFonts w:ascii="宋体" w:hAnsi="宋体" w:cs="宋体" w:eastAsia="宋体" w:hint="default"/>
                <w:sz w:val="21"/>
                <w:szCs w:val="21"/>
              </w:rPr>
              <w:t>份认股权是在</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日授出</w:t>
            </w:r>
            <w:r>
              <w:rPr>
                <w:rFonts w:ascii="宋体" w:hAnsi="宋体" w:cs="宋体" w:eastAsia="宋体" w:hint="default"/>
                <w:sz w:val="21"/>
                <w:szCs w:val="21"/>
              </w:rPr>
              <w:t>,</w:t>
            </w:r>
            <w:r>
              <w:rPr>
                <w:rFonts w:ascii="宋体" w:hAnsi="宋体" w:cs="宋体" w:eastAsia="宋体" w:hint="default"/>
                <w:sz w:val="21"/>
                <w:szCs w:val="21"/>
              </w:rPr>
              <w:t>行 权价为</w:t>
            </w:r>
            <w:r>
              <w:rPr>
                <w:rFonts w:ascii="宋体" w:hAnsi="宋体" w:cs="宋体" w:eastAsia="宋体" w:hint="default"/>
                <w:spacing w:val="-61"/>
                <w:sz w:val="21"/>
                <w:szCs w:val="21"/>
              </w:rPr>
              <w:t> </w:t>
            </w:r>
            <w:r>
              <w:rPr>
                <w:rFonts w:ascii="宋体" w:hAnsi="宋体" w:cs="宋体" w:eastAsia="宋体" w:hint="default"/>
                <w:sz w:val="21"/>
                <w:szCs w:val="21"/>
              </w:rPr>
              <w:t>HK$1.12(</w:t>
            </w:r>
            <w:r>
              <w:rPr>
                <w:rFonts w:ascii="宋体" w:hAnsi="宋体" w:cs="宋体" w:eastAsia="宋体" w:hint="default"/>
                <w:sz w:val="21"/>
                <w:szCs w:val="21"/>
              </w:rPr>
              <w:t>授出认股权前一天的收盘价或前五 天的平均收盘价</w:t>
            </w:r>
            <w:r>
              <w:rPr>
                <w:rFonts w:ascii="宋体" w:hAnsi="宋体" w:cs="宋体" w:eastAsia="宋体" w:hint="default"/>
                <w:sz w:val="21"/>
                <w:szCs w:val="21"/>
              </w:rPr>
              <w:t>,</w:t>
            </w:r>
            <w:r>
              <w:rPr>
                <w:rFonts w:ascii="宋体" w:hAnsi="宋体" w:cs="宋体" w:eastAsia="宋体" w:hint="default"/>
                <w:sz w:val="21"/>
                <w:szCs w:val="21"/>
              </w:rPr>
              <w:t>以较高者为准</w:t>
            </w:r>
            <w:r>
              <w:rPr>
                <w:rFonts w:ascii="宋体" w:hAnsi="宋体" w:cs="宋体" w:eastAsia="宋体" w:hint="default"/>
                <w:sz w:val="21"/>
                <w:szCs w:val="21"/>
              </w:rPr>
              <w:t>),</w:t>
            </w:r>
            <w:r>
              <w:rPr>
                <w:rFonts w:ascii="宋体" w:hAnsi="宋体" w:cs="宋体" w:eastAsia="宋体" w:hint="default"/>
                <w:sz w:val="21"/>
                <w:szCs w:val="21"/>
              </w:rPr>
              <w:t>从授出日开始计 算</w:t>
            </w:r>
            <w:r>
              <w:rPr>
                <w:rFonts w:ascii="宋体" w:hAnsi="宋体" w:cs="宋体" w:eastAsia="宋体" w:hint="default"/>
                <w:sz w:val="21"/>
                <w:szCs w:val="21"/>
              </w:rPr>
              <w:t>,</w:t>
            </w:r>
            <w:r>
              <w:rPr>
                <w:rFonts w:ascii="宋体" w:hAnsi="宋体" w:cs="宋体" w:eastAsia="宋体" w:hint="default"/>
                <w:sz w:val="21"/>
                <w:szCs w:val="21"/>
              </w:rPr>
              <w:t>有效期</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w:t>
            </w:r>
            <w:r>
              <w:rPr>
                <w:rFonts w:ascii="宋体" w:hAnsi="宋体" w:cs="宋体" w:eastAsia="宋体" w:hint="default"/>
                <w:sz w:val="21"/>
                <w:szCs w:val="21"/>
              </w:rPr>
              <w:t>认股权的平均公允价值为 </w:t>
            </w:r>
            <w:r>
              <w:rPr>
                <w:rFonts w:ascii="宋体" w:hAnsi="宋体" w:cs="宋体" w:eastAsia="宋体" w:hint="default"/>
                <w:sz w:val="21"/>
                <w:szCs w:val="21"/>
              </w:rPr>
              <w:t>HK$0.309(HK$0.305toHK$0.311)</w:t>
            </w:r>
          </w:p>
        </w:tc>
      </w:tr>
    </w:tbl>
    <w:p>
      <w:pPr>
        <w:spacing w:after="0" w:line="237" w:lineRule="auto"/>
        <w:jc w:val="left"/>
        <w:rPr>
          <w:rFonts w:ascii="宋体" w:hAnsi="宋体" w:cs="宋体" w:eastAsia="宋体" w:hint="default"/>
          <w:sz w:val="21"/>
          <w:szCs w:val="21"/>
        </w:rPr>
        <w:sectPr>
          <w:pgSz w:w="11910" w:h="16840"/>
          <w:pgMar w:header="882" w:footer="1194" w:top="1080" w:bottom="1380" w:left="1540" w:right="8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tbl>
      <w:tblPr>
        <w:tblW w:w="0" w:type="auto"/>
        <w:jc w:val="left"/>
        <w:tblInd w:w="121" w:type="dxa"/>
        <w:tblLayout w:type="fixed"/>
        <w:tblCellMar>
          <w:top w:w="0" w:type="dxa"/>
          <w:left w:w="0" w:type="dxa"/>
          <w:bottom w:w="0" w:type="dxa"/>
          <w:right w:w="0" w:type="dxa"/>
        </w:tblCellMar>
        <w:tblLook w:val="01E0"/>
      </w:tblPr>
      <w:tblGrid>
        <w:gridCol w:w="4314"/>
        <w:gridCol w:w="614"/>
      </w:tblGrid>
      <w:tr>
        <w:trPr>
          <w:trHeight w:val="563" w:hRule="exact"/>
        </w:trPr>
        <w:tc>
          <w:tcPr>
            <w:tcW w:w="4314" w:type="dxa"/>
            <w:tcBorders>
              <w:top w:val="nil" w:sz="6" w:space="0" w:color="auto"/>
              <w:left w:val="nil" w:sz="6" w:space="0" w:color="auto"/>
              <w:bottom w:val="nil" w:sz="6" w:space="0" w:color="auto"/>
              <w:right w:val="nil" w:sz="6" w:space="0" w:color="auto"/>
            </w:tcBorders>
          </w:tcPr>
          <w:p>
            <w:pPr>
              <w:pStyle w:val="TableParagraph"/>
              <w:spacing w:line="209" w:lineRule="exact"/>
              <w:ind w:left="121" w:right="0"/>
              <w:jc w:val="left"/>
              <w:rPr>
                <w:rFonts w:ascii="宋体" w:hAnsi="宋体" w:cs="宋体" w:eastAsia="宋体" w:hint="default"/>
                <w:sz w:val="21"/>
                <w:szCs w:val="21"/>
              </w:rPr>
            </w:pPr>
            <w:r>
              <w:rPr>
                <w:rFonts w:ascii="宋体" w:hAnsi="宋体" w:cs="宋体" w:eastAsia="宋体" w:hint="default"/>
                <w:sz w:val="21"/>
                <w:szCs w:val="21"/>
              </w:rPr>
              <w:t>公司期末其他权益工具行权价格的范围和合</w:t>
            </w:r>
          </w:p>
          <w:p>
            <w:pPr>
              <w:pStyle w:val="TableParagraph"/>
              <w:spacing w:line="274" w:lineRule="exact"/>
              <w:ind w:left="121" w:right="0"/>
              <w:jc w:val="left"/>
              <w:rPr>
                <w:rFonts w:ascii="宋体" w:hAnsi="宋体" w:cs="宋体" w:eastAsia="宋体" w:hint="default"/>
                <w:sz w:val="21"/>
                <w:szCs w:val="21"/>
              </w:rPr>
            </w:pPr>
            <w:r>
              <w:rPr>
                <w:rFonts w:ascii="宋体" w:hAnsi="宋体" w:cs="宋体" w:eastAsia="宋体" w:hint="default"/>
                <w:sz w:val="21"/>
                <w:szCs w:val="21"/>
              </w:rPr>
              <w:t>同剩余期限</w:t>
            </w:r>
          </w:p>
        </w:tc>
        <w:tc>
          <w:tcPr>
            <w:tcW w:w="614" w:type="dxa"/>
            <w:tcBorders>
              <w:top w:val="nil" w:sz="6" w:space="0" w:color="auto"/>
              <w:left w:val="nil" w:sz="6" w:space="0" w:color="auto"/>
              <w:bottom w:val="nil" w:sz="6" w:space="0" w:color="auto"/>
              <w:right w:val="nil" w:sz="6" w:space="0" w:color="auto"/>
            </w:tcBorders>
          </w:tcPr>
          <w:p>
            <w:pPr>
              <w:pStyle w:val="TableParagraph"/>
              <w:spacing w:line="240" w:lineRule="auto" w:before="72"/>
              <w:ind w:left="202" w:right="0"/>
              <w:jc w:val="left"/>
              <w:rPr>
                <w:rFonts w:ascii="宋体" w:hAnsi="宋体" w:cs="宋体" w:eastAsia="宋体" w:hint="default"/>
                <w:sz w:val="21"/>
                <w:szCs w:val="21"/>
              </w:rPr>
            </w:pPr>
            <w:r>
              <w:rPr>
                <w:rFonts w:ascii="宋体"/>
                <w:sz w:val="21"/>
              </w:rPr>
              <w:t>--</w:t>
            </w:r>
          </w:p>
        </w:tc>
      </w:tr>
    </w:tbl>
    <w:p>
      <w:pPr>
        <w:spacing w:line="240" w:lineRule="auto" w:before="12"/>
        <w:rPr>
          <w:rFonts w:ascii="宋体" w:hAnsi="宋体" w:cs="宋体" w:eastAsia="宋体" w:hint="default"/>
          <w:sz w:val="4"/>
          <w:szCs w:val="4"/>
        </w:rPr>
      </w:pPr>
    </w:p>
    <w:p>
      <w:pPr>
        <w:pStyle w:val="BodyText"/>
        <w:spacing w:line="240" w:lineRule="auto" w:before="26"/>
        <w:ind w:left="278" w:right="548"/>
        <w:jc w:val="left"/>
      </w:pPr>
      <w:r>
        <w:rPr/>
        <w:pict>
          <v:group style="position:absolute;margin-left:81.620003pt;margin-top:-3.70438pt;width:465.6pt;height:1pt;mso-position-horizontal-relative:page;mso-position-vertical-relative:paragraph;z-index:-983176" coordorigin="1632,-74" coordsize="9312,20">
            <v:group style="position:absolute;left:1642;top:-64;width:4410;height:2" coordorigin="1642,-64" coordsize="4410,2">
              <v:shape style="position:absolute;left:1642;top:-64;width:4410;height:2" coordorigin="1642,-64" coordsize="4410,0" path="m1642,-64l6051,-64e" filled="false" stroked="true" strokeweight=".96pt" strokecolor="#000000">
                <v:path arrowok="t"/>
              </v:shape>
            </v:group>
            <v:group style="position:absolute;left:6037;top:-64;width:20;height:2" coordorigin="6037,-64" coordsize="20,2">
              <v:shape style="position:absolute;left:6037;top:-64;width:20;height:2" coordorigin="6037,-64" coordsize="20,0" path="m6037,-64l6056,-64e" filled="false" stroked="true" strokeweight=".96pt" strokecolor="#000000">
                <v:path arrowok="t"/>
              </v:shape>
            </v:group>
            <v:group style="position:absolute;left:6056;top:-64;width:4879;height:2" coordorigin="6056,-64" coordsize="4879,2">
              <v:shape style="position:absolute;left:6056;top:-64;width:4879;height:2" coordorigin="6056,-64" coordsize="4879,0" path="m6056,-64l10934,-64e" filled="false" stroked="true" strokeweight=".96pt" strokecolor="#000000">
                <v:path arrowok="t"/>
              </v:shape>
            </v:group>
            <w10:wrap type="none"/>
          </v:group>
        </w:pict>
      </w:r>
      <w:r>
        <w:rPr>
          <w:rFonts w:ascii="宋体" w:hAnsi="宋体" w:cs="宋体" w:eastAsia="宋体" w:hint="default"/>
        </w:rPr>
        <w:t>2</w:t>
      </w:r>
      <w:r>
        <w:rPr/>
        <w:t>、以权益结算的股份支付情况</w:t>
      </w:r>
    </w:p>
    <w:p>
      <w:pPr>
        <w:spacing w:line="240" w:lineRule="auto" w:before="0"/>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4300"/>
        <w:gridCol w:w="4978"/>
      </w:tblGrid>
      <w:tr>
        <w:trPr>
          <w:trHeight w:val="450" w:hRule="exact"/>
        </w:trPr>
        <w:tc>
          <w:tcPr>
            <w:tcW w:w="4300" w:type="dxa"/>
            <w:tcBorders>
              <w:top w:val="single" w:sz="8" w:space="0" w:color="000000"/>
              <w:left w:val="nil" w:sz="6" w:space="0" w:color="auto"/>
              <w:bottom w:val="nil" w:sz="6" w:space="0" w:color="auto"/>
              <w:right w:val="nil" w:sz="6" w:space="0" w:color="auto"/>
            </w:tcBorders>
          </w:tcPr>
          <w:p>
            <w:pPr>
              <w:pStyle w:val="TableParagraph"/>
              <w:spacing w:line="240" w:lineRule="auto" w:before="46"/>
              <w:ind w:left="106"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978" w:type="dxa"/>
            <w:tcBorders>
              <w:top w:val="single" w:sz="8" w:space="0" w:color="000000"/>
              <w:left w:val="nil" w:sz="6" w:space="0" w:color="auto"/>
              <w:bottom w:val="nil" w:sz="6" w:space="0" w:color="auto"/>
              <w:right w:val="nil" w:sz="6" w:space="0" w:color="auto"/>
            </w:tcBorders>
          </w:tcPr>
          <w:p>
            <w:pPr>
              <w:pStyle w:val="TableParagraph"/>
              <w:spacing w:line="240" w:lineRule="auto" w:before="46"/>
              <w:ind w:left="202" w:right="0"/>
              <w:jc w:val="left"/>
              <w:rPr>
                <w:rFonts w:ascii="宋体" w:hAnsi="宋体" w:cs="宋体" w:eastAsia="宋体" w:hint="default"/>
                <w:sz w:val="21"/>
                <w:szCs w:val="21"/>
              </w:rPr>
            </w:pPr>
            <w:r>
              <w:rPr>
                <w:rFonts w:ascii="宋体" w:hAnsi="宋体" w:cs="宋体" w:eastAsia="宋体" w:hint="default"/>
                <w:sz w:val="21"/>
                <w:szCs w:val="21"/>
              </w:rPr>
              <w:t>ASH: Binomiallatticemodel</w:t>
            </w:r>
            <w:r>
              <w:rPr>
                <w:rFonts w:ascii="宋体" w:hAnsi="宋体" w:cs="宋体" w:eastAsia="宋体" w:hint="default"/>
                <w:spacing w:val="-56"/>
                <w:sz w:val="21"/>
                <w:szCs w:val="21"/>
              </w:rPr>
              <w:t> </w:t>
            </w:r>
            <w:r>
              <w:rPr>
                <w:rFonts w:ascii="宋体" w:hAnsi="宋体" w:cs="宋体" w:eastAsia="宋体" w:hint="default"/>
                <w:sz w:val="21"/>
                <w:szCs w:val="21"/>
              </w:rPr>
              <w:t>二项式点阵模型</w:t>
            </w:r>
          </w:p>
        </w:tc>
      </w:tr>
      <w:tr>
        <w:trPr>
          <w:trHeight w:val="711" w:hRule="exact"/>
        </w:trPr>
        <w:tc>
          <w:tcPr>
            <w:tcW w:w="4300" w:type="dxa"/>
            <w:tcBorders>
              <w:top w:val="nil" w:sz="6" w:space="0" w:color="auto"/>
              <w:left w:val="nil" w:sz="6" w:space="0" w:color="auto"/>
              <w:bottom w:val="nil" w:sz="6" w:space="0" w:color="auto"/>
              <w:right w:val="nil" w:sz="6" w:space="0" w:color="auto"/>
            </w:tcBorders>
          </w:tcPr>
          <w:p>
            <w:pPr>
              <w:pStyle w:val="TableParagraph"/>
              <w:spacing w:line="272" w:lineRule="exact" w:before="81"/>
              <w:ind w:left="106" w:right="202"/>
              <w:jc w:val="left"/>
              <w:rPr>
                <w:rFonts w:ascii="宋体" w:hAnsi="宋体" w:cs="宋体" w:eastAsia="宋体" w:hint="default"/>
                <w:sz w:val="21"/>
                <w:szCs w:val="21"/>
              </w:rPr>
            </w:pPr>
            <w:r>
              <w:rPr>
                <w:rFonts w:ascii="宋体" w:hAnsi="宋体" w:cs="宋体" w:eastAsia="宋体" w:hint="default"/>
                <w:sz w:val="21"/>
                <w:szCs w:val="21"/>
              </w:rPr>
              <w:t>对可行权权益工具数量的最佳估计的确定方 法</w:t>
            </w:r>
          </w:p>
        </w:tc>
        <w:tc>
          <w:tcPr>
            <w:tcW w:w="4978" w:type="dxa"/>
            <w:tcBorders>
              <w:top w:val="nil" w:sz="6" w:space="0" w:color="auto"/>
              <w:left w:val="nil" w:sz="6" w:space="0" w:color="auto"/>
              <w:bottom w:val="nil" w:sz="6" w:space="0" w:color="auto"/>
              <w:right w:val="nil" w:sz="6" w:space="0" w:color="auto"/>
            </w:tcBorders>
          </w:tcPr>
          <w:p>
            <w:pPr>
              <w:pStyle w:val="TableParagraph"/>
              <w:spacing w:line="272" w:lineRule="exact" w:before="81"/>
              <w:ind w:left="202" w:right="258"/>
              <w:jc w:val="left"/>
              <w:rPr>
                <w:rFonts w:ascii="宋体" w:hAnsi="宋体" w:cs="宋体" w:eastAsia="宋体" w:hint="default"/>
                <w:sz w:val="21"/>
                <w:szCs w:val="21"/>
              </w:rPr>
            </w:pPr>
            <w:r>
              <w:rPr>
                <w:rFonts w:ascii="宋体" w:hAnsi="宋体" w:cs="宋体" w:eastAsia="宋体" w:hint="default"/>
                <w:sz w:val="21"/>
                <w:szCs w:val="21"/>
              </w:rPr>
              <w:t>预计可达到行权条件</w:t>
            </w:r>
            <w:r>
              <w:rPr>
                <w:rFonts w:ascii="宋体" w:hAnsi="宋体" w:cs="宋体" w:eastAsia="宋体" w:hint="default"/>
                <w:sz w:val="21"/>
                <w:szCs w:val="21"/>
              </w:rPr>
              <w:t>,</w:t>
            </w:r>
            <w:r>
              <w:rPr>
                <w:rFonts w:ascii="宋体" w:hAnsi="宋体" w:cs="宋体" w:eastAsia="宋体" w:hint="default"/>
                <w:sz w:val="21"/>
                <w:szCs w:val="21"/>
              </w:rPr>
              <w:t>即假设员工服务期可达到相 当的年限</w:t>
            </w:r>
          </w:p>
        </w:tc>
      </w:tr>
      <w:tr>
        <w:trPr>
          <w:trHeight w:val="382" w:hRule="exact"/>
        </w:trPr>
        <w:tc>
          <w:tcPr>
            <w:tcW w:w="430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6"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497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0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630" w:hRule="exact"/>
        </w:trPr>
        <w:tc>
          <w:tcPr>
            <w:tcW w:w="4300" w:type="dxa"/>
            <w:tcBorders>
              <w:top w:val="nil" w:sz="6" w:space="0" w:color="auto"/>
              <w:left w:val="nil" w:sz="6" w:space="0" w:color="auto"/>
              <w:bottom w:val="nil" w:sz="6" w:space="0" w:color="auto"/>
              <w:right w:val="nil" w:sz="6" w:space="0" w:color="auto"/>
            </w:tcBorders>
          </w:tcPr>
          <w:p>
            <w:pPr>
              <w:pStyle w:val="TableParagraph"/>
              <w:spacing w:line="272" w:lineRule="exact" w:before="25"/>
              <w:ind w:left="106" w:right="202"/>
              <w:jc w:val="left"/>
              <w:rPr>
                <w:rFonts w:ascii="宋体" w:hAnsi="宋体" w:cs="宋体" w:eastAsia="宋体" w:hint="default"/>
                <w:sz w:val="21"/>
                <w:szCs w:val="21"/>
              </w:rPr>
            </w:pPr>
            <w:r>
              <w:rPr>
                <w:rFonts w:ascii="宋体" w:hAnsi="宋体" w:cs="宋体" w:eastAsia="宋体" w:hint="default"/>
                <w:sz w:val="21"/>
                <w:szCs w:val="21"/>
              </w:rPr>
              <w:t>资本公积中以权益结算的股份支付的累计金 额</w:t>
            </w:r>
          </w:p>
        </w:tc>
        <w:tc>
          <w:tcPr>
            <w:tcW w:w="49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21"/>
                <w:szCs w:val="21"/>
              </w:rPr>
            </w:pPr>
            <w:r>
              <w:rPr>
                <w:rFonts w:ascii="宋体"/>
                <w:sz w:val="21"/>
              </w:rPr>
              <w:t>HK$2,782,560.97</w:t>
            </w:r>
          </w:p>
        </w:tc>
      </w:tr>
      <w:tr>
        <w:trPr>
          <w:trHeight w:val="513" w:hRule="exact"/>
        </w:trPr>
        <w:tc>
          <w:tcPr>
            <w:tcW w:w="4300" w:type="dxa"/>
            <w:tcBorders>
              <w:top w:val="nil" w:sz="6" w:space="0" w:color="auto"/>
              <w:left w:val="nil" w:sz="6" w:space="0" w:color="auto"/>
              <w:bottom w:val="single" w:sz="8" w:space="0" w:color="000000"/>
              <w:right w:val="nil" w:sz="6" w:space="0" w:color="auto"/>
            </w:tcBorders>
          </w:tcPr>
          <w:p>
            <w:pPr>
              <w:pStyle w:val="TableParagraph"/>
              <w:spacing w:line="240" w:lineRule="auto" w:before="20"/>
              <w:ind w:left="106" w:right="0"/>
              <w:jc w:val="left"/>
              <w:rPr>
                <w:rFonts w:ascii="宋体" w:hAnsi="宋体" w:cs="宋体" w:eastAsia="宋体" w:hint="default"/>
                <w:sz w:val="21"/>
                <w:szCs w:val="21"/>
              </w:rPr>
            </w:pPr>
            <w:r>
              <w:rPr>
                <w:rFonts w:ascii="宋体" w:hAnsi="宋体" w:cs="宋体" w:eastAsia="宋体" w:hint="default"/>
                <w:sz w:val="21"/>
                <w:szCs w:val="21"/>
              </w:rPr>
              <w:t>以权益结算的股份支付确认的费用总额</w:t>
            </w:r>
          </w:p>
        </w:tc>
        <w:tc>
          <w:tcPr>
            <w:tcW w:w="4978" w:type="dxa"/>
            <w:tcBorders>
              <w:top w:val="nil" w:sz="6" w:space="0" w:color="auto"/>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02" w:right="0"/>
              <w:jc w:val="left"/>
              <w:rPr>
                <w:rFonts w:ascii="宋体" w:hAnsi="宋体" w:cs="宋体" w:eastAsia="宋体" w:hint="default"/>
                <w:sz w:val="21"/>
                <w:szCs w:val="21"/>
              </w:rPr>
            </w:pPr>
            <w:r>
              <w:rPr>
                <w:rFonts w:ascii="宋体"/>
                <w:sz w:val="21"/>
              </w:rPr>
              <w:t>HK$215,807.45</w:t>
            </w:r>
          </w:p>
        </w:tc>
      </w:tr>
    </w:tbl>
    <w:p>
      <w:pPr>
        <w:spacing w:line="240" w:lineRule="auto" w:before="6"/>
        <w:rPr>
          <w:rFonts w:ascii="宋体" w:hAnsi="宋体" w:cs="宋体" w:eastAsia="宋体" w:hint="default"/>
          <w:sz w:val="20"/>
          <w:szCs w:val="20"/>
        </w:rPr>
      </w:pPr>
    </w:p>
    <w:p>
      <w:pPr>
        <w:pStyle w:val="Heading2"/>
        <w:spacing w:line="240" w:lineRule="auto"/>
        <w:ind w:left="278" w:right="548"/>
        <w:jc w:val="left"/>
        <w:rPr>
          <w:b w:val="0"/>
          <w:bCs w:val="0"/>
        </w:rPr>
      </w:pPr>
      <w:r>
        <w:rPr/>
        <w:t>六、重大关联交易</w:t>
      </w:r>
      <w:r>
        <w:rPr>
          <w:b w:val="0"/>
          <w:bCs w:val="0"/>
        </w:rPr>
      </w:r>
    </w:p>
    <w:p>
      <w:pPr>
        <w:pStyle w:val="BodyText"/>
        <w:spacing w:line="240" w:lineRule="auto" w:before="56"/>
        <w:ind w:left="278" w:right="548"/>
        <w:jc w:val="left"/>
      </w:pPr>
      <w:r>
        <w:rPr/>
        <w:t>□适用 √不适用</w:t>
      </w:r>
    </w:p>
    <w:p>
      <w:pPr>
        <w:spacing w:line="240" w:lineRule="auto" w:before="2"/>
        <w:rPr>
          <w:rFonts w:ascii="宋体" w:hAnsi="宋体" w:cs="宋体" w:eastAsia="宋体" w:hint="default"/>
          <w:sz w:val="28"/>
          <w:szCs w:val="28"/>
        </w:rPr>
      </w:pPr>
    </w:p>
    <w:p>
      <w:pPr>
        <w:pStyle w:val="Heading2"/>
        <w:tabs>
          <w:tab w:pos="697" w:val="left" w:leader="none"/>
        </w:tabs>
        <w:spacing w:line="283" w:lineRule="auto" w:before="0"/>
        <w:ind w:left="278" w:right="6436"/>
        <w:jc w:val="left"/>
        <w:rPr>
          <w:b w:val="0"/>
          <w:bCs w:val="0"/>
        </w:rPr>
      </w:pPr>
      <w:r>
        <w:rPr/>
        <w:t>七、重大合同及其履行情况</w:t>
      </w:r>
      <w:r>
        <w:rPr>
          <w:w w:val="99"/>
        </w:rPr>
        <w:t> </w:t>
      </w:r>
      <w:r>
        <w:rPr>
          <w:rFonts w:ascii="宋体" w:hAnsi="宋体" w:cs="宋体" w:eastAsia="宋体" w:hint="default"/>
          <w:w w:val="95"/>
        </w:rPr>
        <w:t>1</w:t>
        <w:tab/>
      </w:r>
      <w:r>
        <w:rPr/>
        <w:t>托管、承包、租赁事项</w:t>
      </w:r>
      <w:r>
        <w:rPr>
          <w:b w:val="0"/>
          <w:bCs w:val="0"/>
        </w:rPr>
      </w:r>
    </w:p>
    <w:p>
      <w:pPr>
        <w:pStyle w:val="BodyText"/>
        <w:spacing w:line="240" w:lineRule="auto" w:before="14"/>
        <w:ind w:left="278" w:right="548"/>
        <w:jc w:val="left"/>
      </w:pPr>
      <w:r>
        <w:rPr/>
        <w:t>□适用 √不适用</w:t>
      </w: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4" w:top="1080" w:bottom="1380" w:left="1520" w:right="780"/>
        </w:sectPr>
      </w:pPr>
    </w:p>
    <w:p>
      <w:pPr>
        <w:pStyle w:val="Heading2"/>
        <w:tabs>
          <w:tab w:pos="697" w:val="left" w:leader="none"/>
        </w:tabs>
        <w:spacing w:line="240" w:lineRule="auto"/>
        <w:ind w:left="278" w:right="-19"/>
        <w:jc w:val="left"/>
        <w:rPr>
          <w:b w:val="0"/>
          <w:bCs w:val="0"/>
        </w:rPr>
      </w:pPr>
      <w:r>
        <w:rPr>
          <w:rFonts w:ascii="宋体" w:hAnsi="宋体" w:cs="宋体" w:eastAsia="宋体" w:hint="default"/>
          <w:w w:val="95"/>
        </w:rPr>
        <w:t>2</w:t>
        <w:tab/>
      </w:r>
      <w:r>
        <w:rPr/>
        <w:t>担保情况</w:t>
      </w:r>
      <w:r>
        <w:rPr>
          <w:b w:val="0"/>
          <w:bCs w:val="0"/>
        </w:rPr>
      </w:r>
    </w:p>
    <w:p>
      <w:pPr>
        <w:spacing w:before="60"/>
        <w:ind w:left="278" w:right="-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tabs>
          <w:tab w:pos="1537" w:val="left" w:leader="none"/>
        </w:tabs>
        <w:spacing w:before="0"/>
        <w:ind w:left="277"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万元</w:t>
        <w:tab/>
        <w:t>币种</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人民币</w:t>
      </w:r>
    </w:p>
    <w:p>
      <w:pPr>
        <w:spacing w:after="0"/>
        <w:jc w:val="left"/>
        <w:rPr>
          <w:rFonts w:ascii="宋体" w:hAnsi="宋体" w:cs="宋体" w:eastAsia="宋体" w:hint="default"/>
          <w:sz w:val="21"/>
          <w:szCs w:val="21"/>
        </w:rPr>
        <w:sectPr>
          <w:type w:val="continuous"/>
          <w:pgSz w:w="11910" w:h="16840"/>
          <w:pgMar w:top="1080" w:bottom="1380" w:left="1520" w:right="780"/>
          <w:cols w:num="2" w:equalWidth="0">
            <w:col w:w="1853" w:space="4777"/>
            <w:col w:w="2980"/>
          </w:cols>
        </w:sectPr>
      </w:pPr>
    </w:p>
    <w:p>
      <w:pPr>
        <w:spacing w:line="240" w:lineRule="auto" w:before="9"/>
        <w:rPr>
          <w:rFonts w:ascii="宋体" w:hAnsi="宋体" w:cs="宋体" w:eastAsia="宋体" w:hint="default"/>
          <w:sz w:val="11"/>
          <w:szCs w:val="11"/>
        </w:rPr>
      </w:pPr>
    </w:p>
    <w:tbl>
      <w:tblPr>
        <w:tblW w:w="0" w:type="auto"/>
        <w:jc w:val="left"/>
        <w:tblInd w:w="243" w:type="dxa"/>
        <w:tblLayout w:type="fixed"/>
        <w:tblCellMar>
          <w:top w:w="0" w:type="dxa"/>
          <w:left w:w="0" w:type="dxa"/>
          <w:bottom w:w="0" w:type="dxa"/>
          <w:right w:w="0" w:type="dxa"/>
        </w:tblCellMar>
        <w:tblLook w:val="01E0"/>
      </w:tblPr>
      <w:tblGrid>
        <w:gridCol w:w="660"/>
        <w:gridCol w:w="662"/>
        <w:gridCol w:w="661"/>
        <w:gridCol w:w="666"/>
        <w:gridCol w:w="639"/>
        <w:gridCol w:w="740"/>
        <w:gridCol w:w="695"/>
        <w:gridCol w:w="590"/>
        <w:gridCol w:w="692"/>
        <w:gridCol w:w="708"/>
        <w:gridCol w:w="708"/>
        <w:gridCol w:w="710"/>
        <w:gridCol w:w="703"/>
        <w:gridCol w:w="409"/>
      </w:tblGrid>
      <w:tr>
        <w:trPr>
          <w:trHeight w:val="304" w:hRule="exact"/>
        </w:trPr>
        <w:tc>
          <w:tcPr>
            <w:tcW w:w="924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517"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64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219" w:right="113" w:hanging="105"/>
              <w:jc w:val="left"/>
              <w:rPr>
                <w:rFonts w:ascii="宋体" w:hAnsi="宋体" w:cs="宋体" w:eastAsia="宋体" w:hint="default"/>
                <w:sz w:val="21"/>
                <w:szCs w:val="21"/>
              </w:rPr>
            </w:pPr>
            <w:r>
              <w:rPr>
                <w:rFonts w:ascii="宋体" w:hAnsi="宋体" w:cs="宋体" w:eastAsia="宋体" w:hint="default"/>
                <w:sz w:val="21"/>
                <w:szCs w:val="21"/>
              </w:rPr>
              <w:t>担保 方</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6"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72" w:lineRule="exact" w:before="26"/>
              <w:ind w:left="116" w:right="114"/>
              <w:jc w:val="both"/>
              <w:rPr>
                <w:rFonts w:ascii="宋体" w:hAnsi="宋体" w:cs="宋体" w:eastAsia="宋体" w:hint="default"/>
                <w:sz w:val="21"/>
                <w:szCs w:val="21"/>
              </w:rPr>
            </w:pPr>
            <w:r>
              <w:rPr>
                <w:rFonts w:ascii="宋体" w:hAnsi="宋体" w:cs="宋体" w:eastAsia="宋体" w:hint="default"/>
                <w:sz w:val="21"/>
                <w:szCs w:val="21"/>
              </w:rPr>
              <w:t>方与 上市 公司 的关 系</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15" w:right="114"/>
              <w:jc w:val="left"/>
              <w:rPr>
                <w:rFonts w:ascii="宋体" w:hAnsi="宋体" w:cs="宋体" w:eastAsia="宋体" w:hint="default"/>
                <w:sz w:val="21"/>
                <w:szCs w:val="21"/>
              </w:rPr>
            </w:pPr>
            <w:r>
              <w:rPr>
                <w:rFonts w:ascii="宋体" w:hAnsi="宋体" w:cs="宋体" w:eastAsia="宋体" w:hint="default"/>
                <w:sz w:val="21"/>
                <w:szCs w:val="21"/>
              </w:rPr>
              <w:t>被担 保方</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17" w:right="116"/>
              <w:jc w:val="left"/>
              <w:rPr>
                <w:rFonts w:ascii="宋体" w:hAnsi="宋体" w:cs="宋体" w:eastAsia="宋体" w:hint="default"/>
                <w:sz w:val="21"/>
                <w:szCs w:val="21"/>
              </w:rPr>
            </w:pPr>
            <w:r>
              <w:rPr>
                <w:rFonts w:ascii="宋体" w:hAnsi="宋体" w:cs="宋体" w:eastAsia="宋体" w:hint="default"/>
                <w:sz w:val="21"/>
                <w:szCs w:val="21"/>
              </w:rPr>
              <w:t>担保 金额</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4"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72" w:lineRule="exact" w:before="26"/>
              <w:ind w:left="51" w:right="51" w:firstLine="52"/>
              <w:jc w:val="both"/>
              <w:rPr>
                <w:rFonts w:ascii="宋体" w:hAnsi="宋体" w:cs="宋体" w:eastAsia="宋体" w:hint="default"/>
                <w:sz w:val="21"/>
                <w:szCs w:val="21"/>
              </w:rPr>
            </w:pPr>
            <w:r>
              <w:rPr>
                <w:rFonts w:ascii="宋体" w:hAnsi="宋体" w:cs="宋体" w:eastAsia="宋体" w:hint="default"/>
                <w:sz w:val="21"/>
                <w:szCs w:val="21"/>
              </w:rPr>
              <w:t>发生 日期 </w:t>
            </w:r>
            <w:r>
              <w:rPr>
                <w:rFonts w:ascii="宋体" w:hAnsi="宋体" w:cs="宋体" w:eastAsia="宋体" w:hint="default"/>
                <w:sz w:val="21"/>
                <w:szCs w:val="21"/>
              </w:rPr>
              <w:t>(</w:t>
            </w:r>
            <w:r>
              <w:rPr>
                <w:rFonts w:ascii="宋体" w:hAnsi="宋体" w:cs="宋体" w:eastAsia="宋体" w:hint="default"/>
                <w:sz w:val="21"/>
                <w:szCs w:val="21"/>
              </w:rPr>
              <w:t>协议 签署 日</w:t>
            </w:r>
            <w:r>
              <w:rPr>
                <w:rFonts w:ascii="宋体" w:hAnsi="宋体" w:cs="宋体" w:eastAsia="宋体" w:hint="default"/>
                <w:sz w:val="21"/>
                <w:szCs w:val="21"/>
              </w:rPr>
              <w:t>)</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44" w:right="55" w:firstLine="105"/>
              <w:jc w:val="left"/>
              <w:rPr>
                <w:rFonts w:ascii="宋体" w:hAnsi="宋体" w:cs="宋体" w:eastAsia="宋体" w:hint="default"/>
                <w:sz w:val="21"/>
                <w:szCs w:val="21"/>
              </w:rPr>
            </w:pPr>
            <w:r>
              <w:rPr>
                <w:rFonts w:ascii="宋体" w:hAnsi="宋体" w:cs="宋体" w:eastAsia="宋体" w:hint="default"/>
                <w:sz w:val="21"/>
                <w:szCs w:val="21"/>
              </w:rPr>
              <w:t>担保 起始日</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21" w:right="31" w:firstLine="105"/>
              <w:jc w:val="left"/>
              <w:rPr>
                <w:rFonts w:ascii="宋体" w:hAnsi="宋体" w:cs="宋体" w:eastAsia="宋体" w:hint="default"/>
                <w:sz w:val="21"/>
                <w:szCs w:val="21"/>
              </w:rPr>
            </w:pPr>
            <w:r>
              <w:rPr>
                <w:rFonts w:ascii="宋体" w:hAnsi="宋体" w:cs="宋体" w:eastAsia="宋体" w:hint="default"/>
                <w:sz w:val="21"/>
                <w:szCs w:val="21"/>
              </w:rPr>
              <w:t>担保 到期日</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79" w:right="79"/>
              <w:jc w:val="left"/>
              <w:rPr>
                <w:rFonts w:ascii="宋体" w:hAnsi="宋体" w:cs="宋体" w:eastAsia="宋体" w:hint="default"/>
                <w:sz w:val="21"/>
                <w:szCs w:val="21"/>
              </w:rPr>
            </w:pPr>
            <w:r>
              <w:rPr>
                <w:rFonts w:ascii="宋体" w:hAnsi="宋体" w:cs="宋体" w:eastAsia="宋体" w:hint="default"/>
                <w:sz w:val="21"/>
                <w:szCs w:val="21"/>
              </w:rPr>
              <w:t>担保 类型</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5" w:right="25"/>
              <w:jc w:val="center"/>
              <w:rPr>
                <w:rFonts w:ascii="宋体" w:hAnsi="宋体" w:cs="宋体" w:eastAsia="宋体" w:hint="default"/>
                <w:sz w:val="21"/>
                <w:szCs w:val="21"/>
              </w:rPr>
            </w:pPr>
            <w:r>
              <w:rPr>
                <w:rFonts w:ascii="宋体" w:hAnsi="宋体" w:cs="宋体" w:eastAsia="宋体" w:hint="default"/>
                <w:sz w:val="21"/>
                <w:szCs w:val="21"/>
              </w:rPr>
              <w:t>担保是 否已经 履行完 毕</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33" w:right="33"/>
              <w:jc w:val="left"/>
              <w:rPr>
                <w:rFonts w:ascii="宋体" w:hAnsi="宋体" w:cs="宋体" w:eastAsia="宋体" w:hint="default"/>
                <w:sz w:val="21"/>
                <w:szCs w:val="21"/>
              </w:rPr>
            </w:pPr>
            <w:r>
              <w:rPr>
                <w:rFonts w:ascii="宋体" w:hAnsi="宋体" w:cs="宋体" w:eastAsia="宋体" w:hint="default"/>
                <w:sz w:val="21"/>
                <w:szCs w:val="21"/>
              </w:rPr>
              <w:t>担保是 否逾期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33" w:right="32"/>
              <w:jc w:val="left"/>
              <w:rPr>
                <w:rFonts w:ascii="宋体" w:hAnsi="宋体" w:cs="宋体" w:eastAsia="宋体" w:hint="default"/>
                <w:sz w:val="21"/>
                <w:szCs w:val="21"/>
              </w:rPr>
            </w:pPr>
            <w:r>
              <w:rPr>
                <w:rFonts w:ascii="宋体" w:hAnsi="宋体" w:cs="宋体" w:eastAsia="宋体" w:hint="default"/>
                <w:sz w:val="21"/>
                <w:szCs w:val="21"/>
              </w:rPr>
              <w:t>担保逾 期金额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34" w:right="35"/>
              <w:jc w:val="center"/>
              <w:rPr>
                <w:rFonts w:ascii="宋体" w:hAnsi="宋体" w:cs="宋体" w:eastAsia="宋体" w:hint="default"/>
                <w:sz w:val="21"/>
                <w:szCs w:val="21"/>
              </w:rPr>
            </w:pPr>
            <w:r>
              <w:rPr>
                <w:rFonts w:ascii="宋体" w:hAnsi="宋体" w:cs="宋体" w:eastAsia="宋体" w:hint="default"/>
                <w:sz w:val="21"/>
                <w:szCs w:val="21"/>
              </w:rPr>
              <w:t>是否存 在反担 保</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31" w:right="30"/>
              <w:jc w:val="both"/>
              <w:rPr>
                <w:rFonts w:ascii="宋体" w:hAnsi="宋体" w:cs="宋体" w:eastAsia="宋体" w:hint="default"/>
                <w:sz w:val="21"/>
                <w:szCs w:val="21"/>
              </w:rPr>
            </w:pPr>
            <w:r>
              <w:rPr>
                <w:rFonts w:ascii="宋体" w:hAnsi="宋体" w:cs="宋体" w:eastAsia="宋体" w:hint="default"/>
                <w:sz w:val="21"/>
                <w:szCs w:val="21"/>
              </w:rPr>
              <w:t>是否为 关联方 担保</w:t>
            </w:r>
          </w:p>
        </w:tc>
        <w:tc>
          <w:tcPr>
            <w:tcW w:w="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94" w:right="92"/>
              <w:jc w:val="both"/>
              <w:rPr>
                <w:rFonts w:ascii="宋体" w:hAnsi="宋体" w:cs="宋体" w:eastAsia="宋体" w:hint="default"/>
                <w:sz w:val="21"/>
                <w:szCs w:val="21"/>
              </w:rPr>
            </w:pPr>
            <w:r>
              <w:rPr>
                <w:rFonts w:ascii="宋体" w:hAnsi="宋体" w:cs="宋体" w:eastAsia="宋体" w:hint="default"/>
                <w:sz w:val="21"/>
                <w:szCs w:val="21"/>
              </w:rPr>
              <w:t>关 联 关 系</w:t>
            </w:r>
          </w:p>
        </w:tc>
      </w:tr>
      <w:tr>
        <w:trPr>
          <w:trHeight w:val="302" w:hRule="exact"/>
        </w:trPr>
        <w:tc>
          <w:tcPr>
            <w:tcW w:w="66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r>
      <w:tr>
        <w:trPr>
          <w:trHeight w:val="304" w:hRule="exact"/>
        </w:trPr>
        <w:tc>
          <w:tcPr>
            <w:tcW w:w="66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28" w:type="dxa"/>
            <w:gridSpan w:val="6"/>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pacing w:val="-2"/>
                <w:sz w:val="21"/>
                <w:szCs w:val="21"/>
              </w:rPr>
              <w:t>报告期内担保发生额合计（不包括对子公司</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的担保）</w:t>
            </w:r>
          </w:p>
        </w:tc>
        <w:tc>
          <w:tcPr>
            <w:tcW w:w="5217" w:type="dxa"/>
            <w:gridSpan w:val="8"/>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28" w:type="dxa"/>
            <w:gridSpan w:val="6"/>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r>
              <w:rPr>
                <w:rFonts w:ascii="宋体" w:hAnsi="宋体" w:cs="宋体" w:eastAsia="宋体" w:hint="default"/>
                <w:sz w:val="21"/>
                <w:szCs w:val="21"/>
              </w:rPr>
              <w:t>A</w:t>
            </w:r>
            <w:r>
              <w:rPr>
                <w:rFonts w:ascii="宋体" w:hAnsi="宋体" w:cs="宋体" w:eastAsia="宋体" w:hint="default"/>
                <w:sz w:val="21"/>
                <w:szCs w:val="21"/>
              </w:rPr>
              <w:t>）（不包括对子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公司的担保）</w:t>
            </w:r>
          </w:p>
        </w:tc>
        <w:tc>
          <w:tcPr>
            <w:tcW w:w="5217" w:type="dxa"/>
            <w:gridSpan w:val="8"/>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924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318" w:hRule="exact"/>
        </w:trPr>
        <w:tc>
          <w:tcPr>
            <w:tcW w:w="402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521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75,752.20</w:t>
            </w:r>
          </w:p>
        </w:tc>
      </w:tr>
      <w:tr>
        <w:trPr>
          <w:trHeight w:val="318" w:hRule="exact"/>
        </w:trPr>
        <w:tc>
          <w:tcPr>
            <w:tcW w:w="402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p>
        </w:tc>
        <w:tc>
          <w:tcPr>
            <w:tcW w:w="521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52,514.20</w:t>
            </w:r>
          </w:p>
        </w:tc>
      </w:tr>
      <w:tr>
        <w:trPr>
          <w:trHeight w:val="318" w:hRule="exact"/>
        </w:trPr>
        <w:tc>
          <w:tcPr>
            <w:tcW w:w="924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622"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0" w:hRule="exact"/>
        </w:trPr>
        <w:tc>
          <w:tcPr>
            <w:tcW w:w="402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p>
        </w:tc>
        <w:tc>
          <w:tcPr>
            <w:tcW w:w="521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52,514.20</w:t>
            </w:r>
          </w:p>
        </w:tc>
      </w:tr>
      <w:tr>
        <w:trPr>
          <w:trHeight w:val="318" w:hRule="exact"/>
        </w:trPr>
        <w:tc>
          <w:tcPr>
            <w:tcW w:w="402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p>
        </w:tc>
        <w:tc>
          <w:tcPr>
            <w:tcW w:w="521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22.68</w:t>
            </w:r>
          </w:p>
        </w:tc>
      </w:tr>
    </w:tbl>
    <w:p>
      <w:pPr>
        <w:spacing w:after="0" w:line="240" w:lineRule="exact"/>
        <w:jc w:val="right"/>
        <w:rPr>
          <w:rFonts w:ascii="宋体" w:hAnsi="宋体" w:cs="宋体" w:eastAsia="宋体" w:hint="default"/>
          <w:sz w:val="21"/>
          <w:szCs w:val="21"/>
        </w:rPr>
        <w:sectPr>
          <w:type w:val="continuous"/>
          <w:pgSz w:w="11910" w:h="16840"/>
          <w:pgMar w:top="1080" w:bottom="1380" w:left="1520" w:right="7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4018"/>
        <w:gridCol w:w="5228"/>
      </w:tblGrid>
      <w:tr>
        <w:trPr>
          <w:trHeight w:val="318" w:hRule="exact"/>
        </w:trPr>
        <w:tc>
          <w:tcPr>
            <w:tcW w:w="9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554" w:hRule="exact"/>
        </w:trPr>
        <w:tc>
          <w:tcPr>
            <w:tcW w:w="4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pacing w:val="-2"/>
                <w:sz w:val="21"/>
                <w:szCs w:val="21"/>
              </w:rPr>
              <w:t>为股东、实际控制人及其关联方提供担保的</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C</w:t>
            </w:r>
            <w:r>
              <w:rPr>
                <w:rFonts w:ascii="宋体" w:hAnsi="宋体" w:cs="宋体" w:eastAsia="宋体" w:hint="default"/>
                <w:sz w:val="21"/>
                <w:szCs w:val="21"/>
              </w:rPr>
              <w:t>）</w:t>
            </w:r>
          </w:p>
        </w:tc>
        <w:tc>
          <w:tcPr>
            <w:tcW w:w="522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z w:val="21"/>
                <w:szCs w:val="21"/>
              </w:rPr>
              <w:t>70%</w:t>
            </w:r>
            <w:r>
              <w:rPr>
                <w:rFonts w:ascii="宋体" w:hAnsi="宋体" w:cs="宋体" w:eastAsia="宋体" w:hint="default"/>
                <w:sz w:val="21"/>
                <w:szCs w:val="21"/>
              </w:rPr>
              <w:t>的被担保</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对象提供的债务担保金额（</w:t>
            </w:r>
            <w:r>
              <w:rPr>
                <w:rFonts w:ascii="宋体" w:hAnsi="宋体" w:cs="宋体" w:eastAsia="宋体" w:hint="default"/>
                <w:sz w:val="21"/>
                <w:szCs w:val="21"/>
              </w:rPr>
              <w:t>D</w:t>
            </w:r>
            <w:r>
              <w:rPr>
                <w:rFonts w:ascii="宋体" w:hAnsi="宋体" w:cs="宋体" w:eastAsia="宋体" w:hint="default"/>
                <w:sz w:val="21"/>
                <w:szCs w:val="21"/>
              </w:rPr>
              <w:t>）</w:t>
            </w:r>
          </w:p>
        </w:tc>
        <w:tc>
          <w:tcPr>
            <w:tcW w:w="52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20,000.00</w:t>
            </w:r>
          </w:p>
        </w:tc>
      </w:tr>
      <w:tr>
        <w:trPr>
          <w:trHeight w:val="318" w:hRule="exact"/>
        </w:trPr>
        <w:tc>
          <w:tcPr>
            <w:tcW w:w="4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z w:val="21"/>
                <w:szCs w:val="21"/>
              </w:rPr>
              <w:t>50%</w:t>
            </w:r>
            <w:r>
              <w:rPr>
                <w:rFonts w:ascii="宋体" w:hAnsi="宋体" w:cs="宋体" w:eastAsia="宋体" w:hint="default"/>
                <w:sz w:val="21"/>
                <w:szCs w:val="21"/>
              </w:rPr>
              <w:t>部分的金额（</w:t>
            </w:r>
            <w:r>
              <w:rPr>
                <w:rFonts w:ascii="宋体" w:hAnsi="宋体" w:cs="宋体" w:eastAsia="宋体" w:hint="default"/>
                <w:sz w:val="21"/>
                <w:szCs w:val="21"/>
              </w:rPr>
              <w:t>E</w:t>
            </w:r>
            <w:r>
              <w:rPr>
                <w:rFonts w:ascii="宋体" w:hAnsi="宋体" w:cs="宋体" w:eastAsia="宋体" w:hint="default"/>
                <w:sz w:val="21"/>
                <w:szCs w:val="21"/>
              </w:rPr>
              <w:t>）</w:t>
            </w:r>
          </w:p>
        </w:tc>
        <w:tc>
          <w:tcPr>
            <w:tcW w:w="5228"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401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5"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52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20,000.00</w:t>
            </w:r>
          </w:p>
        </w:tc>
      </w:tr>
      <w:tr>
        <w:trPr>
          <w:trHeight w:val="318" w:hRule="exact"/>
        </w:trPr>
        <w:tc>
          <w:tcPr>
            <w:tcW w:w="401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5"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5228"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4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522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2" w:lineRule="exact" w:before="81"/>
        <w:ind w:left="618" w:right="421"/>
        <w:jc w:val="left"/>
      </w:pPr>
      <w:r>
        <w:rPr>
          <w:rFonts w:ascii="宋体" w:hAnsi="宋体" w:cs="宋体" w:eastAsia="宋体" w:hint="default"/>
          <w:spacing w:val="-4"/>
        </w:rPr>
        <w:t>1</w:t>
      </w:r>
      <w:r>
        <w:rPr>
          <w:spacing w:val="-4"/>
        </w:rPr>
        <w:t>、根据本公司</w:t>
      </w:r>
      <w:r>
        <w:rPr>
          <w:spacing w:val="-70"/>
        </w:rPr>
        <w:t> </w:t>
      </w:r>
      <w:r>
        <w:rPr>
          <w:rFonts w:ascii="宋体" w:hAnsi="宋体" w:cs="宋体" w:eastAsia="宋体" w:hint="default"/>
        </w:rPr>
        <w:t>2007</w:t>
      </w:r>
      <w:r>
        <w:rPr>
          <w:rFonts w:ascii="宋体" w:hAnsi="宋体" w:cs="宋体" w:eastAsia="宋体" w:hint="default"/>
          <w:spacing w:val="-70"/>
        </w:rPr>
        <w:t> </w:t>
      </w:r>
      <w:r>
        <w:rPr/>
        <w:t>年第三次临时董事会会议决议，为本公司之全资子公司华胜</w:t>
      </w:r>
    </w:p>
    <w:p>
      <w:pPr>
        <w:pStyle w:val="BodyText"/>
        <w:spacing w:line="312" w:lineRule="exact"/>
        <w:ind w:right="0"/>
        <w:jc w:val="left"/>
      </w:pPr>
      <w:r>
        <w:rPr/>
        <w:t>天成</w:t>
      </w:r>
      <w:r>
        <w:rPr>
          <w:rFonts w:ascii="宋体" w:hAnsi="宋体" w:cs="宋体" w:eastAsia="宋体" w:hint="default"/>
        </w:rPr>
        <w:t>(</w:t>
      </w:r>
      <w:r>
        <w:rPr/>
        <w:t>香港</w:t>
      </w:r>
      <w:r>
        <w:rPr>
          <w:rFonts w:ascii="宋体" w:hAnsi="宋体" w:cs="宋体" w:eastAsia="宋体" w:hint="default"/>
        </w:rPr>
        <w:t>)</w:t>
      </w:r>
      <w:r>
        <w:rPr/>
        <w:t>有限公司提供每年最高额 </w:t>
      </w:r>
      <w:r>
        <w:rPr>
          <w:rFonts w:ascii="宋体" w:hAnsi="宋体" w:cs="宋体" w:eastAsia="宋体" w:hint="default"/>
        </w:rPr>
        <w:t>7,000</w:t>
      </w:r>
      <w:r>
        <w:rPr>
          <w:rFonts w:ascii="宋体" w:hAnsi="宋体" w:cs="宋体" w:eastAsia="宋体" w:hint="default"/>
          <w:spacing w:val="-60"/>
        </w:rPr>
        <w:t> </w:t>
      </w:r>
      <w:r>
        <w:rPr/>
        <w:t>万元人民币或等值外币的采购付款担保；</w:t>
      </w:r>
    </w:p>
    <w:p>
      <w:pPr>
        <w:pStyle w:val="BodyText"/>
        <w:spacing w:line="313" w:lineRule="exact" w:before="116"/>
        <w:ind w:left="618" w:right="421"/>
        <w:jc w:val="left"/>
      </w:pPr>
      <w:r>
        <w:rPr>
          <w:rFonts w:ascii="宋体" w:hAnsi="宋体" w:cs="宋体" w:eastAsia="宋体" w:hint="default"/>
          <w:spacing w:val="-4"/>
        </w:rPr>
        <w:t>2</w:t>
      </w:r>
      <w:r>
        <w:rPr>
          <w:spacing w:val="-4"/>
        </w:rPr>
        <w:t>、根据本公司</w:t>
      </w:r>
      <w:r>
        <w:rPr>
          <w:spacing w:val="-70"/>
        </w:rPr>
        <w:t> </w:t>
      </w:r>
      <w:r>
        <w:rPr>
          <w:rFonts w:ascii="宋体" w:hAnsi="宋体" w:cs="宋体" w:eastAsia="宋体" w:hint="default"/>
        </w:rPr>
        <w:t>2009</w:t>
      </w:r>
      <w:r>
        <w:rPr>
          <w:rFonts w:ascii="宋体" w:hAnsi="宋体" w:cs="宋体" w:eastAsia="宋体" w:hint="default"/>
          <w:spacing w:val="-70"/>
        </w:rPr>
        <w:t> </w:t>
      </w:r>
      <w:r>
        <w:rPr/>
        <w:t>年第九次临时董事会审议通过，为本公司之控股子公司北京</w:t>
      </w:r>
    </w:p>
    <w:p>
      <w:pPr>
        <w:pStyle w:val="BodyText"/>
        <w:spacing w:line="313" w:lineRule="exact"/>
        <w:ind w:right="853"/>
        <w:jc w:val="left"/>
      </w:pPr>
      <w:r>
        <w:rPr/>
        <w:t>飞杰信息技术有限公司提供每年最高额</w:t>
      </w:r>
      <w:r>
        <w:rPr>
          <w:spacing w:val="-60"/>
        </w:rPr>
        <w:t> </w:t>
      </w:r>
      <w:r>
        <w:rPr>
          <w:rFonts w:ascii="宋体" w:hAnsi="宋体" w:cs="宋体" w:eastAsia="宋体" w:hint="default"/>
        </w:rPr>
        <w:t>3,000</w:t>
      </w:r>
      <w:r>
        <w:rPr>
          <w:rFonts w:ascii="宋体" w:hAnsi="宋体" w:cs="宋体" w:eastAsia="宋体" w:hint="default"/>
          <w:spacing w:val="-60"/>
        </w:rPr>
        <w:t> </w:t>
      </w:r>
      <w:r>
        <w:rPr/>
        <w:t>万元人民币的贸易项下担保；</w:t>
      </w:r>
    </w:p>
    <w:p>
      <w:pPr>
        <w:pStyle w:val="BodyText"/>
        <w:spacing w:line="313" w:lineRule="exact" w:before="116"/>
        <w:ind w:left="618" w:right="421"/>
        <w:jc w:val="left"/>
      </w:pPr>
      <w:r>
        <w:rPr>
          <w:rFonts w:ascii="宋体" w:hAnsi="宋体" w:cs="宋体" w:eastAsia="宋体" w:hint="default"/>
          <w:spacing w:val="-4"/>
        </w:rPr>
        <w:t>3</w:t>
      </w:r>
      <w:r>
        <w:rPr>
          <w:spacing w:val="-4"/>
        </w:rPr>
        <w:t>、根据本公司</w:t>
      </w:r>
      <w:r>
        <w:rPr>
          <w:spacing w:val="-70"/>
        </w:rPr>
        <w:t> </w:t>
      </w:r>
      <w:r>
        <w:rPr>
          <w:rFonts w:ascii="宋体" w:hAnsi="宋体" w:cs="宋体" w:eastAsia="宋体" w:hint="default"/>
        </w:rPr>
        <w:t>2007</w:t>
      </w:r>
      <w:r>
        <w:rPr>
          <w:rFonts w:ascii="宋体" w:hAnsi="宋体" w:cs="宋体" w:eastAsia="宋体" w:hint="default"/>
          <w:spacing w:val="-70"/>
        </w:rPr>
        <w:t> </w:t>
      </w:r>
      <w:r>
        <w:rPr/>
        <w:t>年第八次临时董事会会议决议，为本公司之全资子公司深圳</w:t>
      </w:r>
    </w:p>
    <w:p>
      <w:pPr>
        <w:pStyle w:val="BodyText"/>
        <w:spacing w:line="313" w:lineRule="exact"/>
        <w:ind w:right="853"/>
        <w:jc w:val="left"/>
      </w:pPr>
      <w:r>
        <w:rPr/>
        <w:t>华胜天成信息技术有限公司提供每年最高额</w:t>
      </w:r>
      <w:r>
        <w:rPr>
          <w:spacing w:val="-60"/>
        </w:rPr>
        <w:t> </w:t>
      </w:r>
      <w:r>
        <w:rPr>
          <w:rFonts w:ascii="宋体" w:hAnsi="宋体" w:cs="宋体" w:eastAsia="宋体" w:hint="default"/>
        </w:rPr>
        <w:t>800</w:t>
      </w:r>
      <w:r>
        <w:rPr>
          <w:rFonts w:ascii="宋体" w:hAnsi="宋体" w:cs="宋体" w:eastAsia="宋体" w:hint="default"/>
          <w:spacing w:val="-60"/>
        </w:rPr>
        <w:t> </w:t>
      </w:r>
      <w:r>
        <w:rPr/>
        <w:t>万美元的采购额度的信用担保；</w:t>
      </w:r>
    </w:p>
    <w:p>
      <w:pPr>
        <w:pStyle w:val="BodyText"/>
        <w:spacing w:line="237" w:lineRule="auto" w:before="119"/>
        <w:ind w:right="492" w:firstLine="480"/>
        <w:jc w:val="both"/>
      </w:pPr>
      <w:r>
        <w:rPr>
          <w:rFonts w:ascii="宋体" w:hAnsi="宋体" w:cs="宋体" w:eastAsia="宋体" w:hint="default"/>
          <w:spacing w:val="-4"/>
        </w:rPr>
        <w:t>4</w:t>
      </w:r>
      <w:r>
        <w:rPr>
          <w:spacing w:val="-4"/>
        </w:rPr>
        <w:t>、根据本公司</w:t>
      </w:r>
      <w:r>
        <w:rPr>
          <w:spacing w:val="-70"/>
        </w:rPr>
        <w:t> </w:t>
      </w:r>
      <w:r>
        <w:rPr>
          <w:rFonts w:ascii="宋体" w:hAnsi="宋体" w:cs="宋体" w:eastAsia="宋体" w:hint="default"/>
        </w:rPr>
        <w:t>2011</w:t>
      </w:r>
      <w:r>
        <w:rPr>
          <w:rFonts w:ascii="宋体" w:hAnsi="宋体" w:cs="宋体" w:eastAsia="宋体" w:hint="default"/>
          <w:spacing w:val="-70"/>
        </w:rPr>
        <w:t> </w:t>
      </w:r>
      <w:r>
        <w:rPr/>
        <w:t>年第十三次临时董事会会议决议，为本公司之控股子公司北 京飞杰信息技术有限公司提供总额不超过</w:t>
      </w:r>
      <w:r>
        <w:rPr>
          <w:spacing w:val="-60"/>
        </w:rPr>
        <w:t> </w:t>
      </w:r>
      <w:r>
        <w:rPr>
          <w:rFonts w:ascii="宋体" w:hAnsi="宋体" w:cs="宋体" w:eastAsia="宋体" w:hint="default"/>
        </w:rPr>
        <w:t>500</w:t>
      </w:r>
      <w:r>
        <w:rPr>
          <w:rFonts w:ascii="宋体" w:hAnsi="宋体" w:cs="宋体" w:eastAsia="宋体" w:hint="default"/>
          <w:spacing w:val="-60"/>
        </w:rPr>
        <w:t> </w:t>
      </w:r>
      <w:r>
        <w:rPr>
          <w:spacing w:val="-5"/>
        </w:rPr>
        <w:t>万元人民币，仅为进口</w:t>
      </w:r>
      <w:r>
        <w:rPr>
          <w:spacing w:val="-60"/>
        </w:rPr>
        <w:t> </w:t>
      </w:r>
      <w:r>
        <w:rPr>
          <w:rFonts w:ascii="宋体" w:hAnsi="宋体" w:cs="宋体" w:eastAsia="宋体" w:hint="default"/>
        </w:rPr>
        <w:t>ARRAY</w:t>
      </w:r>
      <w:r>
        <w:rPr>
          <w:rFonts w:ascii="宋体" w:hAnsi="宋体" w:cs="宋体" w:eastAsia="宋体" w:hint="default"/>
          <w:spacing w:val="-60"/>
        </w:rPr>
        <w:t> </w:t>
      </w:r>
      <w:r>
        <w:rPr/>
        <w:t>系列产品 的担保，担保期限至</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18</w:t>
      </w:r>
      <w:r>
        <w:rPr>
          <w:rFonts w:ascii="宋体" w:hAnsi="宋体" w:cs="宋体" w:eastAsia="宋体" w:hint="default"/>
          <w:spacing w:val="-60"/>
        </w:rPr>
        <w:t> </w:t>
      </w:r>
      <w:r>
        <w:rPr/>
        <w:t>日；</w:t>
      </w:r>
    </w:p>
    <w:p>
      <w:pPr>
        <w:pStyle w:val="BodyText"/>
        <w:spacing w:line="237" w:lineRule="auto" w:before="120"/>
        <w:ind w:right="493" w:firstLine="480"/>
        <w:jc w:val="both"/>
      </w:pPr>
      <w:r>
        <w:rPr>
          <w:rFonts w:ascii="宋体" w:hAnsi="宋体" w:cs="宋体" w:eastAsia="宋体" w:hint="default"/>
          <w:spacing w:val="-4"/>
        </w:rPr>
        <w:t>5</w:t>
      </w:r>
      <w:r>
        <w:rPr>
          <w:spacing w:val="-4"/>
        </w:rPr>
        <w:t>、根据本公司</w:t>
      </w:r>
      <w:r>
        <w:rPr>
          <w:spacing w:val="-70"/>
        </w:rPr>
        <w:t> </w:t>
      </w:r>
      <w:r>
        <w:rPr>
          <w:rFonts w:ascii="宋体" w:hAnsi="宋体" w:cs="宋体" w:eastAsia="宋体" w:hint="default"/>
        </w:rPr>
        <w:t>2012</w:t>
      </w:r>
      <w:r>
        <w:rPr>
          <w:rFonts w:ascii="宋体" w:hAnsi="宋体" w:cs="宋体" w:eastAsia="宋体" w:hint="default"/>
          <w:spacing w:val="-70"/>
        </w:rPr>
        <w:t> </w:t>
      </w:r>
      <w:r>
        <w:rPr/>
        <w:t>年第六次临时董事会会议决议，为本公司之间接控制子公司 </w:t>
      </w:r>
      <w:r>
        <w:rPr>
          <w:spacing w:val="-2"/>
        </w:rPr>
        <w:t>华胜天成（中国）融资租赁有限公司在中国银行天津滨海分行申请授信额度提供连带</w:t>
      </w:r>
      <w:r>
        <w:rPr>
          <w:spacing w:val="-94"/>
        </w:rPr>
        <w:t> </w:t>
      </w:r>
      <w:r>
        <w:rPr>
          <w:spacing w:val="-94"/>
        </w:rPr>
      </w:r>
      <w:r>
        <w:rPr/>
        <w:t>责任保证担保，担保品种为租赁保理</w:t>
      </w:r>
      <w:r>
        <w:rPr>
          <w:rFonts w:ascii="宋体" w:hAnsi="宋体" w:cs="宋体" w:eastAsia="宋体" w:hint="default"/>
        </w:rPr>
        <w:t>,</w:t>
      </w:r>
      <w:r>
        <w:rPr/>
        <w:t>金额为人民币</w:t>
      </w:r>
      <w:r>
        <w:rPr>
          <w:spacing w:val="-83"/>
        </w:rPr>
        <w:t> </w:t>
      </w:r>
      <w:r>
        <w:rPr>
          <w:rFonts w:ascii="宋体" w:hAnsi="宋体" w:cs="宋体" w:eastAsia="宋体" w:hint="default"/>
        </w:rPr>
        <w:t>3000</w:t>
      </w:r>
      <w:r>
        <w:rPr>
          <w:rFonts w:ascii="宋体" w:hAnsi="宋体" w:cs="宋体" w:eastAsia="宋体" w:hint="default"/>
          <w:spacing w:val="-83"/>
        </w:rPr>
        <w:t> </w:t>
      </w:r>
      <w:r>
        <w:rPr/>
        <w:t>万元整，保证期间为主债权 的清偿期届满之日起两年；</w:t>
      </w:r>
    </w:p>
    <w:p>
      <w:pPr>
        <w:pStyle w:val="BodyText"/>
        <w:spacing w:line="237" w:lineRule="auto" w:before="121"/>
        <w:ind w:right="492" w:firstLine="480"/>
        <w:jc w:val="both"/>
      </w:pPr>
      <w:r>
        <w:rPr>
          <w:rFonts w:ascii="宋体" w:hAnsi="宋体" w:cs="宋体" w:eastAsia="宋体" w:hint="default"/>
        </w:rPr>
        <w:t>6</w:t>
      </w:r>
      <w:r>
        <w:rPr/>
        <w:t>、根据本公司</w:t>
      </w:r>
      <w:r>
        <w:rPr>
          <w:spacing w:val="-60"/>
        </w:rPr>
        <w:t> </w:t>
      </w:r>
      <w:r>
        <w:rPr>
          <w:rFonts w:ascii="宋体" w:hAnsi="宋体" w:cs="宋体" w:eastAsia="宋体" w:hint="default"/>
        </w:rPr>
        <w:t>2012</w:t>
      </w:r>
      <w:r>
        <w:rPr>
          <w:rFonts w:ascii="宋体" w:hAnsi="宋体" w:cs="宋体" w:eastAsia="宋体" w:hint="default"/>
          <w:spacing w:val="-60"/>
        </w:rPr>
        <w:t> </w:t>
      </w:r>
      <w:r>
        <w:rPr/>
        <w:t>年第九次临时董事会会议决议</w:t>
      </w:r>
      <w:r>
        <w:rPr>
          <w:rFonts w:ascii="宋体" w:hAnsi="宋体" w:cs="宋体" w:eastAsia="宋体" w:hint="default"/>
        </w:rPr>
        <w:t>,</w:t>
      </w:r>
      <w:r>
        <w:rPr/>
        <w:t>，为本公司之间接控制子公 </w:t>
      </w:r>
      <w:r>
        <w:rPr>
          <w:spacing w:val="-2"/>
        </w:rPr>
        <w:t>司华胜天成（中国）融资租赁有限公司在东亚银行（中国）有限公司北京分行申请授</w:t>
      </w:r>
      <w:r>
        <w:rPr>
          <w:spacing w:val="-94"/>
        </w:rPr>
        <w:t> </w:t>
      </w:r>
      <w:r>
        <w:rPr>
          <w:spacing w:val="-94"/>
        </w:rPr>
      </w:r>
      <w:r>
        <w:rPr>
          <w:spacing w:val="-6"/>
        </w:rPr>
        <w:t>信额度提供不可撤销的连带责任担保</w:t>
      </w:r>
      <w:r>
        <w:rPr>
          <w:rFonts w:ascii="宋体" w:hAnsi="宋体" w:cs="宋体" w:eastAsia="宋体" w:hint="default"/>
          <w:spacing w:val="-6"/>
        </w:rPr>
        <w:t>,</w:t>
      </w:r>
      <w:r>
        <w:rPr>
          <w:spacing w:val="-6"/>
        </w:rPr>
        <w:t>并签署《保证合同》，金额为人民币</w:t>
      </w:r>
      <w:r>
        <w:rPr>
          <w:spacing w:val="-48"/>
        </w:rPr>
        <w:t> </w:t>
      </w:r>
      <w:r>
        <w:rPr>
          <w:rFonts w:ascii="宋体" w:hAnsi="宋体" w:cs="宋体" w:eastAsia="宋体" w:hint="default"/>
        </w:rPr>
        <w:t>1</w:t>
      </w:r>
      <w:r>
        <w:rPr>
          <w:rFonts w:ascii="宋体" w:hAnsi="宋体" w:cs="宋体" w:eastAsia="宋体" w:hint="default"/>
          <w:spacing w:val="-48"/>
        </w:rPr>
        <w:t> </w:t>
      </w:r>
      <w:r>
        <w:rPr/>
        <w:t>亿元整，</w:t>
      </w:r>
      <w:r>
        <w:rPr>
          <w:spacing w:val="-118"/>
        </w:rPr>
        <w:t> </w:t>
      </w:r>
      <w:r>
        <w:rPr/>
        <w:t>保证期间为主合同下债务履行期限届满之日起三年；</w:t>
      </w:r>
    </w:p>
    <w:p>
      <w:pPr>
        <w:pStyle w:val="BodyText"/>
        <w:spacing w:line="237" w:lineRule="auto" w:before="120"/>
        <w:ind w:right="476" w:firstLine="480"/>
        <w:jc w:val="left"/>
      </w:pPr>
      <w:r>
        <w:rPr>
          <w:rFonts w:ascii="宋体" w:hAnsi="宋体" w:cs="宋体" w:eastAsia="宋体" w:hint="default"/>
          <w:spacing w:val="-4"/>
        </w:rPr>
        <w:t>7</w:t>
      </w:r>
      <w:r>
        <w:rPr>
          <w:spacing w:val="-4"/>
        </w:rPr>
        <w:t>、根据本公司</w:t>
      </w:r>
      <w:r>
        <w:rPr>
          <w:spacing w:val="-70"/>
        </w:rPr>
        <w:t> </w:t>
      </w:r>
      <w:r>
        <w:rPr>
          <w:rFonts w:ascii="宋体" w:hAnsi="宋体" w:cs="宋体" w:eastAsia="宋体" w:hint="default"/>
        </w:rPr>
        <w:t>2013</w:t>
      </w:r>
      <w:r>
        <w:rPr>
          <w:rFonts w:ascii="宋体" w:hAnsi="宋体" w:cs="宋体" w:eastAsia="宋体" w:hint="default"/>
          <w:spacing w:val="-70"/>
        </w:rPr>
        <w:t> </w:t>
      </w:r>
      <w:r>
        <w:rPr/>
        <w:t>年第二次临时董事会会议决议以及签署的综合授信合同，允 许本公司之控股子公司北京飞杰信息技术有限公司使用本公司在中国民生银行综合 授信额度，由本公司承担连带担保责任，担保额度调整为</w:t>
      </w:r>
      <w:r>
        <w:rPr>
          <w:spacing w:val="-60"/>
        </w:rPr>
        <w:t> </w:t>
      </w:r>
      <w:r>
        <w:rPr>
          <w:rFonts w:ascii="宋体" w:hAnsi="宋体" w:cs="宋体" w:eastAsia="宋体" w:hint="default"/>
        </w:rPr>
        <w:t>1000</w:t>
      </w:r>
      <w:r>
        <w:rPr>
          <w:rFonts w:ascii="宋体" w:hAnsi="宋体" w:cs="宋体" w:eastAsia="宋体" w:hint="default"/>
          <w:spacing w:val="-60"/>
        </w:rPr>
        <w:t> </w:t>
      </w:r>
      <w:r>
        <w:rPr/>
        <w:t>万元人民币，担保期</w:t>
      </w:r>
    </w:p>
    <w:p>
      <w:pPr>
        <w:pStyle w:val="BodyText"/>
        <w:spacing w:line="311" w:lineRule="exact"/>
        <w:ind w:right="853"/>
        <w:jc w:val="left"/>
      </w:pPr>
      <w:r>
        <w:rPr/>
        <w:t>限为</w:t>
      </w:r>
      <w:r>
        <w:rPr>
          <w:spacing w:val="-60"/>
        </w:rPr>
        <w:t> </w:t>
      </w:r>
      <w:r>
        <w:rPr>
          <w:rFonts w:ascii="宋体" w:hAnsi="宋体" w:cs="宋体" w:eastAsia="宋体" w:hint="default"/>
        </w:rPr>
        <w:t>2</w:t>
      </w:r>
      <w:r>
        <w:rPr>
          <w:rFonts w:ascii="宋体" w:hAnsi="宋体" w:cs="宋体" w:eastAsia="宋体" w:hint="default"/>
          <w:spacing w:val="-60"/>
        </w:rPr>
        <w:t> </w:t>
      </w:r>
      <w:r>
        <w:rPr/>
        <w:t>年；</w:t>
      </w:r>
    </w:p>
    <w:p>
      <w:pPr>
        <w:pStyle w:val="BodyText"/>
        <w:spacing w:line="310" w:lineRule="exact" w:before="150"/>
        <w:ind w:right="476" w:firstLine="480"/>
        <w:jc w:val="left"/>
      </w:pPr>
      <w:r>
        <w:rPr>
          <w:rFonts w:ascii="宋体" w:hAnsi="宋体" w:cs="宋体" w:eastAsia="宋体" w:hint="default"/>
          <w:spacing w:val="-4"/>
        </w:rPr>
        <w:t>8</w:t>
      </w:r>
      <w:r>
        <w:rPr>
          <w:spacing w:val="-4"/>
        </w:rPr>
        <w:t>、根据本公司</w:t>
      </w:r>
      <w:r>
        <w:rPr>
          <w:spacing w:val="-70"/>
        </w:rPr>
        <w:t> </w:t>
      </w:r>
      <w:r>
        <w:rPr>
          <w:rFonts w:ascii="宋体" w:hAnsi="宋体" w:cs="宋体" w:eastAsia="宋体" w:hint="default"/>
        </w:rPr>
        <w:t>2013</w:t>
      </w:r>
      <w:r>
        <w:rPr>
          <w:rFonts w:ascii="宋体" w:hAnsi="宋体" w:cs="宋体" w:eastAsia="宋体" w:hint="default"/>
          <w:spacing w:val="-70"/>
        </w:rPr>
        <w:t> </w:t>
      </w:r>
      <w:r>
        <w:rPr/>
        <w:t>年第二次临时董事会会议决议以及签署的综合授信合同，允 许本公司之全资子公司南京华胜天成信息技术有限公司使用本公司在中国民生银行 综合授信额度，由本公司承担连带担保责任，担保额度调整为</w:t>
      </w:r>
      <w:r>
        <w:rPr>
          <w:spacing w:val="-60"/>
        </w:rPr>
        <w:t> </w:t>
      </w:r>
      <w:r>
        <w:rPr>
          <w:rFonts w:ascii="宋体" w:hAnsi="宋体" w:cs="宋体" w:eastAsia="宋体" w:hint="default"/>
        </w:rPr>
        <w:t>5000</w:t>
      </w:r>
      <w:r>
        <w:rPr>
          <w:rFonts w:ascii="宋体" w:hAnsi="宋体" w:cs="宋体" w:eastAsia="宋体" w:hint="default"/>
          <w:spacing w:val="-60"/>
        </w:rPr>
        <w:t> </w:t>
      </w:r>
      <w:r>
        <w:rPr/>
        <w:t>万元人民币，担</w:t>
      </w:r>
    </w:p>
    <w:p>
      <w:pPr>
        <w:pStyle w:val="BodyText"/>
        <w:spacing w:line="284" w:lineRule="exact"/>
        <w:ind w:right="853"/>
        <w:jc w:val="left"/>
      </w:pPr>
      <w:r>
        <w:rPr/>
        <w:t>保期限为</w:t>
      </w:r>
      <w:r>
        <w:rPr>
          <w:spacing w:val="-60"/>
        </w:rPr>
        <w:t> </w:t>
      </w:r>
      <w:r>
        <w:rPr>
          <w:rFonts w:ascii="宋体" w:hAnsi="宋体" w:cs="宋体" w:eastAsia="宋体" w:hint="default"/>
        </w:rPr>
        <w:t>2</w:t>
      </w:r>
      <w:r>
        <w:rPr>
          <w:rFonts w:ascii="宋体" w:hAnsi="宋体" w:cs="宋体" w:eastAsia="宋体" w:hint="default"/>
          <w:spacing w:val="-60"/>
        </w:rPr>
        <w:t> </w:t>
      </w:r>
      <w:r>
        <w:rPr/>
        <w:t>年；</w:t>
      </w:r>
    </w:p>
    <w:p>
      <w:pPr>
        <w:pStyle w:val="BodyText"/>
        <w:spacing w:line="237" w:lineRule="auto" w:before="119"/>
        <w:ind w:right="474" w:firstLine="480"/>
        <w:jc w:val="left"/>
      </w:pPr>
      <w:r>
        <w:rPr>
          <w:rFonts w:ascii="宋体" w:hAnsi="宋体" w:cs="宋体" w:eastAsia="宋体" w:hint="default"/>
          <w:spacing w:val="-4"/>
        </w:rPr>
        <w:t>9</w:t>
      </w:r>
      <w:r>
        <w:rPr>
          <w:spacing w:val="-4"/>
        </w:rPr>
        <w:t>、根据本公司</w:t>
      </w:r>
      <w:r>
        <w:rPr>
          <w:spacing w:val="-70"/>
        </w:rPr>
        <w:t> </w:t>
      </w:r>
      <w:r>
        <w:rPr>
          <w:rFonts w:ascii="宋体" w:hAnsi="宋体" w:cs="宋体" w:eastAsia="宋体" w:hint="default"/>
        </w:rPr>
        <w:t>2013</w:t>
      </w:r>
      <w:r>
        <w:rPr>
          <w:rFonts w:ascii="宋体" w:hAnsi="宋体" w:cs="宋体" w:eastAsia="宋体" w:hint="default"/>
          <w:spacing w:val="-70"/>
        </w:rPr>
        <w:t> </w:t>
      </w:r>
      <w:r>
        <w:rPr/>
        <w:t>年第五次临时董事会会议决议及签署的综合授信合同，允许 本公司之全资子公司南京华胜天成信息技术有限公司使用本公司在招商银行南京五 台山支行综合授信额度，由本公司承担连带担保责任，金额为</w:t>
      </w:r>
      <w:r>
        <w:rPr>
          <w:spacing w:val="-83"/>
        </w:rPr>
        <w:t> </w:t>
      </w:r>
      <w:r>
        <w:rPr>
          <w:rFonts w:ascii="宋体" w:hAnsi="宋体" w:cs="宋体" w:eastAsia="宋体" w:hint="default"/>
        </w:rPr>
        <w:t>2000</w:t>
      </w:r>
      <w:r>
        <w:rPr>
          <w:rFonts w:ascii="宋体" w:hAnsi="宋体" w:cs="宋体" w:eastAsia="宋体" w:hint="default"/>
          <w:spacing w:val="-83"/>
        </w:rPr>
        <w:t> </w:t>
      </w:r>
      <w:r>
        <w:rPr/>
        <w:t>万元人民币</w:t>
      </w:r>
      <w:r>
        <w:rPr>
          <w:rFonts w:ascii="宋体" w:hAnsi="宋体" w:cs="宋体" w:eastAsia="宋体" w:hint="default"/>
        </w:rPr>
        <w:t>,</w:t>
      </w:r>
      <w:r>
        <w:rPr/>
        <w:t>担保 期限为一年；</w:t>
      </w:r>
    </w:p>
    <w:p>
      <w:pPr>
        <w:pStyle w:val="BodyText"/>
        <w:spacing w:line="310" w:lineRule="exact" w:before="150"/>
        <w:ind w:right="421" w:firstLine="480"/>
        <w:jc w:val="left"/>
      </w:pPr>
      <w:r>
        <w:rPr>
          <w:rFonts w:ascii="宋体" w:hAnsi="宋体" w:cs="宋体" w:eastAsia="宋体" w:hint="default"/>
        </w:rPr>
        <w:t>10</w:t>
      </w:r>
      <w:r>
        <w:rPr/>
        <w:t>、根据本公司</w:t>
      </w:r>
      <w:r>
        <w:rPr>
          <w:spacing w:val="-60"/>
        </w:rPr>
        <w:t> </w:t>
      </w:r>
      <w:r>
        <w:rPr>
          <w:rFonts w:ascii="宋体" w:hAnsi="宋体" w:cs="宋体" w:eastAsia="宋体" w:hint="default"/>
        </w:rPr>
        <w:t>2014</w:t>
      </w:r>
      <w:r>
        <w:rPr>
          <w:rFonts w:ascii="宋体" w:hAnsi="宋体" w:cs="宋体" w:eastAsia="宋体" w:hint="default"/>
          <w:spacing w:val="-60"/>
        </w:rPr>
        <w:t> </w:t>
      </w:r>
      <w:r>
        <w:rPr/>
        <w:t>年第五届董事会第二次会议决议，本公司使用汇丰银行综 </w:t>
      </w:r>
      <w:r>
        <w:rPr>
          <w:spacing w:val="-2"/>
        </w:rPr>
        <w:t>合信用额度申请开立备用信用证，为本公司之全资子公司华胜天成科技</w:t>
      </w:r>
      <w:r>
        <w:rPr>
          <w:rFonts w:ascii="宋体" w:hAnsi="宋体" w:cs="宋体" w:eastAsia="宋体" w:hint="default"/>
          <w:spacing w:val="-2"/>
        </w:rPr>
        <w:t>(</w:t>
      </w:r>
      <w:r>
        <w:rPr>
          <w:spacing w:val="-2"/>
        </w:rPr>
        <w:t>香港</w:t>
      </w:r>
      <w:r>
        <w:rPr>
          <w:rFonts w:ascii="宋体" w:hAnsi="宋体" w:cs="宋体" w:eastAsia="宋体" w:hint="default"/>
          <w:spacing w:val="-2"/>
        </w:rPr>
        <w:t>)</w:t>
      </w:r>
      <w:r>
        <w:rPr>
          <w:spacing w:val="-2"/>
        </w:rPr>
        <w:t>有限公</w:t>
      </w:r>
    </w:p>
    <w:p>
      <w:pPr>
        <w:spacing w:after="0" w:line="310" w:lineRule="exact"/>
        <w:jc w:val="left"/>
        <w:sectPr>
          <w:pgSz w:w="11910" w:h="16840"/>
          <w:pgMar w:header="882" w:footer="1194" w:top="1080" w:bottom="1380" w:left="1660" w:right="780"/>
        </w:sectPr>
      </w:pPr>
    </w:p>
    <w:p>
      <w:pPr>
        <w:spacing w:line="240" w:lineRule="auto" w:before="12"/>
        <w:rPr>
          <w:rFonts w:ascii="宋体" w:hAnsi="宋体" w:cs="宋体" w:eastAsia="宋体" w:hint="default"/>
          <w:sz w:val="28"/>
          <w:szCs w:val="28"/>
        </w:rPr>
      </w:pPr>
    </w:p>
    <w:p>
      <w:pPr>
        <w:pStyle w:val="BodyText"/>
        <w:spacing w:line="310" w:lineRule="exact" w:before="58"/>
        <w:ind w:left="238" w:right="288"/>
        <w:jc w:val="left"/>
      </w:pPr>
      <w:r>
        <w:rPr/>
        <w:t>司在香港上海汇丰银行有限公司申请授信提供担保，金额为人民币</w:t>
      </w:r>
      <w:r>
        <w:rPr>
          <w:spacing w:val="-60"/>
        </w:rPr>
        <w:t> </w:t>
      </w:r>
      <w:r>
        <w:rPr>
          <w:rFonts w:ascii="宋体" w:hAnsi="宋体" w:cs="宋体" w:eastAsia="宋体" w:hint="default"/>
        </w:rPr>
        <w:t>10,000</w:t>
      </w:r>
      <w:r>
        <w:rPr>
          <w:rFonts w:ascii="宋体" w:hAnsi="宋体" w:cs="宋体" w:eastAsia="宋体" w:hint="default"/>
          <w:spacing w:val="-60"/>
        </w:rPr>
        <w:t> </w:t>
      </w:r>
      <w:r>
        <w:rPr/>
        <w:t>万元整， 担保期限为一年；</w:t>
      </w:r>
    </w:p>
    <w:p>
      <w:pPr>
        <w:pStyle w:val="BodyText"/>
        <w:spacing w:line="313" w:lineRule="exact" w:before="89"/>
        <w:ind w:left="718" w:right="261"/>
        <w:jc w:val="left"/>
      </w:pPr>
      <w:r>
        <w:rPr>
          <w:rFonts w:ascii="宋体" w:hAnsi="宋体" w:cs="宋体" w:eastAsia="宋体" w:hint="default"/>
        </w:rPr>
        <w:t>11</w:t>
      </w:r>
      <w:r>
        <w:rPr/>
        <w:t>、根据本公司</w:t>
      </w:r>
      <w:r>
        <w:rPr>
          <w:spacing w:val="-60"/>
        </w:rPr>
        <w:t> </w:t>
      </w:r>
      <w:r>
        <w:rPr>
          <w:rFonts w:ascii="宋体" w:hAnsi="宋体" w:cs="宋体" w:eastAsia="宋体" w:hint="default"/>
        </w:rPr>
        <w:t>2014</w:t>
      </w:r>
      <w:r>
        <w:rPr>
          <w:rFonts w:ascii="宋体" w:hAnsi="宋体" w:cs="宋体" w:eastAsia="宋体" w:hint="default"/>
          <w:spacing w:val="-60"/>
        </w:rPr>
        <w:t> </w:t>
      </w:r>
      <w:r>
        <w:rPr/>
        <w:t>年第五届董事会第三次会议决议，本公司使用中国银行综</w:t>
      </w:r>
    </w:p>
    <w:p>
      <w:pPr>
        <w:pStyle w:val="BodyText"/>
        <w:spacing w:line="311" w:lineRule="exact"/>
        <w:ind w:left="238" w:right="261"/>
        <w:jc w:val="left"/>
      </w:pPr>
      <w:r>
        <w:rPr/>
        <w:t>合授信额度申请开立备用信用证，金额为</w:t>
      </w:r>
      <w:r>
        <w:rPr>
          <w:spacing w:val="-60"/>
        </w:rPr>
        <w:t> </w:t>
      </w:r>
      <w:r>
        <w:rPr>
          <w:rFonts w:ascii="宋体" w:hAnsi="宋体" w:cs="宋体" w:eastAsia="宋体" w:hint="default"/>
        </w:rPr>
        <w:t>1000</w:t>
      </w:r>
      <w:r>
        <w:rPr>
          <w:rFonts w:ascii="宋体" w:hAnsi="宋体" w:cs="宋体" w:eastAsia="宋体" w:hint="default"/>
          <w:spacing w:val="-60"/>
        </w:rPr>
        <w:t> </w:t>
      </w:r>
      <w:r>
        <w:rPr/>
        <w:t>万美元，为华胜天成科技（香港）有</w:t>
      </w:r>
    </w:p>
    <w:p>
      <w:pPr>
        <w:pStyle w:val="BodyText"/>
        <w:spacing w:line="312" w:lineRule="exact" w:before="29"/>
        <w:ind w:left="238" w:right="220"/>
        <w:jc w:val="left"/>
      </w:pPr>
      <w:r>
        <w:rPr>
          <w:spacing w:val="-4"/>
        </w:rPr>
        <w:t>限公司在中国银行（香港）有限公司申请贸易项下融资业务额度提供不超过美金</w:t>
      </w:r>
      <w:r>
        <w:rPr>
          <w:spacing w:val="-32"/>
        </w:rPr>
        <w:t> </w:t>
      </w:r>
      <w:r>
        <w:rPr>
          <w:rFonts w:ascii="宋体" w:hAnsi="宋体" w:cs="宋体" w:eastAsia="宋体" w:hint="default"/>
        </w:rPr>
        <w:t>1000</w:t>
      </w:r>
      <w:r>
        <w:rPr>
          <w:rFonts w:ascii="宋体" w:hAnsi="宋体" w:cs="宋体" w:eastAsia="宋体" w:hint="default"/>
          <w:spacing w:val="-117"/>
        </w:rPr>
        <w:t> </w:t>
      </w:r>
      <w:r>
        <w:rPr/>
        <w:t>万元的担保，担保期限为一年。</w:t>
      </w:r>
    </w:p>
    <w:p>
      <w:pPr>
        <w:pStyle w:val="BodyText"/>
        <w:spacing w:line="237" w:lineRule="auto" w:before="91"/>
        <w:ind w:left="238" w:right="232" w:firstLine="420"/>
        <w:jc w:val="both"/>
      </w:pPr>
      <w:r>
        <w:rPr/>
        <w:t>截至本报告期末，公司累计对外担保发生额为：人民币</w:t>
      </w:r>
      <w:r>
        <w:rPr>
          <w:spacing w:val="-69"/>
        </w:rPr>
        <w:t> </w:t>
      </w:r>
      <w:r>
        <w:rPr>
          <w:rFonts w:ascii="宋体" w:hAnsi="宋体" w:cs="宋体" w:eastAsia="宋体" w:hint="default"/>
        </w:rPr>
        <w:t>52,500</w:t>
      </w:r>
      <w:r>
        <w:rPr>
          <w:rFonts w:ascii="宋体" w:hAnsi="宋体" w:cs="宋体" w:eastAsia="宋体" w:hint="default"/>
          <w:spacing w:val="-69"/>
        </w:rPr>
        <w:t> </w:t>
      </w:r>
      <w:r>
        <w:rPr>
          <w:spacing w:val="-4"/>
        </w:rPr>
        <w:t>万元，美元</w:t>
      </w:r>
      <w:r>
        <w:rPr>
          <w:spacing w:val="-69"/>
        </w:rPr>
        <w:t> </w:t>
      </w:r>
      <w:r>
        <w:rPr>
          <w:rFonts w:ascii="宋体" w:hAnsi="宋体" w:cs="宋体" w:eastAsia="宋体" w:hint="default"/>
        </w:rPr>
        <w:t>3,800 </w:t>
      </w:r>
      <w:r>
        <w:rPr>
          <w:spacing w:val="-2"/>
        </w:rPr>
        <w:t>万元。公司对外担保全部为对控股子公司及全资子公司。公司累计对外担保净额为人</w:t>
      </w:r>
      <w:r>
        <w:rPr>
          <w:spacing w:val="-94"/>
        </w:rPr>
        <w:t> </w:t>
      </w:r>
      <w:r>
        <w:rPr>
          <w:spacing w:val="-94"/>
        </w:rPr>
      </w:r>
      <w:r>
        <w:rPr/>
        <w:t>民币</w:t>
      </w:r>
      <w:r>
        <w:rPr>
          <w:spacing w:val="-59"/>
        </w:rPr>
        <w:t> </w:t>
      </w:r>
      <w:r>
        <w:rPr>
          <w:rFonts w:ascii="宋体" w:hAnsi="宋体" w:cs="宋体" w:eastAsia="宋体" w:hint="default"/>
        </w:rPr>
        <w:t>41,500</w:t>
      </w:r>
      <w:r>
        <w:rPr>
          <w:rFonts w:ascii="宋体" w:hAnsi="宋体" w:cs="宋体" w:eastAsia="宋体" w:hint="default"/>
          <w:spacing w:val="-59"/>
        </w:rPr>
        <w:t> </w:t>
      </w:r>
      <w:r>
        <w:rPr>
          <w:spacing w:val="-24"/>
        </w:rPr>
        <w:t>万元，美元</w:t>
      </w:r>
      <w:r>
        <w:rPr>
          <w:spacing w:val="-59"/>
        </w:rPr>
        <w:t> </w:t>
      </w:r>
      <w:r>
        <w:rPr>
          <w:rFonts w:ascii="宋体" w:hAnsi="宋体" w:cs="宋体" w:eastAsia="宋体" w:hint="default"/>
        </w:rPr>
        <w:t>1,800</w:t>
      </w:r>
      <w:r>
        <w:rPr>
          <w:rFonts w:ascii="宋体" w:hAnsi="宋体" w:cs="宋体" w:eastAsia="宋体" w:hint="default"/>
          <w:spacing w:val="-59"/>
        </w:rPr>
        <w:t> </w:t>
      </w:r>
      <w:r>
        <w:rPr>
          <w:spacing w:val="-24"/>
        </w:rPr>
        <w:t>万元，共计</w:t>
      </w:r>
      <w:r>
        <w:rPr>
          <w:spacing w:val="-59"/>
        </w:rPr>
        <w:t> </w:t>
      </w:r>
      <w:r>
        <w:rPr>
          <w:rFonts w:ascii="宋体" w:hAnsi="宋体" w:cs="宋体" w:eastAsia="宋体" w:hint="default"/>
        </w:rPr>
        <w:t>52,514.20</w:t>
      </w:r>
      <w:r>
        <w:rPr>
          <w:rFonts w:ascii="宋体" w:hAnsi="宋体" w:cs="宋体" w:eastAsia="宋体" w:hint="default"/>
          <w:spacing w:val="-59"/>
        </w:rPr>
        <w:t> </w:t>
      </w:r>
      <w:r>
        <w:rPr>
          <w:spacing w:val="-22"/>
        </w:rPr>
        <w:t>万元。（美元折算汇率为</w:t>
      </w:r>
      <w:r>
        <w:rPr>
          <w:spacing w:val="-59"/>
        </w:rPr>
        <w:t> </w:t>
      </w:r>
      <w:r>
        <w:rPr>
          <w:rFonts w:ascii="宋体" w:hAnsi="宋体" w:cs="宋体" w:eastAsia="宋体" w:hint="default"/>
        </w:rPr>
        <w:t>6.1190</w:t>
      </w:r>
      <w:r>
        <w:rPr/>
        <w:t>）</w:t>
      </w:r>
    </w:p>
    <w:p>
      <w:pPr>
        <w:spacing w:line="240" w:lineRule="auto" w:before="5"/>
        <w:rPr>
          <w:rFonts w:ascii="宋体" w:hAnsi="宋体" w:cs="宋体" w:eastAsia="宋体" w:hint="default"/>
          <w:sz w:val="34"/>
          <w:szCs w:val="34"/>
        </w:rPr>
      </w:pPr>
    </w:p>
    <w:p>
      <w:pPr>
        <w:pStyle w:val="Heading2"/>
        <w:tabs>
          <w:tab w:pos="1353" w:val="left" w:leader="none"/>
        </w:tabs>
        <w:spacing w:line="240" w:lineRule="auto" w:before="0"/>
        <w:ind w:left="238" w:right="261"/>
        <w:jc w:val="left"/>
        <w:rPr>
          <w:b w:val="0"/>
          <w:bCs w:val="0"/>
        </w:rPr>
      </w:pPr>
      <w:r>
        <w:rPr/>
        <w:t>八、</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r>
        <w:rPr/>
        <w:t>承诺事项履行情况</w:t>
      </w:r>
      <w:r>
        <w:rPr>
          <w:b w:val="0"/>
          <w:bCs w:val="0"/>
        </w:rPr>
      </w:r>
    </w:p>
    <w:p>
      <w:pPr>
        <w:spacing w:before="61"/>
        <w:ind w:left="238" w:right="26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p>
    <w:p>
      <w:pPr>
        <w:pStyle w:val="Heading2"/>
        <w:spacing w:line="312" w:lineRule="exact" w:before="83"/>
        <w:ind w:left="805" w:right="81" w:hanging="568"/>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50"/>
        </w:rPr>
        <w:t> </w:t>
      </w:r>
      <w:r>
        <w:rPr/>
        <w:t>上市公司、持股</w:t>
      </w:r>
      <w:r>
        <w:rPr>
          <w:spacing w:val="-59"/>
        </w:rPr>
        <w:t> </w:t>
      </w:r>
      <w:r>
        <w:rPr>
          <w:rFonts w:ascii="宋体" w:hAnsi="宋体" w:cs="宋体" w:eastAsia="宋体" w:hint="default"/>
        </w:rPr>
        <w:t>5%</w:t>
      </w:r>
      <w:r>
        <w:rPr/>
        <w:t>以上的股东、控股股东及实际控制人在报告期内或持续到报</w:t>
      </w:r>
      <w:r>
        <w:rPr>
          <w:w w:val="99"/>
        </w:rPr>
        <w:t> </w:t>
      </w:r>
      <w:r>
        <w:rPr/>
        <w:t>告期内的承诺事项</w:t>
      </w:r>
      <w:r>
        <w:rPr>
          <w:b w:val="0"/>
          <w:bCs w:val="0"/>
        </w:rPr>
      </w:r>
    </w:p>
    <w:p>
      <w:pPr>
        <w:spacing w:line="240" w:lineRule="auto" w:before="2"/>
        <w:rPr>
          <w:rFonts w:ascii="宋体" w:hAnsi="宋体" w:cs="宋体" w:eastAsia="宋体" w:hint="default"/>
          <w:b/>
          <w:bCs/>
          <w:sz w:val="5"/>
          <w:szCs w:val="5"/>
        </w:rPr>
      </w:pPr>
    </w:p>
    <w:tbl>
      <w:tblPr>
        <w:tblW w:w="0" w:type="auto"/>
        <w:jc w:val="left"/>
        <w:tblInd w:w="107" w:type="dxa"/>
        <w:tblLayout w:type="fixed"/>
        <w:tblCellMar>
          <w:top w:w="0" w:type="dxa"/>
          <w:left w:w="0" w:type="dxa"/>
          <w:bottom w:w="0" w:type="dxa"/>
          <w:right w:w="0" w:type="dxa"/>
        </w:tblCellMar>
        <w:tblLook w:val="01E0"/>
      </w:tblPr>
      <w:tblGrid>
        <w:gridCol w:w="1525"/>
        <w:gridCol w:w="868"/>
        <w:gridCol w:w="898"/>
        <w:gridCol w:w="937"/>
        <w:gridCol w:w="938"/>
        <w:gridCol w:w="966"/>
        <w:gridCol w:w="947"/>
        <w:gridCol w:w="1109"/>
        <w:gridCol w:w="870"/>
      </w:tblGrid>
      <w:tr>
        <w:trPr>
          <w:trHeight w:val="1372" w:hRule="exact"/>
        </w:trPr>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承诺背景</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217" w:right="218"/>
              <w:jc w:val="left"/>
              <w:rPr>
                <w:rFonts w:ascii="宋体" w:hAnsi="宋体" w:cs="宋体" w:eastAsia="宋体" w:hint="default"/>
                <w:sz w:val="21"/>
                <w:szCs w:val="21"/>
              </w:rPr>
            </w:pPr>
            <w:r>
              <w:rPr>
                <w:rFonts w:ascii="宋体" w:hAnsi="宋体" w:cs="宋体" w:eastAsia="宋体" w:hint="default"/>
                <w:sz w:val="21"/>
                <w:szCs w:val="21"/>
              </w:rPr>
              <w:t>承诺 类型</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28"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253" w:right="252"/>
              <w:jc w:val="left"/>
              <w:rPr>
                <w:rFonts w:ascii="宋体" w:hAnsi="宋体" w:cs="宋体" w:eastAsia="宋体" w:hint="default"/>
                <w:sz w:val="21"/>
                <w:szCs w:val="21"/>
              </w:rPr>
            </w:pPr>
            <w:r>
              <w:rPr>
                <w:rFonts w:ascii="宋体" w:hAnsi="宋体" w:cs="宋体" w:eastAsia="宋体" w:hint="default"/>
                <w:sz w:val="21"/>
                <w:szCs w:val="21"/>
              </w:rPr>
              <w:t>承诺 内容</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37" w:lineRule="auto"/>
              <w:ind w:left="148" w:right="149"/>
              <w:jc w:val="center"/>
              <w:rPr>
                <w:rFonts w:ascii="宋体" w:hAnsi="宋体" w:cs="宋体" w:eastAsia="宋体" w:hint="default"/>
                <w:sz w:val="21"/>
                <w:szCs w:val="21"/>
              </w:rPr>
            </w:pPr>
            <w:r>
              <w:rPr>
                <w:rFonts w:ascii="宋体" w:hAnsi="宋体" w:cs="宋体" w:eastAsia="宋体" w:hint="default"/>
                <w:sz w:val="21"/>
                <w:szCs w:val="21"/>
              </w:rPr>
              <w:t>承诺时 间及期 限</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37" w:lineRule="auto"/>
              <w:ind w:left="163" w:right="161"/>
              <w:jc w:val="center"/>
              <w:rPr>
                <w:rFonts w:ascii="宋体" w:hAnsi="宋体" w:cs="宋体" w:eastAsia="宋体" w:hint="default"/>
                <w:sz w:val="21"/>
                <w:szCs w:val="21"/>
              </w:rPr>
            </w:pPr>
            <w:r>
              <w:rPr>
                <w:rFonts w:ascii="宋体" w:hAnsi="宋体" w:cs="宋体" w:eastAsia="宋体" w:hint="default"/>
                <w:sz w:val="21"/>
                <w:szCs w:val="21"/>
              </w:rPr>
              <w:t>是否有 履行期 限</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37" w:lineRule="auto"/>
              <w:ind w:left="153" w:right="153"/>
              <w:jc w:val="both"/>
              <w:rPr>
                <w:rFonts w:ascii="宋体" w:hAnsi="宋体" w:cs="宋体" w:eastAsia="宋体" w:hint="default"/>
                <w:sz w:val="21"/>
                <w:szCs w:val="21"/>
              </w:rPr>
            </w:pPr>
            <w:r>
              <w:rPr>
                <w:rFonts w:ascii="宋体" w:hAnsi="宋体" w:cs="宋体" w:eastAsia="宋体" w:hint="default"/>
                <w:sz w:val="21"/>
                <w:szCs w:val="21"/>
              </w:rPr>
              <w:t>是否及 时严格 履行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both"/>
              <w:rPr>
                <w:rFonts w:ascii="宋体" w:hAnsi="宋体" w:cs="宋体" w:eastAsia="宋体" w:hint="default"/>
                <w:sz w:val="21"/>
                <w:szCs w:val="21"/>
              </w:rPr>
            </w:pPr>
            <w:r>
              <w:rPr>
                <w:rFonts w:ascii="宋体" w:hAnsi="宋体" w:cs="宋体" w:eastAsia="宋体" w:hint="default"/>
                <w:sz w:val="21"/>
                <w:szCs w:val="21"/>
              </w:rPr>
              <w:t>如未能及</w:t>
            </w:r>
          </w:p>
          <w:p>
            <w:pPr>
              <w:pStyle w:val="TableParagraph"/>
              <w:spacing w:line="237" w:lineRule="auto" w:before="1"/>
              <w:ind w:left="129" w:right="127"/>
              <w:jc w:val="both"/>
              <w:rPr>
                <w:rFonts w:ascii="宋体" w:hAnsi="宋体" w:cs="宋体" w:eastAsia="宋体" w:hint="default"/>
                <w:sz w:val="21"/>
                <w:szCs w:val="21"/>
              </w:rPr>
            </w:pPr>
            <w:r>
              <w:rPr>
                <w:rFonts w:ascii="宋体" w:hAnsi="宋体" w:cs="宋体" w:eastAsia="宋体" w:hint="default"/>
                <w:sz w:val="21"/>
                <w:szCs w:val="21"/>
              </w:rPr>
              <w:t>时履行应 说明未完 成履行的 具体原因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both"/>
              <w:rPr>
                <w:rFonts w:ascii="宋体" w:hAnsi="宋体" w:cs="宋体" w:eastAsia="宋体" w:hint="default"/>
                <w:sz w:val="21"/>
                <w:szCs w:val="21"/>
              </w:rPr>
            </w:pPr>
            <w:r>
              <w:rPr>
                <w:rFonts w:ascii="宋体" w:hAnsi="宋体" w:cs="宋体" w:eastAsia="宋体" w:hint="default"/>
                <w:sz w:val="21"/>
                <w:szCs w:val="21"/>
              </w:rPr>
              <w:t>如未能</w:t>
            </w:r>
          </w:p>
          <w:p>
            <w:pPr>
              <w:pStyle w:val="TableParagraph"/>
              <w:spacing w:line="237" w:lineRule="auto" w:before="1"/>
              <w:ind w:left="115" w:right="113"/>
              <w:jc w:val="both"/>
              <w:rPr>
                <w:rFonts w:ascii="宋体" w:hAnsi="宋体" w:cs="宋体" w:eastAsia="宋体" w:hint="default"/>
                <w:sz w:val="21"/>
                <w:szCs w:val="21"/>
              </w:rPr>
            </w:pPr>
            <w:r>
              <w:rPr>
                <w:rFonts w:ascii="宋体" w:hAnsi="宋体" w:cs="宋体" w:eastAsia="宋体" w:hint="default"/>
                <w:sz w:val="21"/>
                <w:szCs w:val="21"/>
              </w:rPr>
              <w:t>及时履 行应说 明下一 步计划</w:t>
            </w:r>
          </w:p>
        </w:tc>
      </w:tr>
      <w:tr>
        <w:trPr>
          <w:trHeight w:val="3551" w:hRule="exact"/>
        </w:trPr>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72" w:lineRule="exact"/>
              <w:ind w:left="101" w:right="151"/>
              <w:jc w:val="left"/>
              <w:rPr>
                <w:rFonts w:ascii="宋体" w:hAnsi="宋体" w:cs="宋体" w:eastAsia="宋体" w:hint="default"/>
                <w:sz w:val="21"/>
                <w:szCs w:val="21"/>
              </w:rPr>
            </w:pPr>
            <w:r>
              <w:rPr>
                <w:rFonts w:ascii="宋体" w:hAnsi="宋体" w:cs="宋体" w:eastAsia="宋体" w:hint="default"/>
                <w:sz w:val="21"/>
                <w:szCs w:val="21"/>
              </w:rPr>
              <w:t>与再融资相关 的承诺</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公司不</w:t>
            </w:r>
          </w:p>
          <w:p>
            <w:pPr>
              <w:pStyle w:val="TableParagraph"/>
              <w:spacing w:line="237" w:lineRule="auto" w:before="1"/>
              <w:ind w:left="101" w:right="193"/>
              <w:jc w:val="left"/>
              <w:rPr>
                <w:rFonts w:ascii="宋体" w:hAnsi="宋体" w:cs="宋体" w:eastAsia="宋体" w:hint="default"/>
                <w:sz w:val="21"/>
                <w:szCs w:val="21"/>
              </w:rPr>
            </w:pPr>
            <w:r>
              <w:rPr>
                <w:rFonts w:ascii="宋体" w:hAnsi="宋体" w:cs="宋体" w:eastAsia="宋体" w:hint="default"/>
                <w:sz w:val="21"/>
                <w:szCs w:val="21"/>
              </w:rPr>
              <w:t>再从事 以买卖 交易为 目的的 股票、 基金等 金融产 品投 资，专 注于主 业发 展。</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募投项</w:t>
            </w:r>
          </w:p>
          <w:p>
            <w:pPr>
              <w:pStyle w:val="TableParagraph"/>
              <w:spacing w:line="272" w:lineRule="exact" w:before="26"/>
              <w:ind w:left="103" w:right="193"/>
              <w:jc w:val="left"/>
              <w:rPr>
                <w:rFonts w:ascii="宋体" w:hAnsi="宋体" w:cs="宋体" w:eastAsia="宋体" w:hint="default"/>
                <w:sz w:val="21"/>
                <w:szCs w:val="21"/>
              </w:rPr>
            </w:pPr>
            <w:r>
              <w:rPr>
                <w:rFonts w:ascii="宋体" w:hAnsi="宋体" w:cs="宋体" w:eastAsia="宋体" w:hint="default"/>
                <w:sz w:val="21"/>
                <w:szCs w:val="21"/>
              </w:rPr>
              <w:t>目承诺 期限内</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0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2" w:lineRule="exact" w:before="111"/>
        <w:ind w:left="238" w:right="233" w:firstLine="480"/>
        <w:jc w:val="both"/>
      </w:pPr>
      <w:r>
        <w:rPr>
          <w:spacing w:val="-2"/>
        </w:rPr>
        <w:t>本公司于</w:t>
      </w:r>
      <w:r>
        <w:rPr>
          <w:rFonts w:ascii="宋体" w:hAnsi="宋体" w:cs="宋体" w:eastAsia="宋体" w:hint="default"/>
          <w:spacing w:val="-2"/>
        </w:rPr>
        <w:t>2011</w:t>
      </w:r>
      <w:r>
        <w:rPr>
          <w:spacing w:val="-2"/>
        </w:rPr>
        <w:t>年在公司申请非公开发行股票过程中，依据中国证监会的监管原则</w:t>
      </w:r>
      <w:r>
        <w:rPr/>
        <w:t> </w:t>
      </w:r>
      <w:r>
        <w:rPr>
          <w:spacing w:val="-5"/>
        </w:rPr>
        <w:t>和要求出具了《关于资金使用投向的承诺说明》，其内容如下：</w:t>
      </w:r>
    </w:p>
    <w:p>
      <w:pPr>
        <w:pStyle w:val="BodyText"/>
        <w:spacing w:line="237" w:lineRule="auto" w:before="91"/>
        <w:ind w:left="238" w:right="233" w:firstLine="480"/>
        <w:jc w:val="both"/>
      </w:pPr>
      <w:r>
        <w:rPr>
          <w:spacing w:val="-2"/>
        </w:rPr>
        <w:t>北京华胜天成科技股份有限公司（以下简称“公司”）为了充分利用募集资金及</w:t>
      </w:r>
      <w:r>
        <w:rPr/>
        <w:t> </w:t>
      </w:r>
      <w:r>
        <w:rPr>
          <w:spacing w:val="-2"/>
        </w:rPr>
        <w:t>可自由支配货币资金发展公司的主营业务，以保证公司主营业务的可持续增长，公司</w:t>
      </w:r>
      <w:r>
        <w:rPr>
          <w:spacing w:val="-94"/>
        </w:rPr>
        <w:t> </w:t>
      </w:r>
      <w:r>
        <w:rPr>
          <w:spacing w:val="-94"/>
        </w:rPr>
      </w:r>
      <w:r>
        <w:rPr/>
        <w:t>特此作出如下承诺：</w:t>
      </w:r>
    </w:p>
    <w:p>
      <w:pPr>
        <w:pStyle w:val="BodyText"/>
        <w:spacing w:line="331" w:lineRule="auto" w:before="117"/>
        <w:ind w:left="718" w:right="108"/>
        <w:jc w:val="left"/>
      </w:pPr>
      <w:r>
        <w:rPr>
          <w:spacing w:val="-5"/>
        </w:rPr>
        <w:t>公司不再从事以买卖交易为目的的股票、基金等金融产品投资，专注于主业发展。</w:t>
      </w:r>
      <w:r>
        <w:rPr>
          <w:spacing w:val="-108"/>
        </w:rPr>
        <w:t> </w:t>
      </w:r>
      <w:r>
        <w:rPr>
          <w:spacing w:val="-108"/>
        </w:rPr>
      </w:r>
      <w:r>
        <w:rPr/>
        <w:t>截止本报告期末，本公司继续履行上述承诺事项，没有发生违反承诺的情形。</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080" w:bottom="1380" w:left="1560" w:right="1040"/>
        </w:sectPr>
      </w:pPr>
    </w:p>
    <w:p>
      <w:pPr>
        <w:pStyle w:val="Heading2"/>
        <w:spacing w:line="240" w:lineRule="auto"/>
        <w:ind w:left="238" w:right="0"/>
        <w:jc w:val="left"/>
        <w:rPr>
          <w:b w:val="0"/>
          <w:bCs w:val="0"/>
        </w:rPr>
      </w:pPr>
      <w:r>
        <w:rPr>
          <w:w w:val="95"/>
        </w:rPr>
        <w:t>九、聘任、解聘会计师事务所情况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tabs>
          <w:tab w:pos="1498" w:val="left" w:leader="none"/>
        </w:tabs>
        <w:spacing w:before="139"/>
        <w:ind w:left="237" w:right="0" w:firstLine="0"/>
        <w:jc w:val="left"/>
        <w:rPr>
          <w:rFonts w:ascii="宋体" w:hAnsi="宋体" w:cs="宋体" w:eastAsia="宋体" w:hint="default"/>
          <w:sz w:val="21"/>
          <w:szCs w:val="21"/>
        </w:rPr>
      </w:pPr>
      <w:r>
        <w:rPr>
          <w:rFonts w:ascii="宋体" w:hAnsi="宋体" w:cs="宋体" w:eastAsia="宋体" w:hint="default"/>
          <w:sz w:val="21"/>
          <w:szCs w:val="21"/>
        </w:rPr>
        <w:t>单位：万元</w:t>
        <w:tab/>
        <w:t>币种：人民币</w:t>
      </w:r>
    </w:p>
    <w:p>
      <w:pPr>
        <w:spacing w:after="0"/>
        <w:jc w:val="left"/>
        <w:rPr>
          <w:rFonts w:ascii="宋体" w:hAnsi="宋体" w:cs="宋体" w:eastAsia="宋体" w:hint="default"/>
          <w:sz w:val="21"/>
          <w:szCs w:val="21"/>
        </w:rPr>
        <w:sectPr>
          <w:type w:val="continuous"/>
          <w:pgSz w:w="11910" w:h="16840"/>
          <w:pgMar w:top="1080" w:bottom="1380" w:left="1560" w:right="1040"/>
          <w:cols w:num="2" w:equalWidth="0">
            <w:col w:w="3851" w:space="2464"/>
            <w:col w:w="2995"/>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085"/>
        <w:gridCol w:w="5965"/>
      </w:tblGrid>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1" w:lineRule="exact"/>
        <w:jc w:val="left"/>
        <w:rPr>
          <w:rFonts w:ascii="宋体" w:hAnsi="宋体" w:cs="宋体" w:eastAsia="宋体" w:hint="default"/>
          <w:sz w:val="21"/>
          <w:szCs w:val="21"/>
        </w:rPr>
        <w:sectPr>
          <w:type w:val="continuous"/>
          <w:pgSz w:w="11910" w:h="16840"/>
          <w:pgMar w:top="1080" w:bottom="1380" w:left="1560" w:right="10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085"/>
        <w:gridCol w:w="2978"/>
        <w:gridCol w:w="2987"/>
      </w:tblGrid>
      <w:tr>
        <w:trPr>
          <w:trHeight w:val="282" w:hRule="exact"/>
        </w:trPr>
        <w:tc>
          <w:tcPr>
            <w:tcW w:w="3085"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原聘任</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致同会计师事务所（特殊普通</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合伙）</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150</w:t>
            </w:r>
          </w:p>
        </w:tc>
      </w:tr>
      <w:tr>
        <w:trPr>
          <w:trHeight w:val="28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28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境外会计师事务所名称</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境外会计师事务所报酬</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境外会计师事务所审计年限</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085"/>
        <w:gridCol w:w="2978"/>
        <w:gridCol w:w="2987"/>
      </w:tblGrid>
      <w:tr>
        <w:trPr>
          <w:trHeight w:val="282" w:hRule="exact"/>
        </w:trPr>
        <w:tc>
          <w:tcPr>
            <w:tcW w:w="3085"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名称</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556"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45</w:t>
            </w:r>
          </w:p>
        </w:tc>
      </w:tr>
      <w:tr>
        <w:trPr>
          <w:trHeight w:val="28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财务顾问</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5"/>
          <w:szCs w:val="15"/>
        </w:rPr>
      </w:pPr>
    </w:p>
    <w:p>
      <w:pPr>
        <w:pStyle w:val="BodyText"/>
        <w:spacing w:line="312" w:lineRule="exact" w:before="56"/>
        <w:ind w:left="218" w:right="216" w:firstLine="420"/>
        <w:jc w:val="left"/>
      </w:pPr>
      <w:r>
        <w:rPr/>
        <w:t>报告期内，公司未改聘会计师事务所，公司现聘任致同会计师事务所（特殊普通 合伙）为公司的境内审计机构，拟支付其年度审计工作的酬金共约</w:t>
      </w:r>
      <w:r>
        <w:rPr>
          <w:spacing w:val="-75"/>
        </w:rPr>
        <w:t> </w:t>
      </w:r>
      <w:r>
        <w:rPr>
          <w:rFonts w:ascii="宋体" w:hAnsi="宋体" w:cs="宋体" w:eastAsia="宋体" w:hint="default"/>
        </w:rPr>
        <w:t>200</w:t>
      </w:r>
      <w:r>
        <w:rPr>
          <w:rFonts w:ascii="宋体" w:hAnsi="宋体" w:cs="宋体" w:eastAsia="宋体" w:hint="default"/>
          <w:spacing w:val="-75"/>
        </w:rPr>
        <w:t> </w:t>
      </w:r>
      <w:r>
        <w:rPr>
          <w:spacing w:val="-3"/>
        </w:rPr>
        <w:t>万元，其中支</w:t>
      </w:r>
    </w:p>
    <w:p>
      <w:pPr>
        <w:pStyle w:val="BodyText"/>
        <w:spacing w:line="281" w:lineRule="exact"/>
        <w:ind w:left="218" w:right="101"/>
        <w:jc w:val="left"/>
      </w:pPr>
      <w:r>
        <w:rPr/>
        <w:t>付年度内部控制审计费用约</w:t>
      </w:r>
      <w:r>
        <w:rPr>
          <w:spacing w:val="-60"/>
        </w:rPr>
        <w:t> </w:t>
      </w:r>
      <w:r>
        <w:rPr>
          <w:rFonts w:ascii="宋体" w:hAnsi="宋体" w:cs="宋体" w:eastAsia="宋体" w:hint="default"/>
        </w:rPr>
        <w:t>45</w:t>
      </w:r>
      <w:r>
        <w:rPr>
          <w:rFonts w:ascii="宋体" w:hAnsi="宋体" w:cs="宋体" w:eastAsia="宋体" w:hint="default"/>
          <w:spacing w:val="-60"/>
        </w:rPr>
        <w:t> </w:t>
      </w:r>
      <w:r>
        <w:rPr/>
        <w:t>万元，支付公司年度会计审计费用约</w:t>
      </w:r>
      <w:r>
        <w:rPr>
          <w:spacing w:val="-60"/>
        </w:rPr>
        <w:t> </w:t>
      </w:r>
      <w:r>
        <w:rPr>
          <w:rFonts w:ascii="宋体" w:hAnsi="宋体" w:cs="宋体" w:eastAsia="宋体" w:hint="default"/>
        </w:rPr>
        <w:t>150</w:t>
      </w:r>
      <w:r>
        <w:rPr>
          <w:rFonts w:ascii="宋体" w:hAnsi="宋体" w:cs="宋体" w:eastAsia="宋体" w:hint="default"/>
          <w:spacing w:val="-60"/>
        </w:rPr>
        <w:t> </w:t>
      </w:r>
      <w:r>
        <w:rPr/>
        <w:t>万元。截止</w:t>
      </w:r>
    </w:p>
    <w:p>
      <w:pPr>
        <w:pStyle w:val="BodyText"/>
        <w:spacing w:line="313" w:lineRule="exact"/>
        <w:ind w:left="218" w:right="101"/>
        <w:jc w:val="left"/>
      </w:pPr>
      <w:r>
        <w:rPr/>
        <w:t>本报告期末，该会计师事务所已为本公司提供了</w:t>
      </w:r>
      <w:r>
        <w:rPr>
          <w:spacing w:val="-60"/>
        </w:rPr>
        <w:t> </w:t>
      </w:r>
      <w:r>
        <w:rPr>
          <w:rFonts w:ascii="宋体" w:hAnsi="宋体" w:cs="宋体" w:eastAsia="宋体" w:hint="default"/>
        </w:rPr>
        <w:t>15</w:t>
      </w:r>
      <w:r>
        <w:rPr>
          <w:rFonts w:ascii="宋体" w:hAnsi="宋体" w:cs="宋体" w:eastAsia="宋体" w:hint="default"/>
          <w:spacing w:val="-60"/>
        </w:rPr>
        <w:t> </w:t>
      </w:r>
      <w:r>
        <w:rPr/>
        <w:t>年审计服务。</w:t>
      </w:r>
    </w:p>
    <w:p>
      <w:pPr>
        <w:spacing w:line="240" w:lineRule="auto" w:before="8"/>
        <w:rPr>
          <w:rFonts w:ascii="宋体" w:hAnsi="宋体" w:cs="宋体" w:eastAsia="宋体" w:hint="default"/>
          <w:sz w:val="27"/>
          <w:szCs w:val="27"/>
        </w:rPr>
      </w:pPr>
    </w:p>
    <w:p>
      <w:pPr>
        <w:pStyle w:val="Heading2"/>
        <w:spacing w:line="310" w:lineRule="exact" w:before="0"/>
        <w:ind w:left="638" w:right="101" w:hanging="420"/>
        <w:jc w:val="left"/>
        <w:rPr>
          <w:b w:val="0"/>
          <w:bCs w:val="0"/>
        </w:rPr>
      </w:pPr>
      <w:r>
        <w:rPr/>
        <w:t>十、上市公司及其董事、监事、高级管理人员、持有 </w:t>
      </w:r>
      <w:r>
        <w:rPr>
          <w:rFonts w:ascii="Arial" w:hAnsi="Arial" w:cs="Arial" w:eastAsia="Arial" w:hint="default"/>
        </w:rPr>
        <w:t>5</w:t>
      </w:r>
      <w:r>
        <w:rPr>
          <w:rFonts w:ascii="宋体" w:hAnsi="宋体" w:cs="宋体" w:eastAsia="宋体" w:hint="default"/>
        </w:rPr>
        <w:t>%</w:t>
      </w:r>
      <w:r>
        <w:rPr/>
        <w:t>以上股份的股东、实际控制</w:t>
      </w:r>
      <w:r>
        <w:rPr>
          <w:w w:val="99"/>
        </w:rPr>
        <w:t> </w:t>
      </w:r>
      <w:r>
        <w:rPr/>
        <w:t>人、收购人处罚及整改情况</w:t>
      </w:r>
      <w:r>
        <w:rPr>
          <w:b w:val="0"/>
          <w:bCs w:val="0"/>
        </w:rPr>
      </w:r>
    </w:p>
    <w:p>
      <w:pPr>
        <w:pStyle w:val="BodyText"/>
        <w:spacing w:line="240" w:lineRule="auto" w:before="29"/>
        <w:ind w:left="698" w:right="101"/>
        <w:jc w:val="left"/>
      </w:pPr>
      <w:r>
        <w:rPr/>
        <w:t>无</w:t>
      </w:r>
    </w:p>
    <w:p>
      <w:pPr>
        <w:spacing w:line="240" w:lineRule="auto" w:before="2"/>
        <w:rPr>
          <w:rFonts w:ascii="宋体" w:hAnsi="宋体" w:cs="宋体" w:eastAsia="宋体" w:hint="default"/>
          <w:sz w:val="25"/>
          <w:szCs w:val="25"/>
        </w:rPr>
      </w:pPr>
    </w:p>
    <w:p>
      <w:pPr>
        <w:pStyle w:val="Heading2"/>
        <w:spacing w:line="240" w:lineRule="auto" w:before="0"/>
        <w:ind w:right="101"/>
        <w:jc w:val="left"/>
        <w:rPr>
          <w:b w:val="0"/>
          <w:bCs w:val="0"/>
        </w:rPr>
      </w:pPr>
      <w:r>
        <w:rPr/>
        <w:t>十一、可转换公司债券情况</w:t>
      </w:r>
      <w:r>
        <w:rPr>
          <w:b w:val="0"/>
          <w:bCs w:val="0"/>
        </w:rPr>
      </w:r>
    </w:p>
    <w:p>
      <w:pPr>
        <w:pStyle w:val="BodyText"/>
        <w:spacing w:line="240" w:lineRule="auto" w:before="56"/>
        <w:ind w:left="218" w:right="101"/>
        <w:jc w:val="left"/>
      </w:pPr>
      <w:r>
        <w:rPr/>
        <w:t>□适用 √不适用</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7"/>
          <w:szCs w:val="27"/>
        </w:rPr>
      </w:pPr>
    </w:p>
    <w:p>
      <w:pPr>
        <w:pStyle w:val="Heading2"/>
        <w:spacing w:line="240" w:lineRule="auto" w:before="0"/>
        <w:ind w:right="101"/>
        <w:jc w:val="left"/>
        <w:rPr>
          <w:b w:val="0"/>
          <w:bCs w:val="0"/>
        </w:rPr>
      </w:pPr>
      <w:r>
        <w:rPr/>
        <w:t>十二、执行新会计准则对合并财务报表的影响</w:t>
      </w:r>
      <w:r>
        <w:rPr>
          <w:b w:val="0"/>
          <w:bCs w:val="0"/>
        </w:rPr>
      </w:r>
    </w:p>
    <w:p>
      <w:pPr>
        <w:pStyle w:val="BodyText"/>
        <w:spacing w:line="312" w:lineRule="exact" w:before="118"/>
        <w:ind w:left="698" w:right="101"/>
        <w:jc w:val="left"/>
      </w:pPr>
      <w:r>
        <w:rPr>
          <w:rFonts w:ascii="宋体" w:hAnsi="宋体" w:cs="宋体" w:eastAsia="宋体" w:hint="default"/>
        </w:rPr>
        <w:t>2014</w:t>
      </w:r>
      <w:r>
        <w:rPr>
          <w:rFonts w:ascii="宋体" w:hAnsi="宋体" w:cs="宋体" w:eastAsia="宋体" w:hint="default"/>
          <w:spacing w:val="-59"/>
        </w:rPr>
        <w:t> </w:t>
      </w:r>
      <w:r>
        <w:rPr/>
        <w:t>年</w:t>
      </w:r>
      <w:r>
        <w:rPr>
          <w:spacing w:val="-59"/>
        </w:rPr>
        <w:t> </w:t>
      </w:r>
      <w:r>
        <w:rPr>
          <w:rFonts w:ascii="宋体" w:hAnsi="宋体" w:cs="宋体" w:eastAsia="宋体" w:hint="default"/>
        </w:rPr>
        <w:t>1</w:t>
      </w:r>
      <w:r>
        <w:rPr>
          <w:rFonts w:ascii="宋体" w:hAnsi="宋体" w:cs="宋体" w:eastAsia="宋体" w:hint="default"/>
          <w:spacing w:val="-59"/>
        </w:rPr>
        <w:t> </w:t>
      </w:r>
      <w:r>
        <w:rPr/>
        <w:t>月至</w:t>
      </w:r>
      <w:r>
        <w:rPr>
          <w:spacing w:val="-59"/>
        </w:rPr>
        <w:t> </w:t>
      </w:r>
      <w:r>
        <w:rPr>
          <w:rFonts w:ascii="宋体" w:hAnsi="宋体" w:cs="宋体" w:eastAsia="宋体" w:hint="default"/>
        </w:rPr>
        <w:t>7</w:t>
      </w:r>
      <w:r>
        <w:rPr>
          <w:rFonts w:ascii="宋体" w:hAnsi="宋体" w:cs="宋体" w:eastAsia="宋体" w:hint="default"/>
          <w:spacing w:val="-59"/>
        </w:rPr>
        <w:t> </w:t>
      </w:r>
      <w:r>
        <w:rPr>
          <w:spacing w:val="-10"/>
        </w:rPr>
        <w:t>月，财政部发布了《企业会计准则第</w:t>
      </w:r>
      <w:r>
        <w:rPr>
          <w:spacing w:val="-59"/>
        </w:rPr>
        <w:t> </w:t>
      </w:r>
      <w:r>
        <w:rPr>
          <w:rFonts w:ascii="宋体" w:hAnsi="宋体" w:cs="宋体" w:eastAsia="宋体" w:hint="default"/>
        </w:rPr>
        <w:t>39</w:t>
      </w:r>
      <w:r>
        <w:rPr>
          <w:rFonts w:ascii="宋体" w:hAnsi="宋体" w:cs="宋体" w:eastAsia="宋体" w:hint="default"/>
          <w:spacing w:val="-59"/>
        </w:rPr>
        <w:t> </w:t>
      </w:r>
      <w:r>
        <w:rPr>
          <w:spacing w:val="-7"/>
        </w:rPr>
        <w:t>号——公允价值计量》、</w:t>
      </w:r>
    </w:p>
    <w:p>
      <w:pPr>
        <w:pStyle w:val="BodyText"/>
        <w:spacing w:line="311" w:lineRule="exact"/>
        <w:ind w:left="218" w:right="101"/>
        <w:jc w:val="left"/>
      </w:pPr>
      <w:r>
        <w:rPr/>
        <w:t>《企业会计准则第</w:t>
      </w:r>
      <w:r>
        <w:rPr>
          <w:spacing w:val="-60"/>
        </w:rPr>
        <w:t> </w:t>
      </w:r>
      <w:r>
        <w:rPr>
          <w:rFonts w:ascii="宋体" w:hAnsi="宋体" w:cs="宋体" w:eastAsia="宋体" w:hint="default"/>
        </w:rPr>
        <w:t>40</w:t>
      </w:r>
      <w:r>
        <w:rPr>
          <w:rFonts w:ascii="宋体" w:hAnsi="宋体" w:cs="宋体" w:eastAsia="宋体" w:hint="default"/>
          <w:spacing w:val="-60"/>
        </w:rPr>
        <w:t> </w:t>
      </w:r>
      <w:r>
        <w:rPr>
          <w:spacing w:val="-3"/>
        </w:rPr>
        <w:t>号——合营安排》和《企业会计准则第</w:t>
      </w:r>
      <w:r>
        <w:rPr>
          <w:spacing w:val="-59"/>
        </w:rPr>
        <w:t> </w:t>
      </w:r>
      <w:r>
        <w:rPr>
          <w:rFonts w:ascii="宋体" w:hAnsi="宋体" w:cs="宋体" w:eastAsia="宋体" w:hint="default"/>
        </w:rPr>
        <w:t>41</w:t>
      </w:r>
      <w:r>
        <w:rPr>
          <w:rFonts w:ascii="宋体" w:hAnsi="宋体" w:cs="宋体" w:eastAsia="宋体" w:hint="default"/>
          <w:spacing w:val="-60"/>
        </w:rPr>
        <w:t> </w:t>
      </w:r>
      <w:r>
        <w:rPr/>
        <w:t>号——在其他主体中</w:t>
      </w:r>
    </w:p>
    <w:p>
      <w:pPr>
        <w:pStyle w:val="BodyText"/>
        <w:spacing w:line="311" w:lineRule="exact"/>
        <w:ind w:left="218" w:right="101"/>
        <w:jc w:val="left"/>
      </w:pPr>
      <w:r>
        <w:rPr/>
        <w:t>权益的披露》，修订了《企业会计准则第</w:t>
      </w:r>
      <w:r>
        <w:rPr>
          <w:spacing w:val="-86"/>
        </w:rPr>
        <w:t> </w:t>
      </w:r>
      <w:r>
        <w:rPr>
          <w:rFonts w:ascii="宋体" w:hAnsi="宋体" w:cs="宋体" w:eastAsia="宋体" w:hint="default"/>
        </w:rPr>
        <w:t>2</w:t>
      </w:r>
      <w:r>
        <w:rPr>
          <w:rFonts w:ascii="宋体" w:hAnsi="宋体" w:cs="宋体" w:eastAsia="宋体" w:hint="default"/>
          <w:spacing w:val="-86"/>
        </w:rPr>
        <w:t> </w:t>
      </w:r>
      <w:r>
        <w:rPr/>
        <w:t>号——长期股权投资》、《企业会计准则</w:t>
      </w:r>
    </w:p>
    <w:p>
      <w:pPr>
        <w:pStyle w:val="BodyText"/>
        <w:spacing w:line="311" w:lineRule="exact"/>
        <w:ind w:left="218" w:right="101"/>
        <w:jc w:val="left"/>
      </w:pPr>
      <w:r>
        <w:rPr/>
        <w:t>第</w:t>
      </w:r>
      <w:r>
        <w:rPr>
          <w:spacing w:val="-60"/>
        </w:rPr>
        <w:t> </w:t>
      </w:r>
      <w:r>
        <w:rPr>
          <w:rFonts w:ascii="宋体" w:hAnsi="宋体" w:cs="宋体" w:eastAsia="宋体" w:hint="default"/>
        </w:rPr>
        <w:t>9</w:t>
      </w:r>
      <w:r>
        <w:rPr>
          <w:rFonts w:ascii="宋体" w:hAnsi="宋体" w:cs="宋体" w:eastAsia="宋体" w:hint="default"/>
          <w:spacing w:val="-60"/>
        </w:rPr>
        <w:t> </w:t>
      </w:r>
      <w:r>
        <w:rPr/>
        <w:t>号——职工薪酬》、《企业会计准则第</w:t>
      </w:r>
      <w:r>
        <w:rPr>
          <w:spacing w:val="-60"/>
        </w:rPr>
        <w:t> </w:t>
      </w:r>
      <w:r>
        <w:rPr>
          <w:rFonts w:ascii="宋体" w:hAnsi="宋体" w:cs="宋体" w:eastAsia="宋体" w:hint="default"/>
        </w:rPr>
        <w:t>30</w:t>
      </w:r>
      <w:r>
        <w:rPr>
          <w:rFonts w:ascii="宋体" w:hAnsi="宋体" w:cs="宋体" w:eastAsia="宋体" w:hint="default"/>
          <w:spacing w:val="-60"/>
        </w:rPr>
        <w:t> </w:t>
      </w:r>
      <w:r>
        <w:rPr/>
        <w:t>号——财务报表列报》、《企业会计</w:t>
      </w:r>
    </w:p>
    <w:p>
      <w:pPr>
        <w:pStyle w:val="BodyText"/>
        <w:spacing w:line="311" w:lineRule="exact"/>
        <w:ind w:left="218" w:right="101"/>
        <w:jc w:val="left"/>
      </w:pPr>
      <w:r>
        <w:rPr/>
        <w:t>准则第</w:t>
      </w:r>
      <w:r>
        <w:rPr>
          <w:spacing w:val="-72"/>
        </w:rPr>
        <w:t> </w:t>
      </w:r>
      <w:r>
        <w:rPr>
          <w:rFonts w:ascii="宋体" w:hAnsi="宋体" w:cs="宋体" w:eastAsia="宋体" w:hint="default"/>
        </w:rPr>
        <w:t>33</w:t>
      </w:r>
      <w:r>
        <w:rPr>
          <w:rFonts w:ascii="宋体" w:hAnsi="宋体" w:cs="宋体" w:eastAsia="宋体" w:hint="default"/>
          <w:spacing w:val="-72"/>
        </w:rPr>
        <w:t> </w:t>
      </w:r>
      <w:r>
        <w:rPr/>
        <w:t>号——合并财务报表》和《企业会计准则第</w:t>
      </w:r>
      <w:r>
        <w:rPr>
          <w:spacing w:val="-72"/>
        </w:rPr>
        <w:t> </w:t>
      </w:r>
      <w:r>
        <w:rPr>
          <w:rFonts w:ascii="宋体" w:hAnsi="宋体" w:cs="宋体" w:eastAsia="宋体" w:hint="default"/>
        </w:rPr>
        <w:t>37</w:t>
      </w:r>
      <w:r>
        <w:rPr>
          <w:rFonts w:ascii="宋体" w:hAnsi="宋体" w:cs="宋体" w:eastAsia="宋体" w:hint="default"/>
          <w:spacing w:val="-72"/>
        </w:rPr>
        <w:t> </w:t>
      </w:r>
      <w:r>
        <w:rPr/>
        <w:t>号——金融工具列报》，除</w:t>
      </w:r>
    </w:p>
    <w:p>
      <w:pPr>
        <w:pStyle w:val="BodyText"/>
        <w:spacing w:line="311" w:lineRule="exact"/>
        <w:ind w:left="218" w:right="101"/>
        <w:jc w:val="left"/>
      </w:pPr>
      <w:r>
        <w:rPr/>
        <w:t>企业会计准则第</w:t>
      </w:r>
      <w:r>
        <w:rPr>
          <w:spacing w:val="-72"/>
        </w:rPr>
        <w:t> </w:t>
      </w:r>
      <w:r>
        <w:rPr>
          <w:rFonts w:ascii="宋体" w:hAnsi="宋体" w:cs="宋体" w:eastAsia="宋体" w:hint="default"/>
        </w:rPr>
        <w:t>37</w:t>
      </w:r>
      <w:r>
        <w:rPr>
          <w:rFonts w:ascii="宋体" w:hAnsi="宋体" w:cs="宋体" w:eastAsia="宋体" w:hint="default"/>
          <w:spacing w:val="-72"/>
        </w:rPr>
        <w:t> </w:t>
      </w:r>
      <w:r>
        <w:rPr/>
        <w:t>号在</w:t>
      </w:r>
      <w:r>
        <w:rPr>
          <w:spacing w:val="-72"/>
        </w:rPr>
        <w:t> </w:t>
      </w:r>
      <w:r>
        <w:rPr>
          <w:rFonts w:ascii="宋体" w:hAnsi="宋体" w:cs="宋体" w:eastAsia="宋体" w:hint="default"/>
        </w:rPr>
        <w:t>2014</w:t>
      </w:r>
      <w:r>
        <w:rPr>
          <w:rFonts w:ascii="宋体" w:hAnsi="宋体" w:cs="宋体" w:eastAsia="宋体" w:hint="default"/>
          <w:spacing w:val="-72"/>
        </w:rPr>
        <w:t> </w:t>
      </w:r>
      <w:r>
        <w:rPr/>
        <w:t>年年度及以后期间的财务报告中使用外，上述其他准则</w:t>
      </w:r>
    </w:p>
    <w:p>
      <w:pPr>
        <w:pStyle w:val="BodyText"/>
        <w:spacing w:line="312" w:lineRule="exact"/>
        <w:ind w:left="218" w:right="101"/>
        <w:jc w:val="left"/>
      </w:pPr>
      <w:r>
        <w:rPr/>
        <w:t>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日起施行。</w:t>
      </w:r>
    </w:p>
    <w:p>
      <w:pPr>
        <w:pStyle w:val="BodyText"/>
        <w:spacing w:line="312" w:lineRule="exact" w:before="147"/>
        <w:ind w:left="218" w:right="288" w:firstLine="480"/>
        <w:jc w:val="left"/>
      </w:pPr>
      <w:r>
        <w:rPr/>
        <w:t>根据规定，公司于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日起执行上述企业会计准则，对期初数相关项 目及其金额做出相应调整。</w:t>
      </w:r>
    </w:p>
    <w:p>
      <w:pPr>
        <w:spacing w:line="240" w:lineRule="auto" w:before="0"/>
        <w:rPr>
          <w:rFonts w:ascii="宋体" w:hAnsi="宋体" w:cs="宋体" w:eastAsia="宋体" w:hint="default"/>
          <w:sz w:val="20"/>
          <w:szCs w:val="20"/>
        </w:rPr>
      </w:pPr>
    </w:p>
    <w:p>
      <w:pPr>
        <w:pStyle w:val="Heading2"/>
        <w:tabs>
          <w:tab w:pos="697" w:val="left" w:leader="none"/>
        </w:tabs>
        <w:spacing w:line="240" w:lineRule="auto" w:before="198"/>
        <w:ind w:right="101"/>
        <w:jc w:val="left"/>
        <w:rPr>
          <w:b w:val="0"/>
          <w:bCs w:val="0"/>
        </w:rPr>
      </w:pPr>
      <w:r>
        <w:rPr>
          <w:rFonts w:ascii="宋体" w:hAnsi="宋体" w:cs="宋体" w:eastAsia="宋体" w:hint="default"/>
          <w:w w:val="95"/>
        </w:rPr>
        <w:t>1</w:t>
        <w:tab/>
      </w:r>
      <w:r>
        <w:rPr/>
        <w:t>长期股权投资准则变动对于合并财务报告影响（一）</w:t>
      </w:r>
      <w:r>
        <w:rPr>
          <w:b w:val="0"/>
          <w:bCs w:val="0"/>
        </w:rPr>
      </w:r>
    </w:p>
    <w:p>
      <w:pPr>
        <w:tabs>
          <w:tab w:pos="1100" w:val="left" w:leader="none"/>
        </w:tabs>
        <w:spacing w:before="59"/>
        <w:ind w:left="0" w:right="231" w:firstLine="0"/>
        <w:jc w:val="right"/>
        <w:rPr>
          <w:rFonts w:ascii="宋体" w:hAnsi="宋体" w:cs="宋体" w:eastAsia="宋体" w:hint="default"/>
          <w:sz w:val="22"/>
          <w:szCs w:val="22"/>
        </w:rPr>
      </w:pPr>
      <w:r>
        <w:rPr>
          <w:rFonts w:ascii="宋体" w:hAnsi="宋体" w:cs="宋体" w:eastAsia="宋体" w:hint="default"/>
          <w:w w:val="95"/>
          <w:sz w:val="22"/>
          <w:szCs w:val="22"/>
        </w:rPr>
        <w:t>单位：元</w:t>
        <w:tab/>
      </w:r>
      <w:r>
        <w:rPr>
          <w:rFonts w:ascii="宋体" w:hAnsi="宋体" w:cs="宋体" w:eastAsia="宋体" w:hint="default"/>
          <w:sz w:val="22"/>
          <w:szCs w:val="22"/>
        </w:rPr>
        <w:t>币种：人民币</w:t>
      </w:r>
    </w:p>
    <w:p>
      <w:pPr>
        <w:spacing w:line="240" w:lineRule="auto" w:before="8"/>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02"/>
        <w:gridCol w:w="1558"/>
        <w:gridCol w:w="1600"/>
        <w:gridCol w:w="4791"/>
      </w:tblGrid>
      <w:tr>
        <w:trPr>
          <w:trHeight w:val="41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15" w:right="0"/>
              <w:jc w:val="left"/>
              <w:rPr>
                <w:rFonts w:ascii="宋体" w:hAnsi="宋体" w:cs="宋体" w:eastAsia="宋体" w:hint="default"/>
                <w:sz w:val="22"/>
                <w:szCs w:val="22"/>
              </w:rPr>
            </w:pPr>
            <w:r>
              <w:rPr>
                <w:rFonts w:ascii="宋体" w:hAnsi="宋体" w:cs="宋体" w:eastAsia="宋体" w:hint="default"/>
                <w:sz w:val="22"/>
                <w:szCs w:val="22"/>
              </w:rPr>
              <w:t>被投资</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12" w:right="0"/>
              <w:jc w:val="left"/>
              <w:rPr>
                <w:rFonts w:ascii="宋体" w:hAnsi="宋体" w:cs="宋体" w:eastAsia="宋体" w:hint="default"/>
                <w:sz w:val="22"/>
                <w:szCs w:val="22"/>
              </w:rPr>
            </w:pPr>
            <w:r>
              <w:rPr>
                <w:rFonts w:ascii="宋体" w:hAnsi="宋体" w:cs="宋体" w:eastAsia="宋体" w:hint="default"/>
                <w:sz w:val="22"/>
                <w:szCs w:val="22"/>
              </w:rPr>
              <w:t>交易基本信息</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33" w:right="0"/>
              <w:jc w:val="left"/>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z w:val="22"/>
                <w:szCs w:val="22"/>
              </w:rPr>
              <w:t>年</w:t>
            </w:r>
            <w:r>
              <w:rPr>
                <w:rFonts w:ascii="宋体" w:hAnsi="宋体" w:cs="宋体" w:eastAsia="宋体" w:hint="default"/>
                <w:sz w:val="22"/>
                <w:szCs w:val="22"/>
              </w:rPr>
              <w:t>1</w:t>
            </w:r>
            <w:r>
              <w:rPr>
                <w:rFonts w:ascii="宋体" w:hAnsi="宋体" w:cs="宋体" w:eastAsia="宋体" w:hint="default"/>
                <w:sz w:val="22"/>
                <w:szCs w:val="22"/>
              </w:rPr>
              <w:t>月</w:t>
            </w:r>
            <w:r>
              <w:rPr>
                <w:rFonts w:ascii="宋体" w:hAnsi="宋体" w:cs="宋体" w:eastAsia="宋体" w:hint="default"/>
                <w:sz w:val="22"/>
                <w:szCs w:val="22"/>
              </w:rPr>
              <w:t>1</w:t>
            </w:r>
            <w:r>
              <w:rPr>
                <w:rFonts w:ascii="宋体" w:hAnsi="宋体" w:cs="宋体" w:eastAsia="宋体" w:hint="default"/>
                <w:sz w:val="22"/>
                <w:szCs w:val="22"/>
              </w:rPr>
              <w:t>日</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z w:val="22"/>
                <w:szCs w:val="22"/>
              </w:rPr>
              <w:t>年</w:t>
            </w:r>
            <w:r>
              <w:rPr>
                <w:rFonts w:ascii="宋体" w:hAnsi="宋体" w:cs="宋体" w:eastAsia="宋体" w:hint="default"/>
                <w:sz w:val="22"/>
                <w:szCs w:val="22"/>
              </w:rPr>
              <w:t>12</w:t>
            </w:r>
            <w:r>
              <w:rPr>
                <w:rFonts w:ascii="宋体" w:hAnsi="宋体" w:cs="宋体" w:eastAsia="宋体" w:hint="default"/>
                <w:sz w:val="22"/>
                <w:szCs w:val="22"/>
              </w:rPr>
              <w:t>月</w:t>
            </w:r>
            <w:r>
              <w:rPr>
                <w:rFonts w:ascii="宋体" w:hAnsi="宋体" w:cs="宋体" w:eastAsia="宋体" w:hint="default"/>
                <w:sz w:val="22"/>
                <w:szCs w:val="22"/>
              </w:rPr>
              <w:t>31</w:t>
            </w:r>
            <w:r>
              <w:rPr>
                <w:rFonts w:ascii="宋体" w:hAnsi="宋体" w:cs="宋体" w:eastAsia="宋体" w:hint="default"/>
                <w:sz w:val="22"/>
                <w:szCs w:val="22"/>
              </w:rPr>
              <w:t>日</w:t>
            </w:r>
          </w:p>
        </w:tc>
      </w:tr>
    </w:tbl>
    <w:p>
      <w:pPr>
        <w:spacing w:after="0" w:line="240" w:lineRule="auto"/>
        <w:jc w:val="center"/>
        <w:rPr>
          <w:rFonts w:ascii="宋体" w:hAnsi="宋体" w:cs="宋体" w:eastAsia="宋体" w:hint="default"/>
          <w:sz w:val="22"/>
          <w:szCs w:val="22"/>
        </w:rPr>
        <w:sectPr>
          <w:footerReference w:type="default" r:id="rId16"/>
          <w:pgSz w:w="11910" w:h="16840"/>
          <w:pgMar w:footer="1194" w:header="882" w:top="1080" w:bottom="1380" w:left="1580" w:right="10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tbl>
      <w:tblPr>
        <w:tblW w:w="0" w:type="auto"/>
        <w:jc w:val="left"/>
        <w:tblInd w:w="705" w:type="dxa"/>
        <w:tblLayout w:type="fixed"/>
        <w:tblCellMar>
          <w:top w:w="0" w:type="dxa"/>
          <w:left w:w="0" w:type="dxa"/>
          <w:bottom w:w="0" w:type="dxa"/>
          <w:right w:w="0" w:type="dxa"/>
        </w:tblCellMar>
        <w:tblLook w:val="01E0"/>
      </w:tblPr>
      <w:tblGrid>
        <w:gridCol w:w="1102"/>
        <w:gridCol w:w="1558"/>
        <w:gridCol w:w="1600"/>
        <w:gridCol w:w="1630"/>
        <w:gridCol w:w="1568"/>
        <w:gridCol w:w="1594"/>
      </w:tblGrid>
      <w:tr>
        <w:trPr>
          <w:trHeight w:val="99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sz w:val="22"/>
                <w:szCs w:val="22"/>
              </w:rPr>
              <w:t>单位</w:t>
            </w:r>
          </w:p>
        </w:tc>
        <w:tc>
          <w:tcPr>
            <w:tcW w:w="1558"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
              <w:jc w:val="center"/>
              <w:rPr>
                <w:rFonts w:ascii="宋体" w:hAnsi="宋体" w:cs="宋体" w:eastAsia="宋体" w:hint="default"/>
                <w:sz w:val="22"/>
                <w:szCs w:val="22"/>
              </w:rPr>
            </w:pPr>
            <w:r>
              <w:rPr>
                <w:rFonts w:ascii="宋体" w:hAnsi="宋体" w:cs="宋体" w:eastAsia="宋体" w:hint="default"/>
                <w:sz w:val="22"/>
                <w:szCs w:val="22"/>
              </w:rPr>
              <w:t>归属于母公司</w:t>
            </w:r>
          </w:p>
          <w:p>
            <w:pPr>
              <w:pStyle w:val="TableParagraph"/>
              <w:spacing w:line="240" w:lineRule="auto" w:before="41"/>
              <w:ind w:right="3"/>
              <w:jc w:val="center"/>
              <w:rPr>
                <w:rFonts w:ascii="宋体" w:hAnsi="宋体" w:cs="宋体" w:eastAsia="宋体" w:hint="default"/>
                <w:sz w:val="22"/>
                <w:szCs w:val="22"/>
              </w:rPr>
            </w:pPr>
            <w:r>
              <w:rPr>
                <w:rFonts w:ascii="宋体" w:hAnsi="宋体" w:cs="宋体" w:eastAsia="宋体" w:hint="default"/>
                <w:sz w:val="22"/>
                <w:szCs w:val="22"/>
              </w:rPr>
              <w:t>股东权益</w:t>
            </w:r>
          </w:p>
          <w:p>
            <w:pPr>
              <w:pStyle w:val="TableParagraph"/>
              <w:spacing w:line="240" w:lineRule="auto" w:before="39"/>
              <w:ind w:right="1"/>
              <w:jc w:val="center"/>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71"/>
              <w:ind w:right="1"/>
              <w:jc w:val="center"/>
              <w:rPr>
                <w:rFonts w:ascii="宋体" w:hAnsi="宋体" w:cs="宋体" w:eastAsia="宋体" w:hint="default"/>
                <w:sz w:val="22"/>
                <w:szCs w:val="22"/>
              </w:rPr>
            </w:pPr>
            <w:r>
              <w:rPr>
                <w:rFonts w:ascii="宋体" w:hAnsi="宋体" w:cs="宋体" w:eastAsia="宋体" w:hint="default"/>
                <w:sz w:val="22"/>
                <w:szCs w:val="22"/>
              </w:rPr>
              <w:t>长期股权投资</w:t>
            </w:r>
          </w:p>
          <w:p>
            <w:pPr>
              <w:pStyle w:val="TableParagraph"/>
              <w:spacing w:line="286" w:lineRule="exact"/>
              <w:ind w:right="0"/>
              <w:jc w:val="center"/>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28"/>
              <w:ind w:left="172" w:right="119" w:hanging="56"/>
              <w:jc w:val="left"/>
              <w:rPr>
                <w:rFonts w:ascii="宋体" w:hAnsi="宋体" w:cs="宋体" w:eastAsia="宋体" w:hint="default"/>
                <w:sz w:val="22"/>
                <w:szCs w:val="22"/>
              </w:rPr>
            </w:pPr>
            <w:r>
              <w:rPr>
                <w:rFonts w:ascii="宋体" w:hAnsi="宋体" w:cs="宋体" w:eastAsia="宋体" w:hint="default"/>
                <w:sz w:val="22"/>
                <w:szCs w:val="22"/>
              </w:rPr>
              <w:t>可供出售金融</w:t>
            </w:r>
            <w:r>
              <w:rPr>
                <w:rFonts w:ascii="宋体" w:hAnsi="宋体" w:cs="宋体" w:eastAsia="宋体" w:hint="default"/>
                <w:w w:val="99"/>
                <w:sz w:val="22"/>
                <w:szCs w:val="22"/>
              </w:rPr>
              <w:t> </w:t>
            </w:r>
            <w:r>
              <w:rPr>
                <w:rFonts w:ascii="宋体" w:hAnsi="宋体" w:cs="宋体" w:eastAsia="宋体" w:hint="default"/>
                <w:sz w:val="22"/>
                <w:szCs w:val="22"/>
              </w:rPr>
              <w:t>资产（</w:t>
            </w:r>
            <w:r>
              <w:rPr>
                <w:rFonts w:ascii="宋体" w:hAnsi="宋体" w:cs="宋体" w:eastAsia="宋体" w:hint="default"/>
                <w:sz w:val="22"/>
                <w:szCs w:val="22"/>
              </w:rPr>
              <w:t>+/-</w:t>
            </w:r>
            <w:r>
              <w:rPr>
                <w:rFonts w:ascii="宋体" w:hAnsi="宋体" w:cs="宋体" w:eastAsia="宋体" w:hint="default"/>
                <w:sz w:val="22"/>
                <w:szCs w:val="22"/>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before="58"/>
              <w:ind w:left="130" w:right="131"/>
              <w:jc w:val="center"/>
              <w:rPr>
                <w:rFonts w:ascii="宋体" w:hAnsi="宋体" w:cs="宋体" w:eastAsia="宋体" w:hint="default"/>
                <w:sz w:val="22"/>
                <w:szCs w:val="22"/>
              </w:rPr>
            </w:pPr>
            <w:r>
              <w:rPr>
                <w:rFonts w:ascii="宋体" w:hAnsi="宋体" w:cs="宋体" w:eastAsia="宋体" w:hint="default"/>
                <w:sz w:val="22"/>
                <w:szCs w:val="22"/>
              </w:rPr>
              <w:t>归属于母公司</w:t>
            </w:r>
            <w:r>
              <w:rPr>
                <w:rFonts w:ascii="宋体" w:hAnsi="宋体" w:cs="宋体" w:eastAsia="宋体" w:hint="default"/>
                <w:w w:val="99"/>
                <w:sz w:val="22"/>
                <w:szCs w:val="22"/>
              </w:rPr>
              <w:t> </w:t>
            </w:r>
            <w:r>
              <w:rPr>
                <w:rFonts w:ascii="宋体" w:hAnsi="宋体" w:cs="宋体" w:eastAsia="宋体" w:hint="default"/>
                <w:sz w:val="22"/>
                <w:szCs w:val="22"/>
              </w:rPr>
              <w:t>股东权益</w:t>
            </w:r>
          </w:p>
          <w:p>
            <w:pPr>
              <w:pStyle w:val="TableParagraph"/>
              <w:spacing w:line="260" w:lineRule="exact"/>
              <w:ind w:right="0"/>
              <w:jc w:val="center"/>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p>
        </w:tc>
      </w:tr>
      <w:tr>
        <w:trPr>
          <w:trHeight w:val="110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4"/>
                <w:sz w:val="21"/>
                <w:szCs w:val="21"/>
              </w:rPr>
              <w:t>中铁信息</w:t>
            </w:r>
            <w:r>
              <w:rPr>
                <w:rFonts w:ascii="宋体" w:hAnsi="宋体" w:cs="宋体" w:eastAsia="宋体" w:hint="default"/>
                <w:sz w:val="21"/>
                <w:szCs w:val="21"/>
              </w:rPr>
            </w:r>
          </w:p>
          <w:p>
            <w:pPr>
              <w:pStyle w:val="TableParagraph"/>
              <w:spacing w:line="272" w:lineRule="exact" w:before="26"/>
              <w:ind w:left="103" w:right="89"/>
              <w:jc w:val="both"/>
              <w:rPr>
                <w:rFonts w:ascii="宋体" w:hAnsi="宋体" w:cs="宋体" w:eastAsia="宋体" w:hint="default"/>
                <w:sz w:val="21"/>
                <w:szCs w:val="21"/>
              </w:rPr>
            </w:pPr>
            <w:r>
              <w:rPr>
                <w:rFonts w:ascii="宋体" w:hAnsi="宋体" w:cs="宋体" w:eastAsia="宋体" w:hint="default"/>
                <w:spacing w:val="14"/>
                <w:sz w:val="21"/>
                <w:szCs w:val="21"/>
              </w:rPr>
              <w:t>计算机工 程有限责 </w:t>
            </w:r>
            <w:r>
              <w:rPr>
                <w:rFonts w:ascii="宋体" w:hAnsi="宋体" w:cs="宋体" w:eastAsia="宋体" w:hint="default"/>
                <w:sz w:val="21"/>
                <w:szCs w:val="21"/>
              </w:rPr>
              <w:t>任公司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pacing w:val="-53"/>
                <w:sz w:val="21"/>
                <w:szCs w:val="21"/>
              </w:rPr>
              <w:t> </w:t>
            </w:r>
            <w:r>
              <w:rPr>
                <w:rFonts w:ascii="宋体" w:hAnsi="宋体" w:cs="宋体" w:eastAsia="宋体" w:hint="default"/>
                <w:sz w:val="21"/>
                <w:szCs w:val="21"/>
              </w:rPr>
              <w:t>0.6%</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-300,000.00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r>
      <w:tr>
        <w:trPr>
          <w:trHeight w:val="282" w:hRule="exact"/>
        </w:trPr>
        <w:tc>
          <w:tcPr>
            <w:tcW w:w="11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-300,000.00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r>
    </w:tbl>
    <w:p>
      <w:pPr>
        <w:spacing w:line="240" w:lineRule="exact" w:before="0"/>
        <w:ind w:left="818" w:right="0" w:firstLine="0"/>
        <w:jc w:val="left"/>
        <w:rPr>
          <w:rFonts w:ascii="宋体" w:hAnsi="宋体" w:cs="宋体" w:eastAsia="宋体" w:hint="default"/>
          <w:sz w:val="21"/>
          <w:szCs w:val="21"/>
        </w:rPr>
      </w:pPr>
      <w:r>
        <w:rPr>
          <w:rFonts w:ascii="宋体" w:hAnsi="宋体" w:cs="宋体" w:eastAsia="宋体" w:hint="default"/>
          <w:sz w:val="21"/>
          <w:szCs w:val="21"/>
        </w:rPr>
        <w:t>长期股权投资准则变动对于合并财务报告影响（一）的说明</w:t>
      </w:r>
    </w:p>
    <w:p>
      <w:pPr>
        <w:pStyle w:val="BodyText"/>
        <w:spacing w:line="237" w:lineRule="auto" w:before="116"/>
        <w:ind w:left="818" w:right="753" w:firstLine="420"/>
        <w:jc w:val="both"/>
      </w:pPr>
      <w:r>
        <w:rPr/>
        <w:t>根据《企业会计准则第</w:t>
      </w:r>
      <w:r>
        <w:rPr>
          <w:spacing w:val="-60"/>
        </w:rPr>
        <w:t> </w:t>
      </w:r>
      <w:r>
        <w:rPr>
          <w:rFonts w:ascii="宋体" w:hAnsi="宋体" w:cs="宋体" w:eastAsia="宋体" w:hint="default"/>
        </w:rPr>
        <w:t>2</w:t>
      </w:r>
      <w:r>
        <w:rPr>
          <w:rFonts w:ascii="宋体" w:hAnsi="宋体" w:cs="宋体" w:eastAsia="宋体" w:hint="default"/>
          <w:spacing w:val="-60"/>
        </w:rPr>
        <w:t> </w:t>
      </w:r>
      <w:r>
        <w:rPr/>
        <w:t>号——长期股权投资》的要求：对被投资单位不具有控 </w:t>
      </w:r>
      <w:r>
        <w:rPr>
          <w:spacing w:val="-2"/>
        </w:rPr>
        <w:t>制、共同控制或重大影响，并且在活跃市场中没有报价、公允价值不能可靠计量的权</w:t>
      </w:r>
      <w:r>
        <w:rPr>
          <w:spacing w:val="-94"/>
        </w:rPr>
        <w:t> </w:t>
      </w:r>
      <w:r>
        <w:rPr>
          <w:spacing w:val="-94"/>
        </w:rPr>
      </w:r>
      <w:r>
        <w:rPr/>
        <w:t>益性投资，按《企业会计准则第</w:t>
      </w:r>
      <w:r>
        <w:rPr>
          <w:spacing w:val="-60"/>
        </w:rPr>
        <w:t> </w:t>
      </w:r>
      <w:r>
        <w:rPr>
          <w:rFonts w:ascii="宋体" w:hAnsi="宋体" w:cs="宋体" w:eastAsia="宋体" w:hint="default"/>
        </w:rPr>
        <w:t>22</w:t>
      </w:r>
      <w:r>
        <w:rPr>
          <w:rFonts w:ascii="宋体" w:hAnsi="宋体" w:cs="宋体" w:eastAsia="宋体" w:hint="default"/>
          <w:spacing w:val="-60"/>
        </w:rPr>
        <w:t> </w:t>
      </w:r>
      <w:r>
        <w:rPr/>
        <w:t>号——金融工具确认和计量》进行处理。</w:t>
      </w:r>
    </w:p>
    <w:p>
      <w:pPr>
        <w:pStyle w:val="BodyText"/>
        <w:spacing w:line="240" w:lineRule="auto" w:before="118"/>
        <w:ind w:left="1298" w:right="0"/>
        <w:jc w:val="left"/>
      </w:pPr>
      <w:r>
        <w:rPr/>
        <w:t>本公司对上述会计政策变更采用追溯调整法处理。</w:t>
      </w:r>
    </w:p>
    <w:p>
      <w:pPr>
        <w:spacing w:line="240" w:lineRule="auto" w:before="0"/>
        <w:rPr>
          <w:rFonts w:ascii="宋体" w:hAnsi="宋体" w:cs="宋体" w:eastAsia="宋体" w:hint="default"/>
          <w:sz w:val="20"/>
          <w:szCs w:val="20"/>
        </w:rPr>
      </w:pPr>
    </w:p>
    <w:p>
      <w:pPr>
        <w:pStyle w:val="Heading2"/>
        <w:tabs>
          <w:tab w:pos="1297" w:val="left" w:leader="none"/>
        </w:tabs>
        <w:spacing w:line="240" w:lineRule="auto" w:before="187"/>
        <w:ind w:left="818" w:right="0"/>
        <w:jc w:val="left"/>
        <w:rPr>
          <w:b w:val="0"/>
          <w:bCs w:val="0"/>
        </w:rPr>
      </w:pPr>
      <w:r>
        <w:rPr>
          <w:rFonts w:ascii="宋体" w:hAnsi="宋体" w:cs="宋体" w:eastAsia="宋体" w:hint="default"/>
          <w:w w:val="95"/>
        </w:rPr>
        <w:t>2</w:t>
        <w:tab/>
      </w:r>
      <w:r>
        <w:rPr/>
        <w:t>长期股权投资准则变动对于合并财务报表影响（二）</w:t>
      </w:r>
      <w:r>
        <w:rPr>
          <w:b w:val="0"/>
          <w:bCs w:val="0"/>
        </w:rPr>
      </w:r>
    </w:p>
    <w:p>
      <w:pPr>
        <w:tabs>
          <w:tab w:pos="1100" w:val="left" w:leader="none"/>
        </w:tabs>
        <w:spacing w:before="59"/>
        <w:ind w:left="0" w:right="751" w:firstLine="0"/>
        <w:jc w:val="right"/>
        <w:rPr>
          <w:rFonts w:ascii="宋体" w:hAnsi="宋体" w:cs="宋体" w:eastAsia="宋体" w:hint="default"/>
          <w:sz w:val="22"/>
          <w:szCs w:val="22"/>
        </w:rPr>
      </w:pPr>
      <w:r>
        <w:rPr>
          <w:rFonts w:ascii="宋体" w:hAnsi="宋体" w:cs="宋体" w:eastAsia="宋体" w:hint="default"/>
          <w:w w:val="95"/>
          <w:sz w:val="22"/>
          <w:szCs w:val="22"/>
        </w:rPr>
        <w:t>单位：元</w:t>
        <w:tab/>
      </w:r>
      <w:r>
        <w:rPr>
          <w:rFonts w:ascii="宋体" w:hAnsi="宋体" w:cs="宋体" w:eastAsia="宋体" w:hint="default"/>
          <w:sz w:val="22"/>
          <w:szCs w:val="22"/>
        </w:rPr>
        <w:t>币种：人民币</w:t>
      </w:r>
    </w:p>
    <w:p>
      <w:pPr>
        <w:spacing w:line="240" w:lineRule="auto" w:before="8"/>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1102"/>
        <w:gridCol w:w="1741"/>
        <w:gridCol w:w="1421"/>
        <w:gridCol w:w="1603"/>
        <w:gridCol w:w="1599"/>
        <w:gridCol w:w="1584"/>
      </w:tblGrid>
      <w:tr>
        <w:trPr>
          <w:trHeight w:val="338" w:hRule="exact"/>
        </w:trPr>
        <w:tc>
          <w:tcPr>
            <w:tcW w:w="1102" w:type="dxa"/>
            <w:vMerge w:val="restart"/>
            <w:tcBorders>
              <w:top w:val="single" w:sz="4" w:space="0" w:color="000000"/>
              <w:left w:val="single" w:sz="4" w:space="0" w:color="000000"/>
              <w:right w:val="single" w:sz="4" w:space="0" w:color="000000"/>
            </w:tcBorders>
          </w:tcPr>
          <w:p>
            <w:pPr>
              <w:pStyle w:val="TableParagraph"/>
              <w:spacing w:line="286" w:lineRule="exact" w:before="161"/>
              <w:ind w:left="325" w:right="215" w:hanging="110"/>
              <w:jc w:val="left"/>
              <w:rPr>
                <w:rFonts w:ascii="宋体" w:hAnsi="宋体" w:cs="宋体" w:eastAsia="宋体" w:hint="default"/>
                <w:sz w:val="22"/>
                <w:szCs w:val="22"/>
              </w:rPr>
            </w:pPr>
            <w:r>
              <w:rPr>
                <w:rFonts w:ascii="宋体" w:hAnsi="宋体" w:cs="宋体" w:eastAsia="宋体" w:hint="default"/>
                <w:sz w:val="22"/>
                <w:szCs w:val="22"/>
              </w:rPr>
              <w:t>被投资</w:t>
            </w:r>
            <w:r>
              <w:rPr>
                <w:rFonts w:ascii="宋体" w:hAnsi="宋体" w:cs="宋体" w:eastAsia="宋体" w:hint="default"/>
                <w:w w:val="99"/>
                <w:sz w:val="22"/>
                <w:szCs w:val="22"/>
              </w:rPr>
              <w:t> </w:t>
            </w:r>
            <w:r>
              <w:rPr>
                <w:rFonts w:ascii="宋体" w:hAnsi="宋体" w:cs="宋体" w:eastAsia="宋体" w:hint="default"/>
                <w:sz w:val="22"/>
                <w:szCs w:val="22"/>
              </w:rPr>
              <w:t>单位</w:t>
            </w:r>
          </w:p>
        </w:tc>
        <w:tc>
          <w:tcPr>
            <w:tcW w:w="174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5" w:right="0"/>
              <w:jc w:val="left"/>
              <w:rPr>
                <w:rFonts w:ascii="宋体" w:hAnsi="宋体" w:cs="宋体" w:eastAsia="宋体" w:hint="default"/>
                <w:sz w:val="22"/>
                <w:szCs w:val="22"/>
              </w:rPr>
            </w:pPr>
            <w:r>
              <w:rPr>
                <w:rFonts w:ascii="宋体" w:hAnsi="宋体" w:cs="宋体" w:eastAsia="宋体" w:hint="default"/>
                <w:sz w:val="22"/>
                <w:szCs w:val="22"/>
              </w:rPr>
              <w:t>交易基本信息</w:t>
            </w:r>
          </w:p>
        </w:tc>
        <w:tc>
          <w:tcPr>
            <w:tcW w:w="30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847" w:right="0"/>
              <w:jc w:val="left"/>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z w:val="22"/>
                <w:szCs w:val="22"/>
              </w:rPr>
              <w:t>年</w:t>
            </w:r>
            <w:r>
              <w:rPr>
                <w:rFonts w:ascii="宋体" w:hAnsi="宋体" w:cs="宋体" w:eastAsia="宋体" w:hint="default"/>
                <w:sz w:val="22"/>
                <w:szCs w:val="22"/>
              </w:rPr>
              <w:t>1</w:t>
            </w:r>
            <w:r>
              <w:rPr>
                <w:rFonts w:ascii="宋体" w:hAnsi="宋体" w:cs="宋体" w:eastAsia="宋体" w:hint="default"/>
                <w:sz w:val="22"/>
                <w:szCs w:val="22"/>
              </w:rPr>
              <w:t>月</w:t>
            </w:r>
            <w:r>
              <w:rPr>
                <w:rFonts w:ascii="宋体" w:hAnsi="宋体" w:cs="宋体" w:eastAsia="宋体" w:hint="default"/>
                <w:sz w:val="22"/>
                <w:szCs w:val="22"/>
              </w:rPr>
              <w:t>1</w:t>
            </w:r>
            <w:r>
              <w:rPr>
                <w:rFonts w:ascii="宋体" w:hAnsi="宋体" w:cs="宋体" w:eastAsia="宋体" w:hint="default"/>
                <w:sz w:val="22"/>
                <w:szCs w:val="22"/>
              </w:rPr>
              <w:t>日</w:t>
            </w:r>
          </w:p>
        </w:tc>
        <w:tc>
          <w:tcPr>
            <w:tcW w:w="31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816" w:right="0"/>
              <w:jc w:val="left"/>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z w:val="22"/>
                <w:szCs w:val="22"/>
              </w:rPr>
              <w:t>年</w:t>
            </w:r>
            <w:r>
              <w:rPr>
                <w:rFonts w:ascii="宋体" w:hAnsi="宋体" w:cs="宋体" w:eastAsia="宋体" w:hint="default"/>
                <w:sz w:val="22"/>
                <w:szCs w:val="22"/>
              </w:rPr>
              <w:t>12</w:t>
            </w:r>
            <w:r>
              <w:rPr>
                <w:rFonts w:ascii="宋体" w:hAnsi="宋体" w:cs="宋体" w:eastAsia="宋体" w:hint="default"/>
                <w:sz w:val="22"/>
                <w:szCs w:val="22"/>
              </w:rPr>
              <w:t>月</w:t>
            </w:r>
            <w:r>
              <w:rPr>
                <w:rFonts w:ascii="宋体" w:hAnsi="宋体" w:cs="宋体" w:eastAsia="宋体" w:hint="default"/>
                <w:sz w:val="22"/>
                <w:szCs w:val="22"/>
              </w:rPr>
              <w:t>31</w:t>
            </w:r>
            <w:r>
              <w:rPr>
                <w:rFonts w:ascii="宋体" w:hAnsi="宋体" w:cs="宋体" w:eastAsia="宋体" w:hint="default"/>
                <w:sz w:val="22"/>
                <w:szCs w:val="22"/>
              </w:rPr>
              <w:t>日</w:t>
            </w:r>
          </w:p>
        </w:tc>
      </w:tr>
      <w:tr>
        <w:trPr>
          <w:trHeight w:val="581" w:hRule="exact"/>
        </w:trPr>
        <w:tc>
          <w:tcPr>
            <w:tcW w:w="1102" w:type="dxa"/>
            <w:vMerge/>
            <w:tcBorders>
              <w:left w:val="single" w:sz="4" w:space="0" w:color="000000"/>
              <w:bottom w:val="single" w:sz="4" w:space="0" w:color="000000"/>
              <w:right w:val="single" w:sz="4" w:space="0" w:color="000000"/>
            </w:tcBorders>
          </w:tcPr>
          <w:p>
            <w:pPr/>
          </w:p>
        </w:tc>
        <w:tc>
          <w:tcPr>
            <w:tcW w:w="1741" w:type="dxa"/>
            <w:vMerge/>
            <w:tcBorders>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265" w:right="0"/>
              <w:jc w:val="left"/>
              <w:rPr>
                <w:rFonts w:ascii="宋体" w:hAnsi="宋体" w:cs="宋体" w:eastAsia="宋体" w:hint="default"/>
                <w:sz w:val="22"/>
                <w:szCs w:val="22"/>
              </w:rPr>
            </w:pPr>
            <w:r>
              <w:rPr>
                <w:rFonts w:ascii="宋体" w:hAnsi="宋体" w:cs="宋体" w:eastAsia="宋体" w:hint="default"/>
                <w:sz w:val="22"/>
                <w:szCs w:val="22"/>
              </w:rPr>
              <w:t>资本公积</w:t>
            </w:r>
          </w:p>
          <w:p>
            <w:pPr>
              <w:pStyle w:val="TableParagraph"/>
              <w:spacing w:line="287" w:lineRule="exact"/>
              <w:ind w:left="320"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356" w:right="0"/>
              <w:jc w:val="left"/>
              <w:rPr>
                <w:rFonts w:ascii="宋体" w:hAnsi="宋体" w:cs="宋体" w:eastAsia="宋体" w:hint="default"/>
                <w:sz w:val="22"/>
                <w:szCs w:val="22"/>
              </w:rPr>
            </w:pPr>
            <w:r>
              <w:rPr>
                <w:rFonts w:ascii="宋体" w:hAnsi="宋体" w:cs="宋体" w:eastAsia="宋体" w:hint="default"/>
                <w:sz w:val="22"/>
                <w:szCs w:val="22"/>
              </w:rPr>
              <w:t>留存收益</w:t>
            </w:r>
          </w:p>
          <w:p>
            <w:pPr>
              <w:pStyle w:val="TableParagraph"/>
              <w:spacing w:line="287" w:lineRule="exact"/>
              <w:ind w:left="411"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353" w:right="0"/>
              <w:jc w:val="left"/>
              <w:rPr>
                <w:rFonts w:ascii="宋体" w:hAnsi="宋体" w:cs="宋体" w:eastAsia="宋体" w:hint="default"/>
                <w:sz w:val="22"/>
                <w:szCs w:val="22"/>
              </w:rPr>
            </w:pPr>
            <w:r>
              <w:rPr>
                <w:rFonts w:ascii="宋体" w:hAnsi="宋体" w:cs="宋体" w:eastAsia="宋体" w:hint="default"/>
                <w:sz w:val="22"/>
                <w:szCs w:val="22"/>
              </w:rPr>
              <w:t>资本公积</w:t>
            </w:r>
          </w:p>
          <w:p>
            <w:pPr>
              <w:pStyle w:val="TableParagraph"/>
              <w:spacing w:line="287" w:lineRule="exact"/>
              <w:ind w:left="409"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345" w:right="0"/>
              <w:jc w:val="left"/>
              <w:rPr>
                <w:rFonts w:ascii="宋体" w:hAnsi="宋体" w:cs="宋体" w:eastAsia="宋体" w:hint="default"/>
                <w:sz w:val="22"/>
                <w:szCs w:val="22"/>
              </w:rPr>
            </w:pPr>
            <w:r>
              <w:rPr>
                <w:rFonts w:ascii="宋体" w:hAnsi="宋体" w:cs="宋体" w:eastAsia="宋体" w:hint="default"/>
                <w:sz w:val="22"/>
                <w:szCs w:val="22"/>
              </w:rPr>
              <w:t>留存收益</w:t>
            </w:r>
          </w:p>
          <w:p>
            <w:pPr>
              <w:pStyle w:val="TableParagraph"/>
              <w:spacing w:line="287" w:lineRule="exact"/>
              <w:ind w:left="400"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p>
        </w:tc>
      </w:tr>
      <w:tr>
        <w:trPr>
          <w:trHeight w:val="110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5"/>
                <w:sz w:val="21"/>
                <w:szCs w:val="21"/>
              </w:rPr>
              <w:t>中铁信息</w:t>
            </w:r>
            <w:r>
              <w:rPr>
                <w:rFonts w:ascii="宋体" w:hAnsi="宋体" w:cs="宋体" w:eastAsia="宋体" w:hint="default"/>
                <w:sz w:val="21"/>
                <w:szCs w:val="21"/>
              </w:rPr>
            </w:r>
          </w:p>
          <w:p>
            <w:pPr>
              <w:pStyle w:val="TableParagraph"/>
              <w:spacing w:line="272" w:lineRule="exact" w:before="26"/>
              <w:ind w:left="103" w:right="84"/>
              <w:jc w:val="both"/>
              <w:rPr>
                <w:rFonts w:ascii="宋体" w:hAnsi="宋体" w:cs="宋体" w:eastAsia="宋体" w:hint="default"/>
                <w:sz w:val="21"/>
                <w:szCs w:val="21"/>
              </w:rPr>
            </w:pPr>
            <w:r>
              <w:rPr>
                <w:rFonts w:ascii="宋体" w:hAnsi="宋体" w:cs="宋体" w:eastAsia="宋体" w:hint="default"/>
                <w:spacing w:val="15"/>
                <w:sz w:val="21"/>
                <w:szCs w:val="21"/>
              </w:rPr>
              <w:t>计算机工 程有限责 </w:t>
            </w:r>
            <w:r>
              <w:rPr>
                <w:rFonts w:ascii="宋体" w:hAnsi="宋体" w:cs="宋体" w:eastAsia="宋体" w:hint="default"/>
                <w:sz w:val="21"/>
                <w:szCs w:val="21"/>
              </w:rPr>
              <w:t>任公司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pacing w:val="-53"/>
                <w:sz w:val="21"/>
                <w:szCs w:val="21"/>
              </w:rPr>
              <w:t> </w:t>
            </w:r>
            <w:r>
              <w:rPr>
                <w:rFonts w:ascii="宋体" w:hAnsi="宋体" w:cs="宋体" w:eastAsia="宋体" w:hint="default"/>
                <w:sz w:val="21"/>
                <w:szCs w:val="21"/>
              </w:rPr>
              <w:t>0.6%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r>
      <w:tr>
        <w:trPr>
          <w:trHeight w:val="282" w:hRule="exact"/>
        </w:trPr>
        <w:tc>
          <w:tcPr>
            <w:tcW w:w="1102"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r>
    </w:tbl>
    <w:p>
      <w:pPr>
        <w:spacing w:line="252" w:lineRule="exact" w:before="0"/>
        <w:ind w:left="818" w:right="0" w:firstLine="0"/>
        <w:jc w:val="left"/>
        <w:rPr>
          <w:rFonts w:ascii="宋体" w:hAnsi="宋体" w:cs="宋体" w:eastAsia="宋体" w:hint="default"/>
          <w:sz w:val="22"/>
          <w:szCs w:val="22"/>
        </w:rPr>
      </w:pPr>
      <w:r>
        <w:rPr>
          <w:rFonts w:ascii="宋体" w:hAnsi="宋体" w:cs="宋体" w:eastAsia="宋体" w:hint="default"/>
          <w:sz w:val="22"/>
          <w:szCs w:val="22"/>
        </w:rPr>
        <w:t>长期股权投资准则变动对于合并财务报表影响（二）的说明</w:t>
      </w:r>
    </w:p>
    <w:p>
      <w:pPr>
        <w:pStyle w:val="BodyText"/>
        <w:spacing w:line="237" w:lineRule="auto" w:before="116"/>
        <w:ind w:left="818" w:right="755" w:firstLine="420"/>
        <w:jc w:val="both"/>
      </w:pPr>
      <w:r>
        <w:rPr>
          <w:spacing w:val="-4"/>
        </w:rPr>
        <w:t>依据《企业会计准则第</w:t>
      </w:r>
      <w:r>
        <w:rPr>
          <w:spacing w:val="-59"/>
        </w:rPr>
        <w:t> </w:t>
      </w:r>
      <w:r>
        <w:rPr>
          <w:rFonts w:ascii="宋体" w:hAnsi="宋体" w:cs="宋体" w:eastAsia="宋体" w:hint="default"/>
        </w:rPr>
        <w:t>22</w:t>
      </w:r>
      <w:r>
        <w:rPr>
          <w:rFonts w:ascii="宋体" w:hAnsi="宋体" w:cs="宋体" w:eastAsia="宋体" w:hint="default"/>
          <w:spacing w:val="-59"/>
        </w:rPr>
        <w:t> </w:t>
      </w:r>
      <w:r>
        <w:rPr>
          <w:spacing w:val="-3"/>
        </w:rPr>
        <w:t>号—金融工具确认和计量》，在活跃市场中没有报价且</w:t>
      </w:r>
      <w:r>
        <w:rPr/>
        <w:t> </w:t>
      </w:r>
      <w:r>
        <w:rPr>
          <w:spacing w:val="-2"/>
        </w:rPr>
        <w:t>其公允价值不能可靠计量的权益工具投资，应当按照成本计量。该可供出售金融资产</w:t>
      </w:r>
      <w:r>
        <w:rPr>
          <w:spacing w:val="-94"/>
        </w:rPr>
        <w:t> </w:t>
      </w:r>
      <w:r>
        <w:rPr>
          <w:spacing w:val="-94"/>
        </w:rPr>
      </w:r>
      <w:r>
        <w:rPr/>
        <w:t>持有期间取得的现金股利，计入投资收益，该项政策与之前处理一致。</w:t>
      </w:r>
    </w:p>
    <w:p>
      <w:pPr>
        <w:spacing w:line="240" w:lineRule="auto" w:before="6"/>
        <w:rPr>
          <w:rFonts w:ascii="宋体" w:hAnsi="宋体" w:cs="宋体" w:eastAsia="宋体" w:hint="default"/>
          <w:sz w:val="34"/>
          <w:szCs w:val="34"/>
        </w:rPr>
      </w:pPr>
    </w:p>
    <w:p>
      <w:pPr>
        <w:tabs>
          <w:tab w:pos="1297" w:val="left" w:leader="none"/>
        </w:tabs>
        <w:spacing w:line="328" w:lineRule="auto" w:before="0"/>
        <w:ind w:left="1258" w:right="6027" w:hanging="441"/>
        <w:jc w:val="left"/>
        <w:rPr>
          <w:rFonts w:ascii="宋体" w:hAnsi="宋体" w:cs="宋体" w:eastAsia="宋体" w:hint="default"/>
          <w:sz w:val="24"/>
          <w:szCs w:val="24"/>
        </w:rPr>
      </w:pPr>
      <w:r>
        <w:rPr>
          <w:rFonts w:ascii="宋体" w:hAnsi="宋体" w:cs="宋体" w:eastAsia="宋体" w:hint="default"/>
          <w:b/>
          <w:bCs/>
          <w:w w:val="95"/>
          <w:sz w:val="24"/>
          <w:szCs w:val="24"/>
        </w:rPr>
        <w:t>3</w:t>
        <w:tab/>
        <w:tab/>
      </w:r>
      <w:r>
        <w:rPr>
          <w:rFonts w:ascii="宋体" w:hAnsi="宋体" w:cs="宋体" w:eastAsia="宋体" w:hint="default"/>
          <w:b/>
          <w:bCs/>
          <w:sz w:val="24"/>
          <w:szCs w:val="24"/>
        </w:rPr>
        <w:t>职工薪酬准则变动的影响</w:t>
      </w:r>
      <w:r>
        <w:rPr>
          <w:rFonts w:ascii="宋体" w:hAnsi="宋体" w:cs="宋体" w:eastAsia="宋体" w:hint="default"/>
          <w:b/>
          <w:bCs/>
          <w:w w:val="99"/>
          <w:sz w:val="24"/>
          <w:szCs w:val="24"/>
        </w:rPr>
        <w:t> </w:t>
      </w:r>
      <w:r>
        <w:rPr>
          <w:rFonts w:ascii="宋体" w:hAnsi="宋体" w:cs="宋体" w:eastAsia="宋体" w:hint="default"/>
          <w:sz w:val="24"/>
          <w:szCs w:val="24"/>
        </w:rPr>
        <w:t>该变更对财务报表无重大影响</w:t>
      </w:r>
    </w:p>
    <w:p>
      <w:pPr>
        <w:spacing w:line="240" w:lineRule="auto" w:before="7"/>
        <w:rPr>
          <w:rFonts w:ascii="宋体" w:hAnsi="宋体" w:cs="宋体" w:eastAsia="宋体" w:hint="default"/>
          <w:sz w:val="25"/>
          <w:szCs w:val="25"/>
        </w:rPr>
      </w:pPr>
    </w:p>
    <w:p>
      <w:pPr>
        <w:pStyle w:val="Heading2"/>
        <w:tabs>
          <w:tab w:pos="1297" w:val="left" w:leader="none"/>
        </w:tabs>
        <w:spacing w:line="240" w:lineRule="auto"/>
        <w:ind w:left="818" w:right="0"/>
        <w:jc w:val="left"/>
        <w:rPr>
          <w:b w:val="0"/>
          <w:bCs w:val="0"/>
        </w:rPr>
      </w:pPr>
      <w:r>
        <w:rPr>
          <w:rFonts w:ascii="宋体" w:hAnsi="宋体" w:cs="宋体" w:eastAsia="宋体" w:hint="default"/>
          <w:w w:val="95"/>
        </w:rPr>
        <w:t>4</w:t>
        <w:tab/>
      </w:r>
      <w:r>
        <w:rPr/>
        <w:t>合并范围变动的影响</w:t>
      </w:r>
      <w:r>
        <w:rPr>
          <w:b w:val="0"/>
          <w:bCs w:val="0"/>
        </w:rPr>
      </w:r>
    </w:p>
    <w:p>
      <w:pPr>
        <w:tabs>
          <w:tab w:pos="1100" w:val="left" w:leader="none"/>
        </w:tabs>
        <w:spacing w:before="61"/>
        <w:ind w:left="0" w:right="751" w:firstLine="0"/>
        <w:jc w:val="right"/>
        <w:rPr>
          <w:rFonts w:ascii="宋体" w:hAnsi="宋体" w:cs="宋体" w:eastAsia="宋体" w:hint="default"/>
          <w:sz w:val="22"/>
          <w:szCs w:val="22"/>
        </w:rPr>
      </w:pPr>
      <w:r>
        <w:rPr>
          <w:rFonts w:ascii="宋体" w:hAnsi="宋体" w:cs="宋体" w:eastAsia="宋体" w:hint="default"/>
          <w:w w:val="95"/>
          <w:sz w:val="22"/>
          <w:szCs w:val="22"/>
        </w:rPr>
        <w:t>单位：元</w:t>
        <w:tab/>
      </w:r>
      <w:r>
        <w:rPr>
          <w:rFonts w:ascii="宋体" w:hAnsi="宋体" w:cs="宋体" w:eastAsia="宋体" w:hint="default"/>
          <w:sz w:val="22"/>
          <w:szCs w:val="22"/>
        </w:rPr>
        <w:t>币种：人民币</w:t>
      </w:r>
    </w:p>
    <w:p>
      <w:pPr>
        <w:spacing w:line="240" w:lineRule="auto" w:before="6"/>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097"/>
        <w:gridCol w:w="2125"/>
        <w:gridCol w:w="2268"/>
        <w:gridCol w:w="1563"/>
        <w:gridCol w:w="1562"/>
        <w:gridCol w:w="1566"/>
      </w:tblGrid>
      <w:tr>
        <w:trPr>
          <w:trHeight w:val="338" w:hRule="exact"/>
        </w:trPr>
        <w:tc>
          <w:tcPr>
            <w:tcW w:w="10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74"/>
              <w:ind w:left="103" w:right="0"/>
              <w:jc w:val="left"/>
              <w:rPr>
                <w:rFonts w:ascii="宋体" w:hAnsi="宋体" w:cs="宋体" w:eastAsia="宋体" w:hint="default"/>
                <w:sz w:val="22"/>
                <w:szCs w:val="22"/>
              </w:rPr>
            </w:pPr>
            <w:r>
              <w:rPr>
                <w:rFonts w:ascii="宋体" w:hAnsi="宋体" w:cs="宋体" w:eastAsia="宋体" w:hint="default"/>
                <w:sz w:val="22"/>
                <w:szCs w:val="22"/>
              </w:rPr>
              <w:t>主体名称</w:t>
            </w:r>
          </w:p>
        </w:tc>
        <w:tc>
          <w:tcPr>
            <w:tcW w:w="212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506" w:right="123" w:hanging="384"/>
              <w:jc w:val="left"/>
              <w:rPr>
                <w:rFonts w:ascii="宋体" w:hAnsi="宋体" w:cs="宋体" w:eastAsia="宋体" w:hint="default"/>
                <w:sz w:val="22"/>
                <w:szCs w:val="22"/>
              </w:rPr>
            </w:pPr>
            <w:r>
              <w:rPr>
                <w:rFonts w:ascii="宋体" w:hAnsi="宋体" w:cs="宋体" w:eastAsia="宋体" w:hint="default"/>
                <w:sz w:val="22"/>
                <w:szCs w:val="22"/>
              </w:rPr>
              <w:t>纳入</w:t>
            </w:r>
            <w:r>
              <w:rPr>
                <w:rFonts w:ascii="宋体" w:hAnsi="宋体" w:cs="宋体" w:eastAsia="宋体" w:hint="default"/>
                <w:sz w:val="22"/>
                <w:szCs w:val="22"/>
              </w:rPr>
              <w:t>/</w:t>
            </w:r>
            <w:r>
              <w:rPr>
                <w:rFonts w:ascii="宋体" w:hAnsi="宋体" w:cs="宋体" w:eastAsia="宋体" w:hint="default"/>
                <w:sz w:val="22"/>
                <w:szCs w:val="22"/>
              </w:rPr>
              <w:t>不再纳入合并</w:t>
            </w:r>
            <w:r>
              <w:rPr>
                <w:rFonts w:ascii="宋体" w:hAnsi="宋体" w:cs="宋体" w:eastAsia="宋体" w:hint="default"/>
                <w:w w:val="99"/>
                <w:sz w:val="22"/>
                <w:szCs w:val="22"/>
              </w:rPr>
              <w:t> </w:t>
            </w:r>
            <w:r>
              <w:rPr>
                <w:rFonts w:ascii="宋体" w:hAnsi="宋体" w:cs="宋体" w:eastAsia="宋体" w:hint="default"/>
                <w:sz w:val="22"/>
                <w:szCs w:val="22"/>
              </w:rPr>
              <w:t>范围的原因</w:t>
            </w:r>
          </w:p>
        </w:tc>
        <w:tc>
          <w:tcPr>
            <w:tcW w:w="2268" w:type="dxa"/>
            <w:vMerge w:val="restart"/>
            <w:tcBorders>
              <w:top w:val="single" w:sz="4" w:space="0" w:color="000000"/>
              <w:left w:val="single" w:sz="4" w:space="0" w:color="000000"/>
              <w:right w:val="single" w:sz="4" w:space="0" w:color="000000"/>
            </w:tcBorders>
          </w:tcPr>
          <w:p>
            <w:pPr>
              <w:pStyle w:val="TableParagraph"/>
              <w:spacing w:line="240" w:lineRule="auto" w:before="198"/>
              <w:ind w:left="111" w:right="110"/>
              <w:jc w:val="center"/>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日归属</w:t>
            </w:r>
            <w:r>
              <w:rPr>
                <w:rFonts w:ascii="宋体" w:hAnsi="宋体" w:cs="宋体" w:eastAsia="宋体" w:hint="default"/>
                <w:w w:val="99"/>
                <w:sz w:val="22"/>
                <w:szCs w:val="22"/>
              </w:rPr>
              <w:t> </w:t>
            </w:r>
            <w:r>
              <w:rPr>
                <w:rFonts w:ascii="宋体" w:hAnsi="宋体" w:cs="宋体" w:eastAsia="宋体" w:hint="default"/>
                <w:sz w:val="22"/>
                <w:szCs w:val="22"/>
              </w:rPr>
              <w:t>于母公司股东权益</w:t>
            </w:r>
          </w:p>
          <w:p>
            <w:pPr>
              <w:pStyle w:val="TableParagraph"/>
              <w:spacing w:line="286" w:lineRule="exact"/>
              <w:ind w:right="0"/>
              <w:jc w:val="center"/>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p>
        </w:tc>
        <w:tc>
          <w:tcPr>
            <w:tcW w:w="46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z w:val="22"/>
                <w:szCs w:val="22"/>
              </w:rPr>
              <w:t>年</w:t>
            </w:r>
            <w:r>
              <w:rPr>
                <w:rFonts w:ascii="宋体" w:hAnsi="宋体" w:cs="宋体" w:eastAsia="宋体" w:hint="default"/>
                <w:sz w:val="22"/>
                <w:szCs w:val="22"/>
              </w:rPr>
              <w:t>12</w:t>
            </w:r>
            <w:r>
              <w:rPr>
                <w:rFonts w:ascii="宋体" w:hAnsi="宋体" w:cs="宋体" w:eastAsia="宋体" w:hint="default"/>
                <w:sz w:val="22"/>
                <w:szCs w:val="22"/>
              </w:rPr>
              <w:t>月</w:t>
            </w:r>
            <w:r>
              <w:rPr>
                <w:rFonts w:ascii="宋体" w:hAnsi="宋体" w:cs="宋体" w:eastAsia="宋体" w:hint="default"/>
                <w:sz w:val="22"/>
                <w:szCs w:val="22"/>
              </w:rPr>
              <w:t>31</w:t>
            </w:r>
            <w:r>
              <w:rPr>
                <w:rFonts w:ascii="宋体" w:hAnsi="宋体" w:cs="宋体" w:eastAsia="宋体" w:hint="default"/>
                <w:sz w:val="22"/>
                <w:szCs w:val="22"/>
              </w:rPr>
              <w:t>日</w:t>
            </w:r>
          </w:p>
        </w:tc>
      </w:tr>
      <w:tr>
        <w:trPr>
          <w:trHeight w:val="995" w:hRule="exact"/>
        </w:trPr>
        <w:tc>
          <w:tcPr>
            <w:tcW w:w="1097" w:type="dxa"/>
            <w:vMerge/>
            <w:tcBorders>
              <w:left w:val="single" w:sz="4" w:space="0" w:color="000000"/>
              <w:bottom w:val="single" w:sz="4" w:space="0" w:color="000000"/>
              <w:right w:val="single" w:sz="4" w:space="0" w:color="000000"/>
            </w:tcBorders>
          </w:tcPr>
          <w:p>
            <w:pPr/>
          </w:p>
        </w:tc>
        <w:tc>
          <w:tcPr>
            <w:tcW w:w="2125" w:type="dxa"/>
            <w:vMerge/>
            <w:tcBorders>
              <w:left w:val="single" w:sz="4" w:space="0" w:color="000000"/>
              <w:bottom w:val="single" w:sz="4" w:space="0" w:color="000000"/>
              <w:right w:val="single" w:sz="4" w:space="0" w:color="000000"/>
            </w:tcBorders>
          </w:tcPr>
          <w:p>
            <w:pPr/>
          </w:p>
        </w:tc>
        <w:tc>
          <w:tcPr>
            <w:tcW w:w="2268" w:type="dxa"/>
            <w:vMerge/>
            <w:tcBorders>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36" w:right="0"/>
              <w:jc w:val="left"/>
              <w:rPr>
                <w:rFonts w:ascii="宋体" w:hAnsi="宋体" w:cs="宋体" w:eastAsia="宋体" w:hint="default"/>
                <w:sz w:val="22"/>
                <w:szCs w:val="22"/>
              </w:rPr>
            </w:pPr>
            <w:r>
              <w:rPr>
                <w:rFonts w:ascii="宋体" w:hAnsi="宋体" w:cs="宋体" w:eastAsia="宋体" w:hint="default"/>
                <w:sz w:val="22"/>
                <w:szCs w:val="22"/>
              </w:rPr>
              <w:t>资产总额</w:t>
            </w:r>
          </w:p>
          <w:p>
            <w:pPr>
              <w:pStyle w:val="TableParagraph"/>
              <w:spacing w:line="240" w:lineRule="auto" w:before="41"/>
              <w:ind w:left="391"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34" w:right="0"/>
              <w:jc w:val="left"/>
              <w:rPr>
                <w:rFonts w:ascii="宋体" w:hAnsi="宋体" w:cs="宋体" w:eastAsia="宋体" w:hint="default"/>
                <w:sz w:val="22"/>
                <w:szCs w:val="22"/>
              </w:rPr>
            </w:pPr>
            <w:r>
              <w:rPr>
                <w:rFonts w:ascii="宋体" w:hAnsi="宋体" w:cs="宋体" w:eastAsia="宋体" w:hint="default"/>
                <w:sz w:val="22"/>
                <w:szCs w:val="22"/>
              </w:rPr>
              <w:t>负债总额</w:t>
            </w:r>
          </w:p>
          <w:p>
            <w:pPr>
              <w:pStyle w:val="TableParagraph"/>
              <w:spacing w:line="240" w:lineRule="auto" w:before="41"/>
              <w:ind w:left="389"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
              <w:jc w:val="center"/>
              <w:rPr>
                <w:rFonts w:ascii="宋体" w:hAnsi="宋体" w:cs="宋体" w:eastAsia="宋体" w:hint="default"/>
                <w:sz w:val="22"/>
                <w:szCs w:val="22"/>
              </w:rPr>
            </w:pPr>
            <w:r>
              <w:rPr>
                <w:rFonts w:ascii="宋体" w:hAnsi="宋体" w:cs="宋体" w:eastAsia="宋体" w:hint="default"/>
                <w:sz w:val="22"/>
                <w:szCs w:val="22"/>
              </w:rPr>
              <w:t>归属于母公司</w:t>
            </w:r>
          </w:p>
          <w:p>
            <w:pPr>
              <w:pStyle w:val="TableParagraph"/>
              <w:spacing w:line="240" w:lineRule="auto" w:before="41"/>
              <w:ind w:right="1"/>
              <w:jc w:val="center"/>
              <w:rPr>
                <w:rFonts w:ascii="宋体" w:hAnsi="宋体" w:cs="宋体" w:eastAsia="宋体" w:hint="default"/>
                <w:sz w:val="22"/>
                <w:szCs w:val="22"/>
              </w:rPr>
            </w:pPr>
            <w:r>
              <w:rPr>
                <w:rFonts w:ascii="宋体" w:hAnsi="宋体" w:cs="宋体" w:eastAsia="宋体" w:hint="default"/>
                <w:sz w:val="22"/>
                <w:szCs w:val="22"/>
              </w:rPr>
              <w:t>股东权益</w:t>
            </w:r>
          </w:p>
          <w:p>
            <w:pPr>
              <w:pStyle w:val="TableParagraph"/>
              <w:spacing w:line="240" w:lineRule="auto" w:before="39"/>
              <w:ind w:right="1"/>
              <w:jc w:val="center"/>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p>
        </w:tc>
      </w:tr>
      <w:tr>
        <w:trPr>
          <w:trHeight w:val="554"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北京华胜</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天成低碳</w:t>
            </w:r>
            <w:r>
              <w:rPr>
                <w:rFonts w:ascii="宋体" w:hAnsi="宋体" w:cs="宋体" w:eastAsia="宋体" w:hint="default"/>
                <w:sz w:val="21"/>
                <w:szCs w:val="21"/>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根据《企业会计准则</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第 </w:t>
            </w:r>
            <w:r>
              <w:rPr>
                <w:rFonts w:ascii="宋体" w:hAnsi="宋体" w:cs="宋体" w:eastAsia="宋体" w:hint="default"/>
                <w:sz w:val="21"/>
                <w:szCs w:val="21"/>
              </w:rPr>
              <w:t>33</w:t>
            </w:r>
            <w:r>
              <w:rPr>
                <w:rFonts w:ascii="宋体" w:hAnsi="宋体" w:cs="宋体" w:eastAsia="宋体" w:hint="default"/>
                <w:spacing w:val="6"/>
                <w:sz w:val="21"/>
                <w:szCs w:val="21"/>
              </w:rPr>
              <w:t> </w:t>
            </w:r>
            <w:r>
              <w:rPr>
                <w:rFonts w:ascii="宋体" w:hAnsi="宋体" w:cs="宋体" w:eastAsia="宋体" w:hint="default"/>
                <w:spacing w:val="2"/>
                <w:sz w:val="21"/>
                <w:szCs w:val="21"/>
              </w:rPr>
              <w:t>号——合并财</w:t>
            </w:r>
            <w:r>
              <w:rPr>
                <w:rFonts w:ascii="宋体" w:hAnsi="宋体" w:cs="宋体" w:eastAsia="宋体" w:hint="default"/>
                <w:sz w:val="21"/>
                <w:szCs w:val="21"/>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r>
    </w:tbl>
    <w:p>
      <w:pPr>
        <w:spacing w:after="0" w:line="240" w:lineRule="exact"/>
        <w:jc w:val="right"/>
        <w:rPr>
          <w:rFonts w:ascii="宋体" w:hAnsi="宋体" w:cs="宋体" w:eastAsia="宋体" w:hint="default"/>
          <w:sz w:val="21"/>
          <w:szCs w:val="21"/>
        </w:rPr>
        <w:sectPr>
          <w:footerReference w:type="default" r:id="rId17"/>
          <w:pgSz w:w="11910" w:h="16840"/>
          <w:pgMar w:footer="1194" w:header="882" w:top="1080" w:bottom="1380" w:left="980" w:right="520"/>
          <w:pgNumType w:start="41"/>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1097"/>
        <w:gridCol w:w="2125"/>
        <w:gridCol w:w="2268"/>
        <w:gridCol w:w="1563"/>
        <w:gridCol w:w="1562"/>
        <w:gridCol w:w="1566"/>
      </w:tblGrid>
      <w:tr>
        <w:trPr>
          <w:trHeight w:val="4640"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产业创业</w:t>
            </w:r>
            <w:r>
              <w:rPr>
                <w:rFonts w:ascii="宋体" w:hAnsi="宋体" w:cs="宋体" w:eastAsia="宋体" w:hint="default"/>
                <w:sz w:val="21"/>
                <w:szCs w:val="21"/>
              </w:rPr>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投资中心</w:t>
            </w:r>
            <w:r>
              <w:rPr>
                <w:rFonts w:ascii="宋体" w:hAnsi="宋体" w:cs="宋体" w:eastAsia="宋体" w:hint="default"/>
                <w:sz w:val="21"/>
                <w:szCs w:val="21"/>
              </w:rPr>
            </w:r>
          </w:p>
          <w:p>
            <w:pPr>
              <w:pStyle w:val="TableParagraph"/>
              <w:spacing w:line="272" w:lineRule="exact" w:before="26"/>
              <w:ind w:left="103" w:right="89"/>
              <w:jc w:val="left"/>
              <w:rPr>
                <w:rFonts w:ascii="宋体" w:hAnsi="宋体" w:cs="宋体" w:eastAsia="宋体" w:hint="default"/>
                <w:sz w:val="21"/>
                <w:szCs w:val="21"/>
              </w:rPr>
            </w:pPr>
            <w:r>
              <w:rPr>
                <w:rFonts w:ascii="宋体" w:hAnsi="宋体" w:cs="宋体" w:eastAsia="宋体" w:hint="default"/>
                <w:spacing w:val="13"/>
                <w:sz w:val="21"/>
                <w:szCs w:val="21"/>
              </w:rPr>
              <w:t>（有限合 </w:t>
            </w:r>
            <w:r>
              <w:rPr>
                <w:rFonts w:ascii="宋体" w:hAnsi="宋体" w:cs="宋体" w:eastAsia="宋体" w:hint="default"/>
                <w:sz w:val="21"/>
                <w:szCs w:val="21"/>
              </w:rPr>
              <w:t>伙）</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务报表》的要求：合</w:t>
            </w:r>
          </w:p>
          <w:p>
            <w:pPr>
              <w:pStyle w:val="TableParagraph"/>
              <w:spacing w:line="237" w:lineRule="auto" w:before="1"/>
              <w:ind w:left="101" w:right="101"/>
              <w:jc w:val="both"/>
              <w:rPr>
                <w:rFonts w:ascii="宋体" w:hAnsi="宋体" w:cs="宋体" w:eastAsia="宋体" w:hint="default"/>
                <w:sz w:val="21"/>
                <w:szCs w:val="21"/>
              </w:rPr>
            </w:pPr>
            <w:r>
              <w:rPr>
                <w:rFonts w:ascii="宋体" w:hAnsi="宋体" w:cs="宋体" w:eastAsia="宋体" w:hint="default"/>
                <w:sz w:val="21"/>
                <w:szCs w:val="21"/>
              </w:rPr>
              <w:t>并财务报表的合并范</w:t>
            </w:r>
            <w:r>
              <w:rPr>
                <w:rFonts w:ascii="宋体" w:hAnsi="宋体" w:cs="宋体" w:eastAsia="宋体" w:hint="default"/>
                <w:spacing w:val="-88"/>
                <w:sz w:val="21"/>
                <w:szCs w:val="21"/>
              </w:rPr>
              <w:t> </w:t>
            </w:r>
            <w:r>
              <w:rPr>
                <w:rFonts w:ascii="宋体" w:hAnsi="宋体" w:cs="宋体" w:eastAsia="宋体" w:hint="default"/>
                <w:sz w:val="21"/>
                <w:szCs w:val="21"/>
              </w:rPr>
              <w:t>围以控制为基础予以</w:t>
            </w:r>
            <w:r>
              <w:rPr>
                <w:rFonts w:ascii="宋体" w:hAnsi="宋体" w:cs="宋体" w:eastAsia="宋体" w:hint="default"/>
                <w:spacing w:val="-88"/>
                <w:sz w:val="21"/>
                <w:szCs w:val="21"/>
              </w:rPr>
              <w:t> </w:t>
            </w:r>
            <w:r>
              <w:rPr>
                <w:rFonts w:ascii="宋体" w:hAnsi="宋体" w:cs="宋体" w:eastAsia="宋体" w:hint="default"/>
                <w:sz w:val="21"/>
                <w:szCs w:val="21"/>
              </w:rPr>
              <w:t>确定。控制是指本集</w:t>
            </w:r>
            <w:r>
              <w:rPr>
                <w:rFonts w:ascii="宋体" w:hAnsi="宋体" w:cs="宋体" w:eastAsia="宋体" w:hint="default"/>
                <w:spacing w:val="-88"/>
                <w:sz w:val="21"/>
                <w:szCs w:val="21"/>
              </w:rPr>
              <w:t> </w:t>
            </w:r>
            <w:r>
              <w:rPr>
                <w:rFonts w:ascii="宋体" w:hAnsi="宋体" w:cs="宋体" w:eastAsia="宋体" w:hint="default"/>
                <w:sz w:val="21"/>
                <w:szCs w:val="21"/>
              </w:rPr>
              <w:t>团拥有对被投资方的</w:t>
            </w:r>
            <w:r>
              <w:rPr>
                <w:rFonts w:ascii="宋体" w:hAnsi="宋体" w:cs="宋体" w:eastAsia="宋体" w:hint="default"/>
                <w:spacing w:val="-88"/>
                <w:sz w:val="21"/>
                <w:szCs w:val="21"/>
              </w:rPr>
              <w:t> </w:t>
            </w:r>
            <w:r>
              <w:rPr>
                <w:rFonts w:ascii="宋体" w:hAnsi="宋体" w:cs="宋体" w:eastAsia="宋体" w:hint="default"/>
                <w:sz w:val="21"/>
                <w:szCs w:val="21"/>
              </w:rPr>
              <w:t>权力，通过参与被投</w:t>
            </w:r>
            <w:r>
              <w:rPr>
                <w:rFonts w:ascii="宋体" w:hAnsi="宋体" w:cs="宋体" w:eastAsia="宋体" w:hint="default"/>
                <w:spacing w:val="-88"/>
                <w:sz w:val="21"/>
                <w:szCs w:val="21"/>
              </w:rPr>
              <w:t> </w:t>
            </w:r>
            <w:r>
              <w:rPr>
                <w:rFonts w:ascii="宋体" w:hAnsi="宋体" w:cs="宋体" w:eastAsia="宋体" w:hint="default"/>
                <w:sz w:val="21"/>
                <w:szCs w:val="21"/>
              </w:rPr>
              <w:t>资方的相关活动而享</w:t>
            </w:r>
            <w:r>
              <w:rPr>
                <w:rFonts w:ascii="宋体" w:hAnsi="宋体" w:cs="宋体" w:eastAsia="宋体" w:hint="default"/>
                <w:spacing w:val="-88"/>
                <w:sz w:val="21"/>
                <w:szCs w:val="21"/>
              </w:rPr>
              <w:t> </w:t>
            </w:r>
            <w:r>
              <w:rPr>
                <w:rFonts w:ascii="宋体" w:hAnsi="宋体" w:cs="宋体" w:eastAsia="宋体" w:hint="default"/>
                <w:sz w:val="21"/>
                <w:szCs w:val="21"/>
              </w:rPr>
              <w:t>有可变回报，并且有</w:t>
            </w:r>
            <w:r>
              <w:rPr>
                <w:rFonts w:ascii="宋体" w:hAnsi="宋体" w:cs="宋体" w:eastAsia="宋体" w:hint="default"/>
                <w:spacing w:val="-88"/>
                <w:sz w:val="21"/>
                <w:szCs w:val="21"/>
              </w:rPr>
              <w:t> </w:t>
            </w:r>
            <w:r>
              <w:rPr>
                <w:rFonts w:ascii="宋体" w:hAnsi="宋体" w:cs="宋体" w:eastAsia="宋体" w:hint="default"/>
                <w:sz w:val="21"/>
                <w:szCs w:val="21"/>
              </w:rPr>
              <w:t>能力运用对被投资方</w:t>
            </w:r>
            <w:r>
              <w:rPr>
                <w:rFonts w:ascii="宋体" w:hAnsi="宋体" w:cs="宋体" w:eastAsia="宋体" w:hint="default"/>
                <w:spacing w:val="-88"/>
                <w:sz w:val="21"/>
                <w:szCs w:val="21"/>
              </w:rPr>
              <w:t> </w:t>
            </w:r>
            <w:r>
              <w:rPr>
                <w:rFonts w:ascii="宋体" w:hAnsi="宋体" w:cs="宋体" w:eastAsia="宋体" w:hint="default"/>
                <w:sz w:val="21"/>
                <w:szCs w:val="21"/>
              </w:rPr>
              <w:t>的权力影响其回报金</w:t>
            </w:r>
            <w:r>
              <w:rPr>
                <w:rFonts w:ascii="宋体" w:hAnsi="宋体" w:cs="宋体" w:eastAsia="宋体" w:hint="default"/>
                <w:spacing w:val="-88"/>
                <w:sz w:val="21"/>
                <w:szCs w:val="21"/>
              </w:rPr>
              <w:t> </w:t>
            </w:r>
            <w:r>
              <w:rPr>
                <w:rFonts w:ascii="宋体" w:hAnsi="宋体" w:cs="宋体" w:eastAsia="宋体" w:hint="default"/>
                <w:sz w:val="21"/>
                <w:szCs w:val="21"/>
              </w:rPr>
              <w:t>额。本集团在综合考</w:t>
            </w:r>
            <w:r>
              <w:rPr>
                <w:rFonts w:ascii="宋体" w:hAnsi="宋体" w:cs="宋体" w:eastAsia="宋体" w:hint="default"/>
                <w:spacing w:val="-88"/>
                <w:sz w:val="21"/>
                <w:szCs w:val="21"/>
              </w:rPr>
              <w:t> </w:t>
            </w:r>
            <w:r>
              <w:rPr>
                <w:rFonts w:ascii="宋体" w:hAnsi="宋体" w:cs="宋体" w:eastAsia="宋体" w:hint="default"/>
                <w:sz w:val="21"/>
                <w:szCs w:val="21"/>
              </w:rPr>
              <w:t>虑所有相关事实和情</w:t>
            </w:r>
            <w:r>
              <w:rPr>
                <w:rFonts w:ascii="宋体" w:hAnsi="宋体" w:cs="宋体" w:eastAsia="宋体" w:hint="default"/>
                <w:spacing w:val="-88"/>
                <w:sz w:val="21"/>
                <w:szCs w:val="21"/>
              </w:rPr>
              <w:t> </w:t>
            </w:r>
            <w:r>
              <w:rPr>
                <w:rFonts w:ascii="宋体" w:hAnsi="宋体" w:cs="宋体" w:eastAsia="宋体" w:hint="default"/>
                <w:sz w:val="21"/>
                <w:szCs w:val="21"/>
              </w:rPr>
              <w:t>况的基础上对是否控</w:t>
            </w:r>
            <w:r>
              <w:rPr>
                <w:rFonts w:ascii="宋体" w:hAnsi="宋体" w:cs="宋体" w:eastAsia="宋体" w:hint="default"/>
                <w:spacing w:val="-88"/>
                <w:sz w:val="21"/>
                <w:szCs w:val="21"/>
              </w:rPr>
              <w:t> </w:t>
            </w:r>
            <w:r>
              <w:rPr>
                <w:rFonts w:ascii="宋体" w:hAnsi="宋体" w:cs="宋体" w:eastAsia="宋体" w:hint="default"/>
                <w:sz w:val="21"/>
                <w:szCs w:val="21"/>
              </w:rPr>
              <w:t>制被投资方进行重新</w:t>
            </w:r>
            <w:r>
              <w:rPr>
                <w:rFonts w:ascii="宋体" w:hAnsi="宋体" w:cs="宋体" w:eastAsia="宋体" w:hint="default"/>
                <w:spacing w:val="-88"/>
                <w:sz w:val="21"/>
                <w:szCs w:val="21"/>
              </w:rPr>
              <w:t> </w:t>
            </w:r>
            <w:r>
              <w:rPr>
                <w:rFonts w:ascii="宋体" w:hAnsi="宋体" w:cs="宋体" w:eastAsia="宋体" w:hint="default"/>
                <w:sz w:val="21"/>
                <w:szCs w:val="21"/>
              </w:rPr>
              <w:t>评估。对合并范围发</w:t>
            </w:r>
            <w:r>
              <w:rPr>
                <w:rFonts w:ascii="宋体" w:hAnsi="宋体" w:cs="宋体" w:eastAsia="宋体" w:hint="default"/>
                <w:spacing w:val="-88"/>
                <w:sz w:val="21"/>
                <w:szCs w:val="21"/>
              </w:rPr>
              <w:t> </w:t>
            </w:r>
            <w:r>
              <w:rPr>
                <w:rFonts w:ascii="宋体" w:hAnsi="宋体" w:cs="宋体" w:eastAsia="宋体" w:hint="default"/>
                <w:sz w:val="21"/>
                <w:szCs w:val="21"/>
              </w:rPr>
              <w:t>生的变化采用追溯调</w:t>
            </w:r>
            <w:r>
              <w:rPr>
                <w:rFonts w:ascii="宋体" w:hAnsi="宋体" w:cs="宋体" w:eastAsia="宋体" w:hint="default"/>
                <w:spacing w:val="-88"/>
                <w:sz w:val="21"/>
                <w:szCs w:val="21"/>
              </w:rPr>
              <w:t> </w:t>
            </w:r>
            <w:r>
              <w:rPr>
                <w:rFonts w:ascii="宋体" w:hAnsi="宋体" w:cs="宋体" w:eastAsia="宋体" w:hint="default"/>
                <w:sz w:val="21"/>
                <w:szCs w:val="21"/>
              </w:rPr>
              <w:t>整法处理。</w:t>
            </w:r>
          </w:p>
        </w:tc>
        <w:tc>
          <w:tcPr>
            <w:tcW w:w="2268"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97"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r>
    </w:tbl>
    <w:p>
      <w:pPr>
        <w:pStyle w:val="BodyText"/>
        <w:spacing w:line="275" w:lineRule="exact"/>
        <w:ind w:left="818" w:right="0"/>
        <w:jc w:val="left"/>
      </w:pPr>
      <w:r>
        <w:rPr/>
        <w:t>合并范围变动影响的说明</w:t>
      </w:r>
    </w:p>
    <w:p>
      <w:pPr>
        <w:pStyle w:val="BodyText"/>
        <w:spacing w:line="312" w:lineRule="exact" w:before="118"/>
        <w:ind w:left="1238" w:right="0"/>
        <w:jc w:val="left"/>
      </w:pPr>
      <w:r>
        <w:rPr/>
        <w:t>该公司于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月成立，该项变更对</w:t>
      </w:r>
      <w:r>
        <w:rPr>
          <w:spacing w:val="-60"/>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日资产负债表影响：其</w:t>
      </w:r>
    </w:p>
    <w:p>
      <w:pPr>
        <w:pStyle w:val="BodyText"/>
        <w:spacing w:line="311" w:lineRule="exact"/>
        <w:ind w:left="818" w:right="0"/>
        <w:jc w:val="left"/>
        <w:rPr>
          <w:rFonts w:ascii="宋体" w:hAnsi="宋体" w:cs="宋体" w:eastAsia="宋体" w:hint="default"/>
        </w:rPr>
      </w:pPr>
      <w:r>
        <w:rPr/>
        <w:t>他非流动资产减少</w:t>
      </w:r>
      <w:r>
        <w:rPr>
          <w:spacing w:val="-60"/>
        </w:rPr>
        <w:t> </w:t>
      </w:r>
      <w:r>
        <w:rPr>
          <w:rFonts w:ascii="宋体" w:hAnsi="宋体" w:cs="宋体" w:eastAsia="宋体" w:hint="default"/>
        </w:rPr>
        <w:t>16,500,000.00</w:t>
      </w:r>
      <w:r>
        <w:rPr>
          <w:rFonts w:ascii="宋体" w:hAnsi="宋体" w:cs="宋体" w:eastAsia="宋体" w:hint="default"/>
          <w:spacing w:val="-60"/>
        </w:rPr>
        <w:t> </w:t>
      </w:r>
      <w:r>
        <w:rPr>
          <w:spacing w:val="-7"/>
        </w:rPr>
        <w:t>元，货币资金增加</w:t>
      </w:r>
      <w:r>
        <w:rPr>
          <w:spacing w:val="-60"/>
        </w:rPr>
        <w:t> </w:t>
      </w:r>
      <w:r>
        <w:rPr>
          <w:rFonts w:ascii="宋体" w:hAnsi="宋体" w:cs="宋体" w:eastAsia="宋体" w:hint="default"/>
        </w:rPr>
        <w:t>16,500,000.00</w:t>
      </w:r>
      <w:r>
        <w:rPr>
          <w:rFonts w:ascii="宋体" w:hAnsi="宋体" w:cs="宋体" w:eastAsia="宋体" w:hint="default"/>
          <w:spacing w:val="-60"/>
        </w:rPr>
        <w:t> </w:t>
      </w:r>
      <w:r>
        <w:rPr>
          <w:spacing w:val="-11"/>
        </w:rPr>
        <w:t>元。不影响</w:t>
      </w:r>
      <w:r>
        <w:rPr>
          <w:spacing w:val="-60"/>
        </w:rPr>
        <w:t> </w:t>
      </w:r>
      <w:r>
        <w:rPr>
          <w:rFonts w:ascii="宋体" w:hAnsi="宋体" w:cs="宋体" w:eastAsia="宋体" w:hint="default"/>
        </w:rPr>
        <w:t>2013</w:t>
      </w:r>
    </w:p>
    <w:p>
      <w:pPr>
        <w:pStyle w:val="BodyText"/>
        <w:spacing w:line="312" w:lineRule="exact"/>
        <w:ind w:left="818" w:right="0"/>
        <w:jc w:val="left"/>
      </w:pP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日资产总额、负债总额及</w:t>
      </w:r>
      <w:r>
        <w:rPr>
          <w:spacing w:val="-60"/>
        </w:rPr>
        <w:t> </w:t>
      </w:r>
      <w:r>
        <w:rPr>
          <w:rFonts w:ascii="宋体" w:hAnsi="宋体" w:cs="宋体" w:eastAsia="宋体" w:hint="default"/>
        </w:rPr>
        <w:t>2013</w:t>
      </w:r>
      <w:r>
        <w:rPr>
          <w:rFonts w:ascii="宋体" w:hAnsi="宋体" w:cs="宋体" w:eastAsia="宋体" w:hint="default"/>
          <w:spacing w:val="-60"/>
        </w:rPr>
        <w:t> </w:t>
      </w:r>
      <w:r>
        <w:rPr/>
        <w:t>年归属于母公司股东权益。</w:t>
      </w:r>
    </w:p>
    <w:p>
      <w:pPr>
        <w:spacing w:line="240" w:lineRule="auto" w:before="6"/>
        <w:rPr>
          <w:rFonts w:ascii="宋体" w:hAnsi="宋体" w:cs="宋体" w:eastAsia="宋体" w:hint="default"/>
          <w:sz w:val="34"/>
          <w:szCs w:val="34"/>
        </w:rPr>
      </w:pPr>
    </w:p>
    <w:p>
      <w:pPr>
        <w:tabs>
          <w:tab w:pos="1297" w:val="left" w:leader="none"/>
        </w:tabs>
        <w:spacing w:line="328" w:lineRule="auto" w:before="0"/>
        <w:ind w:left="1238" w:right="5806" w:hanging="420"/>
        <w:jc w:val="left"/>
        <w:rPr>
          <w:rFonts w:ascii="宋体" w:hAnsi="宋体" w:cs="宋体" w:eastAsia="宋体" w:hint="default"/>
          <w:sz w:val="24"/>
          <w:szCs w:val="24"/>
        </w:rPr>
      </w:pPr>
      <w:r>
        <w:rPr>
          <w:rFonts w:ascii="宋体" w:hAnsi="宋体" w:cs="宋体" w:eastAsia="宋体" w:hint="default"/>
          <w:b/>
          <w:bCs/>
          <w:w w:val="95"/>
          <w:sz w:val="24"/>
          <w:szCs w:val="24"/>
        </w:rPr>
        <w:t>5</w:t>
        <w:tab/>
        <w:tab/>
      </w:r>
      <w:r>
        <w:rPr>
          <w:rFonts w:ascii="宋体" w:hAnsi="宋体" w:cs="宋体" w:eastAsia="宋体" w:hint="default"/>
          <w:b/>
          <w:bCs/>
          <w:sz w:val="24"/>
          <w:szCs w:val="24"/>
        </w:rPr>
        <w:t>合营安排分类变动的影响</w:t>
      </w:r>
      <w:r>
        <w:rPr>
          <w:rFonts w:ascii="宋体" w:hAnsi="宋体" w:cs="宋体" w:eastAsia="宋体" w:hint="default"/>
          <w:b/>
          <w:bCs/>
          <w:w w:val="99"/>
          <w:sz w:val="24"/>
          <w:szCs w:val="24"/>
        </w:rPr>
        <w:t> </w:t>
      </w:r>
      <w:r>
        <w:rPr>
          <w:rFonts w:ascii="宋体" w:hAnsi="宋体" w:cs="宋体" w:eastAsia="宋体" w:hint="default"/>
          <w:sz w:val="24"/>
          <w:szCs w:val="24"/>
        </w:rPr>
        <w:t>该变更对财务报表无重大影响。</w:t>
      </w:r>
    </w:p>
    <w:p>
      <w:pPr>
        <w:spacing w:line="240" w:lineRule="auto" w:before="7"/>
        <w:rPr>
          <w:rFonts w:ascii="宋体" w:hAnsi="宋体" w:cs="宋体" w:eastAsia="宋体" w:hint="default"/>
          <w:sz w:val="27"/>
          <w:szCs w:val="27"/>
        </w:rPr>
      </w:pPr>
    </w:p>
    <w:p>
      <w:pPr>
        <w:pStyle w:val="Heading2"/>
        <w:tabs>
          <w:tab w:pos="1297" w:val="left" w:leader="none"/>
        </w:tabs>
        <w:spacing w:line="240" w:lineRule="auto" w:before="0"/>
        <w:ind w:left="818" w:right="0"/>
        <w:jc w:val="left"/>
        <w:rPr>
          <w:b w:val="0"/>
          <w:bCs w:val="0"/>
        </w:rPr>
      </w:pPr>
      <w:r>
        <w:rPr>
          <w:rFonts w:ascii="宋体" w:hAnsi="宋体" w:cs="宋体" w:eastAsia="宋体" w:hint="default"/>
          <w:w w:val="95"/>
        </w:rPr>
        <w:t>6</w:t>
        <w:tab/>
      </w:r>
      <w:r>
        <w:rPr/>
        <w:t>准则其他变动的影响</w:t>
      </w:r>
      <w:r>
        <w:rPr>
          <w:b w:val="0"/>
          <w:bCs w:val="0"/>
        </w:rPr>
      </w:r>
    </w:p>
    <w:p>
      <w:pPr>
        <w:pStyle w:val="BodyText"/>
        <w:spacing w:line="237" w:lineRule="auto" w:before="120"/>
        <w:ind w:left="818" w:right="753" w:firstLine="420"/>
        <w:jc w:val="both"/>
      </w:pPr>
      <w:r>
        <w:rPr/>
        <w:t>（</w:t>
      </w:r>
      <w:r>
        <w:rPr>
          <w:rFonts w:ascii="宋体" w:hAnsi="宋体" w:cs="宋体" w:eastAsia="宋体" w:hint="default"/>
        </w:rPr>
        <w:t>1</w:t>
      </w:r>
      <w:r>
        <w:rPr/>
        <w:t>）根据《企业会计准则第</w:t>
      </w:r>
      <w:r>
        <w:rPr>
          <w:spacing w:val="-60"/>
        </w:rPr>
        <w:t> </w:t>
      </w:r>
      <w:r>
        <w:rPr>
          <w:rFonts w:ascii="宋体" w:hAnsi="宋体" w:cs="宋体" w:eastAsia="宋体" w:hint="default"/>
        </w:rPr>
        <w:t>33</w:t>
      </w:r>
      <w:r>
        <w:rPr>
          <w:rFonts w:ascii="宋体" w:hAnsi="宋体" w:cs="宋体" w:eastAsia="宋体" w:hint="default"/>
          <w:spacing w:val="-60"/>
        </w:rPr>
        <w:t> </w:t>
      </w:r>
      <w:r>
        <w:rPr/>
        <w:t>号——合并财务报表》的要求：母公司向子公司 </w:t>
      </w:r>
      <w:r>
        <w:rPr>
          <w:spacing w:val="-2"/>
        </w:rPr>
        <w:t>出售资产所发生的未实现内部交易损益，应当全额抵销“归属于母公司所有者的净利</w:t>
      </w:r>
      <w:r>
        <w:rPr>
          <w:spacing w:val="-94"/>
        </w:rPr>
        <w:t> </w:t>
      </w:r>
      <w:r>
        <w:rPr>
          <w:spacing w:val="-94"/>
        </w:rPr>
      </w:r>
      <w:r>
        <w:rPr>
          <w:spacing w:val="-2"/>
        </w:rPr>
        <w:t>润”。子公司向母公司出售资产所发生的未实现内部交易损益，应当按照母公司对该</w:t>
      </w:r>
      <w:r>
        <w:rPr>
          <w:spacing w:val="-94"/>
        </w:rPr>
        <w:t> </w:t>
      </w:r>
      <w:r>
        <w:rPr>
          <w:spacing w:val="-94"/>
        </w:rPr>
      </w:r>
      <w:r>
        <w:rPr>
          <w:spacing w:val="-2"/>
        </w:rPr>
        <w:t>子公司的分配比例在“归属于母公司所有者的净利润”和“少数股东损益”之间分配</w:t>
      </w:r>
      <w:r>
        <w:rPr>
          <w:spacing w:val="-94"/>
        </w:rPr>
        <w:t> </w:t>
      </w:r>
      <w:r>
        <w:rPr>
          <w:spacing w:val="-94"/>
        </w:rPr>
      </w:r>
      <w:r>
        <w:rPr>
          <w:spacing w:val="-2"/>
        </w:rPr>
        <w:t>抵销。子公司之间出售资产所发生的未实现内部交易损益，应当按照母公司对出售方</w:t>
      </w:r>
      <w:r>
        <w:rPr>
          <w:spacing w:val="-94"/>
        </w:rPr>
        <w:t> </w:t>
      </w:r>
      <w:r>
        <w:rPr>
          <w:spacing w:val="-94"/>
        </w:rPr>
      </w:r>
      <w:r>
        <w:rPr>
          <w:spacing w:val="-2"/>
        </w:rPr>
        <w:t>子公司的分配比例在“归属于母公司所有者的净利润”和“少数股东损益”之间分配</w:t>
      </w:r>
      <w:r>
        <w:rPr>
          <w:spacing w:val="-94"/>
        </w:rPr>
        <w:t> </w:t>
      </w:r>
      <w:r>
        <w:rPr>
          <w:spacing w:val="-94"/>
        </w:rPr>
      </w:r>
      <w:r>
        <w:rPr/>
        <w:t>抵销。本集团对比较财务报表采用了追溯调整法处理。</w:t>
      </w:r>
    </w:p>
    <w:p>
      <w:pPr>
        <w:spacing w:line="240" w:lineRule="auto" w:before="12"/>
        <w:rPr>
          <w:rFonts w:ascii="宋体" w:hAnsi="宋体" w:cs="宋体" w:eastAsia="宋体" w:hint="default"/>
          <w:sz w:val="11"/>
          <w:szCs w:val="11"/>
        </w:rPr>
      </w:pPr>
    </w:p>
    <w:tbl>
      <w:tblPr>
        <w:tblW w:w="0" w:type="auto"/>
        <w:jc w:val="left"/>
        <w:tblInd w:w="705" w:type="dxa"/>
        <w:tblLayout w:type="fixed"/>
        <w:tblCellMar>
          <w:top w:w="0" w:type="dxa"/>
          <w:left w:w="0" w:type="dxa"/>
          <w:bottom w:w="0" w:type="dxa"/>
          <w:right w:w="0" w:type="dxa"/>
        </w:tblCellMar>
        <w:tblLook w:val="01E0"/>
      </w:tblPr>
      <w:tblGrid>
        <w:gridCol w:w="1668"/>
        <w:gridCol w:w="1984"/>
        <w:gridCol w:w="1560"/>
        <w:gridCol w:w="1434"/>
        <w:gridCol w:w="1877"/>
      </w:tblGrid>
      <w:tr>
        <w:trPr>
          <w:trHeight w:val="324" w:hRule="exact"/>
        </w:trPr>
        <w:tc>
          <w:tcPr>
            <w:tcW w:w="1668" w:type="dxa"/>
            <w:vMerge w:val="restart"/>
            <w:tcBorders>
              <w:top w:val="single" w:sz="4" w:space="0" w:color="000000"/>
              <w:left w:val="single" w:sz="4" w:space="0" w:color="000000"/>
              <w:right w:val="single" w:sz="4" w:space="0" w:color="000000"/>
            </w:tcBorders>
          </w:tcPr>
          <w:p>
            <w:pPr>
              <w:pStyle w:val="TableParagraph"/>
              <w:spacing w:line="241" w:lineRule="exact"/>
              <w:ind w:left="409" w:right="0"/>
              <w:jc w:val="left"/>
              <w:rPr>
                <w:rFonts w:ascii="宋体" w:hAnsi="宋体" w:cs="宋体" w:eastAsia="宋体" w:hint="default"/>
                <w:sz w:val="21"/>
                <w:szCs w:val="21"/>
              </w:rPr>
            </w:pPr>
            <w:r>
              <w:rPr>
                <w:rFonts w:ascii="宋体" w:hAnsi="宋体" w:cs="宋体" w:eastAsia="宋体" w:hint="default"/>
                <w:sz w:val="21"/>
                <w:szCs w:val="21"/>
              </w:rPr>
              <w:t>变动原因</w:t>
            </w:r>
          </w:p>
        </w:tc>
        <w:tc>
          <w:tcPr>
            <w:tcW w:w="1984" w:type="dxa"/>
            <w:vMerge w:val="restart"/>
            <w:tcBorders>
              <w:top w:val="single" w:sz="4" w:space="0" w:color="000000"/>
              <w:left w:val="single" w:sz="4" w:space="0" w:color="000000"/>
              <w:right w:val="single" w:sz="4" w:space="0" w:color="000000"/>
            </w:tcBorders>
          </w:tcPr>
          <w:p>
            <w:pPr>
              <w:pStyle w:val="TableParagraph"/>
              <w:spacing w:line="240" w:lineRule="exact"/>
              <w:ind w:left="146" w:right="0" w:hanging="26"/>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日归</w:t>
            </w:r>
          </w:p>
          <w:p>
            <w:pPr>
              <w:pStyle w:val="TableParagraph"/>
              <w:spacing w:line="272" w:lineRule="exact" w:before="26"/>
              <w:ind w:left="514" w:right="147" w:hanging="369"/>
              <w:jc w:val="left"/>
              <w:rPr>
                <w:rFonts w:ascii="宋体" w:hAnsi="宋体" w:cs="宋体" w:eastAsia="宋体" w:hint="default"/>
                <w:sz w:val="21"/>
                <w:szCs w:val="21"/>
              </w:rPr>
            </w:pPr>
            <w:r>
              <w:rPr>
                <w:rFonts w:ascii="宋体" w:hAnsi="宋体" w:cs="宋体" w:eastAsia="宋体" w:hint="default"/>
                <w:sz w:val="21"/>
                <w:szCs w:val="21"/>
              </w:rPr>
              <w:t>属于母公司股东权 益（</w:t>
            </w:r>
            <w:r>
              <w:rPr>
                <w:rFonts w:ascii="宋体" w:hAnsi="宋体" w:cs="宋体" w:eastAsia="宋体" w:hint="default"/>
                <w:sz w:val="21"/>
                <w:szCs w:val="21"/>
              </w:rPr>
              <w:t>+/-</w:t>
            </w:r>
            <w:r>
              <w:rPr>
                <w:rFonts w:ascii="宋体" w:hAnsi="宋体" w:cs="宋体" w:eastAsia="宋体" w:hint="default"/>
                <w:sz w:val="21"/>
                <w:szCs w:val="21"/>
              </w:rPr>
              <w:t>）</w:t>
            </w:r>
          </w:p>
        </w:tc>
        <w:tc>
          <w:tcPr>
            <w:tcW w:w="48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tc>
      </w:tr>
      <w:tr>
        <w:trPr>
          <w:trHeight w:val="636" w:hRule="exact"/>
        </w:trPr>
        <w:tc>
          <w:tcPr>
            <w:tcW w:w="1668" w:type="dxa"/>
            <w:vMerge/>
            <w:tcBorders>
              <w:left w:val="single" w:sz="4" w:space="0" w:color="000000"/>
              <w:bottom w:val="single" w:sz="4" w:space="0" w:color="000000"/>
              <w:right w:val="single" w:sz="4" w:space="0" w:color="000000"/>
            </w:tcBorders>
          </w:tcPr>
          <w:p>
            <w:pPr/>
          </w:p>
        </w:tc>
        <w:tc>
          <w:tcPr>
            <w:tcW w:w="1984"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3" w:right="0"/>
              <w:jc w:val="left"/>
              <w:rPr>
                <w:rFonts w:ascii="宋体" w:hAnsi="宋体" w:cs="宋体" w:eastAsia="宋体" w:hint="default"/>
                <w:sz w:val="21"/>
                <w:szCs w:val="21"/>
              </w:rPr>
            </w:pPr>
            <w:r>
              <w:rPr>
                <w:rFonts w:ascii="宋体" w:hAnsi="宋体" w:cs="宋体" w:eastAsia="宋体" w:hint="default"/>
                <w:sz w:val="21"/>
                <w:szCs w:val="21"/>
              </w:rPr>
              <w:t>资产总额</w:t>
            </w:r>
          </w:p>
          <w:p>
            <w:pPr>
              <w:pStyle w:val="TableParagraph"/>
              <w:spacing w:line="240" w:lineRule="auto" w:before="38"/>
              <w:ind w:left="40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90" w:right="0"/>
              <w:jc w:val="left"/>
              <w:rPr>
                <w:rFonts w:ascii="宋体" w:hAnsi="宋体" w:cs="宋体" w:eastAsia="宋体" w:hint="default"/>
                <w:sz w:val="21"/>
                <w:szCs w:val="21"/>
              </w:rPr>
            </w:pPr>
            <w:r>
              <w:rPr>
                <w:rFonts w:ascii="宋体" w:hAnsi="宋体" w:cs="宋体" w:eastAsia="宋体" w:hint="default"/>
                <w:sz w:val="21"/>
                <w:szCs w:val="21"/>
              </w:rPr>
              <w:t>负债总额</w:t>
            </w:r>
          </w:p>
          <w:p>
            <w:pPr>
              <w:pStyle w:val="TableParagraph"/>
              <w:spacing w:line="240" w:lineRule="auto" w:before="38"/>
              <w:ind w:left="34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9" w:right="0" w:hanging="53"/>
              <w:jc w:val="left"/>
              <w:rPr>
                <w:rFonts w:ascii="宋体" w:hAnsi="宋体" w:cs="宋体" w:eastAsia="宋体" w:hint="default"/>
                <w:sz w:val="21"/>
                <w:szCs w:val="21"/>
              </w:rPr>
            </w:pPr>
            <w:r>
              <w:rPr>
                <w:rFonts w:ascii="宋体" w:hAnsi="宋体" w:cs="宋体" w:eastAsia="宋体" w:hint="default"/>
                <w:sz w:val="21"/>
                <w:szCs w:val="21"/>
              </w:rPr>
              <w:t>归属于母公司股</w:t>
            </w:r>
          </w:p>
          <w:p>
            <w:pPr>
              <w:pStyle w:val="TableParagraph"/>
              <w:spacing w:line="240" w:lineRule="auto" w:before="38"/>
              <w:ind w:left="249" w:right="0"/>
              <w:jc w:val="left"/>
              <w:rPr>
                <w:rFonts w:ascii="宋体" w:hAnsi="宋体" w:cs="宋体" w:eastAsia="宋体" w:hint="default"/>
                <w:sz w:val="21"/>
                <w:szCs w:val="21"/>
              </w:rPr>
            </w:pPr>
            <w:r>
              <w:rPr>
                <w:rFonts w:ascii="宋体" w:hAnsi="宋体" w:cs="宋体" w:eastAsia="宋体" w:hint="default"/>
                <w:sz w:val="21"/>
                <w:szCs w:val="21"/>
              </w:rPr>
              <w:t>东权益（</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未实现内部交</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易损益抵销</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635,390.52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60"/>
              <w:jc w:val="right"/>
              <w:rPr>
                <w:rFonts w:ascii="宋体" w:hAnsi="宋体" w:cs="宋体" w:eastAsia="宋体" w:hint="default"/>
                <w:sz w:val="21"/>
                <w:szCs w:val="21"/>
              </w:rPr>
            </w:pPr>
            <w:r>
              <w:rPr>
                <w:rFonts w:ascii="宋体"/>
                <w:sz w:val="21"/>
              </w:rPr>
              <w:t>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6" w:right="0"/>
              <w:jc w:val="left"/>
              <w:rPr>
                <w:rFonts w:ascii="宋体" w:hAnsi="宋体" w:cs="宋体" w:eastAsia="宋体" w:hint="default"/>
                <w:sz w:val="21"/>
                <w:szCs w:val="21"/>
              </w:rPr>
            </w:pPr>
            <w:r>
              <w:rPr>
                <w:rFonts w:ascii="宋体"/>
                <w:sz w:val="21"/>
              </w:rPr>
              <w:t>256,210.81</w:t>
            </w:r>
          </w:p>
        </w:tc>
      </w:tr>
      <w:tr>
        <w:trPr>
          <w:trHeight w:val="28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635,390.52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60"/>
              <w:jc w:val="right"/>
              <w:rPr>
                <w:rFonts w:ascii="宋体" w:hAnsi="宋体" w:cs="宋体" w:eastAsia="宋体" w:hint="default"/>
                <w:sz w:val="21"/>
                <w:szCs w:val="21"/>
              </w:rPr>
            </w:pPr>
            <w:r>
              <w:rPr>
                <w:rFonts w:ascii="宋体"/>
                <w:sz w:val="21"/>
              </w:rPr>
              <w:t>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6" w:right="0"/>
              <w:jc w:val="left"/>
              <w:rPr>
                <w:rFonts w:ascii="宋体" w:hAnsi="宋体" w:cs="宋体" w:eastAsia="宋体" w:hint="default"/>
                <w:sz w:val="21"/>
                <w:szCs w:val="21"/>
              </w:rPr>
            </w:pPr>
            <w:r>
              <w:rPr>
                <w:rFonts w:ascii="宋体"/>
                <w:sz w:val="21"/>
              </w:rPr>
              <w:t>256,210.81</w:t>
            </w:r>
          </w:p>
        </w:tc>
      </w:tr>
    </w:tbl>
    <w:p>
      <w:pPr>
        <w:spacing w:line="240" w:lineRule="auto" w:before="11"/>
        <w:rPr>
          <w:rFonts w:ascii="宋体" w:hAnsi="宋体" w:cs="宋体" w:eastAsia="宋体" w:hint="default"/>
          <w:sz w:val="20"/>
          <w:szCs w:val="20"/>
        </w:rPr>
      </w:pPr>
    </w:p>
    <w:tbl>
      <w:tblPr>
        <w:tblW w:w="0" w:type="auto"/>
        <w:jc w:val="left"/>
        <w:tblInd w:w="671" w:type="dxa"/>
        <w:tblLayout w:type="fixed"/>
        <w:tblCellMar>
          <w:top w:w="0" w:type="dxa"/>
          <w:left w:w="0" w:type="dxa"/>
          <w:bottom w:w="0" w:type="dxa"/>
          <w:right w:w="0" w:type="dxa"/>
        </w:tblCellMar>
        <w:tblLook w:val="01E0"/>
      </w:tblPr>
      <w:tblGrid>
        <w:gridCol w:w="2836"/>
        <w:gridCol w:w="3402"/>
        <w:gridCol w:w="2268"/>
      </w:tblGrid>
      <w:tr>
        <w:trPr>
          <w:trHeight w:val="295" w:hRule="exact"/>
        </w:trPr>
        <w:tc>
          <w:tcPr>
            <w:tcW w:w="2836" w:type="dxa"/>
            <w:vMerge w:val="restart"/>
            <w:tcBorders>
              <w:top w:val="single" w:sz="4" w:space="0" w:color="000000"/>
              <w:left w:val="single" w:sz="4" w:space="0" w:color="000000"/>
              <w:right w:val="single" w:sz="4" w:space="0" w:color="000000"/>
            </w:tcBorders>
          </w:tcPr>
          <w:p>
            <w:pPr>
              <w:pStyle w:val="TableParagraph"/>
              <w:spacing w:line="240" w:lineRule="auto" w:before="118"/>
              <w:ind w:right="1"/>
              <w:jc w:val="center"/>
              <w:rPr>
                <w:rFonts w:ascii="宋体" w:hAnsi="宋体" w:cs="宋体" w:eastAsia="宋体" w:hint="default"/>
                <w:sz w:val="21"/>
                <w:szCs w:val="21"/>
              </w:rPr>
            </w:pPr>
            <w:r>
              <w:rPr>
                <w:rFonts w:ascii="宋体" w:hAnsi="宋体" w:cs="宋体" w:eastAsia="宋体" w:hint="default"/>
                <w:sz w:val="21"/>
                <w:szCs w:val="21"/>
              </w:rPr>
              <w:t>变动原因</w:t>
            </w:r>
          </w:p>
        </w:tc>
        <w:tc>
          <w:tcPr>
            <w:tcW w:w="56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95" w:hRule="exact"/>
        </w:trPr>
        <w:tc>
          <w:tcPr>
            <w:tcW w:w="2836" w:type="dxa"/>
            <w:vMerge/>
            <w:tcBorders>
              <w:left w:val="single" w:sz="4" w:space="0" w:color="000000"/>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归属母公司所有者的净利润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9" w:right="0"/>
              <w:jc w:val="left"/>
              <w:rPr>
                <w:rFonts w:ascii="宋体" w:hAnsi="宋体" w:cs="宋体" w:eastAsia="宋体" w:hint="default"/>
                <w:sz w:val="21"/>
                <w:szCs w:val="21"/>
              </w:rPr>
            </w:pPr>
            <w:r>
              <w:rPr>
                <w:rFonts w:ascii="宋体" w:hAnsi="宋体" w:cs="宋体" w:eastAsia="宋体" w:hint="default"/>
                <w:sz w:val="21"/>
                <w:szCs w:val="21"/>
              </w:rPr>
              <w:t>少数股东损益</w:t>
            </w:r>
          </w:p>
        </w:tc>
      </w:tr>
    </w:tbl>
    <w:p>
      <w:pPr>
        <w:spacing w:after="0" w:line="240" w:lineRule="exact"/>
        <w:jc w:val="left"/>
        <w:rPr>
          <w:rFonts w:ascii="宋体" w:hAnsi="宋体" w:cs="宋体" w:eastAsia="宋体" w:hint="default"/>
          <w:sz w:val="21"/>
          <w:szCs w:val="21"/>
        </w:rPr>
        <w:sectPr>
          <w:pgSz w:w="11910" w:h="16840"/>
          <w:pgMar w:header="882" w:footer="1194" w:top="1080" w:bottom="1380" w:left="980" w:right="5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836"/>
        <w:gridCol w:w="3402"/>
        <w:gridCol w:w="2268"/>
      </w:tblGrid>
      <w:tr>
        <w:trPr>
          <w:trHeight w:val="295" w:hRule="exact"/>
        </w:trPr>
        <w:tc>
          <w:tcPr>
            <w:tcW w:w="2836" w:type="dxa"/>
            <w:tcBorders>
              <w:top w:val="single" w:sz="4" w:space="0" w:color="000000"/>
              <w:left w:val="single" w:sz="4" w:space="0" w:color="000000"/>
              <w:bottom w:val="single" w:sz="4" w:space="0" w:color="000000"/>
              <w:right w:val="single" w:sz="4" w:space="0" w:color="000000"/>
            </w:tcBorders>
          </w:tcPr>
          <w:p>
            <w:pPr/>
          </w:p>
        </w:tc>
        <w:tc>
          <w:tcPr>
            <w:tcW w:w="3402" w:type="dxa"/>
            <w:tcBorders>
              <w:top w:val="nil" w:sz="6" w:space="0" w:color="auto"/>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295"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未实现内部交易损益抵销</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-379,179.71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379,179.71</w:t>
            </w:r>
          </w:p>
        </w:tc>
      </w:tr>
      <w:tr>
        <w:trPr>
          <w:trHeight w:val="295"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-379,179.71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379,179.71</w:t>
            </w:r>
          </w:p>
        </w:tc>
      </w:tr>
    </w:tbl>
    <w:p>
      <w:pPr>
        <w:spacing w:line="240" w:lineRule="auto" w:before="11"/>
        <w:rPr>
          <w:rFonts w:ascii="宋体" w:hAnsi="宋体" w:cs="宋体" w:eastAsia="宋体" w:hint="default"/>
          <w:sz w:val="15"/>
          <w:szCs w:val="15"/>
        </w:rPr>
      </w:pPr>
    </w:p>
    <w:p>
      <w:pPr>
        <w:pStyle w:val="BodyText"/>
        <w:spacing w:line="237" w:lineRule="auto" w:before="28"/>
        <w:ind w:left="258" w:right="132" w:firstLine="480"/>
        <w:jc w:val="both"/>
      </w:pPr>
      <w:r>
        <w:rPr/>
        <w:t>（</w:t>
      </w:r>
      <w:r>
        <w:rPr>
          <w:rFonts w:ascii="宋体" w:hAnsi="宋体" w:cs="宋体" w:eastAsia="宋体" w:hint="default"/>
        </w:rPr>
        <w:t>2</w:t>
      </w:r>
      <w:r>
        <w:rPr/>
        <w:t>）根据《企业会计准则第</w:t>
      </w:r>
      <w:r>
        <w:rPr>
          <w:spacing w:val="-83"/>
        </w:rPr>
        <w:t> </w:t>
      </w:r>
      <w:r>
        <w:rPr>
          <w:rFonts w:ascii="宋体" w:hAnsi="宋体" w:cs="宋体" w:eastAsia="宋体" w:hint="default"/>
        </w:rPr>
        <w:t>30</w:t>
      </w:r>
      <w:r>
        <w:rPr>
          <w:rFonts w:ascii="宋体" w:hAnsi="宋体" w:cs="宋体" w:eastAsia="宋体" w:hint="default"/>
          <w:spacing w:val="-83"/>
        </w:rPr>
        <w:t> </w:t>
      </w:r>
      <w:r>
        <w:rPr/>
        <w:t>号—财务报表列报》的要求，利润表中其他综合 </w:t>
      </w:r>
      <w:r>
        <w:rPr>
          <w:spacing w:val="4"/>
        </w:rPr>
        <w:t>收益项目分以后会计期间在满足规定条件时将重分类进损益的项目与以后会计期间</w:t>
      </w:r>
      <w:r>
        <w:rPr>
          <w:spacing w:val="-104"/>
        </w:rPr>
        <w:t> </w:t>
      </w:r>
      <w:r>
        <w:rPr>
          <w:spacing w:val="-104"/>
        </w:rPr>
      </w:r>
      <w:r>
        <w:rPr/>
        <w:t>不能重分类进损益的项目分别进行列报。按照此要求对</w:t>
      </w:r>
      <w:r>
        <w:rPr>
          <w:spacing w:val="-72"/>
        </w:rPr>
        <w:t> </w:t>
      </w:r>
      <w:r>
        <w:rPr>
          <w:rFonts w:ascii="宋体" w:hAnsi="宋体" w:cs="宋体" w:eastAsia="宋体" w:hint="default"/>
        </w:rPr>
        <w:t>2013</w:t>
      </w:r>
      <w:r>
        <w:rPr>
          <w:rFonts w:ascii="宋体" w:hAnsi="宋体" w:cs="宋体" w:eastAsia="宋体" w:hint="default"/>
          <w:spacing w:val="-72"/>
        </w:rPr>
        <w:t> </w:t>
      </w:r>
      <w:r>
        <w:rPr/>
        <w:t>年</w:t>
      </w:r>
      <w:r>
        <w:rPr>
          <w:spacing w:val="-72"/>
        </w:rPr>
        <w:t> </w:t>
      </w:r>
      <w:r>
        <w:rPr>
          <w:rFonts w:ascii="宋体" w:hAnsi="宋体" w:cs="宋体" w:eastAsia="宋体" w:hint="default"/>
        </w:rPr>
        <w:t>1-12</w:t>
      </w:r>
      <w:r>
        <w:rPr>
          <w:rFonts w:ascii="宋体" w:hAnsi="宋体" w:cs="宋体" w:eastAsia="宋体" w:hint="default"/>
          <w:spacing w:val="-72"/>
        </w:rPr>
        <w:t> </w:t>
      </w:r>
      <w:r>
        <w:rPr/>
        <w:t>月其他综合收益 列报如下：</w:t>
      </w:r>
    </w:p>
    <w:p>
      <w:pPr>
        <w:spacing w:line="240" w:lineRule="auto" w:before="10"/>
        <w:rPr>
          <w:rFonts w:ascii="宋体" w:hAnsi="宋体" w:cs="宋体" w:eastAsia="宋体" w:hint="default"/>
          <w:sz w:val="2"/>
          <w:szCs w:val="2"/>
        </w:rPr>
      </w:pPr>
    </w:p>
    <w:tbl>
      <w:tblPr>
        <w:tblW w:w="0" w:type="auto"/>
        <w:jc w:val="left"/>
        <w:tblInd w:w="248" w:type="dxa"/>
        <w:tblLayout w:type="fixed"/>
        <w:tblCellMar>
          <w:top w:w="0" w:type="dxa"/>
          <w:left w:w="0" w:type="dxa"/>
          <w:bottom w:w="0" w:type="dxa"/>
          <w:right w:w="0" w:type="dxa"/>
        </w:tblCellMar>
        <w:tblLook w:val="01E0"/>
      </w:tblPr>
      <w:tblGrid>
        <w:gridCol w:w="5817"/>
        <w:gridCol w:w="2411"/>
      </w:tblGrid>
      <w:tr>
        <w:trPr>
          <w:trHeight w:val="295" w:hRule="exact"/>
        </w:trPr>
        <w:tc>
          <w:tcPr>
            <w:tcW w:w="581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49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95" w:hRule="exact"/>
        </w:trPr>
        <w:tc>
          <w:tcPr>
            <w:tcW w:w="581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其他综合收益的税后净额</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宋体" w:hAnsi="宋体" w:cs="宋体" w:eastAsia="宋体" w:hint="default"/>
                <w:sz w:val="21"/>
                <w:szCs w:val="21"/>
              </w:rPr>
            </w:pPr>
            <w:r>
              <w:rPr>
                <w:rFonts w:ascii="宋体"/>
                <w:spacing w:val="-1"/>
                <w:sz w:val="21"/>
              </w:rPr>
              <w:t>-16,617,592.94</w:t>
            </w:r>
          </w:p>
        </w:tc>
      </w:tr>
      <w:tr>
        <w:trPr>
          <w:trHeight w:val="316" w:hRule="exact"/>
        </w:trPr>
        <w:tc>
          <w:tcPr>
            <w:tcW w:w="58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1" w:right="0"/>
              <w:jc w:val="left"/>
              <w:rPr>
                <w:rFonts w:ascii="宋体" w:hAnsi="宋体" w:cs="宋体" w:eastAsia="宋体" w:hint="default"/>
                <w:sz w:val="21"/>
                <w:szCs w:val="21"/>
              </w:rPr>
            </w:pPr>
            <w:r>
              <w:rPr>
                <w:rFonts w:ascii="宋体" w:hAnsi="宋体" w:cs="宋体" w:eastAsia="宋体" w:hint="default"/>
                <w:sz w:val="21"/>
                <w:szCs w:val="21"/>
              </w:rPr>
              <w:t>归属于母公司股东的其他综合收益的税后净额</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1"/>
                <w:szCs w:val="21"/>
              </w:rPr>
            </w:pPr>
            <w:r>
              <w:rPr>
                <w:rFonts w:ascii="宋体"/>
                <w:spacing w:val="-1"/>
                <w:sz w:val="21"/>
              </w:rPr>
              <w:t>-12,461,206.49</w:t>
            </w:r>
          </w:p>
        </w:tc>
      </w:tr>
      <w:tr>
        <w:trPr>
          <w:trHeight w:val="282" w:hRule="exact"/>
        </w:trPr>
        <w:tc>
          <w:tcPr>
            <w:tcW w:w="58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（一）以后不能重分类进损益的其他综合收益</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r>
      <w:tr>
        <w:trPr>
          <w:trHeight w:val="295" w:hRule="exact"/>
        </w:trPr>
        <w:tc>
          <w:tcPr>
            <w:tcW w:w="581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1" w:right="0"/>
              <w:jc w:val="left"/>
              <w:rPr>
                <w:rFonts w:ascii="宋体" w:hAnsi="宋体" w:cs="宋体" w:eastAsia="宋体" w:hint="default"/>
                <w:sz w:val="21"/>
                <w:szCs w:val="21"/>
              </w:rPr>
            </w:pPr>
            <w:r>
              <w:rPr>
                <w:rFonts w:ascii="宋体" w:hAnsi="宋体" w:cs="宋体" w:eastAsia="宋体" w:hint="default"/>
                <w:sz w:val="21"/>
                <w:szCs w:val="21"/>
              </w:rPr>
              <w:t>（二）以后将重分类进损益的其他综合收益</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宋体" w:hAnsi="宋体" w:cs="宋体" w:eastAsia="宋体" w:hint="default"/>
                <w:sz w:val="21"/>
                <w:szCs w:val="21"/>
              </w:rPr>
            </w:pPr>
            <w:r>
              <w:rPr>
                <w:rFonts w:ascii="宋体"/>
                <w:spacing w:val="-1"/>
                <w:sz w:val="21"/>
              </w:rPr>
              <w:t>-12,461,206.49</w:t>
            </w:r>
          </w:p>
        </w:tc>
      </w:tr>
      <w:tr>
        <w:trPr>
          <w:trHeight w:val="581" w:hRule="exact"/>
        </w:trPr>
        <w:tc>
          <w:tcPr>
            <w:tcW w:w="58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1" w:right="138"/>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、权益法下在被投资单位以后将重分类进损益的其他综合收 益中享有的份额</w:t>
            </w: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581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、外币财务报表折算差额</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宋体" w:hAnsi="宋体" w:cs="宋体" w:eastAsia="宋体" w:hint="default"/>
                <w:sz w:val="21"/>
                <w:szCs w:val="21"/>
              </w:rPr>
            </w:pPr>
            <w:r>
              <w:rPr>
                <w:rFonts w:ascii="宋体"/>
                <w:spacing w:val="-1"/>
                <w:sz w:val="21"/>
              </w:rPr>
              <w:t>-12,461,206.49</w:t>
            </w:r>
          </w:p>
        </w:tc>
      </w:tr>
      <w:tr>
        <w:trPr>
          <w:trHeight w:val="295" w:hRule="exact"/>
        </w:trPr>
        <w:tc>
          <w:tcPr>
            <w:tcW w:w="58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归属于少数股东的其他综合收益的税后净额</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-4,156,386.45</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37" w:lineRule="auto" w:before="28"/>
        <w:ind w:left="258" w:right="133" w:firstLine="480"/>
        <w:jc w:val="both"/>
      </w:pPr>
      <w:r>
        <w:rPr/>
        <w:t>（</w:t>
      </w:r>
      <w:r>
        <w:rPr>
          <w:rFonts w:ascii="宋体" w:hAnsi="宋体" w:cs="宋体" w:eastAsia="宋体" w:hint="default"/>
        </w:rPr>
        <w:t>3</w:t>
      </w:r>
      <w:r>
        <w:rPr/>
        <w:t>）根据《企业会计准则第</w:t>
      </w:r>
      <w:r>
        <w:rPr>
          <w:spacing w:val="-83"/>
        </w:rPr>
        <w:t> </w:t>
      </w:r>
      <w:r>
        <w:rPr>
          <w:rFonts w:ascii="宋体" w:hAnsi="宋体" w:cs="宋体" w:eastAsia="宋体" w:hint="default"/>
        </w:rPr>
        <w:t>30</w:t>
      </w:r>
      <w:r>
        <w:rPr>
          <w:rFonts w:ascii="宋体" w:hAnsi="宋体" w:cs="宋体" w:eastAsia="宋体" w:hint="default"/>
          <w:spacing w:val="-83"/>
        </w:rPr>
        <w:t> </w:t>
      </w:r>
      <w:r>
        <w:rPr/>
        <w:t>号—财务报表列报》的要求，将划分为持有待售 </w:t>
      </w:r>
      <w:r>
        <w:rPr>
          <w:spacing w:val="-2"/>
        </w:rPr>
        <w:t>处置组中的资产和负债，分别单独列示为一项流动资产（划分为持有待售的资产）和</w:t>
      </w:r>
      <w:r>
        <w:rPr>
          <w:spacing w:val="-94"/>
        </w:rPr>
        <w:t> </w:t>
      </w:r>
      <w:r>
        <w:rPr>
          <w:spacing w:val="-94"/>
        </w:rPr>
      </w:r>
      <w:r>
        <w:rPr>
          <w:spacing w:val="-8"/>
        </w:rPr>
        <w:t>流动负债（划分为持有待售的负债）；资产负债表单独列示其他综合收益、递延收益。</w:t>
      </w:r>
      <w:r>
        <w:rPr>
          <w:spacing w:val="-104"/>
        </w:rPr>
        <w:t> </w:t>
      </w:r>
      <w:r>
        <w:rPr>
          <w:spacing w:val="-104"/>
        </w:rPr>
      </w:r>
      <w:r>
        <w:rPr/>
        <w:t>本集团对比较财务报表的列报进行了相应调整。</w:t>
      </w:r>
    </w:p>
    <w:p>
      <w:pPr>
        <w:spacing w:line="240" w:lineRule="auto" w:before="1"/>
        <w:rPr>
          <w:rFonts w:ascii="宋体" w:hAnsi="宋体" w:cs="宋体" w:eastAsia="宋体" w:hint="default"/>
          <w:sz w:val="12"/>
          <w:szCs w:val="12"/>
        </w:rPr>
      </w:pPr>
    </w:p>
    <w:tbl>
      <w:tblPr>
        <w:tblW w:w="0" w:type="auto"/>
        <w:jc w:val="left"/>
        <w:tblInd w:w="248" w:type="dxa"/>
        <w:tblLayout w:type="fixed"/>
        <w:tblCellMar>
          <w:top w:w="0" w:type="dxa"/>
          <w:left w:w="0" w:type="dxa"/>
          <w:bottom w:w="0" w:type="dxa"/>
          <w:right w:w="0" w:type="dxa"/>
        </w:tblCellMar>
        <w:tblLook w:val="01E0"/>
      </w:tblPr>
      <w:tblGrid>
        <w:gridCol w:w="3360"/>
        <w:gridCol w:w="3621"/>
      </w:tblGrid>
      <w:tr>
        <w:trPr>
          <w:trHeight w:val="295"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受影响的报表项目</w:t>
            </w:r>
          </w:p>
        </w:tc>
        <w:tc>
          <w:tcPr>
            <w:tcW w:w="362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日影响金额</w:t>
            </w:r>
          </w:p>
        </w:tc>
      </w:tr>
      <w:tr>
        <w:trPr>
          <w:trHeight w:val="324"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362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51,846,189.90</w:t>
            </w:r>
          </w:p>
        </w:tc>
      </w:tr>
      <w:tr>
        <w:trPr>
          <w:trHeight w:val="325"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3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2"/>
              <w:jc w:val="right"/>
              <w:rPr>
                <w:rFonts w:ascii="宋体" w:hAnsi="宋体" w:cs="宋体" w:eastAsia="宋体" w:hint="default"/>
                <w:sz w:val="21"/>
                <w:szCs w:val="21"/>
              </w:rPr>
            </w:pPr>
            <w:r>
              <w:rPr>
                <w:rFonts w:ascii="宋体"/>
                <w:spacing w:val="-1"/>
                <w:sz w:val="21"/>
              </w:rPr>
              <w:t>-51,846,189.90</w:t>
            </w:r>
          </w:p>
        </w:tc>
      </w:tr>
      <w:tr>
        <w:trPr>
          <w:trHeight w:val="325"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362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66,198,928.99</w:t>
            </w:r>
          </w:p>
        </w:tc>
      </w:tr>
      <w:tr>
        <w:trPr>
          <w:trHeight w:val="325"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62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-66,198,928.99</w:t>
            </w:r>
          </w:p>
        </w:tc>
      </w:tr>
      <w:tr>
        <w:trPr>
          <w:trHeight w:val="325"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362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25,103,938.01</w:t>
            </w:r>
          </w:p>
        </w:tc>
      </w:tr>
      <w:tr>
        <w:trPr>
          <w:trHeight w:val="325"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362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-25,103,938.01</w:t>
            </w:r>
          </w:p>
        </w:tc>
      </w:tr>
      <w:tr>
        <w:trPr>
          <w:trHeight w:val="324"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362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86,267,716.15</w:t>
            </w:r>
          </w:p>
        </w:tc>
      </w:tr>
      <w:tr>
        <w:trPr>
          <w:trHeight w:val="326"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3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2"/>
              <w:jc w:val="right"/>
              <w:rPr>
                <w:rFonts w:ascii="宋体" w:hAnsi="宋体" w:cs="宋体" w:eastAsia="宋体" w:hint="default"/>
                <w:sz w:val="21"/>
                <w:szCs w:val="21"/>
              </w:rPr>
            </w:pPr>
            <w:r>
              <w:rPr>
                <w:rFonts w:ascii="宋体"/>
                <w:spacing w:val="-1"/>
                <w:sz w:val="21"/>
              </w:rPr>
              <w:t>-86,267,716.15</w:t>
            </w:r>
          </w:p>
        </w:tc>
      </w:tr>
    </w:tbl>
    <w:p>
      <w:pPr>
        <w:spacing w:line="240" w:lineRule="auto" w:before="0"/>
        <w:rPr>
          <w:rFonts w:ascii="宋体" w:hAnsi="宋体" w:cs="宋体" w:eastAsia="宋体" w:hint="default"/>
          <w:sz w:val="25"/>
          <w:szCs w:val="25"/>
        </w:rPr>
      </w:pPr>
    </w:p>
    <w:p>
      <w:pPr>
        <w:pStyle w:val="BodyText"/>
        <w:spacing w:line="237" w:lineRule="auto" w:before="28"/>
        <w:ind w:left="258" w:right="135" w:firstLine="480"/>
        <w:jc w:val="both"/>
      </w:pPr>
      <w:r>
        <w:rPr/>
        <w:t>（</w:t>
      </w:r>
      <w:r>
        <w:rPr>
          <w:rFonts w:ascii="宋体" w:hAnsi="宋体" w:cs="宋体" w:eastAsia="宋体" w:hint="default"/>
        </w:rPr>
        <w:t>4</w:t>
      </w:r>
      <w:r>
        <w:rPr/>
        <w:t>）根据《企业会计准则第</w:t>
      </w:r>
      <w:r>
        <w:rPr>
          <w:spacing w:val="-84"/>
        </w:rPr>
        <w:t> </w:t>
      </w:r>
      <w:r>
        <w:rPr>
          <w:rFonts w:ascii="宋体" w:hAnsi="宋体" w:cs="宋体" w:eastAsia="宋体" w:hint="default"/>
        </w:rPr>
        <w:t>37</w:t>
      </w:r>
      <w:r>
        <w:rPr>
          <w:rFonts w:ascii="宋体" w:hAnsi="宋体" w:cs="宋体" w:eastAsia="宋体" w:hint="default"/>
          <w:spacing w:val="-84"/>
        </w:rPr>
        <w:t> </w:t>
      </w:r>
      <w:r>
        <w:rPr/>
        <w:t>号——金融工具列报》的要求：向职工发行的限 </w:t>
      </w:r>
      <w:r>
        <w:rPr>
          <w:spacing w:val="-2"/>
        </w:rPr>
        <w:t>制性股票按有关规定履行了注册登记等增资手续的，在投予日，企业应当根据收到职</w:t>
      </w:r>
      <w:r>
        <w:rPr>
          <w:spacing w:val="-94"/>
        </w:rPr>
        <w:t> </w:t>
      </w:r>
      <w:r>
        <w:rPr>
          <w:spacing w:val="-94"/>
        </w:rPr>
      </w:r>
      <w:r>
        <w:rPr>
          <w:spacing w:val="-2"/>
        </w:rPr>
        <w:t>工缴纳的认股款确认股本和资本公积（股本溢价），同时就回购义务确认负债（作收</w:t>
      </w:r>
      <w:r>
        <w:rPr>
          <w:spacing w:val="-94"/>
        </w:rPr>
        <w:t> </w:t>
      </w:r>
      <w:r>
        <w:rPr>
          <w:spacing w:val="-94"/>
        </w:rPr>
      </w:r>
      <w:r>
        <w:rPr/>
        <w:t>购库存股处理）。本集团对比较财务报表采用了追溯调整法处理。</w:t>
      </w:r>
    </w:p>
    <w:p>
      <w:pPr>
        <w:spacing w:line="240" w:lineRule="auto" w:before="12"/>
        <w:rPr>
          <w:rFonts w:ascii="宋体" w:hAnsi="宋体" w:cs="宋体" w:eastAsia="宋体" w:hint="default"/>
          <w:sz w:val="11"/>
          <w:szCs w:val="11"/>
        </w:rPr>
      </w:pPr>
    </w:p>
    <w:tbl>
      <w:tblPr>
        <w:tblW w:w="0" w:type="auto"/>
        <w:jc w:val="left"/>
        <w:tblInd w:w="248" w:type="dxa"/>
        <w:tblLayout w:type="fixed"/>
        <w:tblCellMar>
          <w:top w:w="0" w:type="dxa"/>
          <w:left w:w="0" w:type="dxa"/>
          <w:bottom w:w="0" w:type="dxa"/>
          <w:right w:w="0" w:type="dxa"/>
        </w:tblCellMar>
        <w:tblLook w:val="01E0"/>
      </w:tblPr>
      <w:tblGrid>
        <w:gridCol w:w="3360"/>
        <w:gridCol w:w="3621"/>
      </w:tblGrid>
      <w:tr>
        <w:trPr>
          <w:trHeight w:val="295"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1" w:right="0"/>
              <w:jc w:val="left"/>
              <w:rPr>
                <w:rFonts w:ascii="宋体" w:hAnsi="宋体" w:cs="宋体" w:eastAsia="宋体" w:hint="default"/>
                <w:sz w:val="21"/>
                <w:szCs w:val="21"/>
              </w:rPr>
            </w:pPr>
            <w:r>
              <w:rPr>
                <w:rFonts w:ascii="宋体" w:hAnsi="宋体" w:cs="宋体" w:eastAsia="宋体" w:hint="default"/>
                <w:sz w:val="21"/>
                <w:szCs w:val="21"/>
              </w:rPr>
              <w:t>受影响的报表项目</w:t>
            </w:r>
          </w:p>
        </w:tc>
        <w:tc>
          <w:tcPr>
            <w:tcW w:w="362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日影响金额</w:t>
            </w:r>
          </w:p>
        </w:tc>
      </w:tr>
      <w:tr>
        <w:trPr>
          <w:trHeight w:val="34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1" w:right="0"/>
              <w:jc w:val="left"/>
              <w:rPr>
                <w:rFonts w:ascii="宋体" w:hAnsi="宋体" w:cs="宋体" w:eastAsia="宋体" w:hint="default"/>
                <w:sz w:val="21"/>
                <w:szCs w:val="21"/>
              </w:rPr>
            </w:pPr>
            <w:r>
              <w:rPr>
                <w:rFonts w:ascii="宋体" w:hAnsi="宋体" w:cs="宋体" w:eastAsia="宋体" w:hint="default"/>
                <w:sz w:val="21"/>
                <w:szCs w:val="21"/>
              </w:rPr>
              <w:t>库存股</w:t>
            </w:r>
          </w:p>
        </w:tc>
        <w:tc>
          <w:tcPr>
            <w:tcW w:w="362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57,972,861.00</w:t>
            </w:r>
          </w:p>
        </w:tc>
      </w:tr>
      <w:tr>
        <w:trPr>
          <w:trHeight w:val="341"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362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2"/>
              <w:jc w:val="right"/>
              <w:rPr>
                <w:rFonts w:ascii="宋体" w:hAnsi="宋体" w:cs="宋体" w:eastAsia="宋体" w:hint="default"/>
                <w:sz w:val="21"/>
                <w:szCs w:val="21"/>
              </w:rPr>
            </w:pPr>
            <w:r>
              <w:rPr>
                <w:rFonts w:ascii="宋体"/>
                <w:sz w:val="21"/>
              </w:rPr>
              <w:t>57,972,861.00</w:t>
            </w:r>
          </w:p>
        </w:tc>
      </w:tr>
    </w:tbl>
    <w:p>
      <w:pPr>
        <w:spacing w:line="240" w:lineRule="auto" w:before="11"/>
        <w:rPr>
          <w:rFonts w:ascii="宋体" w:hAnsi="宋体" w:cs="宋体" w:eastAsia="宋体" w:hint="default"/>
          <w:sz w:val="18"/>
          <w:szCs w:val="18"/>
        </w:rPr>
      </w:pPr>
    </w:p>
    <w:p>
      <w:pPr>
        <w:spacing w:before="35"/>
        <w:ind w:left="258" w:right="0" w:firstLine="0"/>
        <w:jc w:val="left"/>
        <w:rPr>
          <w:rFonts w:ascii="宋体" w:hAnsi="宋体" w:cs="宋体" w:eastAsia="宋体" w:hint="default"/>
          <w:sz w:val="21"/>
          <w:szCs w:val="21"/>
        </w:rPr>
      </w:pPr>
      <w:r>
        <w:rPr>
          <w:rFonts w:ascii="宋体" w:hAnsi="宋体" w:cs="宋体" w:eastAsia="宋体" w:hint="default"/>
          <w:b/>
          <w:bCs/>
          <w:sz w:val="21"/>
          <w:szCs w:val="21"/>
        </w:rPr>
        <w:t>十三、其他重大事项的说明</w:t>
      </w:r>
      <w:r>
        <w:rPr>
          <w:rFonts w:ascii="宋体" w:hAnsi="宋体" w:cs="宋体" w:eastAsia="宋体" w:hint="default"/>
          <w:sz w:val="21"/>
          <w:szCs w:val="21"/>
        </w:rPr>
      </w:r>
    </w:p>
    <w:p>
      <w:pPr>
        <w:spacing w:before="56"/>
        <w:ind w:left="25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pgSz w:w="11910" w:h="16840"/>
          <w:pgMar w:header="882" w:footer="1194" w:top="1080" w:bottom="1380" w:left="1540" w:right="1140"/>
        </w:sectPr>
      </w:pPr>
    </w:p>
    <w:p>
      <w:pPr>
        <w:spacing w:line="240" w:lineRule="auto" w:before="12"/>
        <w:rPr>
          <w:rFonts w:ascii="宋体" w:hAnsi="宋体" w:cs="宋体" w:eastAsia="宋体" w:hint="default"/>
          <w:sz w:val="28"/>
          <w:szCs w:val="28"/>
        </w:rPr>
      </w:pPr>
    </w:p>
    <w:p>
      <w:pPr>
        <w:pStyle w:val="Heading2"/>
        <w:spacing w:line="240" w:lineRule="auto"/>
        <w:ind w:left="818" w:right="0"/>
        <w:jc w:val="left"/>
        <w:rPr>
          <w:b w:val="0"/>
          <w:bCs w:val="0"/>
        </w:rPr>
      </w:pPr>
      <w:r>
        <w:rPr>
          <w:rFonts w:ascii="宋体" w:hAnsi="宋体" w:cs="宋体" w:eastAsia="宋体" w:hint="default"/>
        </w:rPr>
        <w:t>1</w:t>
      </w:r>
      <w:r>
        <w:rPr/>
        <w:t>、或有事项</w:t>
      </w:r>
      <w:r>
        <w:rPr>
          <w:b w:val="0"/>
          <w:bCs w:val="0"/>
        </w:rPr>
      </w:r>
    </w:p>
    <w:p>
      <w:pPr>
        <w:pStyle w:val="BodyText"/>
        <w:spacing w:line="237" w:lineRule="auto" w:before="119"/>
        <w:ind w:left="818" w:right="795" w:firstLine="480"/>
        <w:jc w:val="both"/>
      </w:pPr>
      <w:r>
        <w:rPr/>
        <w:t>本公司于</w:t>
      </w:r>
      <w:r>
        <w:rPr>
          <w:spacing w:val="-48"/>
        </w:rPr>
        <w:t> </w:t>
      </w:r>
      <w:r>
        <w:rPr>
          <w:rFonts w:ascii="宋体" w:hAnsi="宋体" w:cs="宋体" w:eastAsia="宋体" w:hint="default"/>
        </w:rPr>
        <w:t>2014</w:t>
      </w:r>
      <w:r>
        <w:rPr>
          <w:rFonts w:ascii="宋体" w:hAnsi="宋体" w:cs="宋体" w:eastAsia="宋体" w:hint="default"/>
          <w:spacing w:val="-48"/>
        </w:rPr>
        <w:t> </w:t>
      </w:r>
      <w:r>
        <w:rPr/>
        <w:t>年</w:t>
      </w:r>
      <w:r>
        <w:rPr>
          <w:spacing w:val="-48"/>
        </w:rPr>
        <w:t> </w:t>
      </w:r>
      <w:r>
        <w:rPr>
          <w:rFonts w:ascii="宋体" w:hAnsi="宋体" w:cs="宋体" w:eastAsia="宋体" w:hint="default"/>
        </w:rPr>
        <w:t>10</w:t>
      </w:r>
      <w:r>
        <w:rPr>
          <w:rFonts w:ascii="宋体" w:hAnsi="宋体" w:cs="宋体" w:eastAsia="宋体" w:hint="default"/>
          <w:spacing w:val="-48"/>
        </w:rPr>
        <w:t> </w:t>
      </w:r>
      <w:r>
        <w:rPr/>
        <w:t>月</w:t>
      </w:r>
      <w:r>
        <w:rPr>
          <w:spacing w:val="-48"/>
        </w:rPr>
        <w:t> </w:t>
      </w:r>
      <w:r>
        <w:rPr>
          <w:rFonts w:ascii="宋体" w:hAnsi="宋体" w:cs="宋体" w:eastAsia="宋体" w:hint="default"/>
        </w:rPr>
        <w:t>11</w:t>
      </w:r>
      <w:r>
        <w:rPr>
          <w:rFonts w:ascii="宋体" w:hAnsi="宋体" w:cs="宋体" w:eastAsia="宋体" w:hint="default"/>
          <w:spacing w:val="-48"/>
        </w:rPr>
        <w:t> </w:t>
      </w:r>
      <w:r>
        <w:rPr/>
        <w:t>日向北京海淀区人民法院提起对于甲骨文（中国）软 件</w:t>
      </w:r>
      <w:r>
        <w:rPr>
          <w:spacing w:val="-74"/>
        </w:rPr>
        <w:t> </w:t>
      </w:r>
      <w:r>
        <w:rPr/>
        <w:t>系</w:t>
      </w:r>
      <w:r>
        <w:rPr>
          <w:spacing w:val="-74"/>
        </w:rPr>
        <w:t> </w:t>
      </w:r>
      <w:r>
        <w:rPr/>
        <w:t>统</w:t>
      </w:r>
      <w:r>
        <w:rPr>
          <w:spacing w:val="-74"/>
        </w:rPr>
        <w:t> </w:t>
      </w:r>
      <w:r>
        <w:rPr/>
        <w:t>有</w:t>
      </w:r>
      <w:r>
        <w:rPr>
          <w:spacing w:val="-75"/>
        </w:rPr>
        <w:t> </w:t>
      </w:r>
      <w:r>
        <w:rPr/>
        <w:t>限</w:t>
      </w:r>
      <w:r>
        <w:rPr>
          <w:spacing w:val="-74"/>
        </w:rPr>
        <w:t> </w:t>
      </w:r>
      <w:r>
        <w:rPr/>
        <w:t>公</w:t>
      </w:r>
      <w:r>
        <w:rPr>
          <w:spacing w:val="-74"/>
        </w:rPr>
        <w:t> </w:t>
      </w:r>
      <w:r>
        <w:rPr/>
        <w:t>司</w:t>
      </w:r>
      <w:r>
        <w:rPr>
          <w:spacing w:val="-74"/>
        </w:rPr>
        <w:t> </w:t>
      </w:r>
      <w:r>
        <w:rPr/>
        <w:t>的</w:t>
      </w:r>
      <w:r>
        <w:rPr>
          <w:spacing w:val="-75"/>
        </w:rPr>
        <w:t> </w:t>
      </w:r>
      <w:r>
        <w:rPr/>
        <w:t>买</w:t>
      </w:r>
      <w:r>
        <w:rPr>
          <w:spacing w:val="-74"/>
        </w:rPr>
        <w:t> </w:t>
      </w:r>
      <w:r>
        <w:rPr/>
        <w:t>卖</w:t>
      </w:r>
      <w:r>
        <w:rPr>
          <w:spacing w:val="-74"/>
        </w:rPr>
        <w:t> </w:t>
      </w:r>
      <w:r>
        <w:rPr/>
        <w:t>合</w:t>
      </w:r>
      <w:r>
        <w:rPr>
          <w:spacing w:val="-74"/>
        </w:rPr>
        <w:t> </w:t>
      </w:r>
      <w:r>
        <w:rPr/>
        <w:t>同</w:t>
      </w:r>
      <w:r>
        <w:rPr>
          <w:spacing w:val="-75"/>
        </w:rPr>
        <w:t> </w:t>
      </w:r>
      <w:r>
        <w:rPr/>
        <w:t>纠</w:t>
      </w:r>
      <w:r>
        <w:rPr>
          <w:spacing w:val="-74"/>
        </w:rPr>
        <w:t> </w:t>
      </w:r>
      <w:r>
        <w:rPr/>
        <w:t>纷</w:t>
      </w:r>
      <w:r>
        <w:rPr>
          <w:spacing w:val="-74"/>
        </w:rPr>
        <w:t> </w:t>
      </w:r>
      <w:r>
        <w:rPr/>
        <w:t>诉</w:t>
      </w:r>
      <w:r>
        <w:rPr>
          <w:spacing w:val="-74"/>
        </w:rPr>
        <w:t> </w:t>
      </w:r>
      <w:r>
        <w:rPr/>
        <w:t>讼</w:t>
      </w:r>
      <w:r>
        <w:rPr>
          <w:spacing w:val="-75"/>
        </w:rPr>
        <w:t> </w:t>
      </w:r>
      <w:r>
        <w:rPr/>
        <w:t>，</w:t>
      </w:r>
      <w:r>
        <w:rPr>
          <w:spacing w:val="-74"/>
        </w:rPr>
        <w:t> </w:t>
      </w:r>
      <w:r>
        <w:rPr/>
        <w:t>要</w:t>
      </w:r>
      <w:r>
        <w:rPr>
          <w:spacing w:val="-74"/>
        </w:rPr>
        <w:t> </w:t>
      </w:r>
      <w:r>
        <w:rPr/>
        <w:t>求</w:t>
      </w:r>
      <w:r>
        <w:rPr>
          <w:spacing w:val="-74"/>
        </w:rPr>
        <w:t> </w:t>
      </w:r>
      <w:r>
        <w:rPr/>
        <w:t>其</w:t>
      </w:r>
      <w:r>
        <w:rPr>
          <w:spacing w:val="-75"/>
        </w:rPr>
        <w:t> </w:t>
      </w:r>
      <w:r>
        <w:rPr/>
        <w:t>返</w:t>
      </w:r>
      <w:r>
        <w:rPr>
          <w:spacing w:val="-74"/>
        </w:rPr>
        <w:t> </w:t>
      </w:r>
      <w:r>
        <w:rPr/>
        <w:t>还</w:t>
      </w:r>
      <w:r>
        <w:rPr>
          <w:spacing w:val="-74"/>
        </w:rPr>
        <w:t> </w:t>
      </w:r>
      <w:r>
        <w:rPr/>
        <w:t>合</w:t>
      </w:r>
      <w:r>
        <w:rPr>
          <w:spacing w:val="-74"/>
        </w:rPr>
        <w:t> </w:t>
      </w:r>
      <w:r>
        <w:rPr/>
        <w:t>同</w:t>
      </w:r>
      <w:r>
        <w:rPr>
          <w:spacing w:val="-75"/>
        </w:rPr>
        <w:t> </w:t>
      </w:r>
      <w:r>
        <w:rPr/>
        <w:t>货</w:t>
      </w:r>
      <w:r>
        <w:rPr>
          <w:spacing w:val="-74"/>
        </w:rPr>
        <w:t> </w:t>
      </w:r>
      <w:r>
        <w:rPr/>
        <w:t>款</w:t>
      </w:r>
      <w:r>
        <w:rPr>
          <w:spacing w:val="-74"/>
        </w:rPr>
        <w:t> </w:t>
      </w:r>
      <w:r>
        <w:rPr/>
        <w:t>及</w:t>
      </w:r>
      <w:r>
        <w:rPr>
          <w:spacing w:val="-74"/>
        </w:rPr>
        <w:t> </w:t>
      </w:r>
      <w:r>
        <w:rPr/>
        <w:t>利</w:t>
      </w:r>
      <w:r>
        <w:rPr>
          <w:spacing w:val="-75"/>
        </w:rPr>
        <w:t> </w:t>
      </w:r>
      <w:r>
        <w:rPr/>
        <w:t>息</w:t>
      </w:r>
      <w:r>
        <w:rPr>
          <w:spacing w:val="-74"/>
        </w:rPr>
        <w:t> </w:t>
      </w:r>
      <w:r>
        <w:rPr/>
        <w:t>共</w:t>
      </w:r>
      <w:r>
        <w:rPr>
          <w:spacing w:val="-74"/>
        </w:rPr>
        <w:t> </w:t>
      </w:r>
      <w:r>
        <w:rPr/>
        <w:t>计</w:t>
      </w:r>
      <w:r>
        <w:rPr/>
        <w:t> </w:t>
      </w:r>
      <w:r>
        <w:rPr>
          <w:rFonts w:ascii="宋体" w:hAnsi="宋体" w:cs="宋体" w:eastAsia="宋体" w:hint="default"/>
        </w:rPr>
        <w:t>12,105,033.38</w:t>
      </w:r>
      <w:r>
        <w:rPr>
          <w:rFonts w:ascii="宋体" w:hAnsi="宋体" w:cs="宋体" w:eastAsia="宋体" w:hint="default"/>
          <w:spacing w:val="-60"/>
        </w:rPr>
        <w:t> </w:t>
      </w:r>
      <w:r>
        <w:rPr/>
        <w:t>元，截至</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t>日尚未开庭审理。</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17"/>
          <w:szCs w:val="17"/>
        </w:rPr>
      </w:pPr>
    </w:p>
    <w:p>
      <w:pPr>
        <w:pStyle w:val="Heading2"/>
        <w:spacing w:line="240" w:lineRule="auto" w:before="0"/>
        <w:ind w:left="818" w:right="0"/>
        <w:jc w:val="left"/>
        <w:rPr>
          <w:b w:val="0"/>
          <w:bCs w:val="0"/>
        </w:rPr>
      </w:pPr>
      <w:r>
        <w:rPr>
          <w:rFonts w:ascii="宋体" w:hAnsi="宋体" w:cs="宋体" w:eastAsia="宋体" w:hint="default"/>
        </w:rPr>
        <w:t>2</w:t>
      </w:r>
      <w:r>
        <w:rPr/>
        <w:t>、信息披露索引</w:t>
      </w:r>
      <w:r>
        <w:rPr>
          <w:b w:val="0"/>
          <w:bCs w:val="0"/>
        </w:rPr>
      </w:r>
    </w:p>
    <w:p>
      <w:pPr>
        <w:spacing w:line="240" w:lineRule="auto" w:before="12"/>
        <w:rPr>
          <w:rFonts w:ascii="宋体" w:hAnsi="宋体" w:cs="宋体" w:eastAsia="宋体" w:hint="default"/>
          <w:b/>
          <w:bCs/>
          <w:sz w:val="11"/>
          <w:szCs w:val="11"/>
        </w:rPr>
      </w:pPr>
    </w:p>
    <w:tbl>
      <w:tblPr>
        <w:tblW w:w="0" w:type="auto"/>
        <w:jc w:val="left"/>
        <w:tblInd w:w="103" w:type="dxa"/>
        <w:tblLayout w:type="fixed"/>
        <w:tblCellMar>
          <w:top w:w="0" w:type="dxa"/>
          <w:left w:w="0" w:type="dxa"/>
          <w:bottom w:w="0" w:type="dxa"/>
          <w:right w:w="0" w:type="dxa"/>
        </w:tblCellMar>
        <w:tblLook w:val="01E0"/>
      </w:tblPr>
      <w:tblGrid>
        <w:gridCol w:w="3687"/>
        <w:gridCol w:w="2693"/>
        <w:gridCol w:w="1702"/>
        <w:gridCol w:w="2126"/>
      </w:tblGrid>
      <w:tr>
        <w:trPr>
          <w:trHeight w:val="476"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事项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2" w:right="0"/>
              <w:jc w:val="left"/>
              <w:rPr>
                <w:rFonts w:ascii="宋体" w:hAnsi="宋体" w:cs="宋体" w:eastAsia="宋体" w:hint="default"/>
                <w:sz w:val="18"/>
                <w:szCs w:val="18"/>
              </w:rPr>
            </w:pPr>
            <w:r>
              <w:rPr>
                <w:rFonts w:ascii="宋体" w:hAnsi="宋体" w:cs="宋体" w:eastAsia="宋体" w:hint="default"/>
                <w:sz w:val="18"/>
                <w:szCs w:val="18"/>
              </w:rPr>
              <w:t>刊载的报刊名称及版面</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刊载日期</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刊载的互联网网站及检</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索路径</w:t>
            </w:r>
          </w:p>
        </w:tc>
      </w:tr>
      <w:tr>
        <w:trPr>
          <w:trHeight w:val="61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102"/>
              <w:jc w:val="left"/>
              <w:rPr>
                <w:rFonts w:ascii="宋体" w:hAnsi="宋体" w:cs="宋体" w:eastAsia="宋体" w:hint="default"/>
                <w:sz w:val="18"/>
                <w:szCs w:val="18"/>
              </w:rPr>
            </w:pPr>
            <w:r>
              <w:rPr>
                <w:rFonts w:ascii="宋体" w:hAnsi="宋体" w:cs="宋体" w:eastAsia="宋体" w:hint="default"/>
                <w:spacing w:val="-4"/>
                <w:sz w:val="18"/>
                <w:szCs w:val="18"/>
              </w:rPr>
              <w:t>华胜天成关于公司被认定为“</w:t>
            </w:r>
            <w:r>
              <w:rPr>
                <w:rFonts w:ascii="宋体" w:hAnsi="宋体" w:cs="宋体" w:eastAsia="宋体" w:hint="default"/>
                <w:spacing w:val="-4"/>
                <w:sz w:val="18"/>
                <w:szCs w:val="18"/>
              </w:rPr>
              <w:t>2013-2014</w:t>
            </w:r>
            <w:r>
              <w:rPr>
                <w:rFonts w:ascii="宋体" w:hAnsi="宋体" w:cs="宋体" w:eastAsia="宋体" w:hint="default"/>
                <w:spacing w:val="-45"/>
                <w:sz w:val="18"/>
                <w:szCs w:val="18"/>
              </w:rPr>
              <w:t> </w:t>
            </w:r>
            <w:r>
              <w:rPr>
                <w:rFonts w:ascii="宋体" w:hAnsi="宋体" w:cs="宋体" w:eastAsia="宋体" w:hint="default"/>
                <w:sz w:val="18"/>
                <w:szCs w:val="18"/>
              </w:rPr>
              <w:t>年度 国家规划布局内重点软件企业”的公告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0"/>
              <w:jc w:val="center"/>
              <w:rPr>
                <w:rFonts w:ascii="宋体" w:hAnsi="宋体" w:cs="宋体" w:eastAsia="宋体" w:hint="default"/>
                <w:sz w:val="18"/>
                <w:szCs w:val="18"/>
              </w:rPr>
            </w:pPr>
            <w:hyperlink r:id="rId9">
              <w:r>
                <w:rPr>
                  <w:rFonts w:ascii="宋体"/>
                  <w:sz w:val="18"/>
                </w:rPr>
                <w:t>http://www.sse.com.cn</w:t>
              </w:r>
            </w:hyperlink>
          </w:p>
        </w:tc>
      </w:tr>
      <w:tr>
        <w:trPr>
          <w:trHeight w:val="40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华胜天成</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年度业绩预减公告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center"/>
              <w:rPr>
                <w:rFonts w:ascii="宋体" w:hAnsi="宋体" w:cs="宋体" w:eastAsia="宋体" w:hint="default"/>
                <w:sz w:val="18"/>
                <w:szCs w:val="18"/>
              </w:rPr>
            </w:pPr>
            <w:hyperlink r:id="rId9">
              <w:r>
                <w:rPr>
                  <w:rFonts w:ascii="宋体"/>
                  <w:sz w:val="18"/>
                </w:rPr>
                <w:t>http://www.sse.com.cn</w:t>
              </w:r>
            </w:hyperlink>
          </w:p>
        </w:tc>
      </w:tr>
      <w:tr>
        <w:trPr>
          <w:trHeight w:val="566"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103" w:right="153"/>
              <w:jc w:val="left"/>
              <w:rPr>
                <w:rFonts w:ascii="宋体" w:hAnsi="宋体" w:cs="宋体" w:eastAsia="宋体" w:hint="default"/>
                <w:sz w:val="18"/>
                <w:szCs w:val="18"/>
              </w:rPr>
            </w:pPr>
            <w:r>
              <w:rPr>
                <w:rFonts w:ascii="宋体" w:hAnsi="宋体" w:cs="宋体" w:eastAsia="宋体" w:hint="default"/>
                <w:sz w:val="18"/>
                <w:szCs w:val="18"/>
              </w:rPr>
              <w:t>华胜天成关于公司间接控股子公司首次融资 结果的公告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0"/>
              <w:jc w:val="center"/>
              <w:rPr>
                <w:rFonts w:ascii="宋体" w:hAnsi="宋体" w:cs="宋体" w:eastAsia="宋体" w:hint="default"/>
                <w:sz w:val="18"/>
                <w:szCs w:val="18"/>
              </w:rPr>
            </w:pPr>
            <w:hyperlink r:id="rId9">
              <w:r>
                <w:rPr>
                  <w:rFonts w:ascii="宋体"/>
                  <w:sz w:val="18"/>
                </w:rPr>
                <w:t>http://www.sse.com.cn</w:t>
              </w:r>
            </w:hyperlink>
          </w:p>
        </w:tc>
      </w:tr>
      <w:tr>
        <w:trPr>
          <w:trHeight w:val="349"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华胜天成关于承诺事项履行情况的公告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center"/>
              <w:rPr>
                <w:rFonts w:ascii="宋体" w:hAnsi="宋体" w:cs="宋体" w:eastAsia="宋体" w:hint="default"/>
                <w:sz w:val="18"/>
                <w:szCs w:val="18"/>
              </w:rPr>
            </w:pPr>
            <w:hyperlink r:id="rId9">
              <w:r>
                <w:rPr>
                  <w:rFonts w:ascii="宋体"/>
                  <w:sz w:val="18"/>
                </w:rPr>
                <w:t>http://www.sse.com.cn</w:t>
              </w:r>
            </w:hyperlink>
          </w:p>
        </w:tc>
      </w:tr>
      <w:tr>
        <w:trPr>
          <w:trHeight w:val="296"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华胜天成</w:t>
            </w:r>
            <w:r>
              <w:rPr>
                <w:rFonts w:ascii="宋体" w:hAnsi="宋体" w:cs="宋体" w:eastAsia="宋体" w:hint="default"/>
                <w:spacing w:val="-65"/>
                <w:sz w:val="18"/>
                <w:szCs w:val="18"/>
              </w:rPr>
              <w:t> </w:t>
            </w:r>
            <w:r>
              <w:rPr>
                <w:rFonts w:ascii="宋体" w:hAnsi="宋体" w:cs="宋体" w:eastAsia="宋体" w:hint="default"/>
                <w:sz w:val="18"/>
                <w:szCs w:val="18"/>
              </w:rPr>
              <w:t>2014</w:t>
            </w:r>
            <w:r>
              <w:rPr>
                <w:rFonts w:ascii="宋体" w:hAnsi="宋体" w:cs="宋体" w:eastAsia="宋体" w:hint="default"/>
                <w:spacing w:val="-65"/>
                <w:sz w:val="18"/>
                <w:szCs w:val="18"/>
              </w:rPr>
              <w:t> </w:t>
            </w:r>
            <w:r>
              <w:rPr>
                <w:rFonts w:ascii="宋体" w:hAnsi="宋体" w:cs="宋体" w:eastAsia="宋体" w:hint="default"/>
                <w:sz w:val="18"/>
                <w:szCs w:val="18"/>
              </w:rPr>
              <w:t>年第一次临时董事会决议公告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0"/>
              <w:jc w:val="center"/>
              <w:rPr>
                <w:rFonts w:ascii="宋体" w:hAnsi="宋体" w:cs="宋体" w:eastAsia="宋体" w:hint="default"/>
                <w:sz w:val="18"/>
                <w:szCs w:val="18"/>
              </w:rPr>
            </w:pPr>
            <w:hyperlink r:id="rId9">
              <w:r>
                <w:rPr>
                  <w:rFonts w:ascii="宋体"/>
                  <w:sz w:val="18"/>
                </w:rPr>
                <w:t>http://www.sse.com.cn</w:t>
              </w:r>
            </w:hyperlink>
          </w:p>
        </w:tc>
      </w:tr>
      <w:tr>
        <w:trPr>
          <w:trHeight w:val="40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华胜天成</w:t>
            </w:r>
            <w:r>
              <w:rPr>
                <w:rFonts w:ascii="宋体" w:hAnsi="宋体" w:cs="宋体" w:eastAsia="宋体" w:hint="default"/>
                <w:spacing w:val="-65"/>
                <w:sz w:val="18"/>
                <w:szCs w:val="18"/>
              </w:rPr>
              <w:t> </w:t>
            </w:r>
            <w:r>
              <w:rPr>
                <w:rFonts w:ascii="宋体" w:hAnsi="宋体" w:cs="宋体" w:eastAsia="宋体" w:hint="default"/>
                <w:sz w:val="18"/>
                <w:szCs w:val="18"/>
              </w:rPr>
              <w:t>2014</w:t>
            </w:r>
            <w:r>
              <w:rPr>
                <w:rFonts w:ascii="宋体" w:hAnsi="宋体" w:cs="宋体" w:eastAsia="宋体" w:hint="default"/>
                <w:spacing w:val="-65"/>
                <w:sz w:val="18"/>
                <w:szCs w:val="18"/>
              </w:rPr>
              <w:t> </w:t>
            </w:r>
            <w:r>
              <w:rPr>
                <w:rFonts w:ascii="宋体" w:hAnsi="宋体" w:cs="宋体" w:eastAsia="宋体" w:hint="default"/>
                <w:sz w:val="18"/>
                <w:szCs w:val="18"/>
              </w:rPr>
              <w:t>年第一次临时监事会决议公告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center"/>
              <w:rPr>
                <w:rFonts w:ascii="宋体" w:hAnsi="宋体" w:cs="宋体" w:eastAsia="宋体" w:hint="default"/>
                <w:sz w:val="18"/>
                <w:szCs w:val="18"/>
              </w:rPr>
            </w:pPr>
            <w:hyperlink r:id="rId9">
              <w:r>
                <w:rPr>
                  <w:rFonts w:ascii="宋体"/>
                  <w:sz w:val="18"/>
                </w:rPr>
                <w:t>http://www.sse.com.cn</w:t>
              </w:r>
            </w:hyperlink>
          </w:p>
        </w:tc>
      </w:tr>
      <w:tr>
        <w:trPr>
          <w:trHeight w:val="56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101"/>
              <w:jc w:val="left"/>
              <w:rPr>
                <w:rFonts w:ascii="宋体" w:hAnsi="宋体" w:cs="宋体" w:eastAsia="宋体" w:hint="default"/>
                <w:sz w:val="18"/>
                <w:szCs w:val="18"/>
              </w:rPr>
            </w:pPr>
            <w:r>
              <w:rPr>
                <w:rFonts w:ascii="宋体" w:hAnsi="宋体" w:cs="宋体" w:eastAsia="宋体" w:hint="default"/>
                <w:sz w:val="18"/>
                <w:szCs w:val="18"/>
              </w:rPr>
              <w:t>华胜天成关于召开</w:t>
            </w:r>
            <w:r>
              <w:rPr>
                <w:rFonts w:ascii="宋体" w:hAnsi="宋体" w:cs="宋体" w:eastAsia="宋体" w:hint="default"/>
                <w:spacing w:val="-65"/>
                <w:sz w:val="18"/>
                <w:szCs w:val="18"/>
              </w:rPr>
              <w:t> </w:t>
            </w:r>
            <w:r>
              <w:rPr>
                <w:rFonts w:ascii="宋体" w:hAnsi="宋体" w:cs="宋体" w:eastAsia="宋体" w:hint="default"/>
                <w:sz w:val="18"/>
                <w:szCs w:val="18"/>
              </w:rPr>
              <w:t>2014</w:t>
            </w:r>
            <w:r>
              <w:rPr>
                <w:rFonts w:ascii="宋体" w:hAnsi="宋体" w:cs="宋体" w:eastAsia="宋体" w:hint="default"/>
                <w:spacing w:val="-65"/>
                <w:sz w:val="18"/>
                <w:szCs w:val="18"/>
              </w:rPr>
              <w:t> </w:t>
            </w:r>
            <w:r>
              <w:rPr>
                <w:rFonts w:ascii="宋体" w:hAnsi="宋体" w:cs="宋体" w:eastAsia="宋体" w:hint="default"/>
                <w:sz w:val="18"/>
                <w:szCs w:val="18"/>
              </w:rPr>
              <w:t>年第一次临时股东大 会的通知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center"/>
              <w:rPr>
                <w:rFonts w:ascii="宋体" w:hAnsi="宋体" w:cs="宋体" w:eastAsia="宋体" w:hint="default"/>
                <w:sz w:val="18"/>
                <w:szCs w:val="18"/>
              </w:rPr>
            </w:pPr>
            <w:hyperlink r:id="rId9">
              <w:r>
                <w:rPr>
                  <w:rFonts w:ascii="宋体"/>
                  <w:sz w:val="18"/>
                </w:rPr>
                <w:t>http://www.sse.com.cn</w:t>
              </w:r>
            </w:hyperlink>
          </w:p>
        </w:tc>
      </w:tr>
      <w:tr>
        <w:trPr>
          <w:trHeight w:val="359"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华胜天成公司债券付息公告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center"/>
              <w:rPr>
                <w:rFonts w:ascii="宋体" w:hAnsi="宋体" w:cs="宋体" w:eastAsia="宋体" w:hint="default"/>
                <w:sz w:val="18"/>
                <w:szCs w:val="18"/>
              </w:rPr>
            </w:pPr>
            <w:hyperlink r:id="rId9">
              <w:r>
                <w:rPr>
                  <w:rFonts w:ascii="宋体"/>
                  <w:sz w:val="18"/>
                </w:rPr>
                <w:t>http://www.sse.com.cn</w:t>
              </w:r>
            </w:hyperlink>
          </w:p>
        </w:tc>
      </w:tr>
      <w:tr>
        <w:trPr>
          <w:trHeight w:val="56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103" w:right="151"/>
              <w:jc w:val="left"/>
              <w:rPr>
                <w:rFonts w:ascii="宋体" w:hAnsi="宋体" w:cs="宋体" w:eastAsia="宋体" w:hint="default"/>
                <w:sz w:val="18"/>
                <w:szCs w:val="18"/>
              </w:rPr>
            </w:pPr>
            <w:r>
              <w:rPr>
                <w:rFonts w:ascii="宋体" w:hAnsi="宋体" w:cs="宋体" w:eastAsia="宋体" w:hint="default"/>
                <w:sz w:val="18"/>
                <w:szCs w:val="18"/>
              </w:rPr>
              <w:t>华胜天成关于与</w:t>
            </w:r>
            <w:r>
              <w:rPr>
                <w:rFonts w:ascii="宋体" w:hAnsi="宋体" w:cs="宋体" w:eastAsia="宋体" w:hint="default"/>
                <w:spacing w:val="-46"/>
                <w:sz w:val="18"/>
                <w:szCs w:val="18"/>
              </w:rPr>
              <w:t> </w:t>
            </w:r>
            <w:r>
              <w:rPr>
                <w:rFonts w:ascii="宋体" w:hAnsi="宋体" w:cs="宋体" w:eastAsia="宋体" w:hint="default"/>
                <w:sz w:val="18"/>
                <w:szCs w:val="18"/>
              </w:rPr>
              <w:t>IBM</w:t>
            </w:r>
            <w:r>
              <w:rPr>
                <w:rFonts w:ascii="宋体" w:hAnsi="宋体" w:cs="宋体" w:eastAsia="宋体" w:hint="default"/>
                <w:spacing w:val="-46"/>
                <w:sz w:val="18"/>
                <w:szCs w:val="18"/>
              </w:rPr>
              <w:t> </w:t>
            </w:r>
            <w:r>
              <w:rPr>
                <w:rFonts w:ascii="宋体" w:hAnsi="宋体" w:cs="宋体" w:eastAsia="宋体" w:hint="default"/>
                <w:sz w:val="18"/>
                <w:szCs w:val="18"/>
              </w:rPr>
              <w:t>签订战略合作协议的公 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center"/>
              <w:rPr>
                <w:rFonts w:ascii="宋体" w:hAnsi="宋体" w:cs="宋体" w:eastAsia="宋体" w:hint="default"/>
                <w:sz w:val="18"/>
                <w:szCs w:val="18"/>
              </w:rPr>
            </w:pPr>
            <w:hyperlink r:id="rId9">
              <w:r>
                <w:rPr>
                  <w:rFonts w:ascii="宋体"/>
                  <w:sz w:val="18"/>
                </w:rPr>
                <w:t>http://www.sse.com.cn</w:t>
              </w:r>
            </w:hyperlink>
          </w:p>
        </w:tc>
      </w:tr>
      <w:tr>
        <w:trPr>
          <w:trHeight w:val="770"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42"/>
              <w:ind w:left="103" w:right="101"/>
              <w:jc w:val="left"/>
              <w:rPr>
                <w:rFonts w:ascii="宋体" w:hAnsi="宋体" w:cs="宋体" w:eastAsia="宋体" w:hint="default"/>
                <w:sz w:val="18"/>
                <w:szCs w:val="18"/>
              </w:rPr>
            </w:pPr>
            <w:r>
              <w:rPr>
                <w:rFonts w:ascii="宋体" w:hAnsi="宋体" w:cs="宋体" w:eastAsia="宋体" w:hint="default"/>
                <w:sz w:val="18"/>
                <w:szCs w:val="18"/>
              </w:rPr>
              <w:t>华胜天成</w:t>
            </w:r>
            <w:r>
              <w:rPr>
                <w:rFonts w:ascii="宋体" w:hAnsi="宋体" w:cs="宋体" w:eastAsia="宋体" w:hint="default"/>
                <w:spacing w:val="-65"/>
                <w:sz w:val="18"/>
                <w:szCs w:val="18"/>
              </w:rPr>
              <w:t> </w:t>
            </w:r>
            <w:r>
              <w:rPr>
                <w:rFonts w:ascii="宋体" w:hAnsi="宋体" w:cs="宋体" w:eastAsia="宋体" w:hint="default"/>
                <w:sz w:val="18"/>
                <w:szCs w:val="18"/>
              </w:rPr>
              <w:t>2014</w:t>
            </w:r>
            <w:r>
              <w:rPr>
                <w:rFonts w:ascii="宋体" w:hAnsi="宋体" w:cs="宋体" w:eastAsia="宋体" w:hint="default"/>
                <w:spacing w:val="-65"/>
                <w:sz w:val="18"/>
                <w:szCs w:val="18"/>
              </w:rPr>
              <w:t> </w:t>
            </w:r>
            <w:r>
              <w:rPr>
                <w:rFonts w:ascii="宋体" w:hAnsi="宋体" w:cs="宋体" w:eastAsia="宋体" w:hint="default"/>
                <w:sz w:val="18"/>
                <w:szCs w:val="18"/>
              </w:rPr>
              <w:t>年第一次临时股东大会决议公 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20"/>
              <w:jc w:val="center"/>
              <w:rPr>
                <w:rFonts w:ascii="宋体" w:hAnsi="宋体" w:cs="宋体" w:eastAsia="宋体" w:hint="default"/>
                <w:sz w:val="18"/>
                <w:szCs w:val="18"/>
              </w:rPr>
            </w:pPr>
            <w:hyperlink r:id="rId9">
              <w:r>
                <w:rPr>
                  <w:rFonts w:ascii="宋体"/>
                  <w:sz w:val="18"/>
                </w:rPr>
                <w:t>http://www.sse.com.cn</w:t>
              </w:r>
            </w:hyperlink>
          </w:p>
        </w:tc>
      </w:tr>
      <w:tr>
        <w:trPr>
          <w:trHeight w:val="427"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华胜天成第五届董事会第一次会议决议公告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center"/>
              <w:rPr>
                <w:rFonts w:ascii="宋体" w:hAnsi="宋体" w:cs="宋体" w:eastAsia="宋体" w:hint="default"/>
                <w:sz w:val="18"/>
                <w:szCs w:val="18"/>
              </w:rPr>
            </w:pPr>
            <w:hyperlink r:id="rId9">
              <w:r>
                <w:rPr>
                  <w:rFonts w:ascii="宋体"/>
                  <w:sz w:val="18"/>
                </w:rPr>
                <w:t>http://www.sse.com.cn</w:t>
              </w:r>
            </w:hyperlink>
          </w:p>
        </w:tc>
      </w:tr>
      <w:tr>
        <w:trPr>
          <w:trHeight w:val="43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华胜天成第五届监事会第一次会议决议公告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center"/>
              <w:rPr>
                <w:rFonts w:ascii="宋体" w:hAnsi="宋体" w:cs="宋体" w:eastAsia="宋体" w:hint="default"/>
                <w:sz w:val="18"/>
                <w:szCs w:val="18"/>
              </w:rPr>
            </w:pPr>
            <w:hyperlink r:id="rId9">
              <w:r>
                <w:rPr>
                  <w:rFonts w:ascii="宋体"/>
                  <w:sz w:val="18"/>
                </w:rPr>
                <w:t>http://www.sse.com.cn</w:t>
              </w:r>
            </w:hyperlink>
          </w:p>
        </w:tc>
      </w:tr>
      <w:tr>
        <w:trPr>
          <w:trHeight w:val="42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华胜天成关于控股子公司对外投资的公告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center"/>
              <w:rPr>
                <w:rFonts w:ascii="宋体" w:hAnsi="宋体" w:cs="宋体" w:eastAsia="宋体" w:hint="default"/>
                <w:sz w:val="18"/>
                <w:szCs w:val="18"/>
              </w:rPr>
            </w:pPr>
            <w:hyperlink r:id="rId9">
              <w:r>
                <w:rPr>
                  <w:rFonts w:ascii="宋体"/>
                  <w:sz w:val="18"/>
                </w:rPr>
                <w:t>http://www.sse.com.cn</w:t>
              </w:r>
            </w:hyperlink>
          </w:p>
        </w:tc>
      </w:tr>
      <w:tr>
        <w:trPr>
          <w:trHeight w:val="716"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153"/>
              <w:jc w:val="left"/>
              <w:rPr>
                <w:rFonts w:ascii="宋体" w:hAnsi="宋体" w:cs="宋体" w:eastAsia="宋体" w:hint="default"/>
                <w:sz w:val="18"/>
                <w:szCs w:val="18"/>
              </w:rPr>
            </w:pPr>
            <w:r>
              <w:rPr>
                <w:rFonts w:ascii="宋体" w:hAnsi="宋体" w:cs="宋体" w:eastAsia="宋体" w:hint="default"/>
                <w:sz w:val="18"/>
                <w:szCs w:val="18"/>
              </w:rPr>
              <w:t>华胜天成关于对全资子公司增资暨对外投资 公告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center"/>
              <w:rPr>
                <w:rFonts w:ascii="宋体" w:hAnsi="宋体" w:cs="宋体" w:eastAsia="宋体" w:hint="default"/>
                <w:sz w:val="18"/>
                <w:szCs w:val="18"/>
              </w:rPr>
            </w:pPr>
            <w:hyperlink r:id="rId9">
              <w:r>
                <w:rPr>
                  <w:rFonts w:ascii="宋体"/>
                  <w:sz w:val="18"/>
                </w:rPr>
                <w:t>http://www.sse.com.cn</w:t>
              </w:r>
            </w:hyperlink>
          </w:p>
        </w:tc>
      </w:tr>
      <w:tr>
        <w:trPr>
          <w:trHeight w:val="28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华胜天成第五届董事会第二次会议决议公告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0"/>
              <w:jc w:val="center"/>
              <w:rPr>
                <w:rFonts w:ascii="宋体" w:hAnsi="宋体" w:cs="宋体" w:eastAsia="宋体" w:hint="default"/>
                <w:sz w:val="18"/>
                <w:szCs w:val="18"/>
              </w:rPr>
            </w:pPr>
            <w:hyperlink r:id="rId9">
              <w:r>
                <w:rPr>
                  <w:rFonts w:ascii="宋体"/>
                  <w:sz w:val="18"/>
                </w:rPr>
                <w:t>http://www.sse.com.cn</w:t>
              </w:r>
            </w:hyperlink>
          </w:p>
        </w:tc>
      </w:tr>
      <w:tr>
        <w:trPr>
          <w:trHeight w:val="24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华胜天成第五届监事会第二次会议决议公告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
              <w:jc w:val="center"/>
              <w:rPr>
                <w:rFonts w:ascii="宋体" w:hAnsi="宋体" w:cs="宋体" w:eastAsia="宋体" w:hint="default"/>
                <w:sz w:val="18"/>
                <w:szCs w:val="18"/>
              </w:rPr>
            </w:pPr>
            <w:hyperlink r:id="rId9">
              <w:r>
                <w:rPr>
                  <w:rFonts w:ascii="宋体"/>
                  <w:sz w:val="18"/>
                </w:rPr>
                <w:t>http://www.sse.com.cn</w:t>
              </w:r>
            </w:hyperlink>
          </w:p>
        </w:tc>
      </w:tr>
      <w:tr>
        <w:trPr>
          <w:trHeight w:val="337"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华胜天成关于为子公司提供担保的公告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center"/>
              <w:rPr>
                <w:rFonts w:ascii="宋体" w:hAnsi="宋体" w:cs="宋体" w:eastAsia="宋体" w:hint="default"/>
                <w:sz w:val="18"/>
                <w:szCs w:val="18"/>
              </w:rPr>
            </w:pPr>
            <w:hyperlink r:id="rId9">
              <w:r>
                <w:rPr>
                  <w:rFonts w:ascii="宋体"/>
                  <w:sz w:val="18"/>
                </w:rPr>
                <w:t>http://www.sse.com.cn</w:t>
              </w:r>
            </w:hyperlink>
          </w:p>
        </w:tc>
      </w:tr>
      <w:tr>
        <w:trPr>
          <w:trHeight w:val="286"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华胜天成关联交易公告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0"/>
              <w:jc w:val="center"/>
              <w:rPr>
                <w:rFonts w:ascii="宋体" w:hAnsi="宋体" w:cs="宋体" w:eastAsia="宋体" w:hint="default"/>
                <w:sz w:val="18"/>
                <w:szCs w:val="18"/>
              </w:rPr>
            </w:pPr>
            <w:hyperlink r:id="rId9">
              <w:r>
                <w:rPr>
                  <w:rFonts w:ascii="宋体"/>
                  <w:sz w:val="18"/>
                </w:rPr>
                <w:t>http://www.sse.com.cn</w:t>
              </w:r>
            </w:hyperlink>
          </w:p>
        </w:tc>
      </w:tr>
      <w:tr>
        <w:trPr>
          <w:trHeight w:val="389"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华胜天成关于召开</w:t>
            </w:r>
            <w:r>
              <w:rPr>
                <w:rFonts w:ascii="宋体" w:hAnsi="宋体" w:cs="宋体" w:eastAsia="宋体" w:hint="default"/>
                <w:spacing w:val="-65"/>
                <w:sz w:val="18"/>
                <w:szCs w:val="18"/>
              </w:rPr>
              <w:t> </w:t>
            </w:r>
            <w:r>
              <w:rPr>
                <w:rFonts w:ascii="宋体" w:hAnsi="宋体" w:cs="宋体" w:eastAsia="宋体" w:hint="default"/>
                <w:sz w:val="18"/>
                <w:szCs w:val="18"/>
              </w:rPr>
              <w:t>2014</w:t>
            </w:r>
            <w:r>
              <w:rPr>
                <w:rFonts w:ascii="宋体" w:hAnsi="宋体" w:cs="宋体" w:eastAsia="宋体" w:hint="default"/>
                <w:spacing w:val="-65"/>
                <w:sz w:val="18"/>
                <w:szCs w:val="18"/>
              </w:rPr>
              <w:t> </w:t>
            </w:r>
            <w:r>
              <w:rPr>
                <w:rFonts w:ascii="宋体" w:hAnsi="宋体" w:cs="宋体" w:eastAsia="宋体" w:hint="default"/>
                <w:sz w:val="18"/>
                <w:szCs w:val="18"/>
              </w:rPr>
              <w:t>年度股东大会的通知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center"/>
              <w:rPr>
                <w:rFonts w:ascii="宋体" w:hAnsi="宋体" w:cs="宋体" w:eastAsia="宋体" w:hint="default"/>
                <w:sz w:val="18"/>
                <w:szCs w:val="18"/>
              </w:rPr>
            </w:pPr>
            <w:hyperlink r:id="rId9">
              <w:r>
                <w:rPr>
                  <w:rFonts w:ascii="宋体"/>
                  <w:sz w:val="18"/>
                </w:rPr>
                <w:t>http://www.sse.com.cn</w:t>
              </w:r>
            </w:hyperlink>
          </w:p>
        </w:tc>
      </w:tr>
      <w:tr>
        <w:trPr>
          <w:trHeight w:val="28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华胜天成关于召开</w:t>
            </w:r>
            <w:r>
              <w:rPr>
                <w:rFonts w:ascii="宋体" w:hAnsi="宋体" w:cs="宋体" w:eastAsia="宋体" w:hint="default"/>
                <w:spacing w:val="-65"/>
                <w:sz w:val="18"/>
                <w:szCs w:val="18"/>
              </w:rPr>
              <w:t> </w:t>
            </w:r>
            <w:r>
              <w:rPr>
                <w:rFonts w:ascii="宋体" w:hAnsi="宋体" w:cs="宋体" w:eastAsia="宋体" w:hint="default"/>
                <w:sz w:val="18"/>
                <w:szCs w:val="18"/>
              </w:rPr>
              <w:t>2013</w:t>
            </w:r>
            <w:r>
              <w:rPr>
                <w:rFonts w:ascii="宋体" w:hAnsi="宋体" w:cs="宋体" w:eastAsia="宋体" w:hint="default"/>
                <w:spacing w:val="-65"/>
                <w:sz w:val="18"/>
                <w:szCs w:val="18"/>
              </w:rPr>
              <w:t> </w:t>
            </w:r>
            <w:r>
              <w:rPr>
                <w:rFonts w:ascii="宋体" w:hAnsi="宋体" w:cs="宋体" w:eastAsia="宋体" w:hint="default"/>
                <w:sz w:val="18"/>
                <w:szCs w:val="18"/>
              </w:rPr>
              <w:t>年度股东大会的通知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0"/>
              <w:jc w:val="center"/>
              <w:rPr>
                <w:rFonts w:ascii="宋体" w:hAnsi="宋体" w:cs="宋体" w:eastAsia="宋体" w:hint="default"/>
                <w:sz w:val="18"/>
                <w:szCs w:val="18"/>
              </w:rPr>
            </w:pPr>
            <w:hyperlink r:id="rId9">
              <w:r>
                <w:rPr>
                  <w:rFonts w:ascii="宋体"/>
                  <w:sz w:val="18"/>
                </w:rPr>
                <w:t>http://www.sse.com.cn</w:t>
              </w:r>
            </w:hyperlink>
          </w:p>
        </w:tc>
      </w:tr>
      <w:tr>
        <w:trPr>
          <w:trHeight w:val="54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7"/>
              <w:ind w:left="103" w:right="101"/>
              <w:jc w:val="left"/>
              <w:rPr>
                <w:rFonts w:ascii="宋体" w:hAnsi="宋体" w:cs="宋体" w:eastAsia="宋体" w:hint="default"/>
                <w:sz w:val="18"/>
                <w:szCs w:val="18"/>
              </w:rPr>
            </w:pPr>
            <w:r>
              <w:rPr>
                <w:rFonts w:ascii="宋体" w:hAnsi="宋体" w:cs="宋体" w:eastAsia="宋体" w:hint="default"/>
                <w:sz w:val="18"/>
                <w:szCs w:val="18"/>
              </w:rPr>
              <w:t>华胜天成关于召开</w:t>
            </w:r>
            <w:r>
              <w:rPr>
                <w:rFonts w:ascii="宋体" w:hAnsi="宋体" w:cs="宋体" w:eastAsia="宋体" w:hint="default"/>
                <w:spacing w:val="-65"/>
                <w:sz w:val="18"/>
                <w:szCs w:val="18"/>
              </w:rPr>
              <w:t> </w:t>
            </w:r>
            <w:r>
              <w:rPr>
                <w:rFonts w:ascii="宋体" w:hAnsi="宋体" w:cs="宋体" w:eastAsia="宋体" w:hint="default"/>
                <w:sz w:val="18"/>
                <w:szCs w:val="18"/>
              </w:rPr>
              <w:t>2013</w:t>
            </w:r>
            <w:r>
              <w:rPr>
                <w:rFonts w:ascii="宋体" w:hAnsi="宋体" w:cs="宋体" w:eastAsia="宋体" w:hint="default"/>
                <w:spacing w:val="-65"/>
                <w:sz w:val="18"/>
                <w:szCs w:val="18"/>
              </w:rPr>
              <w:t> </w:t>
            </w:r>
            <w:r>
              <w:rPr>
                <w:rFonts w:ascii="宋体" w:hAnsi="宋体" w:cs="宋体" w:eastAsia="宋体" w:hint="default"/>
                <w:sz w:val="18"/>
                <w:szCs w:val="18"/>
              </w:rPr>
              <w:t>年度股东大会通知的 补充更正公告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0"/>
              <w:jc w:val="center"/>
              <w:rPr>
                <w:rFonts w:ascii="宋体" w:hAnsi="宋体" w:cs="宋体" w:eastAsia="宋体" w:hint="default"/>
                <w:sz w:val="18"/>
                <w:szCs w:val="18"/>
              </w:rPr>
            </w:pPr>
            <w:hyperlink r:id="rId9">
              <w:r>
                <w:rPr>
                  <w:rFonts w:ascii="宋体"/>
                  <w:sz w:val="18"/>
                </w:rPr>
                <w:t>http://www.sse.com.cn</w:t>
              </w:r>
            </w:hyperlink>
          </w:p>
        </w:tc>
      </w:tr>
      <w:tr>
        <w:trPr>
          <w:trHeight w:val="32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华胜天成</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年第一季度业绩预增公告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center"/>
              <w:rPr>
                <w:rFonts w:ascii="宋体" w:hAnsi="宋体" w:cs="宋体" w:eastAsia="宋体" w:hint="default"/>
                <w:sz w:val="18"/>
                <w:szCs w:val="18"/>
              </w:rPr>
            </w:pPr>
            <w:hyperlink r:id="rId9">
              <w:r>
                <w:rPr>
                  <w:rFonts w:ascii="宋体"/>
                  <w:sz w:val="18"/>
                </w:rPr>
                <w:t>http://www.sse.com.cn</w:t>
              </w:r>
            </w:hyperlink>
          </w:p>
        </w:tc>
      </w:tr>
      <w:tr>
        <w:trPr>
          <w:trHeight w:val="285"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华胜天成</w:t>
            </w:r>
            <w:r>
              <w:rPr>
                <w:rFonts w:ascii="宋体" w:hAnsi="宋体" w:cs="宋体" w:eastAsia="宋体" w:hint="default"/>
                <w:spacing w:val="-65"/>
                <w:sz w:val="18"/>
                <w:szCs w:val="18"/>
              </w:rPr>
              <w:t> </w:t>
            </w:r>
            <w:r>
              <w:rPr>
                <w:rFonts w:ascii="宋体" w:hAnsi="宋体" w:cs="宋体" w:eastAsia="宋体" w:hint="default"/>
                <w:sz w:val="18"/>
                <w:szCs w:val="18"/>
              </w:rPr>
              <w:t>2014</w:t>
            </w:r>
            <w:r>
              <w:rPr>
                <w:rFonts w:ascii="宋体" w:hAnsi="宋体" w:cs="宋体" w:eastAsia="宋体" w:hint="default"/>
                <w:spacing w:val="-65"/>
                <w:sz w:val="18"/>
                <w:szCs w:val="18"/>
              </w:rPr>
              <w:t> </w:t>
            </w:r>
            <w:r>
              <w:rPr>
                <w:rFonts w:ascii="宋体" w:hAnsi="宋体" w:cs="宋体" w:eastAsia="宋体" w:hint="default"/>
                <w:sz w:val="18"/>
                <w:szCs w:val="18"/>
              </w:rPr>
              <w:t>年第二次临时董事会决议公告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0"/>
              <w:jc w:val="center"/>
              <w:rPr>
                <w:rFonts w:ascii="宋体" w:hAnsi="宋体" w:cs="宋体" w:eastAsia="宋体" w:hint="default"/>
                <w:sz w:val="18"/>
                <w:szCs w:val="18"/>
              </w:rPr>
            </w:pPr>
            <w:hyperlink r:id="rId9">
              <w:r>
                <w:rPr>
                  <w:rFonts w:ascii="宋体"/>
                  <w:sz w:val="18"/>
                </w:rPr>
                <w:t>http://www.sse.com.cn</w:t>
              </w:r>
            </w:hyperlink>
          </w:p>
        </w:tc>
      </w:tr>
      <w:tr>
        <w:trPr>
          <w:trHeight w:val="37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华胜天成对外投资的公告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center"/>
              <w:rPr>
                <w:rFonts w:ascii="宋体" w:hAnsi="宋体" w:cs="宋体" w:eastAsia="宋体" w:hint="default"/>
                <w:sz w:val="18"/>
                <w:szCs w:val="18"/>
              </w:rPr>
            </w:pPr>
            <w:hyperlink r:id="rId9">
              <w:r>
                <w:rPr>
                  <w:rFonts w:ascii="宋体"/>
                  <w:sz w:val="18"/>
                </w:rPr>
                <w:t>http://www.sse.com.cn</w:t>
              </w:r>
            </w:hyperlink>
          </w:p>
        </w:tc>
      </w:tr>
      <w:tr>
        <w:trPr>
          <w:trHeight w:val="295"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华胜天成</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年度股东大会决议公告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0"/>
              <w:jc w:val="center"/>
              <w:rPr>
                <w:rFonts w:ascii="宋体" w:hAnsi="宋体" w:cs="宋体" w:eastAsia="宋体" w:hint="default"/>
                <w:sz w:val="18"/>
                <w:szCs w:val="18"/>
              </w:rPr>
            </w:pPr>
            <w:hyperlink r:id="rId9">
              <w:r>
                <w:rPr>
                  <w:rFonts w:ascii="宋体"/>
                  <w:sz w:val="18"/>
                </w:rPr>
                <w:t>http://www.sse.com.cn</w:t>
              </w:r>
            </w:hyperlink>
          </w:p>
        </w:tc>
      </w:tr>
      <w:tr>
        <w:trPr>
          <w:trHeight w:val="400"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华胜天成</w:t>
            </w:r>
            <w:r>
              <w:rPr>
                <w:rFonts w:ascii="宋体" w:hAnsi="宋体" w:cs="宋体" w:eastAsia="宋体" w:hint="default"/>
                <w:spacing w:val="-65"/>
                <w:sz w:val="18"/>
                <w:szCs w:val="18"/>
              </w:rPr>
              <w:t> </w:t>
            </w:r>
            <w:r>
              <w:rPr>
                <w:rFonts w:ascii="宋体" w:hAnsi="宋体" w:cs="宋体" w:eastAsia="宋体" w:hint="default"/>
                <w:sz w:val="18"/>
                <w:szCs w:val="18"/>
              </w:rPr>
              <w:t>2012</w:t>
            </w:r>
            <w:r>
              <w:rPr>
                <w:rFonts w:ascii="宋体" w:hAnsi="宋体" w:cs="宋体" w:eastAsia="宋体" w:hint="default"/>
                <w:spacing w:val="-65"/>
                <w:sz w:val="18"/>
                <w:szCs w:val="18"/>
              </w:rPr>
              <w:t> </w:t>
            </w:r>
            <w:r>
              <w:rPr>
                <w:rFonts w:ascii="宋体" w:hAnsi="宋体" w:cs="宋体" w:eastAsia="宋体" w:hint="default"/>
                <w:sz w:val="18"/>
                <w:szCs w:val="18"/>
              </w:rPr>
              <w:t>年公司债券跟踪评级结果公告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0"/>
              <w:jc w:val="center"/>
              <w:rPr>
                <w:rFonts w:ascii="宋体" w:hAnsi="宋体" w:cs="宋体" w:eastAsia="宋体" w:hint="default"/>
                <w:sz w:val="18"/>
                <w:szCs w:val="18"/>
              </w:rPr>
            </w:pPr>
            <w:hyperlink r:id="rId9">
              <w:r>
                <w:rPr>
                  <w:rFonts w:ascii="宋体"/>
                  <w:sz w:val="18"/>
                </w:rPr>
                <w:t>http://www.sse.com.cn</w:t>
              </w:r>
            </w:hyperlink>
          </w:p>
        </w:tc>
      </w:tr>
    </w:tbl>
    <w:p>
      <w:pPr>
        <w:spacing w:after="0" w:line="240" w:lineRule="auto"/>
        <w:jc w:val="center"/>
        <w:rPr>
          <w:rFonts w:ascii="宋体" w:hAnsi="宋体" w:cs="宋体" w:eastAsia="宋体" w:hint="default"/>
          <w:sz w:val="18"/>
          <w:szCs w:val="18"/>
        </w:rPr>
        <w:sectPr>
          <w:pgSz w:w="11910" w:h="16840"/>
          <w:pgMar w:header="882" w:footer="1194" w:top="1080" w:bottom="1380" w:left="980" w:right="48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tbl>
      <w:tblPr>
        <w:tblW w:w="0" w:type="auto"/>
        <w:jc w:val="left"/>
        <w:tblInd w:w="103" w:type="dxa"/>
        <w:tblLayout w:type="fixed"/>
        <w:tblCellMar>
          <w:top w:w="0" w:type="dxa"/>
          <w:left w:w="0" w:type="dxa"/>
          <w:bottom w:w="0" w:type="dxa"/>
          <w:right w:w="0" w:type="dxa"/>
        </w:tblCellMar>
        <w:tblLook w:val="01E0"/>
      </w:tblPr>
      <w:tblGrid>
        <w:gridCol w:w="3687"/>
        <w:gridCol w:w="2693"/>
        <w:gridCol w:w="1702"/>
        <w:gridCol w:w="2126"/>
      </w:tblGrid>
      <w:tr>
        <w:trPr>
          <w:trHeight w:val="277"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华胜天成股票交易异常波动公告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2"/>
              <w:jc w:val="righ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89"/>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0"/>
              <w:jc w:val="center"/>
              <w:rPr>
                <w:rFonts w:ascii="宋体" w:hAnsi="宋体" w:cs="宋体" w:eastAsia="宋体" w:hint="default"/>
                <w:sz w:val="18"/>
                <w:szCs w:val="18"/>
              </w:rPr>
            </w:pPr>
            <w:hyperlink r:id="rId9">
              <w:r>
                <w:rPr>
                  <w:rFonts w:ascii="宋体"/>
                  <w:sz w:val="18"/>
                </w:rPr>
                <w:t>http://www.sse.com.cn</w:t>
              </w:r>
            </w:hyperlink>
          </w:p>
        </w:tc>
      </w:tr>
      <w:tr>
        <w:trPr>
          <w:trHeight w:val="52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
              <w:ind w:left="103" w:right="153"/>
              <w:jc w:val="left"/>
              <w:rPr>
                <w:rFonts w:ascii="宋体" w:hAnsi="宋体" w:cs="宋体" w:eastAsia="宋体" w:hint="default"/>
                <w:sz w:val="18"/>
                <w:szCs w:val="18"/>
              </w:rPr>
            </w:pPr>
            <w:r>
              <w:rPr>
                <w:rFonts w:ascii="宋体" w:hAnsi="宋体" w:cs="宋体" w:eastAsia="宋体" w:hint="default"/>
                <w:sz w:val="18"/>
                <w:szCs w:val="18"/>
              </w:rPr>
              <w:t>华胜天成关于注销已回购股权激励股份的公 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
              <w:jc w:val="righ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89"/>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center"/>
              <w:rPr>
                <w:rFonts w:ascii="宋体" w:hAnsi="宋体" w:cs="宋体" w:eastAsia="宋体" w:hint="default"/>
                <w:sz w:val="18"/>
                <w:szCs w:val="18"/>
              </w:rPr>
            </w:pPr>
            <w:hyperlink r:id="rId9">
              <w:r>
                <w:rPr>
                  <w:rFonts w:ascii="宋体"/>
                  <w:sz w:val="18"/>
                </w:rPr>
                <w:t>http://www.sse.com.cn</w:t>
              </w:r>
            </w:hyperlink>
          </w:p>
        </w:tc>
      </w:tr>
      <w:tr>
        <w:trPr>
          <w:trHeight w:val="426"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华胜天成</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年度利润分配实施公告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
              <w:jc w:val="righ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89"/>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center"/>
              <w:rPr>
                <w:rFonts w:ascii="宋体" w:hAnsi="宋体" w:cs="宋体" w:eastAsia="宋体" w:hint="default"/>
                <w:sz w:val="18"/>
                <w:szCs w:val="18"/>
              </w:rPr>
            </w:pPr>
            <w:hyperlink r:id="rId9">
              <w:r>
                <w:rPr>
                  <w:rFonts w:ascii="宋体"/>
                  <w:sz w:val="18"/>
                </w:rPr>
                <w:t>http://www.sse.com.cn</w:t>
              </w:r>
            </w:hyperlink>
          </w:p>
        </w:tc>
      </w:tr>
      <w:tr>
        <w:trPr>
          <w:trHeight w:val="290"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华胜天成第五届董事会第三次会议决议公告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2"/>
              <w:jc w:val="righ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89"/>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0"/>
              <w:jc w:val="center"/>
              <w:rPr>
                <w:rFonts w:ascii="宋体" w:hAnsi="宋体" w:cs="宋体" w:eastAsia="宋体" w:hint="default"/>
                <w:sz w:val="18"/>
                <w:szCs w:val="18"/>
              </w:rPr>
            </w:pPr>
            <w:hyperlink r:id="rId9">
              <w:r>
                <w:rPr>
                  <w:rFonts w:ascii="宋体"/>
                  <w:sz w:val="18"/>
                </w:rPr>
                <w:t>http://www.sse.com.cn</w:t>
              </w:r>
            </w:hyperlink>
          </w:p>
        </w:tc>
      </w:tr>
      <w:tr>
        <w:trPr>
          <w:trHeight w:val="380"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华胜天成第五届监事会第三次会议决议公告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2"/>
              <w:jc w:val="righ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89"/>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center"/>
              <w:rPr>
                <w:rFonts w:ascii="宋体" w:hAnsi="宋体" w:cs="宋体" w:eastAsia="宋体" w:hint="default"/>
                <w:sz w:val="18"/>
                <w:szCs w:val="18"/>
              </w:rPr>
            </w:pPr>
            <w:hyperlink r:id="rId9">
              <w:r>
                <w:rPr>
                  <w:rFonts w:ascii="宋体"/>
                  <w:sz w:val="18"/>
                </w:rPr>
                <w:t>http://www.sse.com.cn</w:t>
              </w:r>
            </w:hyperlink>
          </w:p>
        </w:tc>
      </w:tr>
      <w:tr>
        <w:trPr>
          <w:trHeight w:val="300"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华胜天成关于变更证券事务代表的公告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2"/>
              <w:jc w:val="righ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89"/>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0"/>
              <w:jc w:val="center"/>
              <w:rPr>
                <w:rFonts w:ascii="宋体" w:hAnsi="宋体" w:cs="宋体" w:eastAsia="宋体" w:hint="default"/>
                <w:sz w:val="18"/>
                <w:szCs w:val="18"/>
              </w:rPr>
            </w:pPr>
            <w:hyperlink r:id="rId9">
              <w:r>
                <w:rPr>
                  <w:rFonts w:ascii="宋体"/>
                  <w:sz w:val="18"/>
                </w:rPr>
                <w:t>http://www.sse.com.cn</w:t>
              </w:r>
            </w:hyperlink>
          </w:p>
        </w:tc>
      </w:tr>
      <w:tr>
        <w:trPr>
          <w:trHeight w:val="530"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103" w:right="153"/>
              <w:jc w:val="left"/>
              <w:rPr>
                <w:rFonts w:ascii="宋体" w:hAnsi="宋体" w:cs="宋体" w:eastAsia="宋体" w:hint="default"/>
                <w:sz w:val="18"/>
                <w:szCs w:val="18"/>
              </w:rPr>
            </w:pPr>
            <w:r>
              <w:rPr>
                <w:rFonts w:ascii="宋体" w:hAnsi="宋体" w:cs="宋体" w:eastAsia="宋体" w:hint="default"/>
                <w:sz w:val="18"/>
                <w:szCs w:val="18"/>
              </w:rPr>
              <w:t>华胜天成关于为下属控股子公司提供担保的 公告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2"/>
              <w:jc w:val="righ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89"/>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0"/>
              <w:jc w:val="center"/>
              <w:rPr>
                <w:rFonts w:ascii="宋体" w:hAnsi="宋体" w:cs="宋体" w:eastAsia="宋体" w:hint="default"/>
                <w:sz w:val="18"/>
                <w:szCs w:val="18"/>
              </w:rPr>
            </w:pPr>
            <w:hyperlink r:id="rId9">
              <w:r>
                <w:rPr>
                  <w:rFonts w:ascii="宋体"/>
                  <w:sz w:val="18"/>
                </w:rPr>
                <w:t>http://www.sse.com.cn</w:t>
              </w:r>
            </w:hyperlink>
          </w:p>
        </w:tc>
      </w:tr>
      <w:tr>
        <w:trPr>
          <w:trHeight w:val="478"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华胜天成关于公司募集资金存放与使用情况</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的专项报告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
              <w:jc w:val="righ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center"/>
              <w:rPr>
                <w:rFonts w:ascii="宋体" w:hAnsi="宋体" w:cs="宋体" w:eastAsia="宋体" w:hint="default"/>
                <w:sz w:val="18"/>
                <w:szCs w:val="18"/>
              </w:rPr>
            </w:pPr>
            <w:hyperlink r:id="rId9">
              <w:r>
                <w:rPr>
                  <w:rFonts w:ascii="宋体"/>
                  <w:sz w:val="18"/>
                </w:rPr>
                <w:t>http://www.sse.com.cn</w:t>
              </w:r>
            </w:hyperlink>
          </w:p>
        </w:tc>
      </w:tr>
      <w:tr>
        <w:trPr>
          <w:trHeight w:val="476"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华胜天成关于注销已回购股权激励股份的公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2"/>
              <w:jc w:val="righ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9"/>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center"/>
              <w:rPr>
                <w:rFonts w:ascii="宋体" w:hAnsi="宋体" w:cs="宋体" w:eastAsia="宋体" w:hint="default"/>
                <w:sz w:val="18"/>
                <w:szCs w:val="18"/>
              </w:rPr>
            </w:pPr>
            <w:hyperlink r:id="rId9">
              <w:r>
                <w:rPr>
                  <w:rFonts w:ascii="宋体"/>
                  <w:sz w:val="18"/>
                </w:rPr>
                <w:t>http://www.sse.com.cn</w:t>
              </w:r>
            </w:hyperlink>
          </w:p>
        </w:tc>
      </w:tr>
      <w:tr>
        <w:trPr>
          <w:trHeight w:val="346"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华胜天成风险提示公告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2"/>
              <w:jc w:val="righ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89"/>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center"/>
              <w:rPr>
                <w:rFonts w:ascii="宋体" w:hAnsi="宋体" w:cs="宋体" w:eastAsia="宋体" w:hint="default"/>
                <w:sz w:val="18"/>
                <w:szCs w:val="18"/>
              </w:rPr>
            </w:pPr>
            <w:hyperlink r:id="rId9">
              <w:r>
                <w:rPr>
                  <w:rFonts w:ascii="宋体"/>
                  <w:sz w:val="18"/>
                </w:rPr>
                <w:t>http://www.sse.com.cn</w:t>
              </w:r>
            </w:hyperlink>
          </w:p>
        </w:tc>
      </w:tr>
      <w:tr>
        <w:trPr>
          <w:trHeight w:val="420"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华胜天成</w:t>
            </w:r>
            <w:r>
              <w:rPr>
                <w:rFonts w:ascii="宋体" w:hAnsi="宋体" w:cs="宋体" w:eastAsia="宋体" w:hint="default"/>
                <w:spacing w:val="-65"/>
                <w:sz w:val="18"/>
                <w:szCs w:val="18"/>
              </w:rPr>
              <w:t> </w:t>
            </w:r>
            <w:r>
              <w:rPr>
                <w:rFonts w:ascii="宋体" w:hAnsi="宋体" w:cs="宋体" w:eastAsia="宋体" w:hint="default"/>
                <w:sz w:val="18"/>
                <w:szCs w:val="18"/>
              </w:rPr>
              <w:t>2014</w:t>
            </w:r>
            <w:r>
              <w:rPr>
                <w:rFonts w:ascii="宋体" w:hAnsi="宋体" w:cs="宋体" w:eastAsia="宋体" w:hint="default"/>
                <w:spacing w:val="-65"/>
                <w:sz w:val="18"/>
                <w:szCs w:val="18"/>
              </w:rPr>
              <w:t> </w:t>
            </w:r>
            <w:r>
              <w:rPr>
                <w:rFonts w:ascii="宋体" w:hAnsi="宋体" w:cs="宋体" w:eastAsia="宋体" w:hint="default"/>
                <w:sz w:val="18"/>
                <w:szCs w:val="18"/>
              </w:rPr>
              <w:t>年第三次临时董事会决议公告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center"/>
              <w:rPr>
                <w:rFonts w:ascii="宋体" w:hAnsi="宋体" w:cs="宋体" w:eastAsia="宋体" w:hint="default"/>
                <w:sz w:val="18"/>
                <w:szCs w:val="18"/>
              </w:rPr>
            </w:pPr>
            <w:hyperlink r:id="rId9">
              <w:r>
                <w:rPr>
                  <w:rFonts w:ascii="宋体"/>
                  <w:sz w:val="18"/>
                </w:rPr>
                <w:t>http://www.sse.com.cn</w:t>
              </w:r>
            </w:hyperlink>
          </w:p>
        </w:tc>
      </w:tr>
      <w:tr>
        <w:trPr>
          <w:trHeight w:val="24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华胜天成投资公告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center"/>
              <w:rPr>
                <w:rFonts w:ascii="宋体" w:hAnsi="宋体" w:cs="宋体" w:eastAsia="宋体" w:hint="default"/>
                <w:sz w:val="18"/>
                <w:szCs w:val="18"/>
              </w:rPr>
            </w:pPr>
            <w:hyperlink r:id="rId9">
              <w:r>
                <w:rPr>
                  <w:rFonts w:ascii="宋体"/>
                  <w:sz w:val="18"/>
                </w:rPr>
                <w:t>http://www.sse.com.cn</w:t>
              </w:r>
            </w:hyperlink>
          </w:p>
        </w:tc>
      </w:tr>
      <w:tr>
        <w:trPr>
          <w:trHeight w:val="478"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华胜天成关于召开</w:t>
            </w:r>
            <w:r>
              <w:rPr>
                <w:rFonts w:ascii="宋体" w:hAnsi="宋体" w:cs="宋体" w:eastAsia="宋体" w:hint="default"/>
                <w:spacing w:val="-65"/>
                <w:sz w:val="18"/>
                <w:szCs w:val="18"/>
              </w:rPr>
              <w:t> </w:t>
            </w:r>
            <w:r>
              <w:rPr>
                <w:rFonts w:ascii="宋体" w:hAnsi="宋体" w:cs="宋体" w:eastAsia="宋体" w:hint="default"/>
                <w:sz w:val="18"/>
                <w:szCs w:val="18"/>
              </w:rPr>
              <w:t>2014</w:t>
            </w:r>
            <w:r>
              <w:rPr>
                <w:rFonts w:ascii="宋体" w:hAnsi="宋体" w:cs="宋体" w:eastAsia="宋体" w:hint="default"/>
                <w:spacing w:val="-65"/>
                <w:sz w:val="18"/>
                <w:szCs w:val="18"/>
              </w:rPr>
              <w:t> </w:t>
            </w:r>
            <w:r>
              <w:rPr>
                <w:rFonts w:ascii="宋体" w:hAnsi="宋体" w:cs="宋体" w:eastAsia="宋体" w:hint="default"/>
                <w:sz w:val="18"/>
                <w:szCs w:val="18"/>
              </w:rPr>
              <w:t>年第二次临时股东大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会的通知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
              <w:jc w:val="righ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center"/>
              <w:rPr>
                <w:rFonts w:ascii="宋体" w:hAnsi="宋体" w:cs="宋体" w:eastAsia="宋体" w:hint="default"/>
                <w:sz w:val="18"/>
                <w:szCs w:val="18"/>
              </w:rPr>
            </w:pPr>
            <w:hyperlink r:id="rId9">
              <w:r>
                <w:rPr>
                  <w:rFonts w:ascii="宋体"/>
                  <w:sz w:val="18"/>
                </w:rPr>
                <w:t>http://www.sse.com.cn</w:t>
              </w:r>
            </w:hyperlink>
          </w:p>
        </w:tc>
      </w:tr>
      <w:tr>
        <w:trPr>
          <w:trHeight w:val="476"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华胜天成</w:t>
            </w:r>
            <w:r>
              <w:rPr>
                <w:rFonts w:ascii="宋体" w:hAnsi="宋体" w:cs="宋体" w:eastAsia="宋体" w:hint="default"/>
                <w:spacing w:val="-65"/>
                <w:sz w:val="18"/>
                <w:szCs w:val="18"/>
              </w:rPr>
              <w:t> </w:t>
            </w:r>
            <w:r>
              <w:rPr>
                <w:rFonts w:ascii="宋体" w:hAnsi="宋体" w:cs="宋体" w:eastAsia="宋体" w:hint="default"/>
                <w:sz w:val="18"/>
                <w:szCs w:val="18"/>
              </w:rPr>
              <w:t>2014</w:t>
            </w:r>
            <w:r>
              <w:rPr>
                <w:rFonts w:ascii="宋体" w:hAnsi="宋体" w:cs="宋体" w:eastAsia="宋体" w:hint="default"/>
                <w:spacing w:val="-65"/>
                <w:sz w:val="18"/>
                <w:szCs w:val="18"/>
              </w:rPr>
              <w:t> </w:t>
            </w:r>
            <w:r>
              <w:rPr>
                <w:rFonts w:ascii="宋体" w:hAnsi="宋体" w:cs="宋体" w:eastAsia="宋体" w:hint="default"/>
                <w:sz w:val="18"/>
                <w:szCs w:val="18"/>
              </w:rPr>
              <w:t>年第四次临时董事会会议决议</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2"/>
              <w:jc w:val="righ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center"/>
              <w:rPr>
                <w:rFonts w:ascii="宋体" w:hAnsi="宋体" w:cs="宋体" w:eastAsia="宋体" w:hint="default"/>
                <w:sz w:val="18"/>
                <w:szCs w:val="18"/>
              </w:rPr>
            </w:pPr>
            <w:hyperlink r:id="rId9">
              <w:r>
                <w:rPr>
                  <w:rFonts w:ascii="宋体"/>
                  <w:sz w:val="18"/>
                </w:rPr>
                <w:t>http://www.sse.com.cn</w:t>
              </w:r>
            </w:hyperlink>
          </w:p>
        </w:tc>
      </w:tr>
      <w:tr>
        <w:trPr>
          <w:trHeight w:val="478"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华胜天成</w:t>
            </w:r>
            <w:r>
              <w:rPr>
                <w:rFonts w:ascii="宋体" w:hAnsi="宋体" w:cs="宋体" w:eastAsia="宋体" w:hint="default"/>
                <w:spacing w:val="-65"/>
                <w:sz w:val="18"/>
                <w:szCs w:val="18"/>
              </w:rPr>
              <w:t> </w:t>
            </w:r>
            <w:r>
              <w:rPr>
                <w:rFonts w:ascii="宋体" w:hAnsi="宋体" w:cs="宋体" w:eastAsia="宋体" w:hint="default"/>
                <w:sz w:val="18"/>
                <w:szCs w:val="18"/>
              </w:rPr>
              <w:t>2014</w:t>
            </w:r>
            <w:r>
              <w:rPr>
                <w:rFonts w:ascii="宋体" w:hAnsi="宋体" w:cs="宋体" w:eastAsia="宋体" w:hint="default"/>
                <w:spacing w:val="-65"/>
                <w:sz w:val="18"/>
                <w:szCs w:val="18"/>
              </w:rPr>
              <w:t> </w:t>
            </w:r>
            <w:r>
              <w:rPr>
                <w:rFonts w:ascii="宋体" w:hAnsi="宋体" w:cs="宋体" w:eastAsia="宋体" w:hint="default"/>
                <w:sz w:val="18"/>
                <w:szCs w:val="18"/>
              </w:rPr>
              <w:t>年第三次临时监事会会议决议</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
              <w:jc w:val="righ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center"/>
              <w:rPr>
                <w:rFonts w:ascii="宋体" w:hAnsi="宋体" w:cs="宋体" w:eastAsia="宋体" w:hint="default"/>
                <w:sz w:val="18"/>
                <w:szCs w:val="18"/>
              </w:rPr>
            </w:pPr>
            <w:hyperlink r:id="rId9">
              <w:r>
                <w:rPr>
                  <w:rFonts w:ascii="宋体"/>
                  <w:sz w:val="18"/>
                </w:rPr>
                <w:t>http://www.sse.com.cn</w:t>
              </w:r>
            </w:hyperlink>
          </w:p>
        </w:tc>
      </w:tr>
      <w:tr>
        <w:trPr>
          <w:trHeight w:val="317"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华胜天成关于执行新会计准则的公告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2"/>
              <w:jc w:val="righ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center"/>
              <w:rPr>
                <w:rFonts w:ascii="宋体" w:hAnsi="宋体" w:cs="宋体" w:eastAsia="宋体" w:hint="default"/>
                <w:sz w:val="18"/>
                <w:szCs w:val="18"/>
              </w:rPr>
            </w:pPr>
            <w:hyperlink r:id="rId9">
              <w:r>
                <w:rPr>
                  <w:rFonts w:ascii="宋体"/>
                  <w:sz w:val="18"/>
                </w:rPr>
                <w:t>http://www.sse.com.cn</w:t>
              </w:r>
            </w:hyperlink>
          </w:p>
        </w:tc>
      </w:tr>
      <w:tr>
        <w:trPr>
          <w:trHeight w:val="477"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华胜天成</w:t>
            </w:r>
            <w:r>
              <w:rPr>
                <w:rFonts w:ascii="宋体" w:hAnsi="宋体" w:cs="宋体" w:eastAsia="宋体" w:hint="default"/>
                <w:spacing w:val="-65"/>
                <w:sz w:val="18"/>
                <w:szCs w:val="18"/>
              </w:rPr>
              <w:t> </w:t>
            </w:r>
            <w:r>
              <w:rPr>
                <w:rFonts w:ascii="宋体" w:hAnsi="宋体" w:cs="宋体" w:eastAsia="宋体" w:hint="default"/>
                <w:sz w:val="18"/>
                <w:szCs w:val="18"/>
              </w:rPr>
              <w:t>2014</w:t>
            </w:r>
            <w:r>
              <w:rPr>
                <w:rFonts w:ascii="宋体" w:hAnsi="宋体" w:cs="宋体" w:eastAsia="宋体" w:hint="default"/>
                <w:spacing w:val="-65"/>
                <w:sz w:val="18"/>
                <w:szCs w:val="18"/>
              </w:rPr>
              <w:t> </w:t>
            </w:r>
            <w:r>
              <w:rPr>
                <w:rFonts w:ascii="宋体" w:hAnsi="宋体" w:cs="宋体" w:eastAsia="宋体" w:hint="default"/>
                <w:sz w:val="18"/>
                <w:szCs w:val="18"/>
              </w:rPr>
              <w:t>年第二次临时股东大会决议公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2"/>
              <w:jc w:val="righ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89"/>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center"/>
              <w:rPr>
                <w:rFonts w:ascii="宋体" w:hAnsi="宋体" w:cs="宋体" w:eastAsia="宋体" w:hint="default"/>
                <w:sz w:val="18"/>
                <w:szCs w:val="18"/>
              </w:rPr>
            </w:pPr>
            <w:hyperlink r:id="rId9">
              <w:r>
                <w:rPr>
                  <w:rFonts w:ascii="宋体"/>
                  <w:sz w:val="18"/>
                </w:rPr>
                <w:t>http://www.sse.com.cn</w:t>
              </w:r>
            </w:hyperlink>
          </w:p>
        </w:tc>
      </w:tr>
      <w:tr>
        <w:trPr>
          <w:trHeight w:val="24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华胜天成重大事项停牌公告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2"/>
              <w:jc w:val="righ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89"/>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
              <w:jc w:val="center"/>
              <w:rPr>
                <w:rFonts w:ascii="宋体" w:hAnsi="宋体" w:cs="宋体" w:eastAsia="宋体" w:hint="default"/>
                <w:sz w:val="18"/>
                <w:szCs w:val="18"/>
              </w:rPr>
            </w:pPr>
            <w:hyperlink r:id="rId9">
              <w:r>
                <w:rPr>
                  <w:rFonts w:ascii="宋体"/>
                  <w:sz w:val="18"/>
                </w:rPr>
                <w:t>http://www.sse.com.cn</w:t>
              </w:r>
            </w:hyperlink>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华胜天成重大事项进展公告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2"/>
              <w:jc w:val="righ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center"/>
              <w:rPr>
                <w:rFonts w:ascii="宋体" w:hAnsi="宋体" w:cs="宋体" w:eastAsia="宋体" w:hint="default"/>
                <w:sz w:val="18"/>
                <w:szCs w:val="18"/>
              </w:rPr>
            </w:pPr>
            <w:hyperlink r:id="rId9">
              <w:r>
                <w:rPr>
                  <w:rFonts w:ascii="宋体"/>
                  <w:sz w:val="18"/>
                </w:rPr>
                <w:t>http://www.sse.com.cn</w:t>
              </w:r>
            </w:hyperlink>
          </w:p>
        </w:tc>
      </w:tr>
      <w:tr>
        <w:trPr>
          <w:trHeight w:val="28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华胜天成重大事项进展暨复牌公告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2"/>
              <w:jc w:val="righ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0"/>
              <w:jc w:val="center"/>
              <w:rPr>
                <w:rFonts w:ascii="宋体" w:hAnsi="宋体" w:cs="宋体" w:eastAsia="宋体" w:hint="default"/>
                <w:sz w:val="18"/>
                <w:szCs w:val="18"/>
              </w:rPr>
            </w:pPr>
            <w:hyperlink r:id="rId9">
              <w:r>
                <w:rPr>
                  <w:rFonts w:ascii="宋体"/>
                  <w:sz w:val="18"/>
                </w:rPr>
                <w:t>http://www.sse.com.cn</w:t>
              </w:r>
            </w:hyperlink>
          </w:p>
        </w:tc>
      </w:tr>
      <w:tr>
        <w:trPr>
          <w:trHeight w:val="246"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华胜天成签署软件许可协议的公告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2"/>
              <w:jc w:val="righ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
              <w:jc w:val="center"/>
              <w:rPr>
                <w:rFonts w:ascii="宋体" w:hAnsi="宋体" w:cs="宋体" w:eastAsia="宋体" w:hint="default"/>
                <w:sz w:val="18"/>
                <w:szCs w:val="18"/>
              </w:rPr>
            </w:pPr>
            <w:hyperlink r:id="rId9">
              <w:r>
                <w:rPr>
                  <w:rFonts w:ascii="宋体"/>
                  <w:sz w:val="18"/>
                </w:rPr>
                <w:t>http://www.sse.com.cn</w:t>
              </w:r>
            </w:hyperlink>
          </w:p>
        </w:tc>
      </w:tr>
      <w:tr>
        <w:trPr>
          <w:trHeight w:val="476"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华胜天成关于注销已回购股权激励股份的公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2"/>
              <w:jc w:val="righ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89"/>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center"/>
              <w:rPr>
                <w:rFonts w:ascii="宋体" w:hAnsi="宋体" w:cs="宋体" w:eastAsia="宋体" w:hint="default"/>
                <w:sz w:val="18"/>
                <w:szCs w:val="18"/>
              </w:rPr>
            </w:pPr>
            <w:hyperlink r:id="rId9">
              <w:r>
                <w:rPr>
                  <w:rFonts w:ascii="宋体"/>
                  <w:sz w:val="18"/>
                </w:rPr>
                <w:t>http://www.sse.com.cn</w:t>
              </w:r>
            </w:hyperlink>
          </w:p>
        </w:tc>
      </w:tr>
      <w:tr>
        <w:trPr>
          <w:trHeight w:val="475"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华胜天成股票交易异常波动公告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2"/>
              <w:jc w:val="righ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center"/>
              <w:rPr>
                <w:rFonts w:ascii="宋体" w:hAnsi="宋体" w:cs="宋体" w:eastAsia="宋体" w:hint="default"/>
                <w:sz w:val="18"/>
                <w:szCs w:val="18"/>
              </w:rPr>
            </w:pPr>
            <w:hyperlink r:id="rId9">
              <w:r>
                <w:rPr>
                  <w:rFonts w:ascii="宋体"/>
                  <w:sz w:val="18"/>
                </w:rPr>
                <w:t>http://www.sse.com.cn</w:t>
              </w:r>
            </w:hyperlink>
          </w:p>
        </w:tc>
      </w:tr>
    </w:tbl>
    <w:p>
      <w:pPr>
        <w:spacing w:after="0" w:line="240" w:lineRule="auto"/>
        <w:jc w:val="center"/>
        <w:rPr>
          <w:rFonts w:ascii="宋体" w:hAnsi="宋体" w:cs="宋体" w:eastAsia="宋体" w:hint="default"/>
          <w:sz w:val="18"/>
          <w:szCs w:val="18"/>
        </w:rPr>
        <w:sectPr>
          <w:pgSz w:w="11910" w:h="16840"/>
          <w:pgMar w:header="882" w:footer="1194" w:top="1080" w:bottom="1380" w:left="980" w:right="4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2"/>
          <w:szCs w:val="22"/>
        </w:rPr>
      </w:pPr>
    </w:p>
    <w:p>
      <w:pPr>
        <w:pStyle w:val="Heading1"/>
        <w:tabs>
          <w:tab w:pos="4459" w:val="left" w:leader="none"/>
        </w:tabs>
        <w:spacing w:line="240" w:lineRule="auto"/>
        <w:ind w:left="3199" w:right="0"/>
        <w:jc w:val="left"/>
        <w:rPr>
          <w:rFonts w:ascii="黑体" w:hAnsi="黑体" w:cs="黑体" w:eastAsia="黑体" w:hint="default"/>
          <w:b w:val="0"/>
          <w:bCs w:val="0"/>
        </w:rPr>
      </w:pPr>
      <w:bookmarkStart w:name="_TOC_250005" w:id="6"/>
      <w:r>
        <w:rPr>
          <w:rFonts w:ascii="黑体" w:hAnsi="黑体" w:cs="黑体" w:eastAsia="黑体" w:hint="default"/>
          <w:w w:val="95"/>
        </w:rPr>
        <w:t>第六节</w:t>
        <w:tab/>
      </w:r>
      <w:r>
        <w:rPr>
          <w:rFonts w:ascii="黑体" w:hAnsi="黑体" w:cs="黑体" w:eastAsia="黑体" w:hint="default"/>
        </w:rPr>
        <w:t>股份变动及股东情况</w:t>
      </w:r>
      <w:bookmarkEnd w:id="6"/>
      <w:r>
        <w:rPr>
          <w:rFonts w:ascii="黑体" w:hAnsi="黑体" w:cs="黑体" w:eastAsia="黑体" w:hint="default"/>
          <w:b w:val="0"/>
          <w:bCs w:val="0"/>
        </w:rPr>
      </w:r>
    </w:p>
    <w:p>
      <w:pPr>
        <w:spacing w:line="240" w:lineRule="auto" w:before="10"/>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82" w:footer="1194" w:top="1080" w:bottom="1380" w:left="1120" w:right="700"/>
        </w:sectPr>
      </w:pPr>
    </w:p>
    <w:p>
      <w:pPr>
        <w:pStyle w:val="Heading2"/>
        <w:spacing w:line="271" w:lineRule="auto"/>
        <w:ind w:left="678" w:right="0"/>
        <w:jc w:val="both"/>
        <w:rPr>
          <w:b w:val="0"/>
          <w:bCs w:val="0"/>
        </w:rPr>
      </w:pPr>
      <w:r>
        <w:rPr/>
        <w:t>一、</w:t>
      </w:r>
      <w:r>
        <w:rPr>
          <w:spacing w:val="111"/>
        </w:rPr>
        <w:t> </w:t>
      </w:r>
      <w:r>
        <w:rPr/>
        <w:t>股本变动情况</w:t>
      </w:r>
      <w:r>
        <w:rPr>
          <w:w w:val="99"/>
        </w:rPr>
        <w:t> </w:t>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7"/>
        </w:rPr>
        <w:t> </w:t>
      </w:r>
      <w:r>
        <w:rPr/>
        <w:t>股份变动情况表</w:t>
      </w:r>
      <w:r>
        <w:rPr>
          <w:w w:val="99"/>
        </w:rPr>
        <w:t> </w:t>
      </w:r>
      <w:r>
        <w:rPr>
          <w:rFonts w:ascii="Cambria" w:hAnsi="Cambria" w:cs="Cambria" w:eastAsia="Cambria" w:hint="default"/>
        </w:rPr>
        <w:t>1</w:t>
      </w:r>
      <w:r>
        <w:rPr/>
        <w:t>、</w:t>
      </w:r>
      <w:r>
        <w:rPr>
          <w:spacing w:val="-92"/>
        </w:rPr>
        <w:t> </w:t>
      </w:r>
      <w:r>
        <w:rPr/>
        <w:t>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7"/>
          <w:szCs w:val="27"/>
        </w:rPr>
      </w:pPr>
    </w:p>
    <w:p>
      <w:pPr>
        <w:spacing w:before="0"/>
        <w:ind w:left="677"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股</w:t>
      </w:r>
    </w:p>
    <w:p>
      <w:pPr>
        <w:spacing w:after="0"/>
        <w:jc w:val="left"/>
        <w:rPr>
          <w:rFonts w:ascii="宋体" w:hAnsi="宋体" w:cs="宋体" w:eastAsia="宋体" w:hint="default"/>
          <w:sz w:val="21"/>
          <w:szCs w:val="21"/>
        </w:rPr>
        <w:sectPr>
          <w:type w:val="continuous"/>
          <w:pgSz w:w="11910" w:h="16840"/>
          <w:pgMar w:top="1080" w:bottom="1380" w:left="1120" w:right="700"/>
          <w:cols w:num="2" w:equalWidth="0">
            <w:col w:w="2963" w:space="5031"/>
            <w:col w:w="209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916"/>
        <w:gridCol w:w="1206"/>
        <w:gridCol w:w="738"/>
        <w:gridCol w:w="614"/>
        <w:gridCol w:w="469"/>
        <w:gridCol w:w="686"/>
        <w:gridCol w:w="1116"/>
        <w:gridCol w:w="1116"/>
        <w:gridCol w:w="1206"/>
        <w:gridCol w:w="792"/>
      </w:tblGrid>
      <w:tr>
        <w:trPr>
          <w:trHeight w:val="248" w:hRule="exact"/>
        </w:trPr>
        <w:tc>
          <w:tcPr>
            <w:tcW w:w="1916" w:type="dxa"/>
            <w:vMerge w:val="restart"/>
            <w:tcBorders>
              <w:top w:val="single" w:sz="6" w:space="0" w:color="000000"/>
              <w:left w:val="single" w:sz="6" w:space="0" w:color="000000"/>
              <w:right w:val="single" w:sz="6" w:space="0" w:color="000000"/>
            </w:tcBorders>
          </w:tcPr>
          <w:p>
            <w:pPr/>
          </w:p>
        </w:tc>
        <w:tc>
          <w:tcPr>
            <w:tcW w:w="19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1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02" w:type="dxa"/>
            <w:gridSpan w:val="5"/>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98"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4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966" w:hRule="exact"/>
        </w:trPr>
        <w:tc>
          <w:tcPr>
            <w:tcW w:w="1916" w:type="dxa"/>
            <w:vMerge/>
            <w:tcBorders>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5" w:right="180" w:hanging="45"/>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0" w:right="119"/>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6" w:right="137"/>
              <w:jc w:val="left"/>
              <w:rPr>
                <w:rFonts w:ascii="宋体" w:hAnsi="宋体" w:cs="宋体" w:eastAsia="宋体" w:hint="default"/>
                <w:sz w:val="18"/>
                <w:szCs w:val="18"/>
              </w:rPr>
            </w:pPr>
            <w:r>
              <w:rPr>
                <w:rFonts w:ascii="宋体" w:hAnsi="宋体" w:cs="宋体" w:eastAsia="宋体" w:hint="default"/>
                <w:sz w:val="18"/>
                <w:szCs w:val="18"/>
              </w:rPr>
              <w:t>送 股</w:t>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98"/>
              <w:ind w:left="154" w:right="155"/>
              <w:jc w:val="both"/>
              <w:rPr>
                <w:rFonts w:ascii="宋体" w:hAnsi="宋体" w:cs="宋体" w:eastAsia="宋体" w:hint="default"/>
                <w:sz w:val="18"/>
                <w:szCs w:val="18"/>
              </w:rPr>
            </w:pPr>
            <w:r>
              <w:rPr>
                <w:rFonts w:ascii="宋体" w:hAnsi="宋体" w:cs="宋体" w:eastAsia="宋体" w:hint="default"/>
                <w:sz w:val="18"/>
                <w:szCs w:val="18"/>
              </w:rPr>
              <w:t>公积 金转 股</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53" w:right="206" w:hanging="45"/>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r>
      <w:tr>
        <w:trPr>
          <w:trHeight w:val="248" w:hRule="exact"/>
        </w:trPr>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8,588,572</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1.33</w:t>
            </w:r>
          </w:p>
        </w:tc>
        <w:tc>
          <w:tcPr>
            <w:tcW w:w="614" w:type="dxa"/>
            <w:tcBorders>
              <w:top w:val="single" w:sz="6" w:space="0" w:color="000000"/>
              <w:left w:val="single" w:sz="6" w:space="0" w:color="000000"/>
              <w:bottom w:val="single" w:sz="6" w:space="0" w:color="000000"/>
              <w:right w:val="single" w:sz="6" w:space="0" w:color="000000"/>
            </w:tcBorders>
          </w:tcPr>
          <w:p>
            <w:pPr/>
          </w:p>
        </w:tc>
        <w:tc>
          <w:tcPr>
            <w:tcW w:w="469" w:type="dxa"/>
            <w:tcBorders>
              <w:top w:val="single" w:sz="6" w:space="0" w:color="000000"/>
              <w:left w:val="single" w:sz="6" w:space="0" w:color="000000"/>
              <w:bottom w:val="single" w:sz="6" w:space="0" w:color="000000"/>
              <w:right w:val="single" w:sz="6" w:space="0" w:color="000000"/>
            </w:tcBorders>
          </w:tcPr>
          <w:p>
            <w:pPr/>
          </w:p>
        </w:tc>
        <w:tc>
          <w:tcPr>
            <w:tcW w:w="68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-4,710,183</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-4,710,183</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3,878,389</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0.60</w:t>
            </w:r>
          </w:p>
        </w:tc>
      </w:tr>
      <w:tr>
        <w:trPr>
          <w:trHeight w:val="274" w:hRule="exact"/>
        </w:trPr>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101"/>
              <w:jc w:val="right"/>
              <w:rPr>
                <w:rFonts w:ascii="宋体" w:hAnsi="宋体" w:cs="宋体" w:eastAsia="宋体" w:hint="default"/>
                <w:sz w:val="18"/>
                <w:szCs w:val="18"/>
              </w:rPr>
            </w:pPr>
            <w:r>
              <w:rPr>
                <w:rFonts w:ascii="宋体"/>
                <w:sz w:val="18"/>
              </w:rPr>
              <w:t>0</w:t>
            </w:r>
          </w:p>
        </w:tc>
        <w:tc>
          <w:tcPr>
            <w:tcW w:w="738"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469" w:type="dxa"/>
            <w:tcBorders>
              <w:top w:val="single" w:sz="6" w:space="0" w:color="000000"/>
              <w:left w:val="single" w:sz="6" w:space="0" w:color="000000"/>
              <w:bottom w:val="single" w:sz="6" w:space="0" w:color="000000"/>
              <w:right w:val="single" w:sz="6" w:space="0" w:color="000000"/>
            </w:tcBorders>
          </w:tcPr>
          <w:p>
            <w:pPr/>
          </w:p>
        </w:tc>
        <w:tc>
          <w:tcPr>
            <w:tcW w:w="68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z w:val="18"/>
              </w:rPr>
              <w:t>0</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z w:val="18"/>
              </w:rPr>
              <w:t>0.00</w:t>
            </w:r>
          </w:p>
        </w:tc>
      </w:tr>
      <w:tr>
        <w:trPr>
          <w:trHeight w:val="275" w:hRule="exact"/>
        </w:trPr>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101"/>
              <w:jc w:val="right"/>
              <w:rPr>
                <w:rFonts w:ascii="宋体" w:hAnsi="宋体" w:cs="宋体" w:eastAsia="宋体" w:hint="default"/>
                <w:sz w:val="18"/>
                <w:szCs w:val="18"/>
              </w:rPr>
            </w:pPr>
            <w:r>
              <w:rPr>
                <w:rFonts w:ascii="宋体"/>
                <w:sz w:val="18"/>
              </w:rPr>
              <w:t>0</w:t>
            </w:r>
          </w:p>
        </w:tc>
        <w:tc>
          <w:tcPr>
            <w:tcW w:w="738"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469" w:type="dxa"/>
            <w:tcBorders>
              <w:top w:val="single" w:sz="6" w:space="0" w:color="000000"/>
              <w:left w:val="single" w:sz="6" w:space="0" w:color="000000"/>
              <w:bottom w:val="single" w:sz="6" w:space="0" w:color="000000"/>
              <w:right w:val="single" w:sz="6" w:space="0" w:color="000000"/>
            </w:tcBorders>
          </w:tcPr>
          <w:p>
            <w:pPr/>
          </w:p>
        </w:tc>
        <w:tc>
          <w:tcPr>
            <w:tcW w:w="68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98"/>
              <w:jc w:val="right"/>
              <w:rPr>
                <w:rFonts w:ascii="宋体" w:hAnsi="宋体" w:cs="宋体" w:eastAsia="宋体" w:hint="default"/>
                <w:sz w:val="18"/>
                <w:szCs w:val="18"/>
              </w:rPr>
            </w:pPr>
            <w:r>
              <w:rPr>
                <w:rFonts w:ascii="宋体"/>
                <w:sz w:val="18"/>
              </w:rPr>
              <w:t>0</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98"/>
              <w:jc w:val="right"/>
              <w:rPr>
                <w:rFonts w:ascii="宋体" w:hAnsi="宋体" w:cs="宋体" w:eastAsia="宋体" w:hint="default"/>
                <w:sz w:val="18"/>
                <w:szCs w:val="18"/>
              </w:rPr>
            </w:pPr>
            <w:r>
              <w:rPr>
                <w:rFonts w:ascii="宋体"/>
                <w:sz w:val="18"/>
              </w:rPr>
              <w:t>0.00</w:t>
            </w:r>
          </w:p>
        </w:tc>
      </w:tr>
      <w:tr>
        <w:trPr>
          <w:trHeight w:val="248" w:hRule="exact"/>
        </w:trPr>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8,588,572</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1.33</w:t>
            </w:r>
          </w:p>
        </w:tc>
        <w:tc>
          <w:tcPr>
            <w:tcW w:w="614" w:type="dxa"/>
            <w:tcBorders>
              <w:top w:val="single" w:sz="6" w:space="0" w:color="000000"/>
              <w:left w:val="single" w:sz="6" w:space="0" w:color="000000"/>
              <w:bottom w:val="single" w:sz="6" w:space="0" w:color="000000"/>
              <w:right w:val="single" w:sz="6" w:space="0" w:color="000000"/>
            </w:tcBorders>
          </w:tcPr>
          <w:p>
            <w:pPr/>
          </w:p>
        </w:tc>
        <w:tc>
          <w:tcPr>
            <w:tcW w:w="469" w:type="dxa"/>
            <w:tcBorders>
              <w:top w:val="single" w:sz="6" w:space="0" w:color="000000"/>
              <w:left w:val="single" w:sz="6" w:space="0" w:color="000000"/>
              <w:bottom w:val="single" w:sz="6" w:space="0" w:color="000000"/>
              <w:right w:val="single" w:sz="6" w:space="0" w:color="000000"/>
            </w:tcBorders>
          </w:tcPr>
          <w:p>
            <w:pPr/>
          </w:p>
        </w:tc>
        <w:tc>
          <w:tcPr>
            <w:tcW w:w="68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-4,710,183</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-4,710,183</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3,878,389</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0.60</w:t>
            </w:r>
          </w:p>
        </w:tc>
      </w:tr>
      <w:tr>
        <w:trPr>
          <w:trHeight w:val="482" w:hRule="exact"/>
        </w:trPr>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其中：境内非国有法</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人持股</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614" w:type="dxa"/>
            <w:tcBorders>
              <w:top w:val="single" w:sz="6" w:space="0" w:color="000000"/>
              <w:left w:val="single" w:sz="6" w:space="0" w:color="000000"/>
              <w:bottom w:val="single" w:sz="6" w:space="0" w:color="000000"/>
              <w:right w:val="single" w:sz="6" w:space="0" w:color="000000"/>
            </w:tcBorders>
          </w:tcPr>
          <w:p>
            <w:pPr/>
          </w:p>
        </w:tc>
        <w:tc>
          <w:tcPr>
            <w:tcW w:w="469" w:type="dxa"/>
            <w:tcBorders>
              <w:top w:val="single" w:sz="6" w:space="0" w:color="000000"/>
              <w:left w:val="single" w:sz="6" w:space="0" w:color="000000"/>
              <w:bottom w:val="single" w:sz="6" w:space="0" w:color="000000"/>
              <w:right w:val="single" w:sz="6" w:space="0" w:color="000000"/>
            </w:tcBorders>
          </w:tcPr>
          <w:p>
            <w:pPr/>
          </w:p>
        </w:tc>
        <w:tc>
          <w:tcPr>
            <w:tcW w:w="68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0.00</w:t>
            </w:r>
          </w:p>
        </w:tc>
      </w:tr>
      <w:tr>
        <w:trPr>
          <w:trHeight w:val="248" w:hRule="exact"/>
        </w:trPr>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8,588,572</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1.33</w:t>
            </w:r>
          </w:p>
        </w:tc>
        <w:tc>
          <w:tcPr>
            <w:tcW w:w="614" w:type="dxa"/>
            <w:tcBorders>
              <w:top w:val="single" w:sz="6" w:space="0" w:color="000000"/>
              <w:left w:val="single" w:sz="6" w:space="0" w:color="000000"/>
              <w:bottom w:val="single" w:sz="6" w:space="0" w:color="000000"/>
              <w:right w:val="single" w:sz="6" w:space="0" w:color="000000"/>
            </w:tcBorders>
          </w:tcPr>
          <w:p>
            <w:pPr/>
          </w:p>
        </w:tc>
        <w:tc>
          <w:tcPr>
            <w:tcW w:w="469" w:type="dxa"/>
            <w:tcBorders>
              <w:top w:val="single" w:sz="6" w:space="0" w:color="000000"/>
              <w:left w:val="single" w:sz="6" w:space="0" w:color="000000"/>
              <w:bottom w:val="single" w:sz="6" w:space="0" w:color="000000"/>
              <w:right w:val="single" w:sz="6" w:space="0" w:color="000000"/>
            </w:tcBorders>
          </w:tcPr>
          <w:p>
            <w:pPr/>
          </w:p>
        </w:tc>
        <w:tc>
          <w:tcPr>
            <w:tcW w:w="68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-4,710,183</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-4,710,183</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3,878,389</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0.60</w:t>
            </w:r>
          </w:p>
        </w:tc>
      </w:tr>
      <w:tr>
        <w:trPr>
          <w:trHeight w:val="274" w:hRule="exact"/>
        </w:trPr>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４、外资持股</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101"/>
              <w:jc w:val="right"/>
              <w:rPr>
                <w:rFonts w:ascii="宋体" w:hAnsi="宋体" w:cs="宋体" w:eastAsia="宋体" w:hint="default"/>
                <w:sz w:val="18"/>
                <w:szCs w:val="18"/>
              </w:rPr>
            </w:pPr>
            <w:r>
              <w:rPr>
                <w:rFonts w:ascii="宋体"/>
                <w:sz w:val="18"/>
              </w:rPr>
              <w:t>0</w:t>
            </w:r>
          </w:p>
        </w:tc>
        <w:tc>
          <w:tcPr>
            <w:tcW w:w="738"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469" w:type="dxa"/>
            <w:tcBorders>
              <w:top w:val="single" w:sz="6" w:space="0" w:color="000000"/>
              <w:left w:val="single" w:sz="6" w:space="0" w:color="000000"/>
              <w:bottom w:val="single" w:sz="6" w:space="0" w:color="000000"/>
              <w:right w:val="single" w:sz="6" w:space="0" w:color="000000"/>
            </w:tcBorders>
          </w:tcPr>
          <w:p>
            <w:pPr/>
          </w:p>
        </w:tc>
        <w:tc>
          <w:tcPr>
            <w:tcW w:w="68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z w:val="18"/>
              </w:rPr>
              <w:t>0</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z w:val="18"/>
              </w:rPr>
              <w:t>0.00</w:t>
            </w:r>
          </w:p>
        </w:tc>
      </w:tr>
      <w:tr>
        <w:trPr>
          <w:trHeight w:val="275" w:hRule="exact"/>
        </w:trPr>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101"/>
              <w:jc w:val="right"/>
              <w:rPr>
                <w:rFonts w:ascii="宋体" w:hAnsi="宋体" w:cs="宋体" w:eastAsia="宋体" w:hint="default"/>
                <w:sz w:val="18"/>
                <w:szCs w:val="18"/>
              </w:rPr>
            </w:pPr>
            <w:r>
              <w:rPr>
                <w:rFonts w:ascii="宋体"/>
                <w:sz w:val="18"/>
              </w:rPr>
              <w:t>0</w:t>
            </w:r>
          </w:p>
        </w:tc>
        <w:tc>
          <w:tcPr>
            <w:tcW w:w="738"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469" w:type="dxa"/>
            <w:tcBorders>
              <w:top w:val="single" w:sz="6" w:space="0" w:color="000000"/>
              <w:left w:val="single" w:sz="6" w:space="0" w:color="000000"/>
              <w:bottom w:val="single" w:sz="6" w:space="0" w:color="000000"/>
              <w:right w:val="single" w:sz="6" w:space="0" w:color="000000"/>
            </w:tcBorders>
          </w:tcPr>
          <w:p>
            <w:pPr/>
          </w:p>
        </w:tc>
        <w:tc>
          <w:tcPr>
            <w:tcW w:w="68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98"/>
              <w:jc w:val="right"/>
              <w:rPr>
                <w:rFonts w:ascii="宋体" w:hAnsi="宋体" w:cs="宋体" w:eastAsia="宋体" w:hint="default"/>
                <w:sz w:val="18"/>
                <w:szCs w:val="18"/>
              </w:rPr>
            </w:pPr>
            <w:r>
              <w:rPr>
                <w:rFonts w:ascii="宋体"/>
                <w:sz w:val="18"/>
              </w:rPr>
              <w:t>0</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98"/>
              <w:jc w:val="right"/>
              <w:rPr>
                <w:rFonts w:ascii="宋体" w:hAnsi="宋体" w:cs="宋体" w:eastAsia="宋体" w:hint="default"/>
                <w:sz w:val="18"/>
                <w:szCs w:val="18"/>
              </w:rPr>
            </w:pPr>
            <w:r>
              <w:rPr>
                <w:rFonts w:ascii="宋体"/>
                <w:sz w:val="18"/>
              </w:rPr>
              <w:t>0.00</w:t>
            </w:r>
          </w:p>
        </w:tc>
      </w:tr>
      <w:tr>
        <w:trPr>
          <w:trHeight w:val="275" w:hRule="exact"/>
        </w:trPr>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80"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101"/>
              <w:jc w:val="right"/>
              <w:rPr>
                <w:rFonts w:ascii="宋体" w:hAnsi="宋体" w:cs="宋体" w:eastAsia="宋体" w:hint="default"/>
                <w:sz w:val="18"/>
                <w:szCs w:val="18"/>
              </w:rPr>
            </w:pPr>
            <w:r>
              <w:rPr>
                <w:rFonts w:ascii="宋体"/>
                <w:sz w:val="18"/>
              </w:rPr>
              <w:t>0</w:t>
            </w:r>
          </w:p>
        </w:tc>
        <w:tc>
          <w:tcPr>
            <w:tcW w:w="738"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469" w:type="dxa"/>
            <w:tcBorders>
              <w:top w:val="single" w:sz="6" w:space="0" w:color="000000"/>
              <w:left w:val="single" w:sz="6" w:space="0" w:color="000000"/>
              <w:bottom w:val="single" w:sz="6" w:space="0" w:color="000000"/>
              <w:right w:val="single" w:sz="6" w:space="0" w:color="000000"/>
            </w:tcBorders>
          </w:tcPr>
          <w:p>
            <w:pPr/>
          </w:p>
        </w:tc>
        <w:tc>
          <w:tcPr>
            <w:tcW w:w="68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z w:val="18"/>
              </w:rPr>
              <w:t>0</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z w:val="18"/>
              </w:rPr>
              <w:t>0.00</w:t>
            </w:r>
          </w:p>
        </w:tc>
      </w:tr>
      <w:tr>
        <w:trPr>
          <w:trHeight w:val="481" w:hRule="exact"/>
        </w:trPr>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二、无限售条件流通</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股份</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637,445,496</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18"/>
                <w:szCs w:val="18"/>
              </w:rPr>
            </w:pPr>
            <w:r>
              <w:rPr>
                <w:rFonts w:ascii="宋体"/>
                <w:sz w:val="18"/>
              </w:rPr>
              <w:t>98.67</w:t>
            </w:r>
          </w:p>
        </w:tc>
        <w:tc>
          <w:tcPr>
            <w:tcW w:w="614" w:type="dxa"/>
            <w:tcBorders>
              <w:top w:val="single" w:sz="6" w:space="0" w:color="000000"/>
              <w:left w:val="single" w:sz="6" w:space="0" w:color="000000"/>
              <w:bottom w:val="single" w:sz="6" w:space="0" w:color="000000"/>
              <w:right w:val="single" w:sz="6" w:space="0" w:color="000000"/>
            </w:tcBorders>
          </w:tcPr>
          <w:p>
            <w:pPr/>
          </w:p>
        </w:tc>
        <w:tc>
          <w:tcPr>
            <w:tcW w:w="469" w:type="dxa"/>
            <w:tcBorders>
              <w:top w:val="single" w:sz="6" w:space="0" w:color="000000"/>
              <w:left w:val="single" w:sz="6" w:space="0" w:color="000000"/>
              <w:bottom w:val="single" w:sz="6" w:space="0" w:color="000000"/>
              <w:right w:val="single" w:sz="6" w:space="0" w:color="000000"/>
            </w:tcBorders>
          </w:tcPr>
          <w:p>
            <w:pPr/>
          </w:p>
        </w:tc>
        <w:tc>
          <w:tcPr>
            <w:tcW w:w="68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637,445,496</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99.40</w:t>
            </w:r>
          </w:p>
        </w:tc>
      </w:tr>
      <w:tr>
        <w:trPr>
          <w:trHeight w:val="275" w:hRule="exact"/>
        </w:trPr>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101"/>
              <w:jc w:val="right"/>
              <w:rPr>
                <w:rFonts w:ascii="宋体" w:hAnsi="宋体" w:cs="宋体" w:eastAsia="宋体" w:hint="default"/>
                <w:sz w:val="18"/>
                <w:szCs w:val="18"/>
              </w:rPr>
            </w:pPr>
            <w:r>
              <w:rPr>
                <w:rFonts w:ascii="宋体"/>
                <w:sz w:val="18"/>
              </w:rPr>
              <w:t>637,445,496</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99"/>
              <w:jc w:val="right"/>
              <w:rPr>
                <w:rFonts w:ascii="宋体" w:hAnsi="宋体" w:cs="宋体" w:eastAsia="宋体" w:hint="default"/>
                <w:sz w:val="18"/>
                <w:szCs w:val="18"/>
              </w:rPr>
            </w:pPr>
            <w:r>
              <w:rPr>
                <w:rFonts w:ascii="宋体"/>
                <w:sz w:val="18"/>
              </w:rPr>
              <w:t>98.67</w:t>
            </w:r>
          </w:p>
        </w:tc>
        <w:tc>
          <w:tcPr>
            <w:tcW w:w="614" w:type="dxa"/>
            <w:tcBorders>
              <w:top w:val="single" w:sz="6" w:space="0" w:color="000000"/>
              <w:left w:val="single" w:sz="6" w:space="0" w:color="000000"/>
              <w:bottom w:val="single" w:sz="6" w:space="0" w:color="000000"/>
              <w:right w:val="single" w:sz="6" w:space="0" w:color="000000"/>
            </w:tcBorders>
          </w:tcPr>
          <w:p>
            <w:pPr/>
          </w:p>
        </w:tc>
        <w:tc>
          <w:tcPr>
            <w:tcW w:w="469" w:type="dxa"/>
            <w:tcBorders>
              <w:top w:val="single" w:sz="6" w:space="0" w:color="000000"/>
              <w:left w:val="single" w:sz="6" w:space="0" w:color="000000"/>
              <w:bottom w:val="single" w:sz="6" w:space="0" w:color="000000"/>
              <w:right w:val="single" w:sz="6" w:space="0" w:color="000000"/>
            </w:tcBorders>
          </w:tcPr>
          <w:p>
            <w:pPr/>
          </w:p>
        </w:tc>
        <w:tc>
          <w:tcPr>
            <w:tcW w:w="68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98"/>
              <w:jc w:val="right"/>
              <w:rPr>
                <w:rFonts w:ascii="宋体" w:hAnsi="宋体" w:cs="宋体" w:eastAsia="宋体" w:hint="default"/>
                <w:sz w:val="18"/>
                <w:szCs w:val="18"/>
              </w:rPr>
            </w:pPr>
            <w:r>
              <w:rPr>
                <w:rFonts w:ascii="宋体"/>
                <w:sz w:val="18"/>
              </w:rPr>
              <w:t>637,445,496</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98"/>
              <w:jc w:val="right"/>
              <w:rPr>
                <w:rFonts w:ascii="宋体" w:hAnsi="宋体" w:cs="宋体" w:eastAsia="宋体" w:hint="default"/>
                <w:sz w:val="18"/>
                <w:szCs w:val="18"/>
              </w:rPr>
            </w:pPr>
            <w:r>
              <w:rPr>
                <w:rFonts w:ascii="宋体"/>
                <w:sz w:val="18"/>
              </w:rPr>
              <w:t>99.40</w:t>
            </w:r>
          </w:p>
        </w:tc>
      </w:tr>
      <w:tr>
        <w:trPr>
          <w:trHeight w:val="275" w:hRule="exact"/>
        </w:trPr>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、境内上市的外资股</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101"/>
              <w:jc w:val="right"/>
              <w:rPr>
                <w:rFonts w:ascii="宋体" w:hAnsi="宋体" w:cs="宋体" w:eastAsia="宋体" w:hint="default"/>
                <w:sz w:val="18"/>
                <w:szCs w:val="18"/>
              </w:rPr>
            </w:pPr>
            <w:r>
              <w:rPr>
                <w:rFonts w:ascii="宋体"/>
                <w:sz w:val="18"/>
              </w:rPr>
              <w:t>0</w:t>
            </w:r>
          </w:p>
        </w:tc>
        <w:tc>
          <w:tcPr>
            <w:tcW w:w="738"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469" w:type="dxa"/>
            <w:tcBorders>
              <w:top w:val="single" w:sz="6" w:space="0" w:color="000000"/>
              <w:left w:val="single" w:sz="6" w:space="0" w:color="000000"/>
              <w:bottom w:val="single" w:sz="6" w:space="0" w:color="000000"/>
              <w:right w:val="single" w:sz="6" w:space="0" w:color="000000"/>
            </w:tcBorders>
          </w:tcPr>
          <w:p>
            <w:pPr/>
          </w:p>
        </w:tc>
        <w:tc>
          <w:tcPr>
            <w:tcW w:w="68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z w:val="18"/>
              </w:rPr>
              <w:t>0</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z w:val="18"/>
              </w:rPr>
              <w:t>0.00</w:t>
            </w:r>
          </w:p>
        </w:tc>
      </w:tr>
      <w:tr>
        <w:trPr>
          <w:trHeight w:val="274" w:hRule="exact"/>
        </w:trPr>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、境外上市的外资股</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101"/>
              <w:jc w:val="right"/>
              <w:rPr>
                <w:rFonts w:ascii="宋体" w:hAnsi="宋体" w:cs="宋体" w:eastAsia="宋体" w:hint="default"/>
                <w:sz w:val="18"/>
                <w:szCs w:val="18"/>
              </w:rPr>
            </w:pPr>
            <w:r>
              <w:rPr>
                <w:rFonts w:ascii="宋体"/>
                <w:sz w:val="18"/>
              </w:rPr>
              <w:t>0</w:t>
            </w:r>
          </w:p>
        </w:tc>
        <w:tc>
          <w:tcPr>
            <w:tcW w:w="738"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469" w:type="dxa"/>
            <w:tcBorders>
              <w:top w:val="single" w:sz="6" w:space="0" w:color="000000"/>
              <w:left w:val="single" w:sz="6" w:space="0" w:color="000000"/>
              <w:bottom w:val="single" w:sz="6" w:space="0" w:color="000000"/>
              <w:right w:val="single" w:sz="6" w:space="0" w:color="000000"/>
            </w:tcBorders>
          </w:tcPr>
          <w:p>
            <w:pPr/>
          </w:p>
        </w:tc>
        <w:tc>
          <w:tcPr>
            <w:tcW w:w="68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z w:val="18"/>
              </w:rPr>
              <w:t>0</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z w:val="18"/>
              </w:rPr>
              <w:t>0.00</w:t>
            </w:r>
          </w:p>
        </w:tc>
      </w:tr>
      <w:tr>
        <w:trPr>
          <w:trHeight w:val="275" w:hRule="exact"/>
        </w:trPr>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101"/>
              <w:jc w:val="right"/>
              <w:rPr>
                <w:rFonts w:ascii="宋体" w:hAnsi="宋体" w:cs="宋体" w:eastAsia="宋体" w:hint="default"/>
                <w:sz w:val="18"/>
                <w:szCs w:val="18"/>
              </w:rPr>
            </w:pPr>
            <w:r>
              <w:rPr>
                <w:rFonts w:ascii="宋体"/>
                <w:sz w:val="18"/>
              </w:rPr>
              <w:t>0</w:t>
            </w:r>
          </w:p>
        </w:tc>
        <w:tc>
          <w:tcPr>
            <w:tcW w:w="738"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469" w:type="dxa"/>
            <w:tcBorders>
              <w:top w:val="single" w:sz="6" w:space="0" w:color="000000"/>
              <w:left w:val="single" w:sz="6" w:space="0" w:color="000000"/>
              <w:bottom w:val="single" w:sz="6" w:space="0" w:color="000000"/>
              <w:right w:val="single" w:sz="6" w:space="0" w:color="000000"/>
            </w:tcBorders>
          </w:tcPr>
          <w:p>
            <w:pPr/>
          </w:p>
        </w:tc>
        <w:tc>
          <w:tcPr>
            <w:tcW w:w="68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z w:val="18"/>
              </w:rPr>
              <w:t>0</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z w:val="18"/>
              </w:rPr>
              <w:t>0.00</w:t>
            </w:r>
          </w:p>
        </w:tc>
      </w:tr>
      <w:tr>
        <w:trPr>
          <w:trHeight w:val="248" w:hRule="exact"/>
        </w:trPr>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646,034,068</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100</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0</w:t>
            </w:r>
          </w:p>
        </w:tc>
        <w:tc>
          <w:tcPr>
            <w:tcW w:w="4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63" w:right="0"/>
              <w:jc w:val="left"/>
              <w:rPr>
                <w:rFonts w:ascii="宋体" w:hAnsi="宋体" w:cs="宋体" w:eastAsia="宋体" w:hint="default"/>
                <w:sz w:val="18"/>
                <w:szCs w:val="18"/>
              </w:rPr>
            </w:pPr>
            <w:r>
              <w:rPr>
                <w:rFonts w:ascii="宋体"/>
                <w:sz w:val="18"/>
              </w:rPr>
              <w:t>0</w:t>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-4,710,183</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-4,710,183</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641,323,885</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100.00</w:t>
            </w:r>
          </w:p>
        </w:tc>
      </w:tr>
    </w:tbl>
    <w:p>
      <w:pPr>
        <w:spacing w:line="240" w:lineRule="auto" w:before="6"/>
        <w:rPr>
          <w:rFonts w:ascii="宋体" w:hAnsi="宋体" w:cs="宋体" w:eastAsia="宋体" w:hint="default"/>
          <w:sz w:val="20"/>
          <w:szCs w:val="20"/>
        </w:rPr>
      </w:pPr>
    </w:p>
    <w:p>
      <w:pPr>
        <w:pStyle w:val="Heading2"/>
        <w:spacing w:line="240" w:lineRule="auto"/>
        <w:ind w:left="678" w:right="0"/>
        <w:jc w:val="both"/>
        <w:rPr>
          <w:b w:val="0"/>
          <w:bCs w:val="0"/>
        </w:rPr>
      </w:pPr>
      <w:r>
        <w:rPr>
          <w:rFonts w:ascii="Cambria" w:hAnsi="Cambria" w:cs="Cambria" w:eastAsia="Cambria" w:hint="default"/>
        </w:rPr>
        <w:t>2</w:t>
      </w:r>
      <w:r>
        <w:rPr/>
        <w:t>、</w:t>
      </w:r>
      <w:r>
        <w:rPr>
          <w:spacing w:val="-93"/>
        </w:rPr>
        <w:t> </w:t>
      </w:r>
      <w:r>
        <w:rPr/>
        <w:t>股份变动情况说明</w:t>
      </w:r>
      <w:r>
        <w:rPr>
          <w:b w:val="0"/>
          <w:bCs w:val="0"/>
        </w:rPr>
      </w:r>
    </w:p>
    <w:p>
      <w:pPr>
        <w:pStyle w:val="BodyText"/>
        <w:spacing w:line="310" w:lineRule="exact" w:before="130"/>
        <w:ind w:left="678" w:right="573"/>
        <w:jc w:val="both"/>
      </w:pPr>
      <w:r>
        <w:rPr/>
        <w:t>（</w:t>
      </w:r>
      <w:r>
        <w:rPr>
          <w:rFonts w:ascii="宋体" w:hAnsi="宋体" w:cs="宋体" w:eastAsia="宋体" w:hint="default"/>
        </w:rPr>
        <w:t>1</w:t>
      </w:r>
      <w:r>
        <w:rPr/>
        <w:t>）北京华胜天成科技股份有限公司原股权激励对象傅浩等</w:t>
      </w:r>
      <w:r>
        <w:rPr>
          <w:spacing w:val="-60"/>
        </w:rPr>
        <w:t> </w:t>
      </w:r>
      <w:r>
        <w:rPr>
          <w:rFonts w:ascii="宋体" w:hAnsi="宋体" w:cs="宋体" w:eastAsia="宋体" w:hint="default"/>
        </w:rPr>
        <w:t>6</w:t>
      </w:r>
      <w:r>
        <w:rPr>
          <w:rFonts w:ascii="宋体" w:hAnsi="宋体" w:cs="宋体" w:eastAsia="宋体" w:hint="default"/>
          <w:spacing w:val="-60"/>
        </w:rPr>
        <w:t> </w:t>
      </w:r>
      <w:r>
        <w:rPr/>
        <w:t>人发生了《北京华胜 </w:t>
      </w:r>
      <w:r>
        <w:rPr>
          <w:spacing w:val="-2"/>
        </w:rPr>
        <w:t>天成科技股份有限公司首期股权激励计划（草案修订稿）》中规定的变更和终止的情</w:t>
      </w:r>
      <w:r>
        <w:rPr>
          <w:spacing w:val="-94"/>
        </w:rPr>
        <w:t> </w:t>
      </w:r>
      <w:r>
        <w:rPr>
          <w:spacing w:val="-94"/>
        </w:rPr>
      </w:r>
      <w:r>
        <w:rPr/>
        <w:t>形，根据股东大会授权，公司董事会决定回购并注销此</w:t>
      </w:r>
      <w:r>
        <w:rPr>
          <w:spacing w:val="-60"/>
        </w:rPr>
        <w:t> </w:t>
      </w:r>
      <w:r>
        <w:rPr>
          <w:rFonts w:ascii="宋体" w:hAnsi="宋体" w:cs="宋体" w:eastAsia="宋体" w:hint="default"/>
        </w:rPr>
        <w:t>6</w:t>
      </w:r>
      <w:r>
        <w:rPr>
          <w:rFonts w:ascii="宋体" w:hAnsi="宋体" w:cs="宋体" w:eastAsia="宋体" w:hint="default"/>
          <w:spacing w:val="-60"/>
        </w:rPr>
        <w:t> </w:t>
      </w:r>
      <w:r>
        <w:rPr/>
        <w:t>人的股权激励股票共计</w:t>
      </w:r>
    </w:p>
    <w:p>
      <w:pPr>
        <w:pStyle w:val="BodyText"/>
        <w:spacing w:line="284" w:lineRule="exact"/>
        <w:ind w:left="678" w:right="0"/>
        <w:jc w:val="both"/>
      </w:pPr>
      <w:r>
        <w:rPr>
          <w:rFonts w:ascii="宋体" w:hAnsi="宋体" w:cs="宋体" w:eastAsia="宋体" w:hint="default"/>
        </w:rPr>
        <w:t>250,860</w:t>
      </w:r>
      <w:r>
        <w:rPr>
          <w:rFonts w:ascii="宋体" w:hAnsi="宋体" w:cs="宋体" w:eastAsia="宋体" w:hint="default"/>
          <w:spacing w:val="-60"/>
        </w:rPr>
        <w:t> </w:t>
      </w:r>
      <w:r>
        <w:rPr/>
        <w:t>股。</w:t>
      </w:r>
    </w:p>
    <w:p>
      <w:pPr>
        <w:pStyle w:val="BodyText"/>
        <w:spacing w:line="237" w:lineRule="auto" w:before="119"/>
        <w:ind w:left="678" w:right="574" w:firstLine="480"/>
        <w:jc w:val="both"/>
      </w:pPr>
      <w:r>
        <w:rPr/>
        <w:t>公司</w:t>
      </w:r>
      <w:r>
        <w:rPr>
          <w:spacing w:val="-60"/>
        </w:rPr>
        <w:t> </w:t>
      </w:r>
      <w:r>
        <w:rPr>
          <w:rFonts w:ascii="宋体" w:hAnsi="宋体" w:cs="宋体" w:eastAsia="宋体" w:hint="default"/>
        </w:rPr>
        <w:t>2013</w:t>
      </w:r>
      <w:r>
        <w:rPr>
          <w:rFonts w:ascii="宋体" w:hAnsi="宋体" w:cs="宋体" w:eastAsia="宋体" w:hint="default"/>
          <w:spacing w:val="-60"/>
        </w:rPr>
        <w:t> </w:t>
      </w:r>
      <w:r>
        <w:rPr/>
        <w:t>年的业绩未达到股权激励股票解锁的条件，依据《北京华胜天成科技 </w:t>
      </w:r>
      <w:r>
        <w:rPr>
          <w:spacing w:val="-2"/>
        </w:rPr>
        <w:t>股份有限公司首期股权激励计划（草案修订稿）》中规定，根据股东大会授权，公司</w:t>
      </w:r>
      <w:r>
        <w:rPr>
          <w:spacing w:val="-96"/>
        </w:rPr>
        <w:t> </w:t>
      </w:r>
      <w:r>
        <w:rPr>
          <w:spacing w:val="-96"/>
        </w:rPr>
      </w:r>
      <w:r>
        <w:rPr/>
        <w:t>董事会决定回购并注销杨俏丛等</w:t>
      </w:r>
      <w:r>
        <w:rPr>
          <w:spacing w:val="-60"/>
        </w:rPr>
        <w:t> </w:t>
      </w:r>
      <w:r>
        <w:rPr>
          <w:rFonts w:ascii="宋体" w:hAnsi="宋体" w:cs="宋体" w:eastAsia="宋体" w:hint="default"/>
        </w:rPr>
        <w:t>52</w:t>
      </w:r>
      <w:r>
        <w:rPr>
          <w:rFonts w:ascii="宋体" w:hAnsi="宋体" w:cs="宋体" w:eastAsia="宋体" w:hint="default"/>
          <w:spacing w:val="-60"/>
        </w:rPr>
        <w:t> </w:t>
      </w:r>
      <w:r>
        <w:rPr/>
        <w:t>人的股权激励股票共计</w:t>
      </w:r>
      <w:r>
        <w:rPr>
          <w:spacing w:val="-60"/>
        </w:rPr>
        <w:t> </w:t>
      </w:r>
      <w:r>
        <w:rPr>
          <w:rFonts w:ascii="宋体" w:hAnsi="宋体" w:cs="宋体" w:eastAsia="宋体" w:hint="default"/>
        </w:rPr>
        <w:t>3,927,901</w:t>
      </w:r>
      <w:r>
        <w:rPr>
          <w:rFonts w:ascii="宋体" w:hAnsi="宋体" w:cs="宋体" w:eastAsia="宋体" w:hint="default"/>
          <w:spacing w:val="-60"/>
        </w:rPr>
        <w:t> </w:t>
      </w:r>
      <w:r>
        <w:rPr/>
        <w:t>股。</w:t>
      </w:r>
    </w:p>
    <w:p>
      <w:pPr>
        <w:pStyle w:val="BodyText"/>
        <w:spacing w:line="240" w:lineRule="auto" w:before="117"/>
        <w:ind w:left="1158" w:right="0"/>
        <w:jc w:val="left"/>
      </w:pPr>
      <w:r>
        <w:rPr/>
        <w:t>公司董事会决定回购并注销的股权激励股票共计 </w:t>
      </w:r>
      <w:r>
        <w:rPr>
          <w:rFonts w:ascii="宋体" w:hAnsi="宋体" w:cs="宋体" w:eastAsia="宋体" w:hint="default"/>
        </w:rPr>
        <w:t>4,178,761</w:t>
      </w:r>
      <w:r>
        <w:rPr>
          <w:rFonts w:ascii="宋体" w:hAnsi="宋体" w:cs="宋体" w:eastAsia="宋体" w:hint="default"/>
          <w:spacing w:val="-60"/>
        </w:rPr>
        <w:t> </w:t>
      </w:r>
      <w:r>
        <w:rPr/>
        <w:t>股。</w:t>
      </w:r>
    </w:p>
    <w:p>
      <w:pPr>
        <w:pStyle w:val="BodyText"/>
        <w:spacing w:line="310" w:lineRule="exact" w:before="150"/>
        <w:ind w:left="678" w:right="574" w:firstLine="480"/>
        <w:jc w:val="both"/>
      </w:pPr>
      <w:r>
        <w:rPr/>
        <w:t>公司董事会于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22</w:t>
      </w:r>
      <w:r>
        <w:rPr>
          <w:rFonts w:ascii="宋体" w:hAnsi="宋体" w:cs="宋体" w:eastAsia="宋体" w:hint="default"/>
          <w:spacing w:val="-60"/>
        </w:rPr>
        <w:t> </w:t>
      </w:r>
      <w:r>
        <w:rPr/>
        <w:t>日召开的</w:t>
      </w:r>
      <w:r>
        <w:rPr>
          <w:spacing w:val="-60"/>
        </w:rPr>
        <w:t> </w:t>
      </w:r>
      <w:r>
        <w:rPr>
          <w:rFonts w:ascii="宋体" w:hAnsi="宋体" w:cs="宋体" w:eastAsia="宋体" w:hint="default"/>
        </w:rPr>
        <w:t>2014</w:t>
      </w:r>
      <w:r>
        <w:rPr>
          <w:rFonts w:ascii="宋体" w:hAnsi="宋体" w:cs="宋体" w:eastAsia="宋体" w:hint="default"/>
          <w:spacing w:val="-60"/>
        </w:rPr>
        <w:t> </w:t>
      </w:r>
      <w:r>
        <w:rPr/>
        <w:t>年第二次临时董事会会议审议通过 </w:t>
      </w:r>
      <w:r>
        <w:rPr>
          <w:spacing w:val="-2"/>
        </w:rPr>
        <w:t>了回购并注销上述尚未解锁的股权激励股票的相关议案（相关决议公告已刊登于《上</w:t>
      </w:r>
      <w:r>
        <w:rPr>
          <w:spacing w:val="-94"/>
        </w:rPr>
        <w:t> </w:t>
      </w:r>
      <w:r>
        <w:rPr>
          <w:spacing w:val="-94"/>
        </w:rPr>
      </w:r>
      <w:r>
        <w:rPr/>
        <w:t>海证券报》、《中国证券报》及上海证券交易所网站）。</w:t>
      </w:r>
    </w:p>
    <w:p>
      <w:pPr>
        <w:pStyle w:val="BodyText"/>
        <w:spacing w:line="312" w:lineRule="exact" w:before="90"/>
        <w:ind w:left="1158" w:right="0"/>
        <w:jc w:val="left"/>
      </w:pPr>
      <w:r>
        <w:rPr>
          <w:spacing w:val="-3"/>
        </w:rPr>
        <w:t>沈志明、杨淮等</w:t>
      </w:r>
      <w:r>
        <w:rPr>
          <w:spacing w:val="-67"/>
        </w:rPr>
        <w:t> </w:t>
      </w:r>
      <w:r>
        <w:rPr>
          <w:rFonts w:ascii="宋体" w:hAnsi="宋体" w:cs="宋体" w:eastAsia="宋体" w:hint="default"/>
        </w:rPr>
        <w:t>20</w:t>
      </w:r>
      <w:r>
        <w:rPr>
          <w:rFonts w:ascii="宋体" w:hAnsi="宋体" w:cs="宋体" w:eastAsia="宋体" w:hint="default"/>
          <w:spacing w:val="-67"/>
        </w:rPr>
        <w:t> </w:t>
      </w:r>
      <w:r>
        <w:rPr/>
        <w:t>员因个人原因尚未办理回购手续，待另行回购。已回购</w:t>
      </w:r>
      <w:r>
        <w:rPr>
          <w:spacing w:val="-67"/>
        </w:rPr>
        <w:t> </w:t>
      </w:r>
      <w:r>
        <w:rPr>
          <w:rFonts w:ascii="宋体" w:hAnsi="宋体" w:cs="宋体" w:eastAsia="宋体" w:hint="default"/>
        </w:rPr>
        <w:t>38</w:t>
      </w:r>
      <w:r>
        <w:rPr>
          <w:rFonts w:ascii="宋体" w:hAnsi="宋体" w:cs="宋体" w:eastAsia="宋体" w:hint="default"/>
          <w:spacing w:val="-67"/>
        </w:rPr>
        <w:t> </w:t>
      </w:r>
      <w:r>
        <w:rPr/>
        <w:t>人</w:t>
      </w:r>
    </w:p>
    <w:p>
      <w:pPr>
        <w:pStyle w:val="BodyText"/>
        <w:spacing w:line="311" w:lineRule="exact"/>
        <w:ind w:left="678" w:right="0"/>
        <w:jc w:val="both"/>
      </w:pPr>
      <w:r>
        <w:rPr/>
        <w:t>的股份共计</w:t>
      </w:r>
      <w:r>
        <w:rPr>
          <w:spacing w:val="-63"/>
        </w:rPr>
        <w:t> </w:t>
      </w:r>
      <w:r>
        <w:rPr>
          <w:rFonts w:ascii="宋体" w:hAnsi="宋体" w:cs="宋体" w:eastAsia="宋体" w:hint="default"/>
        </w:rPr>
        <w:t>3,135,720</w:t>
      </w:r>
      <w:r>
        <w:rPr>
          <w:rFonts w:ascii="宋体" w:hAnsi="宋体" w:cs="宋体" w:eastAsia="宋体" w:hint="default"/>
          <w:spacing w:val="-63"/>
        </w:rPr>
        <w:t> </w:t>
      </w:r>
      <w:r>
        <w:rPr>
          <w:spacing w:val="-8"/>
        </w:rPr>
        <w:t>股，于</w:t>
      </w:r>
      <w:r>
        <w:rPr>
          <w:spacing w:val="-63"/>
        </w:rPr>
        <w:t> </w:t>
      </w:r>
      <w:r>
        <w:rPr>
          <w:rFonts w:ascii="宋体" w:hAnsi="宋体" w:cs="宋体" w:eastAsia="宋体" w:hint="default"/>
        </w:rPr>
        <w:t>6</w:t>
      </w:r>
      <w:r>
        <w:rPr>
          <w:rFonts w:ascii="宋体" w:hAnsi="宋体" w:cs="宋体" w:eastAsia="宋体" w:hint="default"/>
          <w:spacing w:val="-63"/>
        </w:rPr>
        <w:t> </w:t>
      </w:r>
      <w:r>
        <w:rPr/>
        <w:t>月</w:t>
      </w:r>
      <w:r>
        <w:rPr>
          <w:spacing w:val="-63"/>
        </w:rPr>
        <w:t> </w:t>
      </w:r>
      <w:r>
        <w:rPr>
          <w:rFonts w:ascii="宋体" w:hAnsi="宋体" w:cs="宋体" w:eastAsia="宋体" w:hint="default"/>
        </w:rPr>
        <w:t>25</w:t>
      </w:r>
      <w:r>
        <w:rPr>
          <w:rFonts w:ascii="宋体" w:hAnsi="宋体" w:cs="宋体" w:eastAsia="宋体" w:hint="default"/>
          <w:spacing w:val="-63"/>
        </w:rPr>
        <w:t> </w:t>
      </w:r>
      <w:r>
        <w:rPr/>
        <w:t>日注销并公告（相关公告已刊登于</w:t>
      </w:r>
      <w:r>
        <w:rPr>
          <w:spacing w:val="-63"/>
        </w:rPr>
        <w:t> </w:t>
      </w:r>
      <w:r>
        <w:rPr>
          <w:rFonts w:ascii="宋体" w:hAnsi="宋体" w:cs="宋体" w:eastAsia="宋体" w:hint="default"/>
        </w:rPr>
        <w:t>6</w:t>
      </w:r>
      <w:r>
        <w:rPr>
          <w:rFonts w:ascii="宋体" w:hAnsi="宋体" w:cs="宋体" w:eastAsia="宋体" w:hint="default"/>
          <w:spacing w:val="-63"/>
        </w:rPr>
        <w:t> </w:t>
      </w:r>
      <w:r>
        <w:rPr/>
        <w:t>月</w:t>
      </w:r>
      <w:r>
        <w:rPr>
          <w:spacing w:val="-63"/>
        </w:rPr>
        <w:t> </w:t>
      </w:r>
      <w:r>
        <w:rPr>
          <w:rFonts w:ascii="宋体" w:hAnsi="宋体" w:cs="宋体" w:eastAsia="宋体" w:hint="default"/>
        </w:rPr>
        <w:t>25</w:t>
      </w:r>
      <w:r>
        <w:rPr>
          <w:rFonts w:ascii="宋体" w:hAnsi="宋体" w:cs="宋体" w:eastAsia="宋体" w:hint="default"/>
          <w:spacing w:val="-63"/>
        </w:rPr>
        <w:t> </w:t>
      </w:r>
      <w:r>
        <w:rPr/>
        <w:t>日的</w:t>
      </w:r>
    </w:p>
    <w:p>
      <w:pPr>
        <w:pStyle w:val="BodyText"/>
        <w:spacing w:line="313" w:lineRule="exact"/>
        <w:ind w:left="678" w:right="0"/>
        <w:jc w:val="both"/>
      </w:pPr>
      <w:r>
        <w:rPr/>
        <w:t>《上海证券报》、《中国证券报》及上海证券交易所网站）。</w:t>
      </w:r>
    </w:p>
    <w:p>
      <w:pPr>
        <w:spacing w:after="0" w:line="313" w:lineRule="exact"/>
        <w:jc w:val="both"/>
        <w:sectPr>
          <w:type w:val="continuous"/>
          <w:pgSz w:w="11910" w:h="16840"/>
          <w:pgMar w:top="1080" w:bottom="1380" w:left="1120" w:right="700"/>
        </w:sectPr>
      </w:pPr>
    </w:p>
    <w:p>
      <w:pPr>
        <w:spacing w:line="240" w:lineRule="auto" w:before="12"/>
        <w:rPr>
          <w:rFonts w:ascii="宋体" w:hAnsi="宋体" w:cs="宋体" w:eastAsia="宋体" w:hint="default"/>
          <w:sz w:val="28"/>
          <w:szCs w:val="28"/>
        </w:rPr>
      </w:pPr>
    </w:p>
    <w:p>
      <w:pPr>
        <w:pStyle w:val="BodyText"/>
        <w:spacing w:line="237" w:lineRule="auto" w:before="28"/>
        <w:ind w:left="218" w:right="305"/>
        <w:jc w:val="both"/>
      </w:pPr>
      <w:r>
        <w:rPr/>
        <w:t>（</w:t>
      </w:r>
      <w:r>
        <w:rPr>
          <w:rFonts w:ascii="宋体" w:hAnsi="宋体" w:cs="宋体" w:eastAsia="宋体" w:hint="default"/>
        </w:rPr>
        <w:t>2</w:t>
      </w:r>
      <w:r>
        <w:rPr/>
        <w:t>）前述人员中</w:t>
      </w:r>
      <w:r>
        <w:rPr>
          <w:rFonts w:ascii="宋体" w:hAnsi="宋体" w:cs="宋体" w:eastAsia="宋体" w:hint="default"/>
        </w:rPr>
        <w:t>18</w:t>
      </w:r>
      <w:r>
        <w:rPr/>
        <w:t>人</w:t>
      </w:r>
      <w:r>
        <w:rPr>
          <w:rFonts w:ascii="宋体" w:hAnsi="宋体" w:cs="宋体" w:eastAsia="宋体" w:hint="default"/>
        </w:rPr>
        <w:t>,</w:t>
      </w:r>
      <w:r>
        <w:rPr/>
        <w:t>共计</w:t>
      </w:r>
      <w:r>
        <w:rPr>
          <w:rFonts w:ascii="宋体" w:hAnsi="宋体" w:cs="宋体" w:eastAsia="宋体" w:hint="default"/>
        </w:rPr>
        <w:t>993,529</w:t>
      </w:r>
      <w:r>
        <w:rPr/>
        <w:t>股，于</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2</w:t>
      </w:r>
      <w:r>
        <w:rPr/>
        <w:t>日完成了回购。另外</w:t>
      </w:r>
      <w:r>
        <w:rPr>
          <w:rFonts w:ascii="宋体" w:hAnsi="宋体" w:cs="宋体" w:eastAsia="宋体" w:hint="default"/>
        </w:rPr>
        <w:t>,</w:t>
      </w:r>
      <w:r>
        <w:rPr/>
        <w:t>徐静江</w:t>
      </w:r>
      <w:r>
        <w:rPr>
          <w:rFonts w:ascii="宋体" w:hAnsi="宋体" w:cs="宋体" w:eastAsia="宋体" w:hint="default"/>
        </w:rPr>
        <w:t>1 </w:t>
      </w:r>
      <w:r>
        <w:rPr/>
        <w:t>人计</w:t>
      </w:r>
      <w:r>
        <w:rPr>
          <w:rFonts w:ascii="宋体" w:hAnsi="宋体" w:cs="宋体" w:eastAsia="宋体" w:hint="default"/>
        </w:rPr>
        <w:t>481,910</w:t>
      </w:r>
      <w:r>
        <w:rPr/>
        <w:t>股也于本次完成回购（公司</w:t>
      </w:r>
      <w:r>
        <w:rPr>
          <w:rFonts w:ascii="宋体" w:hAnsi="宋体" w:cs="宋体" w:eastAsia="宋体" w:hint="default"/>
        </w:rPr>
        <w:t>2012</w:t>
      </w:r>
      <w:r>
        <w:rPr/>
        <w:t>年第十次临时董事会审批通过）。本次 完成回购了</w:t>
      </w:r>
      <w:r>
        <w:rPr>
          <w:rFonts w:ascii="宋体" w:hAnsi="宋体" w:cs="宋体" w:eastAsia="宋体" w:hint="default"/>
        </w:rPr>
        <w:t>19</w:t>
      </w:r>
      <w:r>
        <w:rPr/>
        <w:t>人的股份，共计</w:t>
      </w:r>
      <w:r>
        <w:rPr>
          <w:rFonts w:ascii="宋体" w:hAnsi="宋体" w:cs="宋体" w:eastAsia="宋体" w:hint="default"/>
        </w:rPr>
        <w:t>1,475,439</w:t>
      </w:r>
      <w:r>
        <w:rPr/>
        <w:t>股。</w:t>
      </w:r>
    </w:p>
    <w:p>
      <w:pPr>
        <w:pStyle w:val="BodyText"/>
        <w:spacing w:line="237" w:lineRule="auto" w:before="120"/>
        <w:ind w:left="218" w:right="234"/>
        <w:jc w:val="both"/>
      </w:pPr>
      <w:r>
        <w:rPr/>
        <w:t>（</w:t>
      </w:r>
      <w:r>
        <w:rPr>
          <w:rFonts w:ascii="宋体" w:hAnsi="宋体" w:cs="宋体" w:eastAsia="宋体" w:hint="default"/>
        </w:rPr>
        <w:t>3</w:t>
      </w:r>
      <w:r>
        <w:rPr/>
        <w:t>）公司原股权激励对象董园园、段明强</w:t>
      </w:r>
      <w:r>
        <w:rPr>
          <w:spacing w:val="-60"/>
        </w:rPr>
        <w:t> </w:t>
      </w:r>
      <w:r>
        <w:rPr>
          <w:rFonts w:ascii="宋体" w:hAnsi="宋体" w:cs="宋体" w:eastAsia="宋体" w:hint="default"/>
        </w:rPr>
        <w:t>2</w:t>
      </w:r>
      <w:r>
        <w:rPr>
          <w:rFonts w:ascii="宋体" w:hAnsi="宋体" w:cs="宋体" w:eastAsia="宋体" w:hint="default"/>
          <w:spacing w:val="-60"/>
        </w:rPr>
        <w:t> </w:t>
      </w:r>
      <w:r>
        <w:rPr/>
        <w:t>人因离职触发了《北京华胜天成科技股 </w:t>
      </w:r>
      <w:r>
        <w:rPr>
          <w:spacing w:val="-2"/>
        </w:rPr>
        <w:t>份有限公司首期股权激励计划（草案修订稿）》中规定的变更和终止的情形，公司需</w:t>
      </w:r>
      <w:r>
        <w:rPr>
          <w:spacing w:val="-94"/>
        </w:rPr>
        <w:t> </w:t>
      </w:r>
      <w:r>
        <w:rPr>
          <w:spacing w:val="-94"/>
        </w:rPr>
      </w:r>
      <w:r>
        <w:rPr/>
        <w:t>回购并注销此</w:t>
      </w:r>
      <w:r>
        <w:rPr>
          <w:spacing w:val="-60"/>
        </w:rPr>
        <w:t> </w:t>
      </w:r>
      <w:r>
        <w:rPr>
          <w:rFonts w:ascii="宋体" w:hAnsi="宋体" w:cs="宋体" w:eastAsia="宋体" w:hint="default"/>
        </w:rPr>
        <w:t>2</w:t>
      </w:r>
      <w:r>
        <w:rPr>
          <w:rFonts w:ascii="宋体" w:hAnsi="宋体" w:cs="宋体" w:eastAsia="宋体" w:hint="default"/>
          <w:spacing w:val="-60"/>
        </w:rPr>
        <w:t> </w:t>
      </w:r>
      <w:r>
        <w:rPr/>
        <w:t>人的股权激励股票共计</w:t>
      </w:r>
      <w:r>
        <w:rPr>
          <w:spacing w:val="-60"/>
        </w:rPr>
        <w:t> </w:t>
      </w:r>
      <w:r>
        <w:rPr>
          <w:rFonts w:ascii="宋体" w:hAnsi="宋体" w:cs="宋体" w:eastAsia="宋体" w:hint="default"/>
        </w:rPr>
        <w:t>49,512</w:t>
      </w:r>
      <w:r>
        <w:rPr>
          <w:rFonts w:ascii="宋体" w:hAnsi="宋体" w:cs="宋体" w:eastAsia="宋体" w:hint="default"/>
          <w:spacing w:val="-60"/>
        </w:rPr>
        <w:t> </w:t>
      </w:r>
      <w:r>
        <w:rPr/>
        <w:t>股。（相关决议公告已刊登于《上海 证券报》、《中国证券报》及上海证券交易所网站，临</w:t>
      </w:r>
      <w:r>
        <w:rPr>
          <w:spacing w:val="-60"/>
        </w:rPr>
        <w:t> </w:t>
      </w:r>
      <w:r>
        <w:rPr>
          <w:rFonts w:ascii="宋体" w:hAnsi="宋体" w:cs="宋体" w:eastAsia="宋体" w:hint="default"/>
        </w:rPr>
        <w:t>2014-030</w:t>
      </w:r>
      <w:r>
        <w:rPr/>
        <w:t>）。</w:t>
      </w:r>
    </w:p>
    <w:p>
      <w:pPr>
        <w:pStyle w:val="BodyText"/>
        <w:spacing w:line="313" w:lineRule="exact" w:before="117"/>
        <w:ind w:left="698" w:right="101"/>
        <w:jc w:val="left"/>
      </w:pPr>
      <w:r>
        <w:rPr/>
        <w:t>公司</w:t>
      </w:r>
      <w:r>
        <w:rPr>
          <w:spacing w:val="-60"/>
        </w:rPr>
        <w:t> </w:t>
      </w:r>
      <w:r>
        <w:rPr>
          <w:rFonts w:ascii="宋体" w:hAnsi="宋体" w:cs="宋体" w:eastAsia="宋体" w:hint="default"/>
        </w:rPr>
        <w:t>2014</w:t>
      </w:r>
      <w:r>
        <w:rPr>
          <w:rFonts w:ascii="宋体" w:hAnsi="宋体" w:cs="宋体" w:eastAsia="宋体" w:hint="default"/>
          <w:spacing w:val="-60"/>
        </w:rPr>
        <w:t> </w:t>
      </w:r>
      <w:r>
        <w:rPr/>
        <w:t>年第二次临时董事会审议通过的《关于回购并注销部分股权激励股票</w:t>
      </w:r>
    </w:p>
    <w:p>
      <w:pPr>
        <w:pStyle w:val="BodyText"/>
        <w:spacing w:line="237" w:lineRule="auto" w:before="1"/>
        <w:ind w:left="218" w:right="233"/>
        <w:jc w:val="both"/>
      </w:pPr>
      <w:r>
        <w:rPr/>
        <w:t>的议案》</w:t>
      </w:r>
      <w:r>
        <w:rPr>
          <w:rFonts w:ascii="宋体" w:hAnsi="宋体" w:cs="宋体" w:eastAsia="宋体" w:hint="default"/>
        </w:rPr>
        <w:t>(</w:t>
      </w:r>
      <w:r>
        <w:rPr/>
        <w:t>第六批</w:t>
      </w:r>
      <w:r>
        <w:rPr>
          <w:rFonts w:ascii="宋体" w:hAnsi="宋体" w:cs="宋体" w:eastAsia="宋体" w:hint="default"/>
        </w:rPr>
        <w:t>)</w:t>
      </w:r>
      <w:r>
        <w:rPr/>
        <w:t>中，包含董园园、段明强</w:t>
      </w:r>
      <w:r>
        <w:rPr>
          <w:spacing w:val="-60"/>
        </w:rPr>
        <w:t> </w:t>
      </w:r>
      <w:r>
        <w:rPr>
          <w:rFonts w:ascii="宋体" w:hAnsi="宋体" w:cs="宋体" w:eastAsia="宋体" w:hint="default"/>
        </w:rPr>
        <w:t>2</w:t>
      </w:r>
      <w:r>
        <w:rPr>
          <w:rFonts w:ascii="宋体" w:hAnsi="宋体" w:cs="宋体" w:eastAsia="宋体" w:hint="default"/>
          <w:spacing w:val="-60"/>
        </w:rPr>
        <w:t> </w:t>
      </w:r>
      <w:r>
        <w:rPr/>
        <w:t>人股票共计</w:t>
      </w:r>
      <w:r>
        <w:rPr>
          <w:spacing w:val="-60"/>
        </w:rPr>
        <w:t> </w:t>
      </w:r>
      <w:r>
        <w:rPr>
          <w:rFonts w:ascii="宋体" w:hAnsi="宋体" w:cs="宋体" w:eastAsia="宋体" w:hint="default"/>
        </w:rPr>
        <w:t>49,512</w:t>
      </w:r>
      <w:r>
        <w:rPr>
          <w:rFonts w:ascii="宋体" w:hAnsi="宋体" w:cs="宋体" w:eastAsia="宋体" w:hint="default"/>
          <w:spacing w:val="-60"/>
        </w:rPr>
        <w:t> </w:t>
      </w:r>
      <w:r>
        <w:rPr/>
        <w:t>股，因</w:t>
      </w:r>
      <w:r>
        <w:rPr>
          <w:spacing w:val="-60"/>
        </w:rPr>
        <w:t> </w:t>
      </w:r>
      <w:r>
        <w:rPr>
          <w:rFonts w:ascii="宋体" w:hAnsi="宋体" w:cs="宋体" w:eastAsia="宋体" w:hint="default"/>
        </w:rPr>
        <w:t>2</w:t>
      </w:r>
      <w:r>
        <w:rPr>
          <w:rFonts w:ascii="宋体" w:hAnsi="宋体" w:cs="宋体" w:eastAsia="宋体" w:hint="default"/>
          <w:spacing w:val="-60"/>
        </w:rPr>
        <w:t> </w:t>
      </w:r>
      <w:r>
        <w:rPr/>
        <w:t>人提出离 </w:t>
      </w:r>
      <w:r>
        <w:rPr>
          <w:spacing w:val="-8"/>
        </w:rPr>
        <w:t>职，亦未能及时办理回购手续。（相关公告已刊登于《上海证券报》、《中国证券报》</w:t>
      </w:r>
      <w:r>
        <w:rPr>
          <w:spacing w:val="-103"/>
        </w:rPr>
        <w:t> </w:t>
      </w:r>
      <w:r>
        <w:rPr>
          <w:spacing w:val="-103"/>
        </w:rPr>
      </w:r>
      <w:r>
        <w:rPr/>
        <w:t>及上海证券交易所网站，临</w:t>
      </w:r>
      <w:r>
        <w:rPr>
          <w:spacing w:val="-60"/>
        </w:rPr>
        <w:t> </w:t>
      </w:r>
      <w:r>
        <w:rPr>
          <w:rFonts w:ascii="宋体" w:hAnsi="宋体" w:cs="宋体" w:eastAsia="宋体" w:hint="default"/>
        </w:rPr>
        <w:t>2014-035</w:t>
      </w:r>
      <w:r>
        <w:rPr/>
        <w:t>）。</w:t>
      </w:r>
    </w:p>
    <w:p>
      <w:pPr>
        <w:pStyle w:val="BodyText"/>
        <w:spacing w:line="312" w:lineRule="exact" w:before="117"/>
        <w:ind w:left="698" w:right="101"/>
        <w:jc w:val="left"/>
      </w:pPr>
      <w:r>
        <w:rPr/>
        <w:t>上述需要回购并注销的限制性股票共计</w:t>
      </w:r>
      <w:r>
        <w:rPr>
          <w:spacing w:val="-84"/>
        </w:rPr>
        <w:t> </w:t>
      </w:r>
      <w:r>
        <w:rPr>
          <w:rFonts w:ascii="宋体" w:hAnsi="宋体" w:cs="宋体" w:eastAsia="宋体" w:hint="default"/>
        </w:rPr>
        <w:t>99,024</w:t>
      </w:r>
      <w:r>
        <w:rPr>
          <w:rFonts w:ascii="宋体" w:hAnsi="宋体" w:cs="宋体" w:eastAsia="宋体" w:hint="default"/>
          <w:spacing w:val="-84"/>
        </w:rPr>
        <w:t> </w:t>
      </w:r>
      <w:r>
        <w:rPr/>
        <w:t>股</w:t>
      </w:r>
      <w:r>
        <w:rPr>
          <w:rFonts w:ascii="宋体" w:hAnsi="宋体" w:cs="宋体" w:eastAsia="宋体" w:hint="default"/>
        </w:rPr>
        <w:t>,</w:t>
      </w:r>
      <w:r>
        <w:rPr/>
        <w:t>已过户至公司开立的回购专用</w:t>
      </w:r>
    </w:p>
    <w:p>
      <w:pPr>
        <w:pStyle w:val="BodyText"/>
        <w:spacing w:line="312" w:lineRule="exact"/>
        <w:ind w:left="218" w:right="0"/>
        <w:jc w:val="both"/>
      </w:pPr>
      <w:r>
        <w:rPr/>
        <w:t>证券账户</w:t>
      </w:r>
      <w:r>
        <w:rPr>
          <w:rFonts w:ascii="宋体" w:hAnsi="宋体" w:cs="宋体" w:eastAsia="宋体" w:hint="default"/>
        </w:rPr>
        <w:t>,</w:t>
      </w:r>
      <w:r>
        <w:rPr/>
        <w:t>并于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2</w:t>
      </w:r>
      <w:r>
        <w:rPr>
          <w:rFonts w:ascii="宋体" w:hAnsi="宋体" w:cs="宋体" w:eastAsia="宋体" w:hint="default"/>
          <w:spacing w:val="-60"/>
        </w:rPr>
        <w:t> </w:t>
      </w:r>
      <w:r>
        <w:rPr/>
        <w:t>日注销。</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080" w:bottom="1380" w:left="1580" w:right="1040"/>
        </w:sectPr>
      </w:pPr>
    </w:p>
    <w:p>
      <w:pPr>
        <w:pStyle w:val="Heading2"/>
        <w:spacing w:line="240" w:lineRule="auto" w:before="188"/>
        <w:ind w:right="-13"/>
        <w:jc w:val="left"/>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5"/>
        </w:rPr>
        <w:t> </w:t>
      </w:r>
      <w:r>
        <w:rPr/>
        <w:t>限售股份变动情况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
        <w:rPr>
          <w:rFonts w:ascii="宋体" w:hAnsi="宋体" w:cs="宋体" w:eastAsia="宋体" w:hint="default"/>
          <w:b/>
          <w:bCs/>
          <w:sz w:val="23"/>
          <w:szCs w:val="23"/>
        </w:rPr>
      </w:pPr>
    </w:p>
    <w:p>
      <w:pPr>
        <w:spacing w:before="0"/>
        <w:ind w:left="217"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股</w:t>
      </w:r>
    </w:p>
    <w:p>
      <w:pPr>
        <w:spacing w:after="0"/>
        <w:jc w:val="left"/>
        <w:rPr>
          <w:rFonts w:ascii="宋体" w:hAnsi="宋体" w:cs="宋体" w:eastAsia="宋体" w:hint="default"/>
          <w:sz w:val="21"/>
          <w:szCs w:val="21"/>
        </w:rPr>
        <w:sectPr>
          <w:type w:val="continuous"/>
          <w:pgSz w:w="11910" w:h="16840"/>
          <w:pgMar w:top="1080" w:bottom="1380" w:left="1580" w:right="1040"/>
          <w:cols w:num="2" w:equalWidth="0">
            <w:col w:w="2712" w:space="5282"/>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92"/>
        <w:gridCol w:w="1291"/>
        <w:gridCol w:w="1293"/>
        <w:gridCol w:w="1294"/>
        <w:gridCol w:w="1293"/>
        <w:gridCol w:w="1294"/>
        <w:gridCol w:w="1292"/>
      </w:tblGrid>
      <w:tr>
        <w:trPr>
          <w:trHeight w:val="554"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本年增加限</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年末限售股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解除限售日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w:t>
            </w:r>
          </w:p>
        </w:tc>
      </w:tr>
      <w:tr>
        <w:trPr>
          <w:trHeight w:val="1644"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华胜天成首</w:t>
            </w:r>
          </w:p>
          <w:p>
            <w:pPr>
              <w:pStyle w:val="TableParagraph"/>
              <w:spacing w:line="237" w:lineRule="auto" w:before="1"/>
              <w:ind w:left="103" w:right="103"/>
              <w:jc w:val="both"/>
              <w:rPr>
                <w:rFonts w:ascii="宋体" w:hAnsi="宋体" w:cs="宋体" w:eastAsia="宋体" w:hint="default"/>
                <w:sz w:val="21"/>
                <w:szCs w:val="21"/>
              </w:rPr>
            </w:pPr>
            <w:r>
              <w:rPr>
                <w:rFonts w:ascii="宋体" w:hAnsi="宋体" w:cs="宋体" w:eastAsia="宋体" w:hint="default"/>
                <w:spacing w:val="4"/>
                <w:sz w:val="21"/>
                <w:szCs w:val="21"/>
              </w:rPr>
              <w:t>期股权激励</w:t>
            </w:r>
            <w:r>
              <w:rPr>
                <w:rFonts w:ascii="宋体" w:hAnsi="宋体" w:cs="宋体" w:eastAsia="宋体" w:hint="default"/>
                <w:sz w:val="21"/>
                <w:szCs w:val="21"/>
              </w:rPr>
              <w:t> </w:t>
            </w:r>
            <w:r>
              <w:rPr>
                <w:rFonts w:ascii="宋体" w:hAnsi="宋体" w:cs="宋体" w:eastAsia="宋体" w:hint="default"/>
                <w:spacing w:val="4"/>
                <w:sz w:val="21"/>
                <w:szCs w:val="21"/>
              </w:rPr>
              <w:t>计划激励对</w:t>
            </w:r>
            <w:r>
              <w:rPr>
                <w:rFonts w:ascii="宋体" w:hAnsi="宋体" w:cs="宋体" w:eastAsia="宋体" w:hint="default"/>
                <w:sz w:val="21"/>
                <w:szCs w:val="21"/>
              </w:rPr>
              <w:t> </w:t>
            </w:r>
            <w:r>
              <w:rPr>
                <w:rFonts w:ascii="宋体" w:hAnsi="宋体" w:cs="宋体" w:eastAsia="宋体" w:hint="default"/>
                <w:spacing w:val="4"/>
                <w:sz w:val="21"/>
                <w:szCs w:val="21"/>
              </w:rPr>
              <w:t>象崔勇、杨</w:t>
            </w:r>
          </w:p>
          <w:p>
            <w:pPr>
              <w:pStyle w:val="TableParagraph"/>
              <w:spacing w:line="272" w:lineRule="exact" w:before="25"/>
              <w:ind w:left="103" w:right="20"/>
              <w:jc w:val="both"/>
              <w:rPr>
                <w:rFonts w:ascii="宋体" w:hAnsi="宋体" w:cs="宋体" w:eastAsia="宋体" w:hint="default"/>
                <w:sz w:val="21"/>
                <w:szCs w:val="21"/>
              </w:rPr>
            </w:pPr>
            <w:r>
              <w:rPr>
                <w:rFonts w:ascii="宋体" w:hAnsi="宋体" w:cs="宋体" w:eastAsia="宋体" w:hint="default"/>
                <w:spacing w:val="59"/>
                <w:sz w:val="21"/>
                <w:szCs w:val="21"/>
              </w:rPr>
              <w:t>俏丛等共</w:t>
            </w:r>
            <w:r>
              <w:rPr>
                <w:rFonts w:ascii="宋体" w:hAnsi="宋体" w:cs="宋体" w:eastAsia="宋体" w:hint="default"/>
                <w:spacing w:val="-26"/>
                <w:sz w:val="21"/>
                <w:szCs w:val="21"/>
              </w:rPr>
              <w:t> </w:t>
            </w:r>
            <w:r>
              <w:rPr>
                <w:rFonts w:ascii="宋体" w:hAnsi="宋体" w:cs="宋体" w:eastAsia="宋体" w:hint="default"/>
                <w:sz w:val="21"/>
                <w:szCs w:val="21"/>
              </w:rPr>
              <w:t>50</w:t>
            </w:r>
            <w:r>
              <w:rPr>
                <w:rFonts w:ascii="宋体" w:hAnsi="宋体" w:cs="宋体" w:eastAsia="宋体" w:hint="default"/>
                <w:spacing w:val="-52"/>
                <w:sz w:val="21"/>
                <w:szCs w:val="21"/>
              </w:rPr>
              <w:t> </w:t>
            </w:r>
            <w:r>
              <w:rPr>
                <w:rFonts w:ascii="宋体" w:hAnsi="宋体" w:cs="宋体" w:eastAsia="宋体" w:hint="default"/>
                <w:sz w:val="21"/>
                <w:szCs w:val="21"/>
              </w:rPr>
              <w:t>人</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8,588,572</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4,710,183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3,878,389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股权激励限</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售</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2015-7-27</w:t>
            </w:r>
          </w:p>
        </w:tc>
      </w:tr>
      <w:tr>
        <w:trPr>
          <w:trHeight w:val="283" w:hRule="exact"/>
        </w:trPr>
        <w:tc>
          <w:tcPr>
            <w:tcW w:w="1292"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293"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3"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8,588,572</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4,710,183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3,878,389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80" w:bottom="1380" w:left="1580" w:right="1040"/>
        </w:sectPr>
      </w:pPr>
    </w:p>
    <w:p>
      <w:pPr>
        <w:pStyle w:val="Heading2"/>
        <w:tabs>
          <w:tab w:pos="1057" w:val="left" w:leader="none"/>
        </w:tabs>
        <w:spacing w:line="240" w:lineRule="auto"/>
        <w:ind w:right="-5"/>
        <w:jc w:val="left"/>
        <w:rPr>
          <w:b w:val="0"/>
          <w:bCs w:val="0"/>
        </w:rPr>
      </w:pPr>
      <w:r>
        <w:rPr>
          <w:w w:val="95"/>
        </w:rPr>
        <w:t>二、</w:t>
        <w:tab/>
      </w:r>
      <w:r>
        <w:rPr/>
        <w:t>证券发行与上市情况</w:t>
      </w:r>
      <w:r>
        <w:rPr>
          <w:b w:val="0"/>
          <w:bCs w:val="0"/>
        </w:rPr>
      </w:r>
    </w:p>
    <w:p>
      <w:pPr>
        <w:pStyle w:val="Heading2"/>
        <w:spacing w:line="240" w:lineRule="auto" w:before="58"/>
        <w:ind w:right="-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4"/>
        </w:rPr>
        <w:t> </w:t>
      </w:r>
      <w:r>
        <w:rPr/>
        <w:t>截至报告期末近</w:t>
      </w:r>
      <w:r>
        <w:rPr>
          <w:spacing w:val="-66"/>
        </w:rPr>
        <w:t> </w:t>
      </w:r>
      <w:r>
        <w:rPr>
          <w:rFonts w:ascii="Calibri" w:hAnsi="Calibri" w:cs="Calibri" w:eastAsia="Calibri" w:hint="default"/>
        </w:rPr>
        <w:t>3</w:t>
      </w:r>
      <w:r>
        <w:rPr>
          <w:rFonts w:ascii="Calibri" w:hAnsi="Calibri" w:cs="Calibri" w:eastAsia="Calibri" w:hint="default"/>
          <w:spacing w:val="-2"/>
        </w:rPr>
        <w:t> </w:t>
      </w:r>
      <w:r>
        <w:rPr/>
        <w:t>年历次证券发行情况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tabs>
          <w:tab w:pos="1267" w:val="left" w:leader="none"/>
        </w:tabs>
        <w:spacing w:before="0"/>
        <w:ind w:left="217" w:right="0" w:firstLine="0"/>
        <w:jc w:val="left"/>
        <w:rPr>
          <w:rFonts w:ascii="宋体" w:hAnsi="宋体" w:cs="宋体" w:eastAsia="宋体" w:hint="default"/>
          <w:sz w:val="21"/>
          <w:szCs w:val="21"/>
        </w:rPr>
      </w:pPr>
      <w:r>
        <w:rPr>
          <w:rFonts w:ascii="宋体" w:hAnsi="宋体" w:cs="宋体" w:eastAsia="宋体" w:hint="default"/>
          <w:sz w:val="21"/>
          <w:szCs w:val="21"/>
        </w:rPr>
        <w:t>单位：股</w:t>
        <w:tab/>
        <w:t>币种：人民币</w:t>
      </w:r>
    </w:p>
    <w:p>
      <w:pPr>
        <w:spacing w:after="0"/>
        <w:jc w:val="left"/>
        <w:rPr>
          <w:rFonts w:ascii="宋体" w:hAnsi="宋体" w:cs="宋体" w:eastAsia="宋体" w:hint="default"/>
          <w:sz w:val="21"/>
          <w:szCs w:val="21"/>
        </w:rPr>
        <w:sectPr>
          <w:type w:val="continuous"/>
          <w:pgSz w:w="11910" w:h="16840"/>
          <w:pgMar w:top="1080" w:bottom="1380" w:left="1580" w:right="1040"/>
          <w:cols w:num="2" w:equalWidth="0">
            <w:col w:w="4738" w:space="1786"/>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91"/>
        <w:gridCol w:w="1196"/>
        <w:gridCol w:w="1128"/>
        <w:gridCol w:w="1372"/>
        <w:gridCol w:w="1196"/>
        <w:gridCol w:w="1370"/>
        <w:gridCol w:w="1196"/>
      </w:tblGrid>
      <w:tr>
        <w:trPr>
          <w:trHeight w:val="827"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65" w:right="158" w:hanging="105"/>
              <w:jc w:val="left"/>
              <w:rPr>
                <w:rFonts w:ascii="宋体" w:hAnsi="宋体" w:cs="宋体" w:eastAsia="宋体" w:hint="default"/>
                <w:sz w:val="21"/>
                <w:szCs w:val="21"/>
              </w:rPr>
            </w:pPr>
            <w:r>
              <w:rPr>
                <w:rFonts w:ascii="宋体" w:hAnsi="宋体" w:cs="宋体" w:eastAsia="宋体" w:hint="default"/>
                <w:sz w:val="21"/>
                <w:szCs w:val="21"/>
              </w:rPr>
              <w:t>股票及其衍生 证券的种类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73"/>
              <w:jc w:val="right"/>
              <w:rPr>
                <w:rFonts w:ascii="宋体" w:hAnsi="宋体" w:cs="宋体" w:eastAsia="宋体" w:hint="default"/>
                <w:sz w:val="21"/>
                <w:szCs w:val="21"/>
              </w:rPr>
            </w:pPr>
            <w:r>
              <w:rPr>
                <w:rFonts w:ascii="宋体" w:hAnsi="宋体" w:cs="宋体" w:eastAsia="宋体" w:hint="default"/>
                <w:sz w:val="21"/>
                <w:szCs w:val="21"/>
              </w:rPr>
              <w:t>发行日期</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72" w:lineRule="exact" w:before="26"/>
              <w:ind w:left="243" w:right="243"/>
              <w:jc w:val="center"/>
              <w:rPr>
                <w:rFonts w:ascii="宋体" w:hAnsi="宋体" w:cs="宋体" w:eastAsia="宋体" w:hint="default"/>
                <w:sz w:val="21"/>
                <w:szCs w:val="21"/>
              </w:rPr>
            </w:pPr>
            <w:r>
              <w:rPr>
                <w:rFonts w:ascii="宋体" w:hAnsi="宋体" w:cs="宋体" w:eastAsia="宋体" w:hint="default"/>
                <w:sz w:val="21"/>
                <w:szCs w:val="21"/>
              </w:rPr>
              <w:t>（或利 率）</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发行数量</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上市日期</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364" w:right="155" w:hanging="210"/>
              <w:jc w:val="left"/>
              <w:rPr>
                <w:rFonts w:ascii="宋体" w:hAnsi="宋体" w:cs="宋体" w:eastAsia="宋体" w:hint="default"/>
                <w:sz w:val="21"/>
                <w:szCs w:val="21"/>
              </w:rPr>
            </w:pPr>
            <w:r>
              <w:rPr>
                <w:rFonts w:ascii="宋体" w:hAnsi="宋体" w:cs="宋体" w:eastAsia="宋体" w:hint="default"/>
                <w:sz w:val="21"/>
                <w:szCs w:val="21"/>
              </w:rPr>
              <w:t>获准上市交 易数量</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382" w:right="173" w:hanging="210"/>
              <w:jc w:val="left"/>
              <w:rPr>
                <w:rFonts w:ascii="宋体" w:hAnsi="宋体" w:cs="宋体" w:eastAsia="宋体" w:hint="default"/>
                <w:sz w:val="21"/>
                <w:szCs w:val="21"/>
              </w:rPr>
            </w:pPr>
            <w:r>
              <w:rPr>
                <w:rFonts w:ascii="宋体" w:hAnsi="宋体" w:cs="宋体" w:eastAsia="宋体" w:hint="default"/>
                <w:sz w:val="21"/>
                <w:szCs w:val="21"/>
              </w:rPr>
              <w:t>交易终止 日期</w:t>
            </w:r>
          </w:p>
        </w:tc>
      </w:tr>
      <w:tr>
        <w:trPr>
          <w:trHeight w:val="28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可转换公司债券、分离交易可转债、公司债类</w:t>
            </w:r>
          </w:p>
        </w:tc>
      </w:tr>
      <w:tr>
        <w:trPr>
          <w:trHeight w:val="28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
              <w:jc w:val="right"/>
              <w:rPr>
                <w:rFonts w:ascii="宋体" w:hAnsi="宋体" w:cs="宋体" w:eastAsia="宋体" w:hint="default"/>
                <w:sz w:val="21"/>
                <w:szCs w:val="21"/>
              </w:rPr>
            </w:pPr>
            <w:r>
              <w:rPr>
                <w:rFonts w:ascii="宋体"/>
                <w:spacing w:val="-1"/>
                <w:sz w:val="21"/>
              </w:rPr>
              <w:t>2013-3-13</w:t>
            </w:r>
            <w:r>
              <w:rPr>
                <w:rFonts w:ascii="宋体"/>
                <w:sz w:val="21"/>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sz w:val="21"/>
              </w:rPr>
              <w:t>5.80%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900,000,000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
              <w:jc w:val="center"/>
              <w:rPr>
                <w:rFonts w:ascii="宋体" w:hAnsi="宋体" w:cs="宋体" w:eastAsia="宋体" w:hint="default"/>
                <w:sz w:val="21"/>
                <w:szCs w:val="21"/>
              </w:rPr>
            </w:pPr>
            <w:r>
              <w:rPr>
                <w:rFonts w:ascii="宋体"/>
                <w:sz w:val="21"/>
              </w:rPr>
              <w:t>2013-3-29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2018-3-13</w:t>
            </w:r>
          </w:p>
        </w:tc>
      </w:tr>
      <w:tr>
        <w:trPr>
          <w:trHeight w:val="282" w:hRule="exact"/>
        </w:trPr>
        <w:tc>
          <w:tcPr>
            <w:tcW w:w="159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0"/>
          <w:szCs w:val="20"/>
        </w:rPr>
      </w:pPr>
    </w:p>
    <w:p>
      <w:pPr>
        <w:pStyle w:val="Heading2"/>
        <w:spacing w:line="240" w:lineRule="auto"/>
        <w:ind w:right="101"/>
        <w:jc w:val="left"/>
        <w:rPr>
          <w:b w:val="0"/>
          <w:bCs w:val="0"/>
        </w:rPr>
      </w:pPr>
      <w:r>
        <w:rPr>
          <w:rFonts w:ascii="Calibri" w:hAnsi="Calibri" w:cs="Calibri" w:eastAsia="Calibri" w:hint="default"/>
          <w:w w:val="95"/>
        </w:rPr>
        <w:t>(</w:t>
      </w:r>
      <w:r>
        <w:rPr>
          <w:w w:val="95"/>
        </w:rPr>
        <w:t>二</w:t>
      </w:r>
      <w:r>
        <w:rPr>
          <w:rFonts w:ascii="Calibri" w:hAnsi="Calibri" w:cs="Calibri" w:eastAsia="Calibri" w:hint="default"/>
          <w:w w:val="95"/>
        </w:rPr>
        <w:t>)      </w:t>
      </w:r>
      <w:r>
        <w:rPr>
          <w:rFonts w:ascii="Calibri" w:hAnsi="Calibri" w:cs="Calibri" w:eastAsia="Calibri" w:hint="default"/>
          <w:spacing w:val="3"/>
          <w:w w:val="95"/>
        </w:rPr>
        <w:t> </w:t>
      </w:r>
      <w:r>
        <w:rPr>
          <w:w w:val="95"/>
        </w:rPr>
        <w:t>公司股份总数及股东结构变动及公司资产和负债结构的变动情况</w:t>
      </w:r>
      <w:r>
        <w:rPr>
          <w:b w:val="0"/>
          <w:bCs w:val="0"/>
        </w:rPr>
      </w:r>
    </w:p>
    <w:p>
      <w:pPr>
        <w:pStyle w:val="BodyText"/>
        <w:spacing w:line="313" w:lineRule="exact" w:before="87"/>
        <w:ind w:left="638" w:right="101"/>
        <w:jc w:val="left"/>
      </w:pP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25</w:t>
      </w:r>
      <w:r>
        <w:rPr>
          <w:rFonts w:ascii="宋体" w:hAnsi="宋体" w:cs="宋体" w:eastAsia="宋体" w:hint="default"/>
          <w:spacing w:val="-60"/>
        </w:rPr>
        <w:t> </w:t>
      </w:r>
      <w:r>
        <w:rPr/>
        <w:t>日，第六次回购股权激励对象股份</w:t>
      </w:r>
      <w:r>
        <w:rPr>
          <w:spacing w:val="-60"/>
        </w:rPr>
        <w:t> </w:t>
      </w:r>
      <w:r>
        <w:rPr>
          <w:rFonts w:ascii="宋体" w:hAnsi="宋体" w:cs="宋体" w:eastAsia="宋体" w:hint="default"/>
        </w:rPr>
        <w:t>3,135,720</w:t>
      </w:r>
      <w:r>
        <w:rPr>
          <w:rFonts w:ascii="宋体" w:hAnsi="宋体" w:cs="宋体" w:eastAsia="宋体" w:hint="default"/>
          <w:spacing w:val="-60"/>
        </w:rPr>
        <w:t> </w:t>
      </w:r>
      <w:r>
        <w:rPr/>
        <w:t>股。本次回购后，</w:t>
      </w:r>
    </w:p>
    <w:p>
      <w:pPr>
        <w:pStyle w:val="BodyText"/>
        <w:spacing w:line="311" w:lineRule="exact"/>
        <w:ind w:left="218" w:right="101"/>
        <w:jc w:val="left"/>
      </w:pPr>
      <w:r>
        <w:rPr/>
        <w:t>无限售条件流通股为</w:t>
      </w:r>
      <w:r>
        <w:rPr>
          <w:spacing w:val="-60"/>
        </w:rPr>
        <w:t> </w:t>
      </w:r>
      <w:r>
        <w:rPr>
          <w:rFonts w:ascii="宋体" w:hAnsi="宋体" w:cs="宋体" w:eastAsia="宋体" w:hint="default"/>
        </w:rPr>
        <w:t>637,445,496</w:t>
      </w:r>
      <w:r>
        <w:rPr>
          <w:rFonts w:ascii="宋体" w:hAnsi="宋体" w:cs="宋体" w:eastAsia="宋体" w:hint="default"/>
          <w:spacing w:val="-60"/>
        </w:rPr>
        <w:t> </w:t>
      </w:r>
      <w:r>
        <w:rPr/>
        <w:t>股，占本公司总股本的</w:t>
      </w:r>
      <w:r>
        <w:rPr>
          <w:spacing w:val="-60"/>
        </w:rPr>
        <w:t> </w:t>
      </w:r>
      <w:r>
        <w:rPr>
          <w:rFonts w:ascii="宋体" w:hAnsi="宋体" w:cs="宋体" w:eastAsia="宋体" w:hint="default"/>
        </w:rPr>
        <w:t>99.15% </w:t>
      </w:r>
      <w:r>
        <w:rPr/>
        <w:t>；有限售条件流通</w:t>
      </w:r>
    </w:p>
    <w:p>
      <w:pPr>
        <w:pStyle w:val="BodyText"/>
        <w:spacing w:line="331" w:lineRule="auto"/>
        <w:ind w:left="458" w:right="288" w:hanging="240"/>
        <w:jc w:val="left"/>
      </w:pPr>
      <w:r>
        <w:rPr/>
        <w:t>股为</w:t>
      </w:r>
      <w:r>
        <w:rPr>
          <w:spacing w:val="-60"/>
        </w:rPr>
        <w:t> </w:t>
      </w:r>
      <w:r>
        <w:rPr>
          <w:rFonts w:ascii="宋体" w:hAnsi="宋体" w:cs="宋体" w:eastAsia="宋体" w:hint="default"/>
        </w:rPr>
        <w:t>5,452,852</w:t>
      </w:r>
      <w:r>
        <w:rPr>
          <w:rFonts w:ascii="宋体" w:hAnsi="宋体" w:cs="宋体" w:eastAsia="宋体" w:hint="default"/>
          <w:spacing w:val="-60"/>
        </w:rPr>
        <w:t> </w:t>
      </w:r>
      <w:r>
        <w:rPr/>
        <w:t>股，占本公司总股本的</w:t>
      </w:r>
      <w:r>
        <w:rPr>
          <w:spacing w:val="-60"/>
        </w:rPr>
        <w:t> </w:t>
      </w:r>
      <w:r>
        <w:rPr>
          <w:rFonts w:ascii="宋体" w:hAnsi="宋体" w:cs="宋体" w:eastAsia="宋体" w:hint="default"/>
        </w:rPr>
        <w:t>0.85% </w:t>
      </w:r>
      <w:r>
        <w:rPr/>
        <w:t>。 </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2</w:t>
      </w:r>
      <w:r>
        <w:rPr/>
        <w:t>日，第七次回购股权激励对象股份</w:t>
      </w:r>
      <w:r>
        <w:rPr>
          <w:rFonts w:ascii="宋体" w:hAnsi="宋体" w:cs="宋体" w:eastAsia="宋体" w:hint="default"/>
        </w:rPr>
        <w:t>1,478,439</w:t>
      </w:r>
      <w:r>
        <w:rPr/>
        <w:t>股。本次回购后，无限售</w:t>
      </w:r>
    </w:p>
    <w:p>
      <w:pPr>
        <w:pStyle w:val="BodyText"/>
        <w:spacing w:line="220" w:lineRule="exact"/>
        <w:ind w:left="218" w:right="101"/>
        <w:jc w:val="left"/>
      </w:pPr>
      <w:r>
        <w:rPr/>
        <w:t>条件流通股为</w:t>
      </w:r>
      <w:r>
        <w:rPr>
          <w:rFonts w:ascii="宋体" w:hAnsi="宋体" w:cs="宋体" w:eastAsia="宋体" w:hint="default"/>
        </w:rPr>
        <w:t>637,445,496</w:t>
      </w:r>
      <w:r>
        <w:rPr/>
        <w:t>股，占本公司总股本的</w:t>
      </w:r>
      <w:r>
        <w:rPr>
          <w:rFonts w:ascii="宋体" w:hAnsi="宋体" w:cs="宋体" w:eastAsia="宋体" w:hint="default"/>
        </w:rPr>
        <w:t>99.38% </w:t>
      </w:r>
      <w:r>
        <w:rPr/>
        <w:t>；有限售条件流通股为</w:t>
      </w:r>
    </w:p>
    <w:p>
      <w:pPr>
        <w:spacing w:after="0" w:line="220" w:lineRule="exact"/>
        <w:jc w:val="left"/>
        <w:sectPr>
          <w:type w:val="continuous"/>
          <w:pgSz w:w="11910" w:h="16840"/>
          <w:pgMar w:top="1080" w:bottom="1380" w:left="1580" w:right="1040"/>
        </w:sectPr>
      </w:pPr>
    </w:p>
    <w:p>
      <w:pPr>
        <w:spacing w:line="240" w:lineRule="auto" w:before="12"/>
        <w:rPr>
          <w:rFonts w:ascii="宋体" w:hAnsi="宋体" w:cs="宋体" w:eastAsia="宋体" w:hint="default"/>
          <w:sz w:val="28"/>
          <w:szCs w:val="28"/>
        </w:rPr>
      </w:pPr>
    </w:p>
    <w:p>
      <w:pPr>
        <w:pStyle w:val="BodyText"/>
        <w:spacing w:line="240" w:lineRule="auto" w:before="26"/>
        <w:ind w:left="218" w:right="101"/>
        <w:jc w:val="left"/>
      </w:pPr>
      <w:r>
        <w:rPr>
          <w:rFonts w:ascii="宋体" w:hAnsi="宋体" w:cs="宋体" w:eastAsia="宋体" w:hint="default"/>
        </w:rPr>
        <w:t>3,977,413</w:t>
      </w:r>
      <w:r>
        <w:rPr/>
        <w:t>股，占本公司总股本的</w:t>
      </w:r>
      <w:r>
        <w:rPr>
          <w:rFonts w:ascii="宋体" w:hAnsi="宋体" w:cs="宋体" w:eastAsia="宋体" w:hint="default"/>
        </w:rPr>
        <w:t>0.62% </w:t>
      </w:r>
      <w:r>
        <w:rPr/>
        <w:t>。</w:t>
      </w:r>
    </w:p>
    <w:p>
      <w:pPr>
        <w:pStyle w:val="BodyText"/>
        <w:spacing w:line="313" w:lineRule="exact" w:before="116"/>
        <w:ind w:left="458" w:right="101"/>
        <w:jc w:val="left"/>
      </w:pPr>
      <w:r>
        <w:rPr>
          <w:rFonts w:ascii="宋体" w:hAnsi="宋体" w:cs="宋体" w:eastAsia="宋体" w:hint="default"/>
        </w:rPr>
        <w:t>2014</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2</w:t>
      </w:r>
      <w:r>
        <w:rPr>
          <w:rFonts w:ascii="宋体" w:hAnsi="宋体" w:cs="宋体" w:eastAsia="宋体" w:hint="default"/>
          <w:spacing w:val="-58"/>
        </w:rPr>
        <w:t> </w:t>
      </w:r>
      <w:r>
        <w:rPr>
          <w:spacing w:val="-3"/>
        </w:rPr>
        <w:t>日，第八次回购股权激励对象股份</w:t>
      </w:r>
      <w:r>
        <w:rPr>
          <w:spacing w:val="-58"/>
        </w:rPr>
        <w:t> </w:t>
      </w:r>
      <w:r>
        <w:rPr>
          <w:rFonts w:ascii="宋体" w:hAnsi="宋体" w:cs="宋体" w:eastAsia="宋体" w:hint="default"/>
        </w:rPr>
        <w:t>99,024</w:t>
      </w:r>
      <w:r>
        <w:rPr>
          <w:rFonts w:ascii="宋体" w:hAnsi="宋体" w:cs="宋体" w:eastAsia="宋体" w:hint="default"/>
          <w:spacing w:val="-58"/>
        </w:rPr>
        <w:t> </w:t>
      </w:r>
      <w:r>
        <w:rPr>
          <w:spacing w:val="-7"/>
        </w:rPr>
        <w:t>股。本次回购后，无限售</w:t>
      </w:r>
    </w:p>
    <w:p>
      <w:pPr>
        <w:pStyle w:val="BodyText"/>
        <w:spacing w:line="312" w:lineRule="exact"/>
        <w:ind w:left="218" w:right="101"/>
        <w:jc w:val="left"/>
      </w:pPr>
      <w:r>
        <w:rPr/>
        <w:t>条件流通股为</w:t>
      </w:r>
      <w:r>
        <w:rPr>
          <w:spacing w:val="-60"/>
        </w:rPr>
        <w:t> </w:t>
      </w:r>
      <w:r>
        <w:rPr>
          <w:rFonts w:ascii="宋体" w:hAnsi="宋体" w:cs="宋体" w:eastAsia="宋体" w:hint="default"/>
        </w:rPr>
        <w:t>637,445,496</w:t>
      </w:r>
      <w:r>
        <w:rPr>
          <w:rFonts w:ascii="宋体" w:hAnsi="宋体" w:cs="宋体" w:eastAsia="宋体" w:hint="default"/>
          <w:spacing w:val="-60"/>
        </w:rPr>
        <w:t> </w:t>
      </w:r>
      <w:r>
        <w:rPr/>
        <w:t>股，占本公司总股本的</w:t>
      </w:r>
      <w:r>
        <w:rPr>
          <w:spacing w:val="-60"/>
        </w:rPr>
        <w:t> </w:t>
      </w:r>
      <w:r>
        <w:rPr>
          <w:rFonts w:ascii="宋体" w:hAnsi="宋体" w:cs="宋体" w:eastAsia="宋体" w:hint="default"/>
        </w:rPr>
        <w:t>99.40% </w:t>
      </w:r>
      <w:r>
        <w:rPr/>
        <w:t>；有限售条件流通股为</w:t>
      </w:r>
    </w:p>
    <w:p>
      <w:pPr>
        <w:pStyle w:val="BodyText"/>
        <w:spacing w:line="313" w:lineRule="exact"/>
        <w:ind w:left="218" w:right="101"/>
        <w:jc w:val="left"/>
      </w:pPr>
      <w:r>
        <w:rPr>
          <w:rFonts w:ascii="宋体" w:hAnsi="宋体" w:cs="宋体" w:eastAsia="宋体" w:hint="default"/>
        </w:rPr>
        <w:t>3,878,389</w:t>
      </w:r>
      <w:r>
        <w:rPr>
          <w:rFonts w:ascii="宋体" w:hAnsi="宋体" w:cs="宋体" w:eastAsia="宋体" w:hint="default"/>
          <w:spacing w:val="-60"/>
        </w:rPr>
        <w:t> </w:t>
      </w:r>
      <w:r>
        <w:rPr/>
        <w:t>股，占本公司总股本的</w:t>
      </w:r>
      <w:r>
        <w:rPr>
          <w:spacing w:val="-60"/>
        </w:rPr>
        <w:t> </w:t>
      </w:r>
      <w:r>
        <w:rPr>
          <w:rFonts w:ascii="宋体" w:hAnsi="宋体" w:cs="宋体" w:eastAsia="宋体" w:hint="default"/>
        </w:rPr>
        <w:t>0.60% </w:t>
      </w:r>
      <w:r>
        <w:rPr/>
        <w:t>。</w:t>
      </w:r>
    </w:p>
    <w:p>
      <w:pPr>
        <w:spacing w:line="240" w:lineRule="auto" w:before="4"/>
        <w:rPr>
          <w:rFonts w:ascii="宋体" w:hAnsi="宋体" w:cs="宋体" w:eastAsia="宋体" w:hint="default"/>
          <w:sz w:val="34"/>
          <w:szCs w:val="34"/>
        </w:rPr>
      </w:pPr>
    </w:p>
    <w:p>
      <w:pPr>
        <w:spacing w:line="300" w:lineRule="auto" w:before="0"/>
        <w:ind w:left="642" w:right="5264" w:hanging="425"/>
        <w:jc w:val="left"/>
        <w:rPr>
          <w:rFonts w:ascii="宋体" w:hAnsi="宋体" w:cs="宋体" w:eastAsia="宋体" w:hint="default"/>
          <w:sz w:val="24"/>
          <w:szCs w:val="24"/>
        </w:rPr>
      </w:pPr>
      <w:r>
        <w:rPr>
          <w:rFonts w:ascii="Calibri" w:hAnsi="Calibri" w:cs="Calibri" w:eastAsia="Calibri" w:hint="default"/>
          <w:b/>
          <w:bCs/>
          <w:sz w:val="24"/>
          <w:szCs w:val="24"/>
        </w:rPr>
        <w:t>(</w:t>
      </w:r>
      <w:r>
        <w:rPr>
          <w:rFonts w:ascii="宋体" w:hAnsi="宋体" w:cs="宋体" w:eastAsia="宋体" w:hint="default"/>
          <w:b/>
          <w:bCs/>
          <w:sz w:val="24"/>
          <w:szCs w:val="24"/>
        </w:rPr>
        <w:t>三</w:t>
      </w:r>
      <w:r>
        <w:rPr>
          <w:rFonts w:ascii="Calibri" w:hAnsi="Calibri" w:cs="Calibri" w:eastAsia="Calibri" w:hint="default"/>
          <w:b/>
          <w:bCs/>
          <w:sz w:val="24"/>
          <w:szCs w:val="24"/>
        </w:rPr>
        <w:t>)</w:t>
      </w:r>
      <w:r>
        <w:rPr>
          <w:rFonts w:ascii="Calibri" w:hAnsi="Calibri" w:cs="Calibri" w:eastAsia="Calibri" w:hint="default"/>
          <w:b/>
          <w:bCs/>
          <w:spacing w:val="-21"/>
          <w:sz w:val="24"/>
          <w:szCs w:val="24"/>
        </w:rPr>
        <w:t> </w:t>
      </w:r>
      <w:r>
        <w:rPr>
          <w:rFonts w:ascii="宋体" w:hAnsi="宋体" w:cs="宋体" w:eastAsia="宋体" w:hint="default"/>
          <w:b/>
          <w:bCs/>
          <w:sz w:val="24"/>
          <w:szCs w:val="24"/>
        </w:rPr>
        <w:t>现存的内部职工股情况</w:t>
      </w:r>
      <w:r>
        <w:rPr>
          <w:rFonts w:ascii="宋体" w:hAnsi="宋体" w:cs="宋体" w:eastAsia="宋体" w:hint="default"/>
          <w:b/>
          <w:bCs/>
          <w:w w:val="99"/>
          <w:sz w:val="24"/>
          <w:szCs w:val="24"/>
        </w:rPr>
        <w:t> </w:t>
      </w:r>
      <w:r>
        <w:rPr>
          <w:rFonts w:ascii="宋体" w:hAnsi="宋体" w:cs="宋体" w:eastAsia="宋体" w:hint="default"/>
          <w:sz w:val="24"/>
          <w:szCs w:val="24"/>
        </w:rPr>
        <w:t>本报告期末公司无内部职工股。</w:t>
      </w:r>
    </w:p>
    <w:p>
      <w:pPr>
        <w:spacing w:line="240" w:lineRule="auto" w:before="10"/>
        <w:rPr>
          <w:rFonts w:ascii="宋体" w:hAnsi="宋体" w:cs="宋体" w:eastAsia="宋体" w:hint="default"/>
          <w:sz w:val="29"/>
          <w:szCs w:val="29"/>
        </w:rPr>
      </w:pPr>
    </w:p>
    <w:p>
      <w:pPr>
        <w:pStyle w:val="Heading2"/>
        <w:tabs>
          <w:tab w:pos="1057" w:val="left" w:leader="none"/>
        </w:tabs>
        <w:spacing w:line="240" w:lineRule="auto" w:before="0"/>
        <w:ind w:right="101"/>
        <w:jc w:val="left"/>
        <w:rPr>
          <w:b w:val="0"/>
          <w:bCs w:val="0"/>
        </w:rPr>
      </w:pPr>
      <w:r>
        <w:rPr>
          <w:w w:val="95"/>
        </w:rPr>
        <w:t>三、</w:t>
        <w:tab/>
      </w:r>
      <w:r>
        <w:rPr/>
        <w:t>股东和实际控制人情况</w:t>
      </w:r>
      <w:r>
        <w:rPr>
          <w:b w:val="0"/>
          <w:bCs w:val="0"/>
        </w:rPr>
      </w:r>
    </w:p>
    <w:p>
      <w:pPr>
        <w:pStyle w:val="Heading2"/>
        <w:spacing w:line="240" w:lineRule="auto" w:before="56"/>
        <w:ind w:right="101"/>
        <w:jc w:val="left"/>
        <w:rPr>
          <w:rFonts w:ascii="Calibri" w:hAnsi="Calibri" w:cs="Calibri" w:eastAsia="Calibri" w:hint="default"/>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13"/>
        </w:rPr>
        <w:t> </w:t>
      </w:r>
      <w:r>
        <w:rPr/>
        <w:t>股东总数</w:t>
      </w:r>
      <w:r>
        <w:rPr>
          <w:rFonts w:ascii="Calibri" w:hAnsi="Calibri" w:cs="Calibri" w:eastAsia="Calibri" w:hint="default"/>
        </w:rPr>
        <w:t>:</w:t>
      </w:r>
      <w:r>
        <w:rPr>
          <w:rFonts w:ascii="Calibri" w:hAnsi="Calibri" w:cs="Calibri" w:eastAsia="Calibri" w:hint="default"/>
          <w:b w:val="0"/>
          <w:bCs w:val="0"/>
        </w:rPr>
      </w:r>
    </w:p>
    <w:p>
      <w:pPr>
        <w:spacing w:line="240" w:lineRule="auto" w:before="5"/>
        <w:rPr>
          <w:rFonts w:ascii="Calibri" w:hAnsi="Calibri" w:cs="Calibri" w:eastAsia="Calibri"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4"/>
        <w:gridCol w:w="4524"/>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color w:val="333399"/>
                <w:sz w:val="21"/>
              </w:rPr>
              <w:t>51,059</w:t>
            </w:r>
            <w:r>
              <w:rPr>
                <w:rFonts w:ascii="宋体"/>
                <w:sz w:val="21"/>
              </w:rPr>
            </w:r>
          </w:p>
        </w:tc>
      </w:tr>
      <w:tr>
        <w:trPr>
          <w:trHeight w:val="556"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年度报告披露日前第五个交易日末的股东总数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57,894</w:t>
            </w:r>
          </w:p>
        </w:tc>
      </w:tr>
    </w:tbl>
    <w:p>
      <w:pPr>
        <w:spacing w:line="240" w:lineRule="auto" w:before="11"/>
        <w:rPr>
          <w:rFonts w:ascii="Calibri" w:hAnsi="Calibri" w:cs="Calibri" w:eastAsia="Calibri" w:hint="default"/>
          <w:b/>
          <w:bCs/>
          <w:sz w:val="21"/>
          <w:szCs w:val="21"/>
        </w:rPr>
      </w:pPr>
    </w:p>
    <w:p>
      <w:pPr>
        <w:pStyle w:val="Heading2"/>
        <w:spacing w:line="240" w:lineRule="auto"/>
        <w:ind w:left="0" w:right="312"/>
        <w:jc w:val="right"/>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5"/>
        </w:rPr>
        <w:t> </w:t>
      </w:r>
      <w:r>
        <w:rPr/>
        <w:t>截止报告期末前十名股东、前十名流通股东（或无限售条件股东）持股情况表</w:t>
      </w:r>
      <w:r>
        <w:rPr>
          <w:b w:val="0"/>
          <w:bCs w:val="0"/>
        </w:rPr>
      </w:r>
    </w:p>
    <w:p>
      <w:pPr>
        <w:spacing w:before="30"/>
        <w:ind w:left="0" w:right="231"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股</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4"/>
        <w:gridCol w:w="1276"/>
        <w:gridCol w:w="1134"/>
        <w:gridCol w:w="709"/>
        <w:gridCol w:w="710"/>
        <w:gridCol w:w="566"/>
        <w:gridCol w:w="1134"/>
        <w:gridCol w:w="577"/>
      </w:tblGrid>
      <w:tr>
        <w:trPr>
          <w:trHeight w:val="244"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前十名股东持股情况</w:t>
            </w:r>
          </w:p>
        </w:tc>
      </w:tr>
      <w:tr>
        <w:trPr>
          <w:trHeight w:val="244" w:hRule="exact"/>
        </w:trPr>
        <w:tc>
          <w:tcPr>
            <w:tcW w:w="29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股东名称</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（全称）</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41" w:right="183" w:hanging="361"/>
              <w:jc w:val="left"/>
              <w:rPr>
                <w:rFonts w:ascii="宋体" w:hAnsi="宋体" w:cs="宋体" w:eastAsia="宋体" w:hint="default"/>
                <w:sz w:val="18"/>
                <w:szCs w:val="18"/>
              </w:rPr>
            </w:pPr>
            <w:r>
              <w:rPr>
                <w:rFonts w:ascii="宋体" w:hAnsi="宋体" w:cs="宋体" w:eastAsia="宋体" w:hint="default"/>
                <w:sz w:val="18"/>
                <w:szCs w:val="18"/>
              </w:rPr>
              <w:t>报告期内增 减</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70" w:right="113" w:hanging="360"/>
              <w:jc w:val="left"/>
              <w:rPr>
                <w:rFonts w:ascii="宋体" w:hAnsi="宋体" w:cs="宋体" w:eastAsia="宋体" w:hint="default"/>
                <w:sz w:val="18"/>
                <w:szCs w:val="18"/>
              </w:rPr>
            </w:pPr>
            <w:r>
              <w:rPr>
                <w:rFonts w:ascii="宋体" w:hAnsi="宋体" w:cs="宋体" w:eastAsia="宋体" w:hint="default"/>
                <w:sz w:val="18"/>
                <w:szCs w:val="18"/>
              </w:rPr>
              <w:t>期末持股数 量</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13" w:right="169"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710" w:type="dxa"/>
            <w:vMerge w:val="restart"/>
            <w:tcBorders>
              <w:top w:val="single" w:sz="4" w:space="0" w:color="000000"/>
              <w:left w:val="single" w:sz="4" w:space="0" w:color="000000"/>
              <w:right w:val="single" w:sz="4" w:space="0" w:color="000000"/>
            </w:tcBorders>
          </w:tcPr>
          <w:p>
            <w:pPr>
              <w:pStyle w:val="TableParagraph"/>
              <w:spacing w:line="205" w:lineRule="exact"/>
              <w:ind w:left="167" w:right="0"/>
              <w:jc w:val="both"/>
              <w:rPr>
                <w:rFonts w:ascii="宋体" w:hAnsi="宋体" w:cs="宋体" w:eastAsia="宋体" w:hint="default"/>
                <w:sz w:val="18"/>
                <w:szCs w:val="18"/>
              </w:rPr>
            </w:pPr>
            <w:r>
              <w:rPr>
                <w:rFonts w:ascii="宋体" w:hAnsi="宋体" w:cs="宋体" w:eastAsia="宋体" w:hint="default"/>
                <w:sz w:val="18"/>
                <w:szCs w:val="18"/>
              </w:rPr>
              <w:t>持有</w:t>
            </w:r>
          </w:p>
          <w:p>
            <w:pPr>
              <w:pStyle w:val="TableParagraph"/>
              <w:spacing w:line="237" w:lineRule="auto" w:before="1"/>
              <w:ind w:left="167" w:right="171"/>
              <w:jc w:val="both"/>
              <w:rPr>
                <w:rFonts w:ascii="宋体" w:hAnsi="宋体" w:cs="宋体" w:eastAsia="宋体" w:hint="default"/>
                <w:sz w:val="18"/>
                <w:szCs w:val="18"/>
              </w:rPr>
            </w:pPr>
            <w:r>
              <w:rPr>
                <w:rFonts w:ascii="宋体" w:hAnsi="宋体" w:cs="宋体" w:eastAsia="宋体" w:hint="default"/>
                <w:sz w:val="18"/>
                <w:szCs w:val="18"/>
              </w:rPr>
              <w:t>有限 售条 件股 份数 量</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c>
          <w:tcPr>
            <w:tcW w:w="5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2" w:right="103"/>
              <w:jc w:val="left"/>
              <w:rPr>
                <w:rFonts w:ascii="宋体" w:hAnsi="宋体" w:cs="宋体" w:eastAsia="宋体" w:hint="default"/>
                <w:sz w:val="18"/>
                <w:szCs w:val="18"/>
              </w:rPr>
            </w:pPr>
            <w:r>
              <w:rPr>
                <w:rFonts w:ascii="宋体" w:hAnsi="宋体" w:cs="宋体" w:eastAsia="宋体" w:hint="default"/>
                <w:sz w:val="18"/>
                <w:szCs w:val="18"/>
              </w:rPr>
              <w:t>股东 性质</w:t>
            </w:r>
          </w:p>
        </w:tc>
      </w:tr>
      <w:tr>
        <w:trPr>
          <w:trHeight w:val="1167" w:hRule="exact"/>
        </w:trPr>
        <w:tc>
          <w:tcPr>
            <w:tcW w:w="2944"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3"/>
              <w:ind w:left="187" w:right="187"/>
              <w:jc w:val="both"/>
              <w:rPr>
                <w:rFonts w:ascii="宋体" w:hAnsi="宋体" w:cs="宋体" w:eastAsia="宋体" w:hint="default"/>
                <w:sz w:val="18"/>
                <w:szCs w:val="18"/>
              </w:rPr>
            </w:pPr>
            <w:r>
              <w:rPr>
                <w:rFonts w:ascii="宋体" w:hAnsi="宋体" w:cs="宋体" w:eastAsia="宋体" w:hint="default"/>
                <w:sz w:val="18"/>
                <w:szCs w:val="18"/>
              </w:rPr>
              <w:t>股 份 状 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577" w:type="dxa"/>
            <w:vMerge/>
            <w:tcBorders>
              <w:left w:val="single" w:sz="4" w:space="0" w:color="000000"/>
              <w:bottom w:val="single" w:sz="4" w:space="0" w:color="000000"/>
              <w:right w:val="single" w:sz="4" w:space="0" w:color="000000"/>
            </w:tcBorders>
          </w:tcPr>
          <w:p>
            <w:pPr/>
          </w:p>
        </w:tc>
      </w:tr>
      <w:tr>
        <w:trPr>
          <w:trHeight w:val="710"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王维航</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-1,650,000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5" w:right="0"/>
              <w:jc w:val="center"/>
              <w:rPr>
                <w:rFonts w:ascii="宋体" w:hAnsi="宋体" w:cs="宋体" w:eastAsia="宋体" w:hint="default"/>
                <w:sz w:val="18"/>
                <w:szCs w:val="18"/>
              </w:rPr>
            </w:pPr>
            <w:r>
              <w:rPr>
                <w:rFonts w:ascii="宋体"/>
                <w:sz w:val="18"/>
              </w:rPr>
              <w:t>62,937,446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9.81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87" w:right="187"/>
              <w:jc w:val="center"/>
              <w:rPr>
                <w:rFonts w:ascii="宋体" w:hAnsi="宋体" w:cs="宋体" w:eastAsia="宋体" w:hint="default"/>
                <w:sz w:val="18"/>
                <w:szCs w:val="18"/>
              </w:rPr>
            </w:pPr>
            <w:r>
              <w:rPr>
                <w:rFonts w:ascii="宋体" w:hAnsi="宋体" w:cs="宋体" w:eastAsia="宋体" w:hint="default"/>
                <w:sz w:val="18"/>
                <w:szCs w:val="18"/>
              </w:rPr>
              <w:t>质 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17,824,054</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境内</w:t>
            </w:r>
          </w:p>
          <w:p>
            <w:pPr>
              <w:pStyle w:val="TableParagraph"/>
              <w:spacing w:line="240" w:lineRule="auto"/>
              <w:ind w:left="102" w:right="103"/>
              <w:jc w:val="left"/>
              <w:rPr>
                <w:rFonts w:ascii="宋体" w:hAnsi="宋体" w:cs="宋体" w:eastAsia="宋体" w:hint="default"/>
                <w:sz w:val="18"/>
                <w:szCs w:val="18"/>
              </w:rPr>
            </w:pPr>
            <w:r>
              <w:rPr>
                <w:rFonts w:ascii="宋体" w:hAnsi="宋体" w:cs="宋体" w:eastAsia="宋体" w:hint="default"/>
                <w:sz w:val="18"/>
                <w:szCs w:val="18"/>
              </w:rPr>
              <w:t>自然 人</w:t>
            </w:r>
          </w:p>
        </w:tc>
      </w:tr>
      <w:tr>
        <w:trPr>
          <w:trHeight w:val="710"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胡联奎</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-12,606,423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5" w:right="0"/>
              <w:jc w:val="center"/>
              <w:rPr>
                <w:rFonts w:ascii="宋体" w:hAnsi="宋体" w:cs="宋体" w:eastAsia="宋体" w:hint="default"/>
                <w:sz w:val="18"/>
                <w:szCs w:val="18"/>
              </w:rPr>
            </w:pPr>
            <w:r>
              <w:rPr>
                <w:rFonts w:ascii="宋体"/>
                <w:sz w:val="18"/>
              </w:rPr>
              <w:t>17,824,054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2.78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87" w:right="187"/>
              <w:jc w:val="center"/>
              <w:rPr>
                <w:rFonts w:ascii="宋体" w:hAnsi="宋体" w:cs="宋体" w:eastAsia="宋体" w:hint="default"/>
                <w:sz w:val="18"/>
                <w:szCs w:val="18"/>
              </w:rPr>
            </w:pPr>
            <w:r>
              <w:rPr>
                <w:rFonts w:ascii="宋体" w:hAnsi="宋体" w:cs="宋体" w:eastAsia="宋体" w:hint="default"/>
                <w:sz w:val="18"/>
                <w:szCs w:val="18"/>
              </w:rPr>
              <w:t>质 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17,824,054</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境内</w:t>
            </w:r>
          </w:p>
          <w:p>
            <w:pPr>
              <w:pStyle w:val="TableParagraph"/>
              <w:spacing w:line="240" w:lineRule="auto"/>
              <w:ind w:left="102" w:right="103"/>
              <w:jc w:val="left"/>
              <w:rPr>
                <w:rFonts w:ascii="宋体" w:hAnsi="宋体" w:cs="宋体" w:eastAsia="宋体" w:hint="default"/>
                <w:sz w:val="18"/>
                <w:szCs w:val="18"/>
              </w:rPr>
            </w:pPr>
            <w:r>
              <w:rPr>
                <w:rFonts w:ascii="宋体" w:hAnsi="宋体" w:cs="宋体" w:eastAsia="宋体" w:hint="default"/>
                <w:sz w:val="18"/>
                <w:szCs w:val="18"/>
              </w:rPr>
              <w:t>自然 人</w:t>
            </w:r>
          </w:p>
        </w:tc>
      </w:tr>
      <w:tr>
        <w:trPr>
          <w:trHeight w:val="710"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刘燕京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 w:right="0"/>
              <w:jc w:val="center"/>
              <w:rPr>
                <w:rFonts w:ascii="宋体" w:hAnsi="宋体" w:cs="宋体" w:eastAsia="宋体" w:hint="default"/>
                <w:sz w:val="18"/>
                <w:szCs w:val="18"/>
              </w:rPr>
            </w:pPr>
            <w:r>
              <w:rPr>
                <w:rFonts w:ascii="宋体"/>
                <w:sz w:val="18"/>
              </w:rPr>
              <w:t>17,694,610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2.76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87" w:right="187"/>
              <w:jc w:val="center"/>
              <w:rPr>
                <w:rFonts w:ascii="宋体" w:hAnsi="宋体" w:cs="宋体" w:eastAsia="宋体" w:hint="default"/>
                <w:sz w:val="18"/>
                <w:szCs w:val="18"/>
              </w:rPr>
            </w:pPr>
            <w:r>
              <w:rPr>
                <w:rFonts w:ascii="宋体" w:hAnsi="宋体" w:cs="宋体" w:eastAsia="宋体" w:hint="default"/>
                <w:sz w:val="18"/>
                <w:szCs w:val="18"/>
              </w:rPr>
              <w:t>未 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无</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境内</w:t>
            </w:r>
          </w:p>
          <w:p>
            <w:pPr>
              <w:pStyle w:val="TableParagraph"/>
              <w:spacing w:line="240" w:lineRule="auto"/>
              <w:ind w:left="102" w:right="103"/>
              <w:jc w:val="left"/>
              <w:rPr>
                <w:rFonts w:ascii="宋体" w:hAnsi="宋体" w:cs="宋体" w:eastAsia="宋体" w:hint="default"/>
                <w:sz w:val="18"/>
                <w:szCs w:val="18"/>
              </w:rPr>
            </w:pPr>
            <w:r>
              <w:rPr>
                <w:rFonts w:ascii="宋体" w:hAnsi="宋体" w:cs="宋体" w:eastAsia="宋体" w:hint="default"/>
                <w:sz w:val="18"/>
                <w:szCs w:val="18"/>
              </w:rPr>
              <w:t>自然 人</w:t>
            </w:r>
          </w:p>
        </w:tc>
      </w:tr>
      <w:tr>
        <w:trPr>
          <w:trHeight w:val="476"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中国高新投资集团公司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-1,662,457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center"/>
              <w:rPr>
                <w:rFonts w:ascii="宋体" w:hAnsi="宋体" w:cs="宋体" w:eastAsia="宋体" w:hint="default"/>
                <w:sz w:val="18"/>
                <w:szCs w:val="18"/>
              </w:rPr>
            </w:pPr>
            <w:r>
              <w:rPr>
                <w:rFonts w:ascii="宋体"/>
                <w:sz w:val="18"/>
              </w:rPr>
              <w:t>9,140,000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1.43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未</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未知</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710"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李日松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7,205,200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5" w:right="0"/>
              <w:jc w:val="center"/>
              <w:rPr>
                <w:rFonts w:ascii="宋体" w:hAnsi="宋体" w:cs="宋体" w:eastAsia="宋体" w:hint="default"/>
                <w:sz w:val="18"/>
                <w:szCs w:val="18"/>
              </w:rPr>
            </w:pPr>
            <w:r>
              <w:rPr>
                <w:rFonts w:ascii="宋体"/>
                <w:sz w:val="18"/>
              </w:rPr>
              <w:t>7,205,200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1.12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7" w:right="187"/>
              <w:jc w:val="center"/>
              <w:rPr>
                <w:rFonts w:ascii="宋体" w:hAnsi="宋体" w:cs="宋体" w:eastAsia="宋体" w:hint="default"/>
                <w:sz w:val="18"/>
                <w:szCs w:val="18"/>
              </w:rPr>
            </w:pPr>
            <w:r>
              <w:rPr>
                <w:rFonts w:ascii="宋体" w:hAnsi="宋体" w:cs="宋体" w:eastAsia="宋体" w:hint="default"/>
                <w:sz w:val="18"/>
                <w:szCs w:val="18"/>
              </w:rPr>
              <w:t>未 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hAnsi="宋体" w:cs="宋体" w:eastAsia="宋体" w:hint="default"/>
                <w:sz w:val="18"/>
                <w:szCs w:val="18"/>
              </w:rPr>
              <w:t>未知</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境内</w:t>
            </w:r>
          </w:p>
          <w:p>
            <w:pPr>
              <w:pStyle w:val="TableParagraph"/>
              <w:spacing w:line="240" w:lineRule="auto"/>
              <w:ind w:left="102" w:right="103"/>
              <w:jc w:val="left"/>
              <w:rPr>
                <w:rFonts w:ascii="宋体" w:hAnsi="宋体" w:cs="宋体" w:eastAsia="宋体" w:hint="default"/>
                <w:sz w:val="18"/>
                <w:szCs w:val="18"/>
              </w:rPr>
            </w:pPr>
            <w:r>
              <w:rPr>
                <w:rFonts w:ascii="宋体" w:hAnsi="宋体" w:cs="宋体" w:eastAsia="宋体" w:hint="default"/>
                <w:sz w:val="18"/>
                <w:szCs w:val="18"/>
              </w:rPr>
              <w:t>自然 人</w:t>
            </w:r>
          </w:p>
        </w:tc>
      </w:tr>
      <w:tr>
        <w:trPr>
          <w:trHeight w:val="710"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富淑梅</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-3,675,715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5" w:right="0"/>
              <w:jc w:val="center"/>
              <w:rPr>
                <w:rFonts w:ascii="宋体" w:hAnsi="宋体" w:cs="宋体" w:eastAsia="宋体" w:hint="default"/>
                <w:sz w:val="18"/>
                <w:szCs w:val="18"/>
              </w:rPr>
            </w:pPr>
            <w:r>
              <w:rPr>
                <w:rFonts w:ascii="宋体"/>
                <w:sz w:val="18"/>
              </w:rPr>
              <w:t>7,066,728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1.10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7" w:right="187"/>
              <w:jc w:val="center"/>
              <w:rPr>
                <w:rFonts w:ascii="宋体" w:hAnsi="宋体" w:cs="宋体" w:eastAsia="宋体" w:hint="default"/>
                <w:sz w:val="18"/>
                <w:szCs w:val="18"/>
              </w:rPr>
            </w:pPr>
            <w:r>
              <w:rPr>
                <w:rFonts w:ascii="宋体" w:hAnsi="宋体" w:cs="宋体" w:eastAsia="宋体" w:hint="default"/>
                <w:sz w:val="18"/>
                <w:szCs w:val="18"/>
              </w:rPr>
              <w:t>未 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hAnsi="宋体" w:cs="宋体" w:eastAsia="宋体" w:hint="default"/>
                <w:sz w:val="18"/>
                <w:szCs w:val="18"/>
              </w:rPr>
              <w:t>未知</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境内</w:t>
            </w:r>
          </w:p>
          <w:p>
            <w:pPr>
              <w:pStyle w:val="TableParagraph"/>
              <w:spacing w:line="240" w:lineRule="auto"/>
              <w:ind w:left="102" w:right="103"/>
              <w:jc w:val="left"/>
              <w:rPr>
                <w:rFonts w:ascii="宋体" w:hAnsi="宋体" w:cs="宋体" w:eastAsia="宋体" w:hint="default"/>
                <w:sz w:val="18"/>
                <w:szCs w:val="18"/>
              </w:rPr>
            </w:pPr>
            <w:r>
              <w:rPr>
                <w:rFonts w:ascii="宋体" w:hAnsi="宋体" w:cs="宋体" w:eastAsia="宋体" w:hint="default"/>
                <w:sz w:val="18"/>
                <w:szCs w:val="18"/>
              </w:rPr>
              <w:t>自然 人</w:t>
            </w:r>
          </w:p>
        </w:tc>
      </w:tr>
      <w:tr>
        <w:trPr>
          <w:trHeight w:val="710"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张仲华</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6,900,146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5" w:right="0"/>
              <w:jc w:val="center"/>
              <w:rPr>
                <w:rFonts w:ascii="宋体" w:hAnsi="宋体" w:cs="宋体" w:eastAsia="宋体" w:hint="default"/>
                <w:sz w:val="18"/>
                <w:szCs w:val="18"/>
              </w:rPr>
            </w:pPr>
            <w:r>
              <w:rPr>
                <w:rFonts w:ascii="宋体"/>
                <w:sz w:val="18"/>
              </w:rPr>
              <w:t>6,900,146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1.08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87" w:right="187"/>
              <w:jc w:val="center"/>
              <w:rPr>
                <w:rFonts w:ascii="宋体" w:hAnsi="宋体" w:cs="宋体" w:eastAsia="宋体" w:hint="default"/>
                <w:sz w:val="18"/>
                <w:szCs w:val="18"/>
              </w:rPr>
            </w:pPr>
            <w:r>
              <w:rPr>
                <w:rFonts w:ascii="宋体" w:hAnsi="宋体" w:cs="宋体" w:eastAsia="宋体" w:hint="default"/>
                <w:sz w:val="18"/>
                <w:szCs w:val="18"/>
              </w:rPr>
              <w:t>未 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hAnsi="宋体" w:cs="宋体" w:eastAsia="宋体" w:hint="default"/>
                <w:sz w:val="18"/>
                <w:szCs w:val="18"/>
              </w:rPr>
              <w:t>未知</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境内</w:t>
            </w:r>
          </w:p>
          <w:p>
            <w:pPr>
              <w:pStyle w:val="TableParagraph"/>
              <w:spacing w:line="240" w:lineRule="auto"/>
              <w:ind w:left="102" w:right="103"/>
              <w:jc w:val="left"/>
              <w:rPr>
                <w:rFonts w:ascii="宋体" w:hAnsi="宋体" w:cs="宋体" w:eastAsia="宋体" w:hint="default"/>
                <w:sz w:val="18"/>
                <w:szCs w:val="18"/>
              </w:rPr>
            </w:pPr>
            <w:r>
              <w:rPr>
                <w:rFonts w:ascii="宋体" w:hAnsi="宋体" w:cs="宋体" w:eastAsia="宋体" w:hint="default"/>
                <w:sz w:val="18"/>
                <w:szCs w:val="18"/>
              </w:rPr>
              <w:t>自然 人</w:t>
            </w:r>
          </w:p>
        </w:tc>
      </w:tr>
      <w:tr>
        <w:trPr>
          <w:trHeight w:val="478"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国联安基金－光大银行－国联安－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圣熙</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号资产管理计划</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6,462,117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5" w:right="0"/>
              <w:jc w:val="center"/>
              <w:rPr>
                <w:rFonts w:ascii="宋体" w:hAnsi="宋体" w:cs="宋体" w:eastAsia="宋体" w:hint="default"/>
                <w:sz w:val="18"/>
                <w:szCs w:val="18"/>
              </w:rPr>
            </w:pPr>
            <w:r>
              <w:rPr>
                <w:rFonts w:ascii="宋体"/>
                <w:sz w:val="18"/>
              </w:rPr>
              <w:t>6,462,117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1.01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未</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hAnsi="宋体" w:cs="宋体" w:eastAsia="宋体" w:hint="default"/>
                <w:sz w:val="18"/>
                <w:szCs w:val="18"/>
              </w:rPr>
              <w:t>未知</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477"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么乃琳</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5,932,617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center"/>
              <w:rPr>
                <w:rFonts w:ascii="宋体" w:hAnsi="宋体" w:cs="宋体" w:eastAsia="宋体" w:hint="default"/>
                <w:sz w:val="18"/>
                <w:szCs w:val="18"/>
              </w:rPr>
            </w:pPr>
            <w:r>
              <w:rPr>
                <w:rFonts w:ascii="宋体"/>
                <w:sz w:val="18"/>
              </w:rPr>
              <w:t>5,932,617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0.93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未</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hAnsi="宋体" w:cs="宋体" w:eastAsia="宋体" w:hint="default"/>
                <w:sz w:val="18"/>
                <w:szCs w:val="18"/>
              </w:rPr>
              <w:t>未知</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710"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华融国际信托有限责任公司</w:t>
            </w:r>
            <w:r>
              <w:rPr>
                <w:rFonts w:ascii="宋体" w:hAnsi="宋体" w:cs="宋体" w:eastAsia="宋体" w:hint="default"/>
                <w:sz w:val="18"/>
                <w:szCs w:val="18"/>
              </w:rPr>
              <w:t>-</w:t>
            </w:r>
            <w:r>
              <w:rPr>
                <w:rFonts w:ascii="宋体" w:hAnsi="宋体" w:cs="宋体" w:eastAsia="宋体" w:hint="default"/>
                <w:sz w:val="18"/>
                <w:szCs w:val="18"/>
              </w:rPr>
              <w:t>华</w:t>
            </w:r>
          </w:p>
          <w:p>
            <w:pPr>
              <w:pStyle w:val="TableParagraph"/>
              <w:spacing w:line="232" w:lineRule="exact" w:before="24"/>
              <w:ind w:left="103" w:right="128"/>
              <w:jc w:val="left"/>
              <w:rPr>
                <w:rFonts w:ascii="宋体" w:hAnsi="宋体" w:cs="宋体" w:eastAsia="宋体" w:hint="default"/>
                <w:sz w:val="18"/>
                <w:szCs w:val="18"/>
              </w:rPr>
            </w:pPr>
            <w:r>
              <w:rPr>
                <w:rFonts w:ascii="宋体" w:hAnsi="宋体" w:cs="宋体" w:eastAsia="宋体" w:hint="default"/>
                <w:sz w:val="18"/>
                <w:szCs w:val="18"/>
              </w:rPr>
              <w:t>融·聖熙</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号证券投资集合资金信 托计划</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5,799,860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center"/>
              <w:rPr>
                <w:rFonts w:ascii="宋体" w:hAnsi="宋体" w:cs="宋体" w:eastAsia="宋体" w:hint="default"/>
                <w:sz w:val="18"/>
                <w:szCs w:val="18"/>
              </w:rPr>
            </w:pPr>
            <w:r>
              <w:rPr>
                <w:rFonts w:ascii="宋体"/>
                <w:sz w:val="18"/>
              </w:rPr>
              <w:t>5,799,860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0.90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87" w:right="187"/>
              <w:jc w:val="center"/>
              <w:rPr>
                <w:rFonts w:ascii="宋体" w:hAnsi="宋体" w:cs="宋体" w:eastAsia="宋体" w:hint="default"/>
                <w:sz w:val="18"/>
                <w:szCs w:val="18"/>
              </w:rPr>
            </w:pPr>
            <w:r>
              <w:rPr>
                <w:rFonts w:ascii="宋体" w:hAnsi="宋体" w:cs="宋体" w:eastAsia="宋体" w:hint="default"/>
                <w:sz w:val="18"/>
                <w:szCs w:val="18"/>
              </w:rPr>
              <w:t>未 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未知</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未知</w:t>
            </w:r>
          </w:p>
        </w:tc>
      </w:tr>
    </w:tbl>
    <w:p>
      <w:pPr>
        <w:spacing w:after="0" w:line="205" w:lineRule="exact"/>
        <w:jc w:val="center"/>
        <w:rPr>
          <w:rFonts w:ascii="宋体" w:hAnsi="宋体" w:cs="宋体" w:eastAsia="宋体" w:hint="default"/>
          <w:sz w:val="18"/>
          <w:szCs w:val="18"/>
        </w:rPr>
        <w:sectPr>
          <w:pgSz w:w="11910" w:h="16840"/>
          <w:pgMar w:header="882" w:footer="1194" w:top="1080" w:bottom="1380" w:left="1580" w:right="10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802"/>
        <w:gridCol w:w="2693"/>
        <w:gridCol w:w="2906"/>
        <w:gridCol w:w="649"/>
      </w:tblGrid>
      <w:tr>
        <w:trPr>
          <w:trHeight w:val="244"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前十名无限售条件股东持股情况</w:t>
            </w:r>
          </w:p>
        </w:tc>
      </w:tr>
      <w:tr>
        <w:trPr>
          <w:trHeight w:val="244" w:hRule="exact"/>
        </w:trPr>
        <w:tc>
          <w:tcPr>
            <w:tcW w:w="2802" w:type="dxa"/>
            <w:vMerge w:val="restart"/>
            <w:tcBorders>
              <w:top w:val="single" w:sz="4" w:space="0" w:color="000000"/>
              <w:left w:val="single" w:sz="4" w:space="0" w:color="000000"/>
              <w:right w:val="single" w:sz="4" w:space="0" w:color="000000"/>
            </w:tcBorders>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693" w:type="dxa"/>
            <w:vMerge w:val="restart"/>
            <w:tcBorders>
              <w:top w:val="single" w:sz="4" w:space="0" w:color="000000"/>
              <w:left w:val="single" w:sz="4" w:space="0" w:color="000000"/>
              <w:right w:val="single" w:sz="4" w:space="0" w:color="000000"/>
            </w:tcBorders>
          </w:tcPr>
          <w:p>
            <w:pPr>
              <w:pStyle w:val="TableParagraph"/>
              <w:spacing w:line="240" w:lineRule="auto" w:before="91"/>
              <w:ind w:left="170" w:right="0"/>
              <w:jc w:val="left"/>
              <w:rPr>
                <w:rFonts w:ascii="宋体" w:hAnsi="宋体" w:cs="宋体" w:eastAsia="宋体" w:hint="default"/>
                <w:sz w:val="18"/>
                <w:szCs w:val="18"/>
              </w:rPr>
            </w:pPr>
            <w:r>
              <w:rPr>
                <w:rFonts w:ascii="宋体" w:hAnsi="宋体" w:cs="宋体" w:eastAsia="宋体" w:hint="default"/>
                <w:sz w:val="18"/>
                <w:szCs w:val="18"/>
              </w:rPr>
              <w:t>持有无限售条件流通股的数量</w:t>
            </w:r>
          </w:p>
        </w:tc>
        <w:tc>
          <w:tcPr>
            <w:tcW w:w="35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42" w:right="0"/>
              <w:jc w:val="left"/>
              <w:rPr>
                <w:rFonts w:ascii="宋体" w:hAnsi="宋体" w:cs="宋体" w:eastAsia="宋体" w:hint="default"/>
                <w:sz w:val="18"/>
                <w:szCs w:val="18"/>
              </w:rPr>
            </w:pPr>
            <w:r>
              <w:rPr>
                <w:rFonts w:ascii="宋体" w:hAnsi="宋体" w:cs="宋体" w:eastAsia="宋体" w:hint="default"/>
                <w:sz w:val="18"/>
                <w:szCs w:val="18"/>
              </w:rPr>
              <w:t>股份种类及数量</w:t>
            </w:r>
          </w:p>
        </w:tc>
      </w:tr>
      <w:tr>
        <w:trPr>
          <w:trHeight w:val="242" w:hRule="exact"/>
        </w:trPr>
        <w:tc>
          <w:tcPr>
            <w:tcW w:w="2802" w:type="dxa"/>
            <w:vMerge/>
            <w:tcBorders>
              <w:left w:val="single" w:sz="4" w:space="0" w:color="000000"/>
              <w:bottom w:val="single" w:sz="4" w:space="0" w:color="000000"/>
              <w:right w:val="single" w:sz="4" w:space="0" w:color="000000"/>
            </w:tcBorders>
          </w:tcPr>
          <w:p>
            <w:pPr/>
          </w:p>
        </w:tc>
        <w:tc>
          <w:tcPr>
            <w:tcW w:w="2693" w:type="dxa"/>
            <w:vMerge/>
            <w:tcBorders>
              <w:left w:val="single" w:sz="4" w:space="0" w:color="000000"/>
              <w:bottom w:val="single" w:sz="4" w:space="0" w:color="000000"/>
              <w:right w:val="single" w:sz="4" w:space="0" w:color="000000"/>
            </w:tcBorders>
          </w:tcPr>
          <w:p>
            <w:pP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9"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44"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王维航</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62,937,446</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64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胡联奎</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17,824,054</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64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刘燕京</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17,694,610</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64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中国高新投资集团公司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9,140,000</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64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李日松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7,205,200</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64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富淑梅</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7,066,728</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64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张仲华</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6,900,146</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64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国联安基金－光大银行－国联安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－圣熙</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号资产管理计划</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6,462,117</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64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么乃琳</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5,932,617</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64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华融国际信托有限责任公司</w:t>
            </w:r>
            <w:r>
              <w:rPr>
                <w:rFonts w:ascii="宋体" w:hAnsi="宋体" w:cs="宋体" w:eastAsia="宋体" w:hint="default"/>
                <w:sz w:val="18"/>
                <w:szCs w:val="18"/>
              </w:rPr>
              <w:t>-</w:t>
            </w:r>
            <w:r>
              <w:rPr>
                <w:rFonts w:ascii="宋体" w:hAnsi="宋体" w:cs="宋体" w:eastAsia="宋体" w:hint="default"/>
                <w:sz w:val="18"/>
                <w:szCs w:val="18"/>
              </w:rPr>
              <w:t>华</w:t>
            </w:r>
          </w:p>
          <w:p>
            <w:pPr>
              <w:pStyle w:val="TableParagraph"/>
              <w:spacing w:line="232" w:lineRule="exact" w:before="24"/>
              <w:ind w:left="103" w:right="167"/>
              <w:jc w:val="left"/>
              <w:rPr>
                <w:rFonts w:ascii="宋体" w:hAnsi="宋体" w:cs="宋体" w:eastAsia="宋体" w:hint="default"/>
                <w:sz w:val="18"/>
                <w:szCs w:val="18"/>
              </w:rPr>
            </w:pPr>
            <w:r>
              <w:rPr>
                <w:rFonts w:ascii="宋体" w:hAnsi="宋体" w:cs="宋体" w:eastAsia="宋体" w:hint="default"/>
                <w:sz w:val="18"/>
                <w:szCs w:val="18"/>
              </w:rPr>
              <w:t>融·聖熙</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号证券投资集合资金 信托计划</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5,799,860</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64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62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3"/>
                <w:sz w:val="18"/>
                <w:szCs w:val="18"/>
              </w:rPr>
              <w:t>未知股东之间是否存在《上市公司股东持股变动信息披露管理办法》中规定的</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一致行动。</w:t>
            </w:r>
          </w:p>
        </w:tc>
      </w:tr>
    </w:tbl>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4" w:top="1080" w:bottom="1380" w:left="1580" w:right="1040"/>
        </w:sectPr>
      </w:pPr>
    </w:p>
    <w:p>
      <w:pPr>
        <w:pStyle w:val="BodyText"/>
        <w:spacing w:line="240" w:lineRule="auto" w:before="26"/>
        <w:ind w:left="218" w:right="-20"/>
        <w:jc w:val="left"/>
      </w:pPr>
      <w:r>
        <w:rPr/>
        <w:t>前十名有限售条件股东持股数量及限售条件</w:t>
      </w:r>
    </w:p>
    <w:p>
      <w:pPr>
        <w:spacing w:line="240" w:lineRule="auto" w:before="2"/>
        <w:rPr>
          <w:rFonts w:ascii="宋体" w:hAnsi="宋体" w:cs="宋体" w:eastAsia="宋体" w:hint="default"/>
          <w:sz w:val="26"/>
          <w:szCs w:val="26"/>
        </w:rPr>
      </w:pPr>
      <w:r>
        <w:rPr/>
        <w:br w:type="column"/>
      </w:r>
      <w:r>
        <w:rPr>
          <w:rFonts w:ascii="宋体"/>
          <w:sz w:val="26"/>
        </w:rPr>
      </w:r>
    </w:p>
    <w:p>
      <w:pPr>
        <w:spacing w:before="0"/>
        <w:ind w:left="217"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080" w:bottom="1380" w:left="1580" w:right="1040"/>
          <w:cols w:num="2" w:equalWidth="0">
            <w:col w:w="4779" w:space="3215"/>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52"/>
        <w:gridCol w:w="1018"/>
        <w:gridCol w:w="992"/>
        <w:gridCol w:w="850"/>
        <w:gridCol w:w="1135"/>
        <w:gridCol w:w="4392"/>
      </w:tblGrid>
      <w:tr>
        <w:trPr>
          <w:trHeight w:val="476" w:hRule="exact"/>
        </w:trPr>
        <w:tc>
          <w:tcPr>
            <w:tcW w:w="6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01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37" w:lineRule="auto"/>
              <w:ind w:left="142" w:right="143"/>
              <w:jc w:val="center"/>
              <w:rPr>
                <w:rFonts w:ascii="宋体" w:hAnsi="宋体" w:cs="宋体" w:eastAsia="宋体" w:hint="default"/>
                <w:sz w:val="18"/>
                <w:szCs w:val="18"/>
              </w:rPr>
            </w:pPr>
            <w:r>
              <w:rPr>
                <w:rFonts w:ascii="宋体" w:hAnsi="宋体" w:cs="宋体" w:eastAsia="宋体" w:hint="default"/>
                <w:sz w:val="18"/>
                <w:szCs w:val="18"/>
              </w:rPr>
              <w:t>有限售条 件股东名 称</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37" w:lineRule="auto"/>
              <w:ind w:left="129" w:right="131"/>
              <w:jc w:val="both"/>
              <w:rPr>
                <w:rFonts w:ascii="宋体" w:hAnsi="宋体" w:cs="宋体" w:eastAsia="宋体" w:hint="default"/>
                <w:sz w:val="18"/>
                <w:szCs w:val="18"/>
              </w:rPr>
            </w:pPr>
            <w:r>
              <w:rPr>
                <w:rFonts w:ascii="宋体" w:hAnsi="宋体" w:cs="宋体" w:eastAsia="宋体" w:hint="default"/>
                <w:sz w:val="18"/>
                <w:szCs w:val="18"/>
              </w:rPr>
              <w:t>持有的有 限售条件 股份数量</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16" w:right="0"/>
              <w:jc w:val="left"/>
              <w:rPr>
                <w:rFonts w:ascii="宋体" w:hAnsi="宋体" w:cs="宋体" w:eastAsia="宋体" w:hint="default"/>
                <w:sz w:val="18"/>
                <w:szCs w:val="18"/>
              </w:rPr>
            </w:pPr>
            <w:r>
              <w:rPr>
                <w:rFonts w:ascii="宋体" w:hAnsi="宋体" w:cs="宋体" w:eastAsia="宋体" w:hint="default"/>
                <w:sz w:val="18"/>
                <w:szCs w:val="18"/>
              </w:rPr>
              <w:t>有限售条件股</w:t>
            </w:r>
          </w:p>
          <w:p>
            <w:pPr>
              <w:pStyle w:val="TableParagraph"/>
              <w:spacing w:line="235" w:lineRule="exact"/>
              <w:ind w:left="266" w:right="0"/>
              <w:jc w:val="left"/>
              <w:rPr>
                <w:rFonts w:ascii="宋体" w:hAnsi="宋体" w:cs="宋体" w:eastAsia="宋体" w:hint="default"/>
                <w:sz w:val="18"/>
                <w:szCs w:val="18"/>
              </w:rPr>
            </w:pPr>
            <w:r>
              <w:rPr>
                <w:rFonts w:ascii="宋体" w:hAnsi="宋体" w:cs="宋体" w:eastAsia="宋体" w:hint="default"/>
                <w:sz w:val="18"/>
                <w:szCs w:val="18"/>
              </w:rPr>
              <w:t>份可上市交易情况</w:t>
            </w:r>
          </w:p>
        </w:tc>
        <w:tc>
          <w:tcPr>
            <w:tcW w:w="43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限售条件</w:t>
            </w:r>
          </w:p>
        </w:tc>
      </w:tr>
      <w:tr>
        <w:trPr>
          <w:trHeight w:val="710" w:hRule="exact"/>
        </w:trPr>
        <w:tc>
          <w:tcPr>
            <w:tcW w:w="652" w:type="dxa"/>
            <w:vMerge/>
            <w:tcBorders>
              <w:left w:val="single" w:sz="4" w:space="0" w:color="000000"/>
              <w:bottom w:val="single" w:sz="4" w:space="0" w:color="000000"/>
              <w:right w:val="single" w:sz="4" w:space="0" w:color="000000"/>
            </w:tcBorders>
          </w:tcPr>
          <w:p>
            <w:pPr/>
          </w:p>
        </w:tc>
        <w:tc>
          <w:tcPr>
            <w:tcW w:w="1018"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hAnsi="宋体" w:cs="宋体" w:eastAsia="宋体" w:hint="default"/>
                <w:sz w:val="18"/>
                <w:szCs w:val="18"/>
              </w:rPr>
              <w:t>可上市</w:t>
            </w:r>
          </w:p>
          <w:p>
            <w:pPr>
              <w:pStyle w:val="TableParagraph"/>
              <w:spacing w:line="232" w:lineRule="exact" w:before="24"/>
              <w:ind w:left="328" w:right="149" w:hanging="180"/>
              <w:jc w:val="left"/>
              <w:rPr>
                <w:rFonts w:ascii="宋体" w:hAnsi="宋体" w:cs="宋体" w:eastAsia="宋体" w:hint="default"/>
                <w:sz w:val="18"/>
                <w:szCs w:val="18"/>
              </w:rPr>
            </w:pPr>
            <w:r>
              <w:rPr>
                <w:rFonts w:ascii="宋体" w:hAnsi="宋体" w:cs="宋体" w:eastAsia="宋体" w:hint="default"/>
                <w:sz w:val="18"/>
                <w:szCs w:val="18"/>
              </w:rPr>
              <w:t>交易时 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1" w:right="0"/>
              <w:jc w:val="left"/>
              <w:rPr>
                <w:rFonts w:ascii="宋体" w:hAnsi="宋体" w:cs="宋体" w:eastAsia="宋体" w:hint="default"/>
                <w:sz w:val="18"/>
                <w:szCs w:val="18"/>
              </w:rPr>
            </w:pPr>
            <w:r>
              <w:rPr>
                <w:rFonts w:ascii="宋体" w:hAnsi="宋体" w:cs="宋体" w:eastAsia="宋体" w:hint="default"/>
                <w:sz w:val="18"/>
                <w:szCs w:val="18"/>
              </w:rPr>
              <w:t>新增可上市</w:t>
            </w:r>
          </w:p>
          <w:p>
            <w:pPr>
              <w:pStyle w:val="TableParagraph"/>
              <w:spacing w:line="232" w:lineRule="exact" w:before="24"/>
              <w:ind w:left="471" w:right="113" w:hanging="360"/>
              <w:jc w:val="left"/>
              <w:rPr>
                <w:rFonts w:ascii="宋体" w:hAnsi="宋体" w:cs="宋体" w:eastAsia="宋体" w:hint="default"/>
                <w:sz w:val="18"/>
                <w:szCs w:val="18"/>
              </w:rPr>
            </w:pPr>
            <w:r>
              <w:rPr>
                <w:rFonts w:ascii="宋体" w:hAnsi="宋体" w:cs="宋体" w:eastAsia="宋体" w:hint="default"/>
                <w:sz w:val="18"/>
                <w:szCs w:val="18"/>
              </w:rPr>
              <w:t>交易股份数 量</w:t>
            </w:r>
          </w:p>
        </w:tc>
        <w:tc>
          <w:tcPr>
            <w:tcW w:w="4392" w:type="dxa"/>
            <w:vMerge/>
            <w:tcBorders>
              <w:left w:val="single" w:sz="4" w:space="0" w:color="000000"/>
              <w:bottom w:val="single" w:sz="4" w:space="0" w:color="000000"/>
              <w:right w:val="single" w:sz="4" w:space="0" w:color="000000"/>
            </w:tcBorders>
          </w:tcPr>
          <w:p>
            <w:pPr/>
          </w:p>
        </w:tc>
      </w:tr>
      <w:tr>
        <w:trPr>
          <w:trHeight w:val="355"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杨俏丛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660,150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439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02" w:right="138"/>
              <w:jc w:val="left"/>
              <w:rPr>
                <w:rFonts w:ascii="宋体" w:hAnsi="宋体" w:cs="宋体" w:eastAsia="宋体" w:hint="default"/>
                <w:sz w:val="18"/>
                <w:szCs w:val="18"/>
              </w:rPr>
            </w:pPr>
            <w:r>
              <w:rPr>
                <w:rFonts w:ascii="宋体" w:hAnsi="宋体" w:cs="宋体" w:eastAsia="宋体" w:hint="default"/>
                <w:sz w:val="18"/>
                <w:szCs w:val="18"/>
              </w:rPr>
              <w:t>解锁期内，激励对象申请根据本股权激励计划获授的 标的股票的解锁，必须同时满足以下条件： </w:t>
            </w:r>
            <w:r>
              <w:rPr>
                <w:rFonts w:ascii="宋体" w:hAnsi="宋体" w:cs="宋体" w:eastAsia="宋体" w:hint="default"/>
                <w:sz w:val="18"/>
                <w:szCs w:val="18"/>
              </w:rPr>
              <w:t>1</w:t>
            </w:r>
            <w:r>
              <w:rPr>
                <w:rFonts w:ascii="宋体" w:hAnsi="宋体" w:cs="宋体" w:eastAsia="宋体" w:hint="default"/>
                <w:sz w:val="18"/>
                <w:szCs w:val="18"/>
              </w:rPr>
              <w:t>、华胜天成未发生如下任一情形：</w:t>
            </w:r>
          </w:p>
          <w:p>
            <w:pPr>
              <w:pStyle w:val="TableParagraph"/>
              <w:spacing w:line="234" w:lineRule="exact" w:before="20"/>
              <w:ind w:left="102" w:right="102"/>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）公司最近一个会计年度财务会计报告被注册会计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师出具否定意见或者无法表示意见的审计报告；</w:t>
            </w:r>
          </w:p>
          <w:p>
            <w:pPr>
              <w:pStyle w:val="TableParagraph"/>
              <w:spacing w:line="232" w:lineRule="exact" w:before="1"/>
              <w:ind w:left="102" w:right="102"/>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w:t>
            </w:r>
            <w:r>
              <w:rPr>
                <w:rFonts w:ascii="宋体" w:hAnsi="宋体" w:cs="宋体" w:eastAsia="宋体" w:hint="default"/>
                <w:spacing w:val="-3"/>
                <w:sz w:val="18"/>
                <w:szCs w:val="18"/>
              </w:rPr>
              <w:t>）公司最近一年内因重大违法违规行为被中国证监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会予以行政处罚；</w:t>
            </w:r>
          </w:p>
          <w:p>
            <w:pPr>
              <w:pStyle w:val="TableParagraph"/>
              <w:spacing w:line="232" w:lineRule="exact" w:before="2"/>
              <w:ind w:left="102" w:right="1488"/>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）中国证监会认定的其他情形。 </w:t>
            </w:r>
            <w:r>
              <w:rPr>
                <w:rFonts w:ascii="宋体" w:hAnsi="宋体" w:cs="宋体" w:eastAsia="宋体" w:hint="default"/>
                <w:sz w:val="18"/>
                <w:szCs w:val="18"/>
              </w:rPr>
              <w:t>2</w:t>
            </w:r>
            <w:r>
              <w:rPr>
                <w:rFonts w:ascii="宋体" w:hAnsi="宋体" w:cs="宋体" w:eastAsia="宋体" w:hint="default"/>
                <w:sz w:val="18"/>
                <w:szCs w:val="18"/>
              </w:rPr>
              <w:t>、激励对象未发生如下任一情形：</w:t>
            </w:r>
          </w:p>
          <w:p>
            <w:pPr>
              <w:pStyle w:val="TableParagraph"/>
              <w:spacing w:line="232" w:lineRule="exact" w:before="2"/>
              <w:ind w:left="102" w:right="102"/>
              <w:jc w:val="left"/>
              <w:rPr>
                <w:rFonts w:ascii="宋体" w:hAnsi="宋体" w:cs="宋体" w:eastAsia="宋体" w:hint="default"/>
                <w:sz w:val="18"/>
                <w:szCs w:val="18"/>
              </w:rPr>
            </w:pPr>
            <w:r>
              <w:rPr>
                <w:rFonts w:ascii="宋体" w:hAnsi="宋体" w:cs="宋体" w:eastAsia="宋体" w:hint="default"/>
                <w:spacing w:val="-11"/>
                <w:sz w:val="18"/>
                <w:szCs w:val="18"/>
              </w:rPr>
              <w:t>（</w:t>
            </w:r>
            <w:r>
              <w:rPr>
                <w:rFonts w:ascii="宋体" w:hAnsi="宋体" w:cs="宋体" w:eastAsia="宋体" w:hint="default"/>
                <w:spacing w:val="-11"/>
                <w:sz w:val="18"/>
                <w:szCs w:val="18"/>
              </w:rPr>
              <w:t>1</w:t>
            </w:r>
            <w:r>
              <w:rPr>
                <w:rFonts w:ascii="宋体" w:hAnsi="宋体" w:cs="宋体" w:eastAsia="宋体" w:hint="default"/>
                <w:spacing w:val="-11"/>
                <w:sz w:val="18"/>
                <w:szCs w:val="18"/>
              </w:rPr>
              <w:t>）最近</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年内被证券交易所公开谴责或宣布为不适 当人选的；</w:t>
            </w:r>
          </w:p>
          <w:p>
            <w:pPr>
              <w:pStyle w:val="TableParagraph"/>
              <w:spacing w:line="213" w:lineRule="exact"/>
              <w:ind w:left="102" w:right="0"/>
              <w:jc w:val="left"/>
              <w:rPr>
                <w:rFonts w:ascii="宋体" w:hAnsi="宋体" w:cs="宋体" w:eastAsia="宋体" w:hint="default"/>
                <w:sz w:val="18"/>
                <w:szCs w:val="18"/>
              </w:rPr>
            </w:pPr>
            <w:r>
              <w:rPr>
                <w:rFonts w:ascii="宋体" w:hAnsi="宋体" w:cs="宋体" w:eastAsia="宋体" w:hint="default"/>
                <w:spacing w:val="-11"/>
                <w:sz w:val="18"/>
                <w:szCs w:val="18"/>
              </w:rPr>
              <w:t>（</w:t>
            </w:r>
            <w:r>
              <w:rPr>
                <w:rFonts w:ascii="宋体" w:hAnsi="宋体" w:cs="宋体" w:eastAsia="宋体" w:hint="default"/>
                <w:spacing w:val="-11"/>
                <w:sz w:val="18"/>
                <w:szCs w:val="18"/>
              </w:rPr>
              <w:t>2</w:t>
            </w:r>
            <w:r>
              <w:rPr>
                <w:rFonts w:ascii="宋体" w:hAnsi="宋体" w:cs="宋体" w:eastAsia="宋体" w:hint="default"/>
                <w:spacing w:val="-11"/>
                <w:sz w:val="18"/>
                <w:szCs w:val="18"/>
              </w:rPr>
              <w:t>）最近</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年内因重大违法违规行为被中国证监会予</w:t>
            </w:r>
          </w:p>
        </w:tc>
      </w:tr>
      <w:tr>
        <w:trPr>
          <w:trHeight w:val="356"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陈朝晖</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396,090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0</w:t>
            </w:r>
          </w:p>
        </w:tc>
        <w:tc>
          <w:tcPr>
            <w:tcW w:w="4392" w:type="dxa"/>
            <w:vMerge/>
            <w:tcBorders>
              <w:left w:val="single" w:sz="4" w:space="0" w:color="000000"/>
              <w:right w:val="single" w:sz="4" w:space="0" w:color="000000"/>
            </w:tcBorders>
          </w:tcPr>
          <w:p>
            <w:pPr/>
          </w:p>
        </w:tc>
      </w:tr>
      <w:tr>
        <w:trPr>
          <w:trHeight w:val="355"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杜欣</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349,880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4392" w:type="dxa"/>
            <w:vMerge/>
            <w:tcBorders>
              <w:left w:val="single" w:sz="4" w:space="0" w:color="000000"/>
              <w:right w:val="single" w:sz="4" w:space="0" w:color="000000"/>
            </w:tcBorders>
          </w:tcPr>
          <w:p>
            <w:pPr/>
          </w:p>
        </w:tc>
      </w:tr>
      <w:tr>
        <w:trPr>
          <w:trHeight w:val="354"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4</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崔勇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343,278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4392" w:type="dxa"/>
            <w:vMerge/>
            <w:tcBorders>
              <w:left w:val="single" w:sz="4" w:space="0" w:color="000000"/>
              <w:right w:val="single" w:sz="4" w:space="0" w:color="000000"/>
            </w:tcBorders>
          </w:tcPr>
          <w:p>
            <w:pPr/>
          </w:p>
        </w:tc>
      </w:tr>
      <w:tr>
        <w:trPr>
          <w:trHeight w:val="355"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sz w:val="18"/>
              </w:rPr>
              <w:t>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沈志明</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313,571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w:t>
            </w:r>
          </w:p>
        </w:tc>
        <w:tc>
          <w:tcPr>
            <w:tcW w:w="4392" w:type="dxa"/>
            <w:vMerge/>
            <w:tcBorders>
              <w:left w:val="single" w:sz="4" w:space="0" w:color="000000"/>
              <w:right w:val="single" w:sz="4" w:space="0" w:color="000000"/>
            </w:tcBorders>
          </w:tcPr>
          <w:p>
            <w:pPr/>
          </w:p>
        </w:tc>
      </w:tr>
      <w:tr>
        <w:trPr>
          <w:trHeight w:val="355"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sz w:val="18"/>
              </w:rPr>
              <w:t>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任国华</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300,368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w:t>
            </w:r>
          </w:p>
        </w:tc>
        <w:tc>
          <w:tcPr>
            <w:tcW w:w="4392" w:type="dxa"/>
            <w:vMerge/>
            <w:tcBorders>
              <w:left w:val="single" w:sz="4" w:space="0" w:color="000000"/>
              <w:right w:val="single" w:sz="4" w:space="0" w:color="000000"/>
            </w:tcBorders>
          </w:tcPr>
          <w:p>
            <w:pPr/>
          </w:p>
        </w:tc>
      </w:tr>
      <w:tr>
        <w:trPr>
          <w:trHeight w:val="355"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梁钢</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178,241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4392" w:type="dxa"/>
            <w:vMerge/>
            <w:tcBorders>
              <w:left w:val="single" w:sz="4" w:space="0" w:color="000000"/>
              <w:right w:val="single" w:sz="4" w:space="0" w:color="000000"/>
            </w:tcBorders>
          </w:tcPr>
          <w:p>
            <w:pPr/>
          </w:p>
        </w:tc>
      </w:tr>
      <w:tr>
        <w:trPr>
          <w:trHeight w:val="355"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8</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杨淮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115,526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4392" w:type="dxa"/>
            <w:vMerge/>
            <w:tcBorders>
              <w:left w:val="single" w:sz="4" w:space="0" w:color="000000"/>
              <w:right w:val="single" w:sz="4" w:space="0" w:color="000000"/>
            </w:tcBorders>
          </w:tcPr>
          <w:p>
            <w:pPr/>
          </w:p>
        </w:tc>
      </w:tr>
      <w:tr>
        <w:trPr>
          <w:trHeight w:val="355"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9</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陈强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82,519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4392"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80" w:bottom="1380" w:left="1580" w:right="10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652"/>
        <w:gridCol w:w="1018"/>
        <w:gridCol w:w="992"/>
        <w:gridCol w:w="850"/>
        <w:gridCol w:w="1135"/>
        <w:gridCol w:w="4392"/>
      </w:tblGrid>
      <w:tr>
        <w:trPr>
          <w:trHeight w:val="5146"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罗川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8" w:right="0"/>
              <w:jc w:val="left"/>
              <w:rPr>
                <w:rFonts w:ascii="宋体" w:hAnsi="宋体" w:cs="宋体" w:eastAsia="宋体" w:hint="default"/>
                <w:sz w:val="18"/>
                <w:szCs w:val="18"/>
              </w:rPr>
            </w:pPr>
            <w:r>
              <w:rPr>
                <w:rFonts w:ascii="宋体"/>
                <w:sz w:val="18"/>
              </w:rPr>
              <w:t>66,015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43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以行政处罚的；</w:t>
            </w:r>
          </w:p>
          <w:p>
            <w:pPr>
              <w:pStyle w:val="TableParagraph"/>
              <w:spacing w:line="232" w:lineRule="exact" w:before="24"/>
              <w:ind w:left="102" w:right="102"/>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3</w:t>
            </w:r>
            <w:r>
              <w:rPr>
                <w:rFonts w:ascii="宋体" w:hAnsi="宋体" w:cs="宋体" w:eastAsia="宋体" w:hint="default"/>
                <w:spacing w:val="-3"/>
                <w:sz w:val="18"/>
                <w:szCs w:val="18"/>
              </w:rPr>
              <w:t>）具有《公司法》规定的不得担任公司董事和高级</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管理人员情形的；</w:t>
            </w:r>
          </w:p>
          <w:p>
            <w:pPr>
              <w:pStyle w:val="TableParagraph"/>
              <w:spacing w:line="232" w:lineRule="exact" w:before="2"/>
              <w:ind w:left="102" w:right="48"/>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）公司董事会认定其他严重违反公司有关规定的。 </w:t>
            </w:r>
            <w:r>
              <w:rPr>
                <w:rFonts w:ascii="宋体" w:hAnsi="宋体" w:cs="宋体" w:eastAsia="宋体" w:hint="default"/>
                <w:sz w:val="18"/>
                <w:szCs w:val="18"/>
              </w:rPr>
              <w:t>3</w:t>
            </w:r>
            <w:r>
              <w:rPr>
                <w:rFonts w:ascii="宋体" w:hAnsi="宋体" w:cs="宋体" w:eastAsia="宋体" w:hint="default"/>
                <w:sz w:val="18"/>
                <w:szCs w:val="18"/>
              </w:rPr>
              <w:t>、公司业绩条件：</w:t>
            </w:r>
          </w:p>
          <w:p>
            <w:pPr>
              <w:pStyle w:val="TableParagraph"/>
              <w:spacing w:line="232" w:lineRule="exact" w:before="2"/>
              <w:ind w:left="102" w:right="138"/>
              <w:jc w:val="left"/>
              <w:rPr>
                <w:rFonts w:ascii="宋体" w:hAnsi="宋体" w:cs="宋体" w:eastAsia="宋体" w:hint="default"/>
                <w:sz w:val="18"/>
                <w:szCs w:val="18"/>
              </w:rPr>
            </w:pPr>
            <w:r>
              <w:rPr>
                <w:rFonts w:ascii="宋体" w:hAnsi="宋体" w:cs="宋体" w:eastAsia="宋体" w:hint="default"/>
                <w:sz w:val="18"/>
                <w:szCs w:val="18"/>
              </w:rPr>
              <w:t>对于首次授予的限制性股票，每次解锁需要满足的公 司业绩条件为：</w:t>
            </w:r>
          </w:p>
          <w:p>
            <w:pPr>
              <w:pStyle w:val="TableParagraph"/>
              <w:spacing w:line="232" w:lineRule="exact" w:before="2"/>
              <w:ind w:left="102" w:right="10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）以 </w:t>
            </w:r>
            <w:r>
              <w:rPr>
                <w:rFonts w:ascii="宋体" w:hAnsi="宋体" w:cs="宋体" w:eastAsia="宋体" w:hint="default"/>
                <w:sz w:val="18"/>
                <w:szCs w:val="18"/>
              </w:rPr>
              <w:t>2009</w:t>
            </w:r>
            <w:r>
              <w:rPr>
                <w:rFonts w:ascii="宋体" w:hAnsi="宋体" w:cs="宋体" w:eastAsia="宋体" w:hint="default"/>
                <w:spacing w:val="-55"/>
                <w:sz w:val="18"/>
                <w:szCs w:val="18"/>
              </w:rPr>
              <w:t> </w:t>
            </w:r>
            <w:r>
              <w:rPr>
                <w:rFonts w:ascii="宋体" w:hAnsi="宋体" w:cs="宋体" w:eastAsia="宋体" w:hint="default"/>
                <w:sz w:val="18"/>
                <w:szCs w:val="18"/>
              </w:rPr>
              <w:t>年净利润为固定基数，公司解锁日上一 年度经审计的净利润较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年度的净利润年复合增</w:t>
            </w:r>
          </w:p>
          <w:p>
            <w:pPr>
              <w:pStyle w:val="TableParagraph"/>
              <w:spacing w:line="212" w:lineRule="exact"/>
              <w:ind w:left="102" w:right="0"/>
              <w:jc w:val="left"/>
              <w:rPr>
                <w:rFonts w:ascii="宋体" w:hAnsi="宋体" w:cs="宋体" w:eastAsia="宋体" w:hint="default"/>
                <w:sz w:val="18"/>
                <w:szCs w:val="18"/>
              </w:rPr>
            </w:pPr>
            <w:r>
              <w:rPr>
                <w:rFonts w:ascii="宋体" w:hAnsi="宋体" w:cs="宋体" w:eastAsia="宋体" w:hint="default"/>
                <w:sz w:val="18"/>
                <w:szCs w:val="18"/>
              </w:rPr>
              <w:t>长率达到或超过</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z w:val="18"/>
                <w:szCs w:val="18"/>
              </w:rPr>
              <w:t>；</w:t>
            </w:r>
          </w:p>
          <w:p>
            <w:pPr>
              <w:pStyle w:val="TableParagraph"/>
              <w:spacing w:line="240" w:lineRule="auto"/>
              <w:ind w:left="102" w:right="102"/>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w:t>
            </w:r>
            <w:r>
              <w:rPr>
                <w:rFonts w:ascii="宋体" w:hAnsi="宋体" w:cs="宋体" w:eastAsia="宋体" w:hint="default"/>
                <w:spacing w:val="-3"/>
                <w:sz w:val="18"/>
                <w:szCs w:val="18"/>
              </w:rPr>
              <w:t>）解锁日上一年度归属于上市公司股东的扣除非经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常性损益的净利润不得低于授予日前最近三个会计年 度的平均水平且不得为负；</w:t>
            </w:r>
          </w:p>
          <w:p>
            <w:pPr>
              <w:pStyle w:val="TableParagraph"/>
              <w:spacing w:line="237" w:lineRule="auto"/>
              <w:ind w:left="102" w:right="102"/>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3</w:t>
            </w:r>
            <w:r>
              <w:rPr>
                <w:rFonts w:ascii="宋体" w:hAnsi="宋体" w:cs="宋体" w:eastAsia="宋体" w:hint="default"/>
                <w:spacing w:val="-3"/>
                <w:sz w:val="18"/>
                <w:szCs w:val="18"/>
              </w:rPr>
              <w:t>）解锁日上一年度扣除非经常性损益的加权平均净</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资产收益率不低于</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z w:val="18"/>
                <w:szCs w:val="18"/>
              </w:rPr>
              <w:t>。 其中，净资产收益率与净利润的指标均以扣除非经常 性损益的净利润与不扣除非经常性损益的净利润二者 孰低者作为计算依据，净利润指归属于母公司所有者 的净利润。</w:t>
            </w:r>
          </w:p>
          <w:p>
            <w:pPr>
              <w:pStyle w:val="TableParagraph"/>
              <w:spacing w:line="237" w:lineRule="auto"/>
              <w:ind w:left="102" w:right="138"/>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、个人业绩条件： 激励对象每次申请限制性股票解锁需要满足：上一年 度个人绩效考核结果必须达到合格或以上。</w:t>
            </w:r>
          </w:p>
        </w:tc>
      </w:tr>
      <w:tr>
        <w:trPr>
          <w:trHeight w:val="710" w:hRule="exact"/>
        </w:trPr>
        <w:tc>
          <w:tcPr>
            <w:tcW w:w="16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上述股东关联关</w:t>
            </w:r>
          </w:p>
          <w:p>
            <w:pPr>
              <w:pStyle w:val="TableParagraph"/>
              <w:spacing w:line="232" w:lineRule="exact" w:before="24"/>
              <w:ind w:left="103" w:right="294"/>
              <w:jc w:val="left"/>
              <w:rPr>
                <w:rFonts w:ascii="宋体" w:hAnsi="宋体" w:cs="宋体" w:eastAsia="宋体" w:hint="default"/>
                <w:sz w:val="18"/>
                <w:szCs w:val="18"/>
              </w:rPr>
            </w:pPr>
            <w:r>
              <w:rPr>
                <w:rFonts w:ascii="宋体" w:hAnsi="宋体" w:cs="宋体" w:eastAsia="宋体" w:hint="default"/>
                <w:sz w:val="18"/>
                <w:szCs w:val="18"/>
              </w:rPr>
              <w:t>系或一致行动的 说明</w:t>
            </w:r>
          </w:p>
        </w:tc>
        <w:tc>
          <w:tcPr>
            <w:tcW w:w="73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上述股东之间不存在《上市公司股东持股变动信息披露管理办法》中规定的一致行动。</w:t>
            </w:r>
          </w:p>
        </w:tc>
      </w:tr>
    </w:tbl>
    <w:p>
      <w:pPr>
        <w:pStyle w:val="BodyText"/>
        <w:spacing w:line="237" w:lineRule="auto" w:before="83"/>
        <w:ind w:left="218" w:right="213" w:firstLine="480"/>
        <w:jc w:val="both"/>
      </w:pPr>
      <w:r>
        <w:rPr/>
        <w:t>注</w:t>
      </w:r>
      <w:r>
        <w:rPr>
          <w:spacing w:val="-75"/>
        </w:rPr>
        <w:t> </w:t>
      </w:r>
      <w:r>
        <w:rPr>
          <w:rFonts w:ascii="宋体" w:hAnsi="宋体" w:cs="宋体" w:eastAsia="宋体" w:hint="default"/>
          <w:spacing w:val="-3"/>
        </w:rPr>
        <w:t>1</w:t>
      </w:r>
      <w:r>
        <w:rPr>
          <w:spacing w:val="-3"/>
        </w:rPr>
        <w:t>：</w:t>
      </w:r>
      <w:r>
        <w:rPr>
          <w:rFonts w:ascii="宋体" w:hAnsi="宋体" w:cs="宋体" w:eastAsia="宋体" w:hint="default"/>
          <w:spacing w:val="-3"/>
        </w:rPr>
        <w:t>2014</w:t>
      </w:r>
      <w:r>
        <w:rPr>
          <w:rFonts w:ascii="宋体" w:hAnsi="宋体" w:cs="宋体" w:eastAsia="宋体" w:hint="default"/>
          <w:spacing w:val="-75"/>
        </w:rPr>
        <w:t> </w:t>
      </w:r>
      <w:r>
        <w:rPr/>
        <w:t>年度，公司业绩未满足《北京华胜天成科技股份有限公司首期股权激 </w:t>
      </w:r>
      <w:r>
        <w:rPr>
          <w:spacing w:val="-2"/>
        </w:rPr>
        <w:t>励计划（草案修订稿）》规定的业绩条件，根据《北京华胜天成科技股份有限公司首</w:t>
      </w:r>
      <w:r>
        <w:rPr>
          <w:spacing w:val="-96"/>
        </w:rPr>
        <w:t> </w:t>
      </w:r>
      <w:r>
        <w:rPr>
          <w:spacing w:val="-96"/>
        </w:rPr>
      </w:r>
      <w:r>
        <w:rPr>
          <w:spacing w:val="-2"/>
        </w:rPr>
        <w:t>期股权激励计划（草案修订稿）》相关规定，公司将回购并注销股权激励对象第四次</w:t>
      </w:r>
      <w:r>
        <w:rPr>
          <w:spacing w:val="-94"/>
        </w:rPr>
        <w:t> </w:t>
      </w:r>
      <w:r>
        <w:rPr>
          <w:spacing w:val="-94"/>
        </w:rPr>
      </w:r>
      <w:r>
        <w:rPr/>
        <w:t>解锁期所涉限制性股票。</w:t>
      </w:r>
    </w:p>
    <w:p>
      <w:pPr>
        <w:spacing w:line="240" w:lineRule="auto" w:before="6"/>
        <w:rPr>
          <w:rFonts w:ascii="宋体" w:hAnsi="宋体" w:cs="宋体" w:eastAsia="宋体" w:hint="default"/>
          <w:sz w:val="34"/>
          <w:szCs w:val="34"/>
        </w:rPr>
      </w:pPr>
    </w:p>
    <w:p>
      <w:pPr>
        <w:pStyle w:val="Heading2"/>
        <w:tabs>
          <w:tab w:pos="1057" w:val="left" w:leader="none"/>
        </w:tabs>
        <w:spacing w:line="240" w:lineRule="auto" w:before="0"/>
        <w:ind w:right="127"/>
        <w:jc w:val="left"/>
        <w:rPr>
          <w:b w:val="0"/>
          <w:bCs w:val="0"/>
        </w:rPr>
      </w:pPr>
      <w:r>
        <w:rPr>
          <w:w w:val="95"/>
        </w:rPr>
        <w:t>四、</w:t>
        <w:tab/>
      </w:r>
      <w:r>
        <w:rPr/>
        <w:t>控股股东及实际控制人变更情况</w:t>
      </w:r>
      <w:r>
        <w:rPr>
          <w:b w:val="0"/>
          <w:bCs w:val="0"/>
        </w:rPr>
      </w:r>
    </w:p>
    <w:p>
      <w:pPr>
        <w:pStyle w:val="Heading2"/>
        <w:spacing w:line="240" w:lineRule="auto" w:before="56"/>
        <w:ind w:right="12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2"/>
        </w:rPr>
        <w:t> </w:t>
      </w:r>
      <w:r>
        <w:rPr/>
        <w:t>控股股东情况</w:t>
      </w:r>
      <w:r>
        <w:rPr>
          <w:b w:val="0"/>
          <w:bCs w:val="0"/>
        </w:rPr>
      </w:r>
    </w:p>
    <w:p>
      <w:pPr>
        <w:tabs>
          <w:tab w:pos="637" w:val="left" w:leader="none"/>
        </w:tabs>
        <w:spacing w:line="331" w:lineRule="auto" w:before="26"/>
        <w:ind w:left="698" w:right="406" w:hanging="480"/>
        <w:jc w:val="left"/>
        <w:rPr>
          <w:rFonts w:ascii="宋体" w:hAnsi="宋体" w:cs="宋体" w:eastAsia="宋体" w:hint="default"/>
          <w:sz w:val="24"/>
          <w:szCs w:val="24"/>
        </w:rPr>
      </w:pPr>
      <w:r>
        <w:rPr>
          <w:rFonts w:ascii="宋体" w:hAnsi="宋体" w:cs="宋体" w:eastAsia="宋体" w:hint="default"/>
          <w:b/>
          <w:bCs/>
          <w:w w:val="95"/>
          <w:sz w:val="24"/>
          <w:szCs w:val="24"/>
        </w:rPr>
        <w:t>1</w:t>
        <w:tab/>
      </w:r>
      <w:r>
        <w:rPr>
          <w:rFonts w:ascii="宋体" w:hAnsi="宋体" w:cs="宋体" w:eastAsia="宋体" w:hint="default"/>
          <w:b/>
          <w:bCs/>
          <w:sz w:val="24"/>
          <w:szCs w:val="24"/>
        </w:rPr>
        <w:t>公司不存在控股股东情况的特别说明</w:t>
      </w:r>
      <w:r>
        <w:rPr>
          <w:rFonts w:ascii="宋体" w:hAnsi="宋体" w:cs="宋体" w:eastAsia="宋体" w:hint="default"/>
          <w:b/>
          <w:bCs/>
          <w:w w:val="99"/>
          <w:sz w:val="24"/>
          <w:szCs w:val="24"/>
        </w:rPr>
        <w:t> </w:t>
      </w:r>
      <w:r>
        <w:rPr>
          <w:rFonts w:ascii="宋体" w:hAnsi="宋体" w:cs="宋体" w:eastAsia="宋体" w:hint="default"/>
          <w:sz w:val="24"/>
          <w:szCs w:val="24"/>
        </w:rPr>
        <w:t>公司不存在控股股东，主要原因是公司主要股东为自然人股东，且股权分散。</w:t>
      </w:r>
    </w:p>
    <w:p>
      <w:pPr>
        <w:spacing w:line="240" w:lineRule="auto" w:before="4"/>
        <w:rPr>
          <w:rFonts w:ascii="宋体" w:hAnsi="宋体" w:cs="宋体" w:eastAsia="宋体" w:hint="default"/>
          <w:sz w:val="30"/>
          <w:szCs w:val="30"/>
        </w:rPr>
      </w:pPr>
    </w:p>
    <w:p>
      <w:pPr>
        <w:pStyle w:val="Heading2"/>
        <w:spacing w:line="240" w:lineRule="auto" w:before="0"/>
        <w:ind w:right="12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3"/>
        </w:rPr>
        <w:t> </w:t>
      </w:r>
      <w:r>
        <w:rPr/>
        <w:t>实际控制人情况</w:t>
      </w:r>
      <w:r>
        <w:rPr>
          <w:b w:val="0"/>
          <w:bCs w:val="0"/>
        </w:rPr>
      </w:r>
    </w:p>
    <w:p>
      <w:pPr>
        <w:pStyle w:val="Heading2"/>
        <w:tabs>
          <w:tab w:pos="642" w:val="left" w:leader="none"/>
        </w:tabs>
        <w:spacing w:line="240" w:lineRule="auto" w:before="27"/>
        <w:ind w:right="127"/>
        <w:jc w:val="left"/>
        <w:rPr>
          <w:b w:val="0"/>
          <w:bCs w:val="0"/>
        </w:rPr>
      </w:pPr>
      <w:r>
        <w:rPr>
          <w:rFonts w:ascii="宋体" w:hAnsi="宋体" w:cs="宋体" w:eastAsia="宋体" w:hint="default"/>
          <w:w w:val="95"/>
        </w:rPr>
        <w:t>1</w:t>
        <w:tab/>
      </w:r>
      <w:r>
        <w:rPr/>
        <w:t>公司不存在实际控制人情况的特别说明</w:t>
      </w:r>
      <w:r>
        <w:rPr>
          <w:b w:val="0"/>
          <w:bCs w:val="0"/>
        </w:rPr>
      </w:r>
    </w:p>
    <w:p>
      <w:pPr>
        <w:pStyle w:val="BodyText"/>
        <w:spacing w:line="240" w:lineRule="auto" w:before="116"/>
        <w:ind w:left="698" w:right="127"/>
        <w:jc w:val="left"/>
      </w:pPr>
      <w:r>
        <w:rPr/>
        <w:t>公司不存在实际控制人，主要原因是公司主要股东为自然人股东，且股权分散。</w:t>
      </w:r>
    </w:p>
    <w:p>
      <w:pPr>
        <w:spacing w:after="0" w:line="240" w:lineRule="auto"/>
        <w:jc w:val="left"/>
        <w:sectPr>
          <w:footerReference w:type="default" r:id="rId18"/>
          <w:pgSz w:w="11910" w:h="16840"/>
          <w:pgMar w:footer="1194" w:header="882" w:top="1080" w:bottom="1380" w:left="1580" w:right="1060"/>
        </w:sectPr>
      </w:pPr>
    </w:p>
    <w:p>
      <w:pPr>
        <w:spacing w:line="240" w:lineRule="auto" w:before="12"/>
        <w:rPr>
          <w:rFonts w:ascii="宋体" w:hAnsi="宋体" w:cs="宋体" w:eastAsia="宋体" w:hint="default"/>
          <w:sz w:val="28"/>
          <w:szCs w:val="28"/>
        </w:rPr>
      </w:pPr>
    </w:p>
    <w:p>
      <w:pPr>
        <w:pStyle w:val="Heading2"/>
        <w:tabs>
          <w:tab w:pos="562" w:val="left" w:leader="none"/>
        </w:tabs>
        <w:spacing w:line="240" w:lineRule="auto"/>
        <w:ind w:left="138" w:right="0"/>
        <w:jc w:val="left"/>
        <w:rPr>
          <w:b w:val="0"/>
          <w:bCs w:val="0"/>
        </w:rPr>
      </w:pPr>
      <w:r>
        <w:rPr>
          <w:rFonts w:ascii="宋体" w:hAnsi="宋体" w:cs="宋体" w:eastAsia="宋体" w:hint="default"/>
          <w:w w:val="95"/>
        </w:rPr>
        <w:t>2</w:t>
        <w:tab/>
      </w:r>
      <w:r>
        <w:rPr/>
        <w:t>公司与实际控制人之间的产权及控制关系的方框图</w:t>
      </w:r>
      <w:r>
        <w:rPr>
          <w:b w:val="0"/>
          <w:bCs w:val="0"/>
        </w:rPr>
      </w:r>
    </w:p>
    <w:p>
      <w:pPr>
        <w:spacing w:line="240" w:lineRule="auto" w:before="4"/>
        <w:rPr>
          <w:rFonts w:ascii="宋体" w:hAnsi="宋体" w:cs="宋体" w:eastAsia="宋体" w:hint="default"/>
          <w:b/>
          <w:bCs/>
          <w:sz w:val="7"/>
          <w:szCs w:val="7"/>
        </w:rPr>
      </w:pPr>
    </w:p>
    <w:p>
      <w:pPr>
        <w:spacing w:line="4107" w:lineRule="exact"/>
        <w:ind w:left="167" w:right="0" w:firstLine="0"/>
        <w:rPr>
          <w:rFonts w:ascii="宋体" w:hAnsi="宋体" w:cs="宋体" w:eastAsia="宋体" w:hint="default"/>
          <w:sz w:val="20"/>
          <w:szCs w:val="20"/>
        </w:rPr>
      </w:pPr>
      <w:r>
        <w:rPr>
          <w:rFonts w:ascii="宋体" w:hAnsi="宋体" w:cs="宋体" w:eastAsia="宋体" w:hint="default"/>
          <w:position w:val="-81"/>
          <w:sz w:val="20"/>
          <w:szCs w:val="20"/>
        </w:rPr>
        <w:drawing>
          <wp:inline distT="0" distB="0" distL="0" distR="0">
            <wp:extent cx="3383259" cy="260794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20" cstate="print"/>
                    <a:stretch>
                      <a:fillRect/>
                    </a:stretch>
                  </pic:blipFill>
                  <pic:spPr>
                    <a:xfrm>
                      <a:off x="0" y="0"/>
                      <a:ext cx="3383259" cy="2607945"/>
                    </a:xfrm>
                    <a:prstGeom prst="rect">
                      <a:avLst/>
                    </a:prstGeom>
                  </pic:spPr>
                </pic:pic>
              </a:graphicData>
            </a:graphic>
          </wp:inline>
        </w:drawing>
      </w:r>
      <w:r>
        <w:rPr>
          <w:rFonts w:ascii="宋体" w:hAnsi="宋体" w:cs="宋体" w:eastAsia="宋体" w:hint="default"/>
          <w:position w:val="-81"/>
          <w:sz w:val="20"/>
          <w:szCs w:val="20"/>
        </w:rPr>
      </w:r>
    </w:p>
    <w:p>
      <w:pPr>
        <w:spacing w:line="240" w:lineRule="auto" w:before="11"/>
        <w:rPr>
          <w:rFonts w:ascii="宋体" w:hAnsi="宋体" w:cs="宋体" w:eastAsia="宋体" w:hint="default"/>
          <w:b/>
          <w:bCs/>
          <w:sz w:val="21"/>
          <w:szCs w:val="21"/>
        </w:rPr>
      </w:pPr>
    </w:p>
    <w:p>
      <w:pPr>
        <w:spacing w:before="0"/>
        <w:ind w:left="138" w:right="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三</w:t>
      </w:r>
      <w:r>
        <w:rPr>
          <w:rFonts w:ascii="Calibri" w:hAnsi="Calibri" w:cs="Calibri" w:eastAsia="Calibri" w:hint="default"/>
          <w:b/>
          <w:bCs/>
          <w:sz w:val="21"/>
          <w:szCs w:val="21"/>
        </w:rPr>
        <w:t>)</w:t>
      </w:r>
      <w:r>
        <w:rPr>
          <w:rFonts w:ascii="Calibri" w:hAnsi="Calibri" w:cs="Calibri" w:eastAsia="Calibri" w:hint="default"/>
          <w:b/>
          <w:bCs/>
          <w:spacing w:val="29"/>
          <w:sz w:val="21"/>
          <w:szCs w:val="21"/>
        </w:rPr>
        <w:t> </w:t>
      </w:r>
      <w:r>
        <w:rPr>
          <w:rFonts w:ascii="宋体" w:hAnsi="宋体" w:cs="宋体" w:eastAsia="宋体" w:hint="default"/>
          <w:b/>
          <w:bCs/>
          <w:sz w:val="21"/>
          <w:szCs w:val="21"/>
        </w:rPr>
        <w:t>第一大股东情况介绍</w:t>
      </w:r>
      <w:r>
        <w:rPr>
          <w:rFonts w:ascii="宋体" w:hAnsi="宋体" w:cs="宋体" w:eastAsia="宋体" w:hint="default"/>
          <w:sz w:val="21"/>
          <w:szCs w:val="21"/>
        </w:rPr>
      </w:r>
    </w:p>
    <w:p>
      <w:pPr>
        <w:pStyle w:val="BodyText"/>
        <w:spacing w:line="237" w:lineRule="auto" w:before="29"/>
        <w:ind w:right="113" w:firstLine="420"/>
        <w:jc w:val="both"/>
      </w:pPr>
      <w:r>
        <w:rPr/>
        <w:t>公司第一大股东为王维航先生，</w:t>
      </w:r>
      <w:r>
        <w:rPr>
          <w:rFonts w:ascii="宋体" w:hAnsi="宋体" w:cs="宋体" w:eastAsia="宋体" w:hint="default"/>
        </w:rPr>
        <w:t>48</w:t>
      </w:r>
      <w:r>
        <w:rPr>
          <w:rFonts w:ascii="宋体" w:hAnsi="宋体" w:cs="宋体" w:eastAsia="宋体" w:hint="default"/>
          <w:spacing w:val="-76"/>
        </w:rPr>
        <w:t> </w:t>
      </w:r>
      <w:r>
        <w:rPr/>
        <w:t>岁，中国国籍，获浙江大学信息电子工程系微 电子学专业硕士学位，清华大学经济管理学院</w:t>
      </w:r>
      <w:r>
        <w:rPr>
          <w:spacing w:val="-71"/>
        </w:rPr>
        <w:t> </w:t>
      </w:r>
      <w:r>
        <w:rPr>
          <w:rFonts w:ascii="宋体" w:hAnsi="宋体" w:cs="宋体" w:eastAsia="宋体" w:hint="default"/>
          <w:spacing w:val="-4"/>
        </w:rPr>
        <w:t>EMBA</w:t>
      </w:r>
      <w:r>
        <w:rPr>
          <w:spacing w:val="-4"/>
        </w:rPr>
        <w:t>。曾任公司总经理、第一届董事会</w:t>
      </w:r>
      <w:r>
        <w:rPr/>
        <w:t> 副董事长兼总经理。第二、三、四届董事会副董事长兼总裁。现任本公司第五届董事 会董事长兼总裁。王维航先生持有公司</w:t>
      </w:r>
      <w:r>
        <w:rPr>
          <w:spacing w:val="-59"/>
        </w:rPr>
        <w:t> </w:t>
      </w:r>
      <w:r>
        <w:rPr>
          <w:rFonts w:ascii="宋体" w:hAnsi="宋体" w:cs="宋体" w:eastAsia="宋体" w:hint="default"/>
        </w:rPr>
        <w:t>62,937,446</w:t>
      </w:r>
      <w:r>
        <w:rPr>
          <w:rFonts w:ascii="宋体" w:hAnsi="宋体" w:cs="宋体" w:eastAsia="宋体" w:hint="default"/>
          <w:spacing w:val="-59"/>
        </w:rPr>
        <w:t> </w:t>
      </w:r>
      <w:r>
        <w:rPr/>
        <w:t>股，占本公司股本总额的</w:t>
      </w:r>
      <w:r>
        <w:rPr>
          <w:spacing w:val="-57"/>
        </w:rPr>
        <w:t> </w:t>
      </w:r>
      <w:r>
        <w:rPr>
          <w:rFonts w:ascii="宋体" w:hAnsi="宋体" w:cs="宋体" w:eastAsia="宋体" w:hint="default"/>
        </w:rPr>
        <w:t>9.81%</w:t>
      </w:r>
      <w:r>
        <w:rPr/>
        <w:t>。</w:t>
      </w:r>
    </w:p>
    <w:p>
      <w:pPr>
        <w:spacing w:after="0" w:line="237" w:lineRule="auto"/>
        <w:jc w:val="both"/>
        <w:sectPr>
          <w:footerReference w:type="default" r:id="rId19"/>
          <w:pgSz w:w="11910" w:h="16840"/>
          <w:pgMar w:footer="1194" w:header="882" w:top="1080" w:bottom="1380" w:left="166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pStyle w:val="Heading1"/>
        <w:tabs>
          <w:tab w:pos="5397" w:val="left" w:leader="none"/>
        </w:tabs>
        <w:spacing w:line="240" w:lineRule="auto"/>
        <w:ind w:left="4137" w:right="0"/>
        <w:jc w:val="left"/>
        <w:rPr>
          <w:rFonts w:ascii="黑体" w:hAnsi="黑体" w:cs="黑体" w:eastAsia="黑体" w:hint="default"/>
          <w:b w:val="0"/>
          <w:bCs w:val="0"/>
        </w:rPr>
      </w:pPr>
      <w:bookmarkStart w:name="_TOC_250004" w:id="7"/>
      <w:r>
        <w:rPr>
          <w:rFonts w:ascii="黑体" w:hAnsi="黑体" w:cs="黑体" w:eastAsia="黑体" w:hint="default"/>
          <w:w w:val="95"/>
        </w:rPr>
        <w:t>第七节</w:t>
        <w:tab/>
      </w:r>
      <w:r>
        <w:rPr>
          <w:rFonts w:ascii="黑体" w:hAnsi="黑体" w:cs="黑体" w:eastAsia="黑体" w:hint="default"/>
        </w:rPr>
        <w:t>董事、监事、高级管理人员和员工情况</w:t>
      </w:r>
      <w:bookmarkEnd w:id="7"/>
      <w:r>
        <w:rPr>
          <w:rFonts w:ascii="黑体" w:hAnsi="黑体" w:cs="黑体" w:eastAsia="黑体" w:hint="default"/>
          <w:b w:val="0"/>
          <w:bCs w:val="0"/>
        </w:rPr>
      </w:r>
    </w:p>
    <w:p>
      <w:pPr>
        <w:spacing w:line="240" w:lineRule="auto" w:before="9"/>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1"/>
          <w:footerReference w:type="default" r:id="rId22"/>
          <w:pgSz w:w="16840" w:h="11910" w:orient="landscape"/>
          <w:pgMar w:header="882" w:footer="1194" w:top="1120" w:bottom="1380" w:left="1220" w:right="1280"/>
          <w:pgNumType w:start="52"/>
        </w:sectPr>
      </w:pPr>
    </w:p>
    <w:p>
      <w:pPr>
        <w:pStyle w:val="Heading2"/>
        <w:spacing w:line="240" w:lineRule="auto"/>
        <w:ind w:left="220" w:right="0"/>
        <w:jc w:val="left"/>
        <w:rPr>
          <w:b w:val="0"/>
          <w:bCs w:val="0"/>
        </w:rPr>
      </w:pPr>
      <w:r>
        <w:rPr/>
        <w:t>一、持股变动情况及报酬情况</w:t>
      </w:r>
      <w:r>
        <w:rPr>
          <w:b w:val="0"/>
          <w:bCs w:val="0"/>
        </w:rPr>
      </w:r>
    </w:p>
    <w:p>
      <w:pPr>
        <w:pStyle w:val="Heading2"/>
        <w:spacing w:line="240" w:lineRule="auto" w:before="58"/>
        <w:ind w:left="220" w:right="0"/>
        <w:jc w:val="left"/>
        <w:rPr>
          <w:b w:val="0"/>
          <w:bCs w:val="0"/>
        </w:rPr>
      </w:pPr>
      <w:r>
        <w:rPr>
          <w:rFonts w:ascii="Calibri" w:hAnsi="Calibri" w:cs="Calibri" w:eastAsia="Calibri" w:hint="default"/>
          <w:w w:val="95"/>
        </w:rPr>
        <w:t>(</w:t>
      </w:r>
      <w:r>
        <w:rPr>
          <w:w w:val="95"/>
        </w:rPr>
        <w:t>一</w:t>
      </w:r>
      <w:r>
        <w:rPr>
          <w:rFonts w:ascii="Calibri" w:hAnsi="Calibri" w:cs="Calibri" w:eastAsia="Calibri" w:hint="default"/>
          <w:w w:val="95"/>
        </w:rPr>
        <w:t>)      </w:t>
      </w:r>
      <w:r>
        <w:rPr>
          <w:rFonts w:ascii="Calibri" w:hAnsi="Calibri" w:cs="Calibri" w:eastAsia="Calibri" w:hint="default"/>
          <w:spacing w:val="20"/>
          <w:w w:val="95"/>
        </w:rPr>
        <w:t> </w:t>
      </w:r>
      <w:r>
        <w:rPr>
          <w:w w:val="95"/>
        </w:rPr>
        <w:t>现任及报告期内离任董事、监事和高级管理人员持股变动及报酬情况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spacing w:before="0"/>
        <w:ind w:left="220"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6840" w:h="11910" w:orient="landscape"/>
          <w:pgMar w:top="1080" w:bottom="1380" w:left="1220" w:right="1280"/>
          <w:cols w:num="2" w:equalWidth="0">
            <w:col w:w="7864" w:space="5171"/>
            <w:col w:w="1305"/>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994"/>
        <w:gridCol w:w="1107"/>
        <w:gridCol w:w="810"/>
        <w:gridCol w:w="810"/>
        <w:gridCol w:w="1216"/>
        <w:gridCol w:w="1213"/>
        <w:gridCol w:w="1372"/>
        <w:gridCol w:w="1370"/>
        <w:gridCol w:w="1372"/>
        <w:gridCol w:w="1118"/>
        <w:gridCol w:w="1378"/>
        <w:gridCol w:w="1338"/>
      </w:tblGrid>
      <w:tr>
        <w:trPr>
          <w:trHeight w:val="137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92" w:right="181" w:hanging="210"/>
              <w:jc w:val="left"/>
              <w:rPr>
                <w:rFonts w:ascii="宋体" w:hAnsi="宋体" w:cs="宋体" w:eastAsia="宋体" w:hint="default"/>
                <w:sz w:val="21"/>
                <w:szCs w:val="21"/>
              </w:rPr>
            </w:pPr>
            <w:r>
              <w:rPr>
                <w:rFonts w:ascii="宋体" w:hAnsi="宋体" w:cs="宋体" w:eastAsia="宋体" w:hint="default"/>
                <w:sz w:val="21"/>
                <w:szCs w:val="21"/>
              </w:rPr>
              <w:t>任期起始 日期</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92" w:right="179" w:hanging="210"/>
              <w:jc w:val="left"/>
              <w:rPr>
                <w:rFonts w:ascii="宋体" w:hAnsi="宋体" w:cs="宋体" w:eastAsia="宋体" w:hint="default"/>
                <w:sz w:val="21"/>
                <w:szCs w:val="21"/>
              </w:rPr>
            </w:pPr>
            <w:r>
              <w:rPr>
                <w:rFonts w:ascii="宋体" w:hAnsi="宋体" w:cs="宋体" w:eastAsia="宋体" w:hint="default"/>
                <w:sz w:val="21"/>
                <w:szCs w:val="21"/>
              </w:rPr>
              <w:t>任期终止 日期</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4"/>
              <w:jc w:val="right"/>
              <w:rPr>
                <w:rFonts w:ascii="宋体" w:hAnsi="宋体" w:cs="宋体" w:eastAsia="宋体" w:hint="default"/>
                <w:sz w:val="21"/>
                <w:szCs w:val="21"/>
              </w:rPr>
            </w:pPr>
            <w:r>
              <w:rPr>
                <w:rFonts w:ascii="宋体" w:hAnsi="宋体" w:cs="宋体" w:eastAsia="宋体" w:hint="default"/>
                <w:sz w:val="21"/>
                <w:szCs w:val="21"/>
              </w:rPr>
              <w:t>年初持股数</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2"/>
              <w:jc w:val="right"/>
              <w:rPr>
                <w:rFonts w:ascii="宋体" w:hAnsi="宋体" w:cs="宋体" w:eastAsia="宋体" w:hint="default"/>
                <w:sz w:val="21"/>
                <w:szCs w:val="21"/>
              </w:rPr>
            </w:pPr>
            <w:r>
              <w:rPr>
                <w:rFonts w:ascii="宋体" w:hAnsi="宋体" w:cs="宋体" w:eastAsia="宋体" w:hint="default"/>
                <w:sz w:val="21"/>
                <w:szCs w:val="21"/>
              </w:rPr>
              <w:t>年末持股数</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56" w:right="155"/>
              <w:jc w:val="left"/>
              <w:rPr>
                <w:rFonts w:ascii="宋体" w:hAnsi="宋体" w:cs="宋体" w:eastAsia="宋体" w:hint="default"/>
                <w:sz w:val="21"/>
                <w:szCs w:val="21"/>
              </w:rPr>
            </w:pPr>
            <w:r>
              <w:rPr>
                <w:rFonts w:ascii="宋体" w:hAnsi="宋体" w:cs="宋体" w:eastAsia="宋体" w:hint="default"/>
                <w:sz w:val="21"/>
                <w:szCs w:val="21"/>
              </w:rPr>
              <w:t>年度内股份 增减变动量</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44" w:right="132" w:hanging="210"/>
              <w:jc w:val="left"/>
              <w:rPr>
                <w:rFonts w:ascii="宋体" w:hAnsi="宋体" w:cs="宋体" w:eastAsia="宋体" w:hint="default"/>
                <w:sz w:val="21"/>
                <w:szCs w:val="21"/>
              </w:rPr>
            </w:pPr>
            <w:r>
              <w:rPr>
                <w:rFonts w:ascii="宋体" w:hAnsi="宋体" w:cs="宋体" w:eastAsia="宋体" w:hint="default"/>
                <w:sz w:val="21"/>
                <w:szCs w:val="21"/>
              </w:rPr>
              <w:t>增减变动 原因</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72" w:lineRule="exact" w:before="26"/>
              <w:ind w:left="103" w:right="102" w:hanging="1"/>
              <w:jc w:val="center"/>
              <w:rPr>
                <w:rFonts w:ascii="宋体" w:hAnsi="宋体" w:cs="宋体" w:eastAsia="宋体" w:hint="default"/>
                <w:sz w:val="21"/>
                <w:szCs w:val="21"/>
              </w:rPr>
            </w:pPr>
            <w:r>
              <w:rPr>
                <w:rFonts w:ascii="宋体" w:hAnsi="宋体" w:cs="宋体" w:eastAsia="宋体" w:hint="default"/>
                <w:sz w:val="21"/>
                <w:szCs w:val="21"/>
              </w:rPr>
              <w:t>公司领取的 应付报酬总 </w:t>
            </w:r>
            <w:r>
              <w:rPr>
                <w:rFonts w:ascii="宋体" w:hAnsi="宋体" w:cs="宋体" w:eastAsia="宋体" w:hint="default"/>
                <w:spacing w:val="-45"/>
                <w:sz w:val="21"/>
                <w:szCs w:val="21"/>
              </w:rPr>
              <w:t>额（万元）（税</w:t>
            </w:r>
            <w:r>
              <w:rPr>
                <w:rFonts w:ascii="宋体" w:hAnsi="宋体" w:cs="宋体" w:eastAsia="宋体" w:hint="default"/>
                <w:sz w:val="21"/>
                <w:szCs w:val="21"/>
              </w:rPr>
              <w:t> 前）</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9" w:right="0"/>
              <w:jc w:val="left"/>
              <w:rPr>
                <w:rFonts w:ascii="宋体" w:hAnsi="宋体" w:cs="宋体" w:eastAsia="宋体" w:hint="default"/>
                <w:sz w:val="21"/>
                <w:szCs w:val="21"/>
              </w:rPr>
            </w:pPr>
            <w:r>
              <w:rPr>
                <w:rFonts w:ascii="宋体" w:hAnsi="宋体" w:cs="宋体" w:eastAsia="宋体" w:hint="default"/>
                <w:sz w:val="21"/>
                <w:szCs w:val="21"/>
              </w:rPr>
              <w:t>报告期在其</w:t>
            </w:r>
          </w:p>
          <w:p>
            <w:pPr>
              <w:pStyle w:val="TableParagraph"/>
              <w:spacing w:line="272" w:lineRule="exact" w:before="26"/>
              <w:ind w:left="349" w:right="137" w:hanging="210"/>
              <w:jc w:val="left"/>
              <w:rPr>
                <w:rFonts w:ascii="宋体" w:hAnsi="宋体" w:cs="宋体" w:eastAsia="宋体" w:hint="default"/>
                <w:sz w:val="21"/>
                <w:szCs w:val="21"/>
              </w:rPr>
            </w:pPr>
            <w:r>
              <w:rPr>
                <w:rFonts w:ascii="宋体" w:hAnsi="宋体" w:cs="宋体" w:eastAsia="宋体" w:hint="default"/>
                <w:sz w:val="21"/>
                <w:szCs w:val="21"/>
              </w:rPr>
              <w:t>股东单位领 薪情况</w:t>
            </w:r>
          </w:p>
        </w:tc>
      </w:tr>
      <w:tr>
        <w:trPr>
          <w:trHeight w:val="55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王维航</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16"/>
                <w:sz w:val="21"/>
                <w:szCs w:val="21"/>
              </w:rPr>
              <w:t>董事长兼</w:t>
            </w:r>
            <w:r>
              <w:rPr>
                <w:rFonts w:ascii="宋体" w:hAnsi="宋体" w:cs="宋体" w:eastAsia="宋体" w:hint="default"/>
                <w:sz w:val="21"/>
                <w:szCs w:val="21"/>
              </w:rPr>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
              <w:jc w:val="center"/>
              <w:rPr>
                <w:rFonts w:ascii="宋体" w:hAnsi="宋体" w:cs="宋体" w:eastAsia="宋体" w:hint="default"/>
                <w:sz w:val="21"/>
                <w:szCs w:val="21"/>
              </w:rPr>
            </w:pPr>
            <w:r>
              <w:rPr>
                <w:rFonts w:ascii="宋体"/>
                <w:sz w:val="21"/>
              </w:rPr>
              <w:t>2014/3/14</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sz w:val="21"/>
              </w:rPr>
              <w:t>2017/3/13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64,587,446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62,937,446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-1,650,000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减持</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40.32</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w:t>
            </w:r>
          </w:p>
        </w:tc>
      </w:tr>
      <w:tr>
        <w:trPr>
          <w:trHeight w:val="28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梁达光</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
              <w:jc w:val="center"/>
              <w:rPr>
                <w:rFonts w:ascii="宋体" w:hAnsi="宋体" w:cs="宋体" w:eastAsia="宋体" w:hint="default"/>
                <w:sz w:val="21"/>
                <w:szCs w:val="21"/>
              </w:rPr>
            </w:pPr>
            <w:r>
              <w:rPr>
                <w:rFonts w:ascii="宋体"/>
                <w:sz w:val="21"/>
              </w:rPr>
              <w:t>2014/3/14</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sz w:val="21"/>
              </w:rPr>
              <w:t>2017/3/13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261.13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w:t>
            </w:r>
          </w:p>
        </w:tc>
      </w:tr>
      <w:tr>
        <w:trPr>
          <w:trHeight w:val="28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李伟</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2"/>
              <w:jc w:val="center"/>
              <w:rPr>
                <w:rFonts w:ascii="宋体" w:hAnsi="宋体" w:cs="宋体" w:eastAsia="宋体" w:hint="default"/>
                <w:sz w:val="21"/>
                <w:szCs w:val="21"/>
              </w:rPr>
            </w:pPr>
            <w:r>
              <w:rPr>
                <w:rFonts w:ascii="宋体"/>
                <w:sz w:val="21"/>
              </w:rPr>
              <w:t>2014/3/14</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0"/>
              <w:jc w:val="center"/>
              <w:rPr>
                <w:rFonts w:ascii="宋体" w:hAnsi="宋体" w:cs="宋体" w:eastAsia="宋体" w:hint="default"/>
                <w:sz w:val="21"/>
                <w:szCs w:val="21"/>
              </w:rPr>
            </w:pPr>
            <w:r>
              <w:rPr>
                <w:rFonts w:ascii="宋体"/>
                <w:sz w:val="21"/>
              </w:rPr>
              <w:t>2017/3/13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r>
      <w:tr>
        <w:trPr>
          <w:trHeight w:val="28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王斌</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49</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2"/>
              <w:jc w:val="center"/>
              <w:rPr>
                <w:rFonts w:ascii="宋体" w:hAnsi="宋体" w:cs="宋体" w:eastAsia="宋体" w:hint="default"/>
                <w:sz w:val="21"/>
                <w:szCs w:val="21"/>
              </w:rPr>
            </w:pPr>
            <w:r>
              <w:rPr>
                <w:rFonts w:ascii="宋体"/>
                <w:sz w:val="21"/>
              </w:rPr>
              <w:t>2014/3/14</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0"/>
              <w:jc w:val="center"/>
              <w:rPr>
                <w:rFonts w:ascii="宋体" w:hAnsi="宋体" w:cs="宋体" w:eastAsia="宋体" w:hint="default"/>
                <w:sz w:val="21"/>
                <w:szCs w:val="21"/>
              </w:rPr>
            </w:pPr>
            <w:r>
              <w:rPr>
                <w:rFonts w:ascii="宋体"/>
                <w:sz w:val="21"/>
              </w:rPr>
              <w:t>2017/3/13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r>
      <w:tr>
        <w:trPr>
          <w:trHeight w:val="55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朱红仙</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6"/>
                <w:sz w:val="21"/>
                <w:szCs w:val="21"/>
              </w:rPr>
              <w:t>董事兼常</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务副总裁</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39</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
              <w:jc w:val="center"/>
              <w:rPr>
                <w:rFonts w:ascii="宋体" w:hAnsi="宋体" w:cs="宋体" w:eastAsia="宋体" w:hint="default"/>
                <w:sz w:val="21"/>
                <w:szCs w:val="21"/>
              </w:rPr>
            </w:pPr>
            <w:r>
              <w:rPr>
                <w:rFonts w:ascii="宋体"/>
                <w:sz w:val="21"/>
              </w:rPr>
              <w:t>2014/3/14</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sz w:val="21"/>
              </w:rPr>
              <w:t>2017/3/13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99,022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49,511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-49,511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股权激励</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股份回购</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86.46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w:t>
            </w:r>
          </w:p>
        </w:tc>
      </w:tr>
      <w:tr>
        <w:trPr>
          <w:trHeight w:val="55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陈朝晖</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37</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2"/>
              <w:jc w:val="center"/>
              <w:rPr>
                <w:rFonts w:ascii="宋体" w:hAnsi="宋体" w:cs="宋体" w:eastAsia="宋体" w:hint="default"/>
                <w:sz w:val="21"/>
                <w:szCs w:val="21"/>
              </w:rPr>
            </w:pPr>
            <w:r>
              <w:rPr>
                <w:rFonts w:ascii="宋体"/>
                <w:sz w:val="21"/>
              </w:rPr>
              <w:t>2014/3/14</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0"/>
              <w:jc w:val="center"/>
              <w:rPr>
                <w:rFonts w:ascii="宋体" w:hAnsi="宋体" w:cs="宋体" w:eastAsia="宋体" w:hint="default"/>
                <w:sz w:val="21"/>
                <w:szCs w:val="21"/>
              </w:rPr>
            </w:pPr>
            <w:r>
              <w:rPr>
                <w:rFonts w:ascii="宋体"/>
                <w:sz w:val="21"/>
              </w:rPr>
              <w:t>2017/3/13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792,180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396,090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-396,090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股权激励</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股份回购</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130.48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r>
      <w:tr>
        <w:trPr>
          <w:trHeight w:val="28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沈青华</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69</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2"/>
              <w:jc w:val="center"/>
              <w:rPr>
                <w:rFonts w:ascii="宋体" w:hAnsi="宋体" w:cs="宋体" w:eastAsia="宋体" w:hint="default"/>
                <w:sz w:val="21"/>
                <w:szCs w:val="21"/>
              </w:rPr>
            </w:pPr>
            <w:r>
              <w:rPr>
                <w:rFonts w:ascii="宋体"/>
                <w:sz w:val="21"/>
              </w:rPr>
              <w:t>2014/3/14</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0"/>
              <w:jc w:val="center"/>
              <w:rPr>
                <w:rFonts w:ascii="宋体" w:hAnsi="宋体" w:cs="宋体" w:eastAsia="宋体" w:hint="default"/>
                <w:sz w:val="21"/>
                <w:szCs w:val="21"/>
              </w:rPr>
            </w:pPr>
            <w:r>
              <w:rPr>
                <w:rFonts w:ascii="宋体"/>
                <w:sz w:val="21"/>
              </w:rPr>
              <w:t>2017/3/13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r>
      <w:tr>
        <w:trPr>
          <w:trHeight w:val="28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仝允桓</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64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2"/>
              <w:jc w:val="center"/>
              <w:rPr>
                <w:rFonts w:ascii="宋体" w:hAnsi="宋体" w:cs="宋体" w:eastAsia="宋体" w:hint="default"/>
                <w:sz w:val="21"/>
                <w:szCs w:val="21"/>
              </w:rPr>
            </w:pPr>
            <w:r>
              <w:rPr>
                <w:rFonts w:ascii="宋体"/>
                <w:sz w:val="21"/>
              </w:rPr>
              <w:t>2014/3/14</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0"/>
              <w:jc w:val="center"/>
              <w:rPr>
                <w:rFonts w:ascii="宋体" w:hAnsi="宋体" w:cs="宋体" w:eastAsia="宋体" w:hint="default"/>
                <w:sz w:val="21"/>
                <w:szCs w:val="21"/>
              </w:rPr>
            </w:pPr>
            <w:r>
              <w:rPr>
                <w:rFonts w:ascii="宋体"/>
                <w:sz w:val="21"/>
              </w:rPr>
              <w:t>2017/3/13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r>
      <w:tr>
        <w:trPr>
          <w:trHeight w:val="28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姜培维</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
              <w:jc w:val="center"/>
              <w:rPr>
                <w:rFonts w:ascii="宋体" w:hAnsi="宋体" w:cs="宋体" w:eastAsia="宋体" w:hint="default"/>
                <w:sz w:val="21"/>
                <w:szCs w:val="21"/>
              </w:rPr>
            </w:pPr>
            <w:r>
              <w:rPr>
                <w:rFonts w:ascii="宋体"/>
                <w:sz w:val="21"/>
              </w:rPr>
              <w:t>2014/3/14</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sz w:val="21"/>
              </w:rPr>
              <w:t>2017/3/13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6.37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w:t>
            </w:r>
          </w:p>
        </w:tc>
      </w:tr>
      <w:tr>
        <w:trPr>
          <w:trHeight w:val="55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符全</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6"/>
                <w:sz w:val="21"/>
                <w:szCs w:val="21"/>
              </w:rPr>
              <w:t>监事会主</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席</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51</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2"/>
              <w:jc w:val="center"/>
              <w:rPr>
                <w:rFonts w:ascii="宋体" w:hAnsi="宋体" w:cs="宋体" w:eastAsia="宋体" w:hint="default"/>
                <w:sz w:val="21"/>
                <w:szCs w:val="21"/>
              </w:rPr>
            </w:pPr>
            <w:r>
              <w:rPr>
                <w:rFonts w:ascii="宋体"/>
                <w:sz w:val="21"/>
              </w:rPr>
              <w:t>2014/3/14</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0"/>
              <w:jc w:val="center"/>
              <w:rPr>
                <w:rFonts w:ascii="宋体" w:hAnsi="宋体" w:cs="宋体" w:eastAsia="宋体" w:hint="default"/>
                <w:sz w:val="21"/>
                <w:szCs w:val="21"/>
              </w:rPr>
            </w:pPr>
            <w:r>
              <w:rPr>
                <w:rFonts w:ascii="宋体"/>
                <w:sz w:val="21"/>
              </w:rPr>
              <w:t>2017/3/13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r>
      <w:tr>
        <w:trPr>
          <w:trHeight w:val="28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程亚光</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2"/>
              <w:jc w:val="center"/>
              <w:rPr>
                <w:rFonts w:ascii="宋体" w:hAnsi="宋体" w:cs="宋体" w:eastAsia="宋体" w:hint="default"/>
                <w:sz w:val="21"/>
                <w:szCs w:val="21"/>
              </w:rPr>
            </w:pPr>
            <w:r>
              <w:rPr>
                <w:rFonts w:ascii="宋体"/>
                <w:sz w:val="21"/>
              </w:rPr>
              <w:t>2014/3/14</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0"/>
              <w:jc w:val="center"/>
              <w:rPr>
                <w:rFonts w:ascii="宋体" w:hAnsi="宋体" w:cs="宋体" w:eastAsia="宋体" w:hint="default"/>
                <w:sz w:val="21"/>
                <w:szCs w:val="21"/>
              </w:rPr>
            </w:pPr>
            <w:r>
              <w:rPr>
                <w:rFonts w:ascii="宋体"/>
                <w:sz w:val="21"/>
              </w:rPr>
              <w:t>2017/3/13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r>
      <w:tr>
        <w:trPr>
          <w:trHeight w:val="28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安耀华</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
              <w:jc w:val="center"/>
              <w:rPr>
                <w:rFonts w:ascii="宋体" w:hAnsi="宋体" w:cs="宋体" w:eastAsia="宋体" w:hint="default"/>
                <w:sz w:val="21"/>
                <w:szCs w:val="21"/>
              </w:rPr>
            </w:pPr>
            <w:r>
              <w:rPr>
                <w:rFonts w:ascii="宋体"/>
                <w:sz w:val="21"/>
              </w:rPr>
              <w:t>2014/3/14</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sz w:val="21"/>
              </w:rPr>
              <w:t>2017/3/13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30.54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w:t>
            </w:r>
          </w:p>
        </w:tc>
      </w:tr>
      <w:tr>
        <w:trPr>
          <w:trHeight w:val="28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邓昳</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
              <w:jc w:val="center"/>
              <w:rPr>
                <w:rFonts w:ascii="宋体" w:hAnsi="宋体" w:cs="宋体" w:eastAsia="宋体" w:hint="default"/>
                <w:sz w:val="21"/>
                <w:szCs w:val="21"/>
              </w:rPr>
            </w:pPr>
            <w:r>
              <w:rPr>
                <w:rFonts w:ascii="宋体"/>
                <w:sz w:val="21"/>
              </w:rPr>
              <w:t>2014/3/14</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sz w:val="21"/>
              </w:rPr>
              <w:t>2017/3/13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59.13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w:t>
            </w:r>
          </w:p>
        </w:tc>
      </w:tr>
      <w:tr>
        <w:trPr>
          <w:trHeight w:val="82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崔勇</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47</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2"/>
              <w:jc w:val="center"/>
              <w:rPr>
                <w:rFonts w:ascii="宋体" w:hAnsi="宋体" w:cs="宋体" w:eastAsia="宋体" w:hint="default"/>
                <w:sz w:val="21"/>
                <w:szCs w:val="21"/>
              </w:rPr>
            </w:pPr>
            <w:r>
              <w:rPr>
                <w:rFonts w:ascii="宋体"/>
                <w:sz w:val="21"/>
              </w:rPr>
              <w:t>2014/3/14</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0"/>
              <w:jc w:val="center"/>
              <w:rPr>
                <w:rFonts w:ascii="宋体" w:hAnsi="宋体" w:cs="宋体" w:eastAsia="宋体" w:hint="default"/>
                <w:sz w:val="21"/>
                <w:szCs w:val="21"/>
              </w:rPr>
            </w:pPr>
            <w:r>
              <w:rPr>
                <w:rFonts w:ascii="宋体"/>
                <w:sz w:val="21"/>
              </w:rPr>
              <w:t>2017/3/13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740,962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343,278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-397,684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减持、</w:t>
            </w:r>
            <w:r>
              <w:rPr>
                <w:rFonts w:ascii="宋体" w:hAnsi="宋体" w:cs="宋体" w:eastAsia="宋体" w:hint="default"/>
                <w:spacing w:val="-85"/>
                <w:sz w:val="21"/>
                <w:szCs w:val="21"/>
              </w:rPr>
              <w:t> </w:t>
            </w:r>
            <w:r>
              <w:rPr>
                <w:rFonts w:ascii="宋体" w:hAnsi="宋体" w:cs="宋体" w:eastAsia="宋体" w:hint="default"/>
                <w:sz w:val="21"/>
                <w:szCs w:val="21"/>
              </w:rPr>
              <w:t>股</w:t>
            </w:r>
          </w:p>
          <w:p>
            <w:pPr>
              <w:pStyle w:val="TableParagraph"/>
              <w:spacing w:line="272" w:lineRule="exact" w:before="26"/>
              <w:ind w:left="103" w:right="100"/>
              <w:jc w:val="left"/>
              <w:rPr>
                <w:rFonts w:ascii="宋体" w:hAnsi="宋体" w:cs="宋体" w:eastAsia="宋体" w:hint="default"/>
                <w:sz w:val="21"/>
                <w:szCs w:val="21"/>
              </w:rPr>
            </w:pPr>
            <w:r>
              <w:rPr>
                <w:rFonts w:ascii="宋体" w:hAnsi="宋体" w:cs="宋体" w:eastAsia="宋体" w:hint="default"/>
                <w:spacing w:val="15"/>
                <w:sz w:val="21"/>
                <w:szCs w:val="21"/>
              </w:rPr>
              <w:t>权激励股</w:t>
            </w:r>
            <w:r>
              <w:rPr>
                <w:rFonts w:ascii="宋体" w:hAnsi="宋体" w:cs="宋体" w:eastAsia="宋体" w:hint="default"/>
                <w:sz w:val="21"/>
                <w:szCs w:val="21"/>
              </w:rPr>
              <w:t> 份回购</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80.48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r>
    </w:tbl>
    <w:p>
      <w:pPr>
        <w:spacing w:after="0" w:line="240" w:lineRule="exact"/>
        <w:jc w:val="left"/>
        <w:rPr>
          <w:rFonts w:ascii="宋体" w:hAnsi="宋体" w:cs="宋体" w:eastAsia="宋体" w:hint="default"/>
          <w:sz w:val="21"/>
          <w:szCs w:val="21"/>
        </w:rPr>
        <w:sectPr>
          <w:type w:val="continuous"/>
          <w:pgSz w:w="16840" w:h="11910" w:orient="landscape"/>
          <w:pgMar w:top="1080" w:bottom="1380" w:left="1220" w:right="1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994"/>
        <w:gridCol w:w="1107"/>
        <w:gridCol w:w="810"/>
        <w:gridCol w:w="810"/>
        <w:gridCol w:w="1216"/>
        <w:gridCol w:w="1213"/>
        <w:gridCol w:w="1372"/>
        <w:gridCol w:w="1370"/>
        <w:gridCol w:w="1372"/>
        <w:gridCol w:w="1118"/>
        <w:gridCol w:w="1378"/>
        <w:gridCol w:w="1338"/>
      </w:tblGrid>
      <w:tr>
        <w:trPr>
          <w:trHeight w:val="82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杨俏丛</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2"/>
              <w:jc w:val="center"/>
              <w:rPr>
                <w:rFonts w:ascii="宋体" w:hAnsi="宋体" w:cs="宋体" w:eastAsia="宋体" w:hint="default"/>
                <w:sz w:val="21"/>
                <w:szCs w:val="21"/>
              </w:rPr>
            </w:pPr>
            <w:r>
              <w:rPr>
                <w:rFonts w:ascii="宋体"/>
                <w:sz w:val="21"/>
              </w:rPr>
              <w:t>2014/3/14</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0"/>
              <w:jc w:val="center"/>
              <w:rPr>
                <w:rFonts w:ascii="宋体" w:hAnsi="宋体" w:cs="宋体" w:eastAsia="宋体" w:hint="default"/>
                <w:sz w:val="21"/>
                <w:szCs w:val="21"/>
              </w:rPr>
            </w:pPr>
            <w:r>
              <w:rPr>
                <w:rFonts w:ascii="宋体"/>
                <w:sz w:val="21"/>
              </w:rPr>
              <w:t>2017/3/13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1,650,427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865,277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-785,150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减持、</w:t>
            </w:r>
            <w:r>
              <w:rPr>
                <w:rFonts w:ascii="宋体" w:hAnsi="宋体" w:cs="宋体" w:eastAsia="宋体" w:hint="default"/>
                <w:spacing w:val="-85"/>
                <w:sz w:val="21"/>
                <w:szCs w:val="21"/>
              </w:rPr>
              <w:t> </w:t>
            </w:r>
            <w:r>
              <w:rPr>
                <w:rFonts w:ascii="宋体" w:hAnsi="宋体" w:cs="宋体" w:eastAsia="宋体" w:hint="default"/>
                <w:sz w:val="21"/>
                <w:szCs w:val="21"/>
              </w:rPr>
              <w:t>股</w:t>
            </w:r>
          </w:p>
          <w:p>
            <w:pPr>
              <w:pStyle w:val="TableParagraph"/>
              <w:spacing w:line="272" w:lineRule="exact" w:before="26"/>
              <w:ind w:left="103" w:right="100"/>
              <w:jc w:val="left"/>
              <w:rPr>
                <w:rFonts w:ascii="宋体" w:hAnsi="宋体" w:cs="宋体" w:eastAsia="宋体" w:hint="default"/>
                <w:sz w:val="21"/>
                <w:szCs w:val="21"/>
              </w:rPr>
            </w:pPr>
            <w:r>
              <w:rPr>
                <w:rFonts w:ascii="宋体" w:hAnsi="宋体" w:cs="宋体" w:eastAsia="宋体" w:hint="default"/>
                <w:spacing w:val="15"/>
                <w:sz w:val="21"/>
                <w:szCs w:val="21"/>
              </w:rPr>
              <w:t>权激励股</w:t>
            </w:r>
            <w:r>
              <w:rPr>
                <w:rFonts w:ascii="宋体" w:hAnsi="宋体" w:cs="宋体" w:eastAsia="宋体" w:hint="default"/>
                <w:sz w:val="21"/>
                <w:szCs w:val="21"/>
              </w:rPr>
              <w:t> 份回购</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71.14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r>
      <w:tr>
        <w:trPr>
          <w:trHeight w:val="82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杜欣</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2"/>
              <w:jc w:val="center"/>
              <w:rPr>
                <w:rFonts w:ascii="宋体" w:hAnsi="宋体" w:cs="宋体" w:eastAsia="宋体" w:hint="default"/>
                <w:sz w:val="21"/>
                <w:szCs w:val="21"/>
              </w:rPr>
            </w:pPr>
            <w:r>
              <w:rPr>
                <w:rFonts w:ascii="宋体"/>
                <w:sz w:val="21"/>
              </w:rPr>
              <w:t>2014/3/14</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0"/>
              <w:jc w:val="center"/>
              <w:rPr>
                <w:rFonts w:ascii="宋体" w:hAnsi="宋体" w:cs="宋体" w:eastAsia="宋体" w:hint="default"/>
                <w:sz w:val="21"/>
                <w:szCs w:val="21"/>
              </w:rPr>
            </w:pPr>
            <w:r>
              <w:rPr>
                <w:rFonts w:ascii="宋体"/>
                <w:sz w:val="21"/>
              </w:rPr>
              <w:t>2017/3/13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1,026,540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676,660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-349,880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减持、</w:t>
            </w:r>
            <w:r>
              <w:rPr>
                <w:rFonts w:ascii="宋体" w:hAnsi="宋体" w:cs="宋体" w:eastAsia="宋体" w:hint="default"/>
                <w:spacing w:val="-85"/>
                <w:sz w:val="21"/>
                <w:szCs w:val="21"/>
              </w:rPr>
              <w:t> </w:t>
            </w:r>
            <w:r>
              <w:rPr>
                <w:rFonts w:ascii="宋体" w:hAnsi="宋体" w:cs="宋体" w:eastAsia="宋体" w:hint="default"/>
                <w:sz w:val="21"/>
                <w:szCs w:val="21"/>
              </w:rPr>
              <w:t>股</w:t>
            </w:r>
          </w:p>
          <w:p>
            <w:pPr>
              <w:pStyle w:val="TableParagraph"/>
              <w:spacing w:line="272" w:lineRule="exact" w:before="26"/>
              <w:ind w:left="103" w:right="100"/>
              <w:jc w:val="left"/>
              <w:rPr>
                <w:rFonts w:ascii="宋体" w:hAnsi="宋体" w:cs="宋体" w:eastAsia="宋体" w:hint="default"/>
                <w:sz w:val="21"/>
                <w:szCs w:val="21"/>
              </w:rPr>
            </w:pPr>
            <w:r>
              <w:rPr>
                <w:rFonts w:ascii="宋体" w:hAnsi="宋体" w:cs="宋体" w:eastAsia="宋体" w:hint="default"/>
                <w:spacing w:val="15"/>
                <w:sz w:val="21"/>
                <w:szCs w:val="21"/>
              </w:rPr>
              <w:t>权激励股</w:t>
            </w:r>
            <w:r>
              <w:rPr>
                <w:rFonts w:ascii="宋体" w:hAnsi="宋体" w:cs="宋体" w:eastAsia="宋体" w:hint="default"/>
                <w:sz w:val="21"/>
                <w:szCs w:val="21"/>
              </w:rPr>
              <w:t> 份回购</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56.42</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r>
      <w:tr>
        <w:trPr>
          <w:trHeight w:val="28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黄华</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2"/>
              <w:jc w:val="center"/>
              <w:rPr>
                <w:rFonts w:ascii="宋体" w:hAnsi="宋体" w:cs="宋体" w:eastAsia="宋体" w:hint="default"/>
                <w:sz w:val="21"/>
                <w:szCs w:val="21"/>
              </w:rPr>
            </w:pPr>
            <w:r>
              <w:rPr>
                <w:rFonts w:ascii="宋体"/>
                <w:sz w:val="21"/>
              </w:rPr>
              <w:t>2014/3/14</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0"/>
              <w:jc w:val="center"/>
              <w:rPr>
                <w:rFonts w:ascii="宋体" w:hAnsi="宋体" w:cs="宋体" w:eastAsia="宋体" w:hint="default"/>
                <w:sz w:val="21"/>
                <w:szCs w:val="21"/>
              </w:rPr>
            </w:pPr>
            <w:r>
              <w:rPr>
                <w:rFonts w:ascii="宋体"/>
                <w:sz w:val="21"/>
              </w:rPr>
              <w:t>2017/3/13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51.98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r>
      <w:tr>
        <w:trPr>
          <w:trHeight w:val="55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任学英</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
              <w:jc w:val="center"/>
              <w:rPr>
                <w:rFonts w:ascii="宋体" w:hAnsi="宋体" w:cs="宋体" w:eastAsia="宋体" w:hint="default"/>
                <w:sz w:val="21"/>
                <w:szCs w:val="21"/>
              </w:rPr>
            </w:pPr>
            <w:r>
              <w:rPr>
                <w:rFonts w:ascii="宋体"/>
                <w:sz w:val="21"/>
              </w:rPr>
              <w:t>2014/3/14</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sz w:val="21"/>
              </w:rPr>
              <w:t>2017/3/13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132,032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99,024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-33,008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股权激励</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股份回购</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75.06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w:t>
            </w:r>
          </w:p>
        </w:tc>
      </w:tr>
      <w:tr>
        <w:trPr>
          <w:trHeight w:val="55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代双珠</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6"/>
                <w:sz w:val="21"/>
                <w:szCs w:val="21"/>
              </w:rPr>
              <w:t>董事会秘</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书</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7"/>
              <w:jc w:val="center"/>
              <w:rPr>
                <w:rFonts w:ascii="宋体" w:hAnsi="宋体" w:cs="宋体" w:eastAsia="宋体" w:hint="default"/>
                <w:sz w:val="21"/>
                <w:szCs w:val="21"/>
              </w:rPr>
            </w:pPr>
            <w:r>
              <w:rPr>
                <w:rFonts w:ascii="宋体"/>
                <w:sz w:val="21"/>
              </w:rPr>
              <w:t>2014/4/8</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sz w:val="21"/>
              </w:rPr>
              <w:t>2017/3/13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49,512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33,008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-16,504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股权激励</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股份回购</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50.63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w:t>
            </w:r>
          </w:p>
        </w:tc>
      </w:tr>
      <w:tr>
        <w:trPr>
          <w:trHeight w:val="55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胡联奎</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16"/>
                <w:sz w:val="21"/>
                <w:szCs w:val="21"/>
              </w:rPr>
              <w:t>离任董事</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长</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64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2"/>
              <w:jc w:val="center"/>
              <w:rPr>
                <w:rFonts w:ascii="宋体" w:hAnsi="宋体" w:cs="宋体" w:eastAsia="宋体" w:hint="default"/>
                <w:sz w:val="21"/>
                <w:szCs w:val="21"/>
              </w:rPr>
            </w:pPr>
            <w:r>
              <w:rPr>
                <w:rFonts w:ascii="宋体"/>
                <w:sz w:val="21"/>
              </w:rPr>
              <w:t>2010/7/28</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0"/>
              <w:jc w:val="center"/>
              <w:rPr>
                <w:rFonts w:ascii="宋体" w:hAnsi="宋体" w:cs="宋体" w:eastAsia="宋体" w:hint="default"/>
                <w:sz w:val="21"/>
                <w:szCs w:val="21"/>
              </w:rPr>
            </w:pPr>
            <w:r>
              <w:rPr>
                <w:rFonts w:ascii="宋体"/>
                <w:sz w:val="21"/>
              </w:rPr>
              <w:t>2014/3/14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30,430,477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17,824,054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-12,606,423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73"/>
              <w:jc w:val="right"/>
              <w:rPr>
                <w:rFonts w:ascii="宋体" w:hAnsi="宋体" w:cs="宋体" w:eastAsia="宋体" w:hint="default"/>
                <w:sz w:val="21"/>
                <w:szCs w:val="21"/>
              </w:rPr>
            </w:pPr>
            <w:r>
              <w:rPr>
                <w:rFonts w:ascii="宋体" w:hAnsi="宋体" w:cs="宋体" w:eastAsia="宋体" w:hint="default"/>
                <w:sz w:val="21"/>
                <w:szCs w:val="21"/>
              </w:rPr>
              <w:t>减持</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16.67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r>
      <w:tr>
        <w:trPr>
          <w:trHeight w:val="28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刘建柱</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离任董事</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2"/>
              <w:jc w:val="center"/>
              <w:rPr>
                <w:rFonts w:ascii="宋体" w:hAnsi="宋体" w:cs="宋体" w:eastAsia="宋体" w:hint="default"/>
                <w:sz w:val="21"/>
                <w:szCs w:val="21"/>
              </w:rPr>
            </w:pPr>
            <w:r>
              <w:rPr>
                <w:rFonts w:ascii="宋体"/>
                <w:sz w:val="21"/>
              </w:rPr>
              <w:t>2010/7/28</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0"/>
              <w:jc w:val="center"/>
              <w:rPr>
                <w:rFonts w:ascii="宋体" w:hAnsi="宋体" w:cs="宋体" w:eastAsia="宋体" w:hint="default"/>
                <w:sz w:val="21"/>
                <w:szCs w:val="21"/>
              </w:rPr>
            </w:pPr>
            <w:r>
              <w:rPr>
                <w:rFonts w:ascii="宋体"/>
                <w:sz w:val="21"/>
              </w:rPr>
              <w:t>2014/3/14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16,885,738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5,000,000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-11,885,738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73"/>
              <w:jc w:val="right"/>
              <w:rPr>
                <w:rFonts w:ascii="宋体" w:hAnsi="宋体" w:cs="宋体" w:eastAsia="宋体" w:hint="default"/>
                <w:sz w:val="21"/>
                <w:szCs w:val="21"/>
              </w:rPr>
            </w:pPr>
            <w:r>
              <w:rPr>
                <w:rFonts w:ascii="宋体" w:hAnsi="宋体" w:cs="宋体" w:eastAsia="宋体" w:hint="default"/>
                <w:sz w:val="21"/>
                <w:szCs w:val="21"/>
              </w:rPr>
              <w:t>减持</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r>
      <w:tr>
        <w:trPr>
          <w:trHeight w:val="28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刘燕京</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离任董事</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
              <w:jc w:val="center"/>
              <w:rPr>
                <w:rFonts w:ascii="宋体" w:hAnsi="宋体" w:cs="宋体" w:eastAsia="宋体" w:hint="default"/>
                <w:sz w:val="21"/>
                <w:szCs w:val="21"/>
              </w:rPr>
            </w:pPr>
            <w:r>
              <w:rPr>
                <w:rFonts w:ascii="宋体"/>
                <w:sz w:val="21"/>
              </w:rPr>
              <w:t>2010/7/28</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sz w:val="21"/>
              </w:rPr>
              <w:t>2014/3/14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17,694,610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17,694,610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16.95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w:t>
            </w:r>
          </w:p>
        </w:tc>
      </w:tr>
      <w:tr>
        <w:trPr>
          <w:trHeight w:val="28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郭先臣</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离任董事</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47</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
              <w:jc w:val="center"/>
              <w:rPr>
                <w:rFonts w:ascii="宋体" w:hAnsi="宋体" w:cs="宋体" w:eastAsia="宋体" w:hint="default"/>
                <w:sz w:val="21"/>
                <w:szCs w:val="21"/>
              </w:rPr>
            </w:pPr>
            <w:r>
              <w:rPr>
                <w:rFonts w:ascii="宋体"/>
                <w:sz w:val="21"/>
              </w:rPr>
              <w:t>2010/7/28</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sz w:val="21"/>
              </w:rPr>
              <w:t>2014/3/14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3"/>
              <w:jc w:val="right"/>
              <w:rPr>
                <w:rFonts w:ascii="宋体" w:hAnsi="宋体" w:cs="宋体" w:eastAsia="宋体" w:hint="default"/>
                <w:sz w:val="21"/>
                <w:szCs w:val="21"/>
              </w:rPr>
            </w:pPr>
            <w:r>
              <w:rPr>
                <w:rFonts w:ascii="宋体" w:hAnsi="宋体" w:cs="宋体" w:eastAsia="宋体" w:hint="default"/>
                <w:sz w:val="21"/>
                <w:szCs w:val="21"/>
              </w:rPr>
              <w:t>增持</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w:t>
            </w:r>
          </w:p>
        </w:tc>
      </w:tr>
      <w:tr>
        <w:trPr>
          <w:trHeight w:val="28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隋雪青</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离任董事</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2"/>
              <w:jc w:val="center"/>
              <w:rPr>
                <w:rFonts w:ascii="宋体" w:hAnsi="宋体" w:cs="宋体" w:eastAsia="宋体" w:hint="default"/>
                <w:sz w:val="21"/>
                <w:szCs w:val="21"/>
              </w:rPr>
            </w:pPr>
            <w:r>
              <w:rPr>
                <w:rFonts w:ascii="宋体"/>
                <w:sz w:val="21"/>
              </w:rPr>
              <w:t>2010/7/28</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0"/>
              <w:jc w:val="center"/>
              <w:rPr>
                <w:rFonts w:ascii="宋体" w:hAnsi="宋体" w:cs="宋体" w:eastAsia="宋体" w:hint="default"/>
                <w:sz w:val="21"/>
                <w:szCs w:val="21"/>
              </w:rPr>
            </w:pPr>
            <w:r>
              <w:rPr>
                <w:rFonts w:ascii="宋体"/>
                <w:sz w:val="21"/>
              </w:rPr>
              <w:t>2014/3/14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r>
      <w:tr>
        <w:trPr>
          <w:trHeight w:val="55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陈涛涛</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6"/>
                <w:sz w:val="21"/>
                <w:szCs w:val="21"/>
              </w:rPr>
              <w:t>离任独立</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49</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2"/>
              <w:jc w:val="center"/>
              <w:rPr>
                <w:rFonts w:ascii="宋体" w:hAnsi="宋体" w:cs="宋体" w:eastAsia="宋体" w:hint="default"/>
                <w:sz w:val="21"/>
                <w:szCs w:val="21"/>
              </w:rPr>
            </w:pPr>
            <w:r>
              <w:rPr>
                <w:rFonts w:ascii="宋体"/>
                <w:sz w:val="21"/>
              </w:rPr>
              <w:t>2010/7/28</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0"/>
              <w:jc w:val="center"/>
              <w:rPr>
                <w:rFonts w:ascii="宋体" w:hAnsi="宋体" w:cs="宋体" w:eastAsia="宋体" w:hint="default"/>
                <w:sz w:val="21"/>
                <w:szCs w:val="21"/>
              </w:rPr>
            </w:pPr>
            <w:r>
              <w:rPr>
                <w:rFonts w:ascii="宋体"/>
                <w:sz w:val="21"/>
              </w:rPr>
              <w:t>2014/3/14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r>
      <w:tr>
        <w:trPr>
          <w:trHeight w:val="55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卢孝威</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6"/>
                <w:sz w:val="21"/>
                <w:szCs w:val="21"/>
              </w:rPr>
              <w:t>离任监事</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会主席</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
              <w:jc w:val="center"/>
              <w:rPr>
                <w:rFonts w:ascii="宋体" w:hAnsi="宋体" w:cs="宋体" w:eastAsia="宋体" w:hint="default"/>
                <w:sz w:val="21"/>
                <w:szCs w:val="21"/>
              </w:rPr>
            </w:pPr>
            <w:r>
              <w:rPr>
                <w:rFonts w:ascii="宋体"/>
                <w:sz w:val="21"/>
              </w:rPr>
              <w:t>2010/7/28</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sz w:val="21"/>
              </w:rPr>
              <w:t>2014/3/14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0.83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w:t>
            </w:r>
          </w:p>
        </w:tc>
      </w:tr>
      <w:tr>
        <w:trPr>
          <w:trHeight w:val="28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刘亚玲</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离任监事</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2"/>
              <w:jc w:val="center"/>
              <w:rPr>
                <w:rFonts w:ascii="宋体" w:hAnsi="宋体" w:cs="宋体" w:eastAsia="宋体" w:hint="default"/>
                <w:sz w:val="21"/>
                <w:szCs w:val="21"/>
              </w:rPr>
            </w:pPr>
            <w:r>
              <w:rPr>
                <w:rFonts w:ascii="宋体"/>
                <w:sz w:val="21"/>
              </w:rPr>
              <w:t>2010/7/28</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0"/>
              <w:jc w:val="center"/>
              <w:rPr>
                <w:rFonts w:ascii="宋体" w:hAnsi="宋体" w:cs="宋体" w:eastAsia="宋体" w:hint="default"/>
                <w:sz w:val="21"/>
                <w:szCs w:val="21"/>
              </w:rPr>
            </w:pPr>
            <w:r>
              <w:rPr>
                <w:rFonts w:ascii="宋体"/>
                <w:sz w:val="21"/>
              </w:rPr>
              <w:t>2014/3/14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11,331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-11,331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减持</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25.33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r>
      <w:tr>
        <w:trPr>
          <w:trHeight w:val="82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杨淮</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pacing w:val="-52"/>
                <w:sz w:val="21"/>
                <w:szCs w:val="21"/>
              </w:rPr>
              <w:t> </w:t>
            </w:r>
            <w:r>
              <w:rPr>
                <w:rFonts w:ascii="宋体" w:hAnsi="宋体" w:cs="宋体" w:eastAsia="宋体" w:hint="default"/>
                <w:sz w:val="21"/>
                <w:szCs w:val="21"/>
              </w:rPr>
              <w:t>CTO</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2"/>
              <w:jc w:val="center"/>
              <w:rPr>
                <w:rFonts w:ascii="宋体" w:hAnsi="宋体" w:cs="宋体" w:eastAsia="宋体" w:hint="default"/>
                <w:sz w:val="21"/>
                <w:szCs w:val="21"/>
              </w:rPr>
            </w:pPr>
            <w:r>
              <w:rPr>
                <w:rFonts w:ascii="宋体"/>
                <w:sz w:val="21"/>
              </w:rPr>
              <w:t>2010/8/24</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0"/>
              <w:jc w:val="center"/>
              <w:rPr>
                <w:rFonts w:ascii="宋体" w:hAnsi="宋体" w:cs="宋体" w:eastAsia="宋体" w:hint="default"/>
                <w:sz w:val="21"/>
                <w:szCs w:val="21"/>
              </w:rPr>
            </w:pPr>
            <w:r>
              <w:rPr>
                <w:rFonts w:ascii="宋体"/>
                <w:sz w:val="21"/>
              </w:rPr>
              <w:t>2014/3/14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358,581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128,126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-230,455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减持、</w:t>
            </w:r>
            <w:r>
              <w:rPr>
                <w:rFonts w:ascii="宋体" w:hAnsi="宋体" w:cs="宋体" w:eastAsia="宋体" w:hint="default"/>
                <w:spacing w:val="-85"/>
                <w:sz w:val="21"/>
                <w:szCs w:val="21"/>
              </w:rPr>
              <w:t> </w:t>
            </w:r>
            <w:r>
              <w:rPr>
                <w:rFonts w:ascii="宋体" w:hAnsi="宋体" w:cs="宋体" w:eastAsia="宋体" w:hint="default"/>
                <w:sz w:val="21"/>
                <w:szCs w:val="21"/>
              </w:rPr>
              <w:t>股</w:t>
            </w:r>
          </w:p>
          <w:p>
            <w:pPr>
              <w:pStyle w:val="TableParagraph"/>
              <w:spacing w:line="272" w:lineRule="exact" w:before="26"/>
              <w:ind w:left="103" w:right="100"/>
              <w:jc w:val="left"/>
              <w:rPr>
                <w:rFonts w:ascii="宋体" w:hAnsi="宋体" w:cs="宋体" w:eastAsia="宋体" w:hint="default"/>
                <w:sz w:val="21"/>
                <w:szCs w:val="21"/>
              </w:rPr>
            </w:pPr>
            <w:r>
              <w:rPr>
                <w:rFonts w:ascii="宋体" w:hAnsi="宋体" w:cs="宋体" w:eastAsia="宋体" w:hint="default"/>
                <w:spacing w:val="15"/>
                <w:sz w:val="21"/>
                <w:szCs w:val="21"/>
              </w:rPr>
              <w:t>权激励股</w:t>
            </w:r>
            <w:r>
              <w:rPr>
                <w:rFonts w:ascii="宋体" w:hAnsi="宋体" w:cs="宋体" w:eastAsia="宋体" w:hint="default"/>
                <w:sz w:val="21"/>
                <w:szCs w:val="21"/>
              </w:rPr>
              <w:t> 份回购</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37.65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r>
      <w:tr>
        <w:trPr>
          <w:trHeight w:val="28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高蔚</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离任监事</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2"/>
              <w:jc w:val="center"/>
              <w:rPr>
                <w:rFonts w:ascii="宋体" w:hAnsi="宋体" w:cs="宋体" w:eastAsia="宋体" w:hint="default"/>
                <w:sz w:val="21"/>
                <w:szCs w:val="21"/>
              </w:rPr>
            </w:pPr>
            <w:r>
              <w:rPr>
                <w:rFonts w:ascii="宋体"/>
                <w:sz w:val="21"/>
              </w:rPr>
              <w:t>2011/2/10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0"/>
              <w:jc w:val="center"/>
              <w:rPr>
                <w:rFonts w:ascii="宋体" w:hAnsi="宋体" w:cs="宋体" w:eastAsia="宋体" w:hint="default"/>
                <w:sz w:val="21"/>
                <w:szCs w:val="21"/>
              </w:rPr>
            </w:pPr>
            <w:r>
              <w:rPr>
                <w:rFonts w:ascii="宋体"/>
                <w:sz w:val="21"/>
              </w:rPr>
              <w:t>2014/3/14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22.07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r>
      <w:tr>
        <w:trPr>
          <w:trHeight w:val="28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134,458,858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106,087,084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-28,371,774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1,280.13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pStyle w:val="BodyText"/>
        <w:spacing w:line="240" w:lineRule="auto" w:before="81"/>
        <w:ind w:left="220" w:right="0"/>
        <w:jc w:val="left"/>
      </w:pPr>
      <w:r>
        <w:rPr/>
        <w:t>现任董事、监事、高级管理人员最近</w:t>
      </w:r>
      <w:r>
        <w:rPr>
          <w:spacing w:val="-60"/>
        </w:rPr>
        <w:t> </w:t>
      </w:r>
      <w:r>
        <w:rPr>
          <w:rFonts w:ascii="宋体" w:hAnsi="宋体" w:cs="宋体" w:eastAsia="宋体" w:hint="default"/>
        </w:rPr>
        <w:t>5</w:t>
      </w:r>
      <w:r>
        <w:rPr>
          <w:rFonts w:ascii="宋体" w:hAnsi="宋体" w:cs="宋体" w:eastAsia="宋体" w:hint="default"/>
          <w:spacing w:val="-60"/>
        </w:rPr>
        <w:t> </w:t>
      </w:r>
      <w:r>
        <w:rPr/>
        <w:t>年的主要工作经历：</w:t>
      </w:r>
    </w:p>
    <w:p>
      <w:pPr>
        <w:spacing w:after="0" w:line="240" w:lineRule="auto"/>
        <w:jc w:val="left"/>
        <w:sectPr>
          <w:pgSz w:w="16840" w:h="11910" w:orient="landscape"/>
          <w:pgMar w:header="882" w:footer="1194" w:top="1120" w:bottom="1380" w:left="1220" w:right="12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BodyText"/>
        <w:spacing w:line="310" w:lineRule="exact" w:before="58"/>
        <w:ind w:left="140" w:right="124" w:firstLine="480"/>
        <w:jc w:val="both"/>
      </w:pPr>
      <w:r>
        <w:rPr/>
        <w:t>（</w:t>
      </w:r>
      <w:r>
        <w:rPr>
          <w:rFonts w:ascii="宋体" w:hAnsi="宋体" w:cs="宋体" w:eastAsia="宋体" w:hint="default"/>
        </w:rPr>
        <w:t>1</w:t>
      </w:r>
      <w:r>
        <w:rPr/>
        <w:t>）王维航，</w:t>
      </w:r>
      <w:r>
        <w:rPr>
          <w:rFonts w:ascii="宋体" w:hAnsi="宋体" w:cs="宋体" w:eastAsia="宋体" w:hint="default"/>
        </w:rPr>
        <w:t>48</w:t>
      </w:r>
      <w:r>
        <w:rPr>
          <w:rFonts w:ascii="宋体" w:hAnsi="宋体" w:cs="宋体" w:eastAsia="宋体" w:hint="default"/>
          <w:spacing w:val="-85"/>
        </w:rPr>
        <w:t> </w:t>
      </w:r>
      <w:r>
        <w:rPr/>
        <w:t>岁，中国国籍，获浙江大学信息电子工程系微电子学专业硕士学位，清华大学经济管理学院</w:t>
      </w:r>
      <w:r>
        <w:rPr>
          <w:spacing w:val="-85"/>
        </w:rPr>
        <w:t> </w:t>
      </w:r>
      <w:r>
        <w:rPr>
          <w:rFonts w:ascii="宋体" w:hAnsi="宋体" w:cs="宋体" w:eastAsia="宋体" w:hint="default"/>
        </w:rPr>
        <w:t>EMBA</w:t>
      </w:r>
      <w:r>
        <w:rPr/>
        <w:t>。曾任公司总 </w:t>
      </w:r>
      <w:r>
        <w:rPr>
          <w:spacing w:val="-1"/>
        </w:rPr>
        <w:t>经理、第一届董事会副董事长兼总经理。第二、三、四届董事会副董事长兼总裁。现任本公司第五届董事会董事长兼总裁。王维航先</w:t>
      </w:r>
      <w:r>
        <w:rPr>
          <w:spacing w:val="-116"/>
        </w:rPr>
        <w:t> </w:t>
      </w:r>
      <w:r>
        <w:rPr>
          <w:spacing w:val="-116"/>
        </w:rPr>
      </w:r>
      <w:r>
        <w:rPr/>
        <w:t>生持有公司</w:t>
      </w:r>
      <w:r>
        <w:rPr>
          <w:spacing w:val="-60"/>
        </w:rPr>
        <w:t> </w:t>
      </w:r>
      <w:r>
        <w:rPr>
          <w:rFonts w:ascii="宋体" w:hAnsi="宋体" w:cs="宋体" w:eastAsia="宋体" w:hint="default"/>
        </w:rPr>
        <w:t>62,937,446</w:t>
      </w:r>
      <w:r>
        <w:rPr>
          <w:rFonts w:ascii="宋体" w:hAnsi="宋体" w:cs="宋体" w:eastAsia="宋体" w:hint="default"/>
          <w:spacing w:val="-60"/>
        </w:rPr>
        <w:t> </w:t>
      </w:r>
      <w:r>
        <w:rPr/>
        <w:t>股，占本公司股本总额的</w:t>
      </w:r>
      <w:r>
        <w:rPr>
          <w:spacing w:val="-60"/>
        </w:rPr>
        <w:t> </w:t>
      </w:r>
      <w:r>
        <w:rPr>
          <w:rFonts w:ascii="宋体" w:hAnsi="宋体" w:cs="宋体" w:eastAsia="宋体" w:hint="default"/>
        </w:rPr>
        <w:t>9.81%</w:t>
      </w:r>
      <w:r>
        <w:rPr/>
        <w:t>。</w:t>
      </w:r>
    </w:p>
    <w:p>
      <w:pPr>
        <w:pStyle w:val="BodyText"/>
        <w:spacing w:line="237" w:lineRule="auto" w:before="92"/>
        <w:ind w:left="140" w:right="121" w:firstLine="480"/>
        <w:jc w:val="both"/>
      </w:pPr>
      <w:r>
        <w:rPr>
          <w:spacing w:val="-3"/>
        </w:rPr>
        <w:t>（</w:t>
      </w:r>
      <w:r>
        <w:rPr>
          <w:rFonts w:ascii="宋体" w:hAnsi="宋体" w:cs="宋体" w:eastAsia="宋体" w:hint="default"/>
          <w:spacing w:val="-3"/>
        </w:rPr>
        <w:t>2</w:t>
      </w:r>
      <w:r>
        <w:rPr>
          <w:spacing w:val="-3"/>
        </w:rPr>
        <w:t>）梁达光，现年</w:t>
      </w:r>
      <w:r>
        <w:rPr>
          <w:spacing w:val="-70"/>
        </w:rPr>
        <w:t> </w:t>
      </w:r>
      <w:r>
        <w:rPr>
          <w:rFonts w:ascii="宋体" w:hAnsi="宋体" w:cs="宋体" w:eastAsia="宋体" w:hint="default"/>
        </w:rPr>
        <w:t>54</w:t>
      </w:r>
      <w:r>
        <w:rPr>
          <w:rFonts w:ascii="宋体" w:hAnsi="宋体" w:cs="宋体" w:eastAsia="宋体" w:hint="default"/>
          <w:spacing w:val="-70"/>
        </w:rPr>
        <w:t> </w:t>
      </w:r>
      <w:r>
        <w:rPr/>
        <w:t>岁，获美国加州州立大学长滩分校颁发工商计算机法理学士学位及工商管理硕士学位。曾于王安计算机有 限公司、优利系统中国有限公司、菲利普莫里斯亚洲集团及</w:t>
      </w:r>
      <w:r>
        <w:rPr>
          <w:spacing w:val="-60"/>
        </w:rPr>
        <w:t> </w:t>
      </w:r>
      <w:r>
        <w:rPr>
          <w:rFonts w:ascii="宋体" w:hAnsi="宋体" w:cs="宋体" w:eastAsia="宋体" w:hint="default"/>
        </w:rPr>
        <w:t>Exxon</w:t>
      </w:r>
      <w:r>
        <w:rPr>
          <w:rFonts w:ascii="宋体" w:hAnsi="宋体" w:cs="宋体" w:eastAsia="宋体" w:hint="default"/>
          <w:spacing w:val="-27"/>
        </w:rPr>
        <w:t> </w:t>
      </w:r>
      <w:r>
        <w:rPr>
          <w:rFonts w:ascii="宋体" w:hAnsi="宋体" w:cs="宋体" w:eastAsia="宋体" w:hint="default"/>
        </w:rPr>
        <w:t>Chemical</w:t>
      </w:r>
      <w:r>
        <w:rPr>
          <w:rFonts w:ascii="宋体" w:hAnsi="宋体" w:cs="宋体" w:eastAsia="宋体" w:hint="default"/>
          <w:spacing w:val="-27"/>
        </w:rPr>
        <w:t> </w:t>
      </w:r>
      <w:r>
        <w:rPr>
          <w:rFonts w:ascii="宋体" w:hAnsi="宋体" w:cs="宋体" w:eastAsia="宋体" w:hint="default"/>
        </w:rPr>
        <w:t>Asia</w:t>
      </w:r>
      <w:r>
        <w:rPr>
          <w:rFonts w:ascii="宋体" w:hAnsi="宋体" w:cs="宋体" w:eastAsia="宋体" w:hint="default"/>
          <w:spacing w:val="-27"/>
        </w:rPr>
        <w:t> </w:t>
      </w:r>
      <w:r>
        <w:rPr>
          <w:rFonts w:ascii="宋体" w:hAnsi="宋体" w:cs="宋体" w:eastAsia="宋体" w:hint="default"/>
        </w:rPr>
        <w:t>Pacific</w:t>
      </w:r>
      <w:r>
        <w:rPr>
          <w:rFonts w:ascii="宋体" w:hAnsi="宋体" w:cs="宋体" w:eastAsia="宋体" w:hint="default"/>
          <w:spacing w:val="-27"/>
        </w:rPr>
        <w:t> </w:t>
      </w:r>
      <w:r>
        <w:rPr>
          <w:rFonts w:ascii="宋体" w:hAnsi="宋体" w:cs="宋体" w:eastAsia="宋体" w:hint="default"/>
        </w:rPr>
        <w:t>Ltd.</w:t>
      </w:r>
      <w:r>
        <w:rPr/>
        <w:t>等多家公司出任多个财务及╱或销售 </w:t>
      </w:r>
      <w:r>
        <w:rPr>
          <w:spacing w:val="-1"/>
        </w:rPr>
        <w:t>职位，以及曾任太阳计算机系统有限公司大中华董事总经理及企业董事。现任本公司之海外附属公司自动系统集团有限公司（“自动</w:t>
      </w:r>
      <w:r>
        <w:rPr>
          <w:spacing w:val="-110"/>
        </w:rPr>
        <w:t> </w:t>
      </w:r>
      <w:r>
        <w:rPr>
          <w:spacing w:val="-110"/>
        </w:rPr>
      </w:r>
      <w:r>
        <w:rPr>
          <w:spacing w:val="-1"/>
        </w:rPr>
        <w:t>系统集团”，其于香港上市）执行董事及行政总裁，自动系统集团联营公司安讯奔创新科技</w:t>
      </w:r>
      <w:r>
        <w:rPr>
          <w:rFonts w:ascii="宋体" w:hAnsi="宋体" w:cs="宋体" w:eastAsia="宋体" w:hint="default"/>
          <w:spacing w:val="-1"/>
        </w:rPr>
        <w:t>(</w:t>
      </w:r>
      <w:r>
        <w:rPr>
          <w:spacing w:val="-1"/>
        </w:rPr>
        <w:t>新加坡</w:t>
      </w:r>
      <w:r>
        <w:rPr>
          <w:rFonts w:ascii="宋体" w:hAnsi="宋体" w:cs="宋体" w:eastAsia="宋体" w:hint="default"/>
          <w:spacing w:val="-1"/>
        </w:rPr>
        <w:t>)</w:t>
      </w:r>
      <w:r>
        <w:rPr>
          <w:spacing w:val="-1"/>
        </w:rPr>
        <w:t>有限公司（“安讯奔集团”）董</w:t>
      </w:r>
      <w:r>
        <w:rPr>
          <w:spacing w:val="-109"/>
        </w:rPr>
        <w:t> </w:t>
      </w:r>
      <w:r>
        <w:rPr>
          <w:spacing w:val="-109"/>
        </w:rPr>
      </w:r>
      <w:r>
        <w:rPr/>
        <w:t>事会主席，以及安讯奔集团之若干附属公司董事及</w:t>
      </w:r>
      <w:r>
        <w:rPr>
          <w:rFonts w:ascii="宋体" w:hAnsi="宋体" w:cs="宋体" w:eastAsia="宋体" w:hint="default"/>
        </w:rPr>
        <w:t>/</w:t>
      </w:r>
      <w:r>
        <w:rPr/>
        <w:t>或主席，包括安讯奔创新科技</w:t>
      </w:r>
      <w:r>
        <w:rPr>
          <w:rFonts w:ascii="宋体" w:hAnsi="宋体" w:cs="宋体" w:eastAsia="宋体" w:hint="default"/>
        </w:rPr>
        <w:t>(</w:t>
      </w:r>
      <w:r>
        <w:rPr/>
        <w:t>马来西亚</w:t>
      </w:r>
      <w:r>
        <w:rPr>
          <w:rFonts w:ascii="宋体" w:hAnsi="宋体" w:cs="宋体" w:eastAsia="宋体" w:hint="default"/>
        </w:rPr>
        <w:t>)</w:t>
      </w:r>
      <w:r>
        <w:rPr/>
        <w:t>有限公司董事、安讯奔科技</w:t>
      </w:r>
      <w:r>
        <w:rPr>
          <w:rFonts w:ascii="宋体" w:hAnsi="宋体" w:cs="宋体" w:eastAsia="宋体" w:hint="default"/>
        </w:rPr>
        <w:t>(</w:t>
      </w:r>
      <w:r>
        <w:rPr/>
        <w:t>马来西亚</w:t>
      </w:r>
      <w:r>
        <w:rPr>
          <w:rFonts w:ascii="宋体" w:hAnsi="宋体" w:cs="宋体" w:eastAsia="宋体" w:hint="default"/>
        </w:rPr>
        <w:t>) </w:t>
      </w:r>
      <w:r>
        <w:rPr>
          <w:spacing w:val="-1"/>
        </w:rPr>
        <w:t>有限公司董事、安讯腾（北京）科技有限责任公司董事会主席及安讯奔（香港）科技有限公司董事会主席。并任永亚有限公司（“永</w:t>
      </w:r>
      <w:r>
        <w:rPr>
          <w:spacing w:val="-110"/>
        </w:rPr>
        <w:t> </w:t>
      </w:r>
      <w:r>
        <w:rPr>
          <w:spacing w:val="-110"/>
        </w:rPr>
      </w:r>
      <w:r>
        <w:rPr/>
        <w:t>亚”）董事兼共同创办人及曾任永亚之行政总裁。</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月至今任本公司之附属公司长天科技有限公司董事。</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月至今任 北京理工大学珠海学院之兼职教授。</w:t>
      </w:r>
      <w:r>
        <w:rPr>
          <w:rFonts w:ascii="宋体" w:hAnsi="宋体" w:cs="宋体" w:eastAsia="宋体" w:hint="default"/>
        </w:rPr>
        <w:t>2011</w:t>
      </w:r>
      <w:r>
        <w:rPr>
          <w:rFonts w:ascii="宋体" w:hAnsi="宋体" w:cs="宋体" w:eastAsia="宋体" w:hint="default"/>
          <w:spacing w:val="-10"/>
        </w:rPr>
        <w:t> </w:t>
      </w:r>
      <w:r>
        <w:rPr/>
        <w:t>年</w:t>
      </w:r>
      <w:r>
        <w:rPr>
          <w:spacing w:val="-10"/>
        </w:rPr>
        <w:t> </w:t>
      </w:r>
      <w:r>
        <w:rPr>
          <w:rFonts w:ascii="宋体" w:hAnsi="宋体" w:cs="宋体" w:eastAsia="宋体" w:hint="default"/>
        </w:rPr>
        <w:t>12</w:t>
      </w:r>
      <w:r>
        <w:rPr>
          <w:rFonts w:ascii="宋体" w:hAnsi="宋体" w:cs="宋体" w:eastAsia="宋体" w:hint="default"/>
          <w:spacing w:val="-10"/>
        </w:rPr>
        <w:t> </w:t>
      </w:r>
      <w:r>
        <w:rPr/>
        <w:t>月起代表自动系统集团担任本公司高级顾问，继而于</w:t>
      </w:r>
      <w:r>
        <w:rPr>
          <w:spacing w:val="-65"/>
        </w:rPr>
        <w:t> </w:t>
      </w:r>
      <w:r>
        <w:rPr>
          <w:rFonts w:ascii="宋体" w:hAnsi="宋体" w:cs="宋体" w:eastAsia="宋体" w:hint="default"/>
        </w:rPr>
        <w:t>2014</w:t>
      </w:r>
      <w:r>
        <w:rPr>
          <w:rFonts w:ascii="宋体" w:hAnsi="宋体" w:cs="宋体" w:eastAsia="宋体" w:hint="default"/>
          <w:spacing w:val="-65"/>
        </w:rPr>
        <w:t> </w:t>
      </w:r>
      <w:r>
        <w:rPr/>
        <w:t>年</w:t>
      </w:r>
      <w:r>
        <w:rPr>
          <w:spacing w:val="-65"/>
        </w:rPr>
        <w:t> </w:t>
      </w:r>
      <w:r>
        <w:rPr>
          <w:rFonts w:ascii="宋体" w:hAnsi="宋体" w:cs="宋体" w:eastAsia="宋体" w:hint="default"/>
        </w:rPr>
        <w:t>3</w:t>
      </w:r>
      <w:r>
        <w:rPr>
          <w:rFonts w:ascii="宋体" w:hAnsi="宋体" w:cs="宋体" w:eastAsia="宋体" w:hint="default"/>
          <w:spacing w:val="-65"/>
        </w:rPr>
        <w:t> </w:t>
      </w:r>
      <w:r>
        <w:rPr/>
        <w:t>月至今任本公司第五 届董事会董事。</w:t>
      </w:r>
    </w:p>
    <w:p>
      <w:pPr>
        <w:pStyle w:val="BodyText"/>
        <w:spacing w:line="237" w:lineRule="auto" w:before="120"/>
        <w:ind w:left="140" w:right="124" w:firstLine="480"/>
        <w:jc w:val="both"/>
      </w:pPr>
      <w:r>
        <w:rPr/>
        <w:t>（</w:t>
      </w:r>
      <w:r>
        <w:rPr>
          <w:rFonts w:ascii="宋体" w:hAnsi="宋体" w:cs="宋体" w:eastAsia="宋体" w:hint="default"/>
        </w:rPr>
        <w:t>3</w:t>
      </w:r>
      <w:r>
        <w:rPr/>
        <w:t>）李伟，现年</w:t>
      </w:r>
      <w:r>
        <w:rPr>
          <w:spacing w:val="-60"/>
        </w:rPr>
        <w:t> </w:t>
      </w:r>
      <w:r>
        <w:rPr>
          <w:rFonts w:ascii="宋体" w:hAnsi="宋体" w:cs="宋体" w:eastAsia="宋体" w:hint="default"/>
        </w:rPr>
        <w:t>50</w:t>
      </w:r>
      <w:r>
        <w:rPr>
          <w:rFonts w:ascii="宋体" w:hAnsi="宋体" w:cs="宋体" w:eastAsia="宋体" w:hint="default"/>
          <w:spacing w:val="-60"/>
        </w:rPr>
        <w:t> </w:t>
      </w:r>
      <w:r>
        <w:rPr/>
        <w:t>岁，获南京师范大学硕士学位，</w:t>
      </w:r>
      <w:r>
        <w:rPr>
          <w:rFonts w:ascii="宋体" w:hAnsi="宋体" w:cs="宋体" w:eastAsia="宋体" w:hint="default"/>
        </w:rPr>
        <w:t>2012</w:t>
      </w:r>
      <w:r>
        <w:rPr>
          <w:rFonts w:ascii="宋体" w:hAnsi="宋体" w:cs="宋体" w:eastAsia="宋体" w:hint="default"/>
          <w:spacing w:val="-60"/>
        </w:rPr>
        <w:t> </w:t>
      </w:r>
      <w:r>
        <w:rPr/>
        <w:t>年至今在长江商学院</w:t>
      </w:r>
      <w:r>
        <w:rPr>
          <w:spacing w:val="-60"/>
        </w:rPr>
        <w:t> </w:t>
      </w:r>
      <w:r>
        <w:rPr>
          <w:rFonts w:ascii="宋体" w:hAnsi="宋体" w:cs="宋体" w:eastAsia="宋体" w:hint="default"/>
        </w:rPr>
        <w:t>EMBA20</w:t>
      </w:r>
      <w:r>
        <w:rPr>
          <w:rFonts w:ascii="宋体" w:hAnsi="宋体" w:cs="宋体" w:eastAsia="宋体" w:hint="default"/>
          <w:spacing w:val="-60"/>
        </w:rPr>
        <w:t> </w:t>
      </w:r>
      <w:r>
        <w:rPr/>
        <w:t>期学习。曾任南京金陵科技大学讲师，江 </w:t>
      </w:r>
      <w:r>
        <w:rPr>
          <w:spacing w:val="-1"/>
        </w:rPr>
        <w:t>苏省证券公司江苏东方证券经纪公司经理，江苏有富远东集团有限公司（台商独资）董事长助理兼投资部总经理，创办南京伟中科技</w:t>
      </w:r>
      <w:r>
        <w:rPr>
          <w:spacing w:val="-110"/>
        </w:rPr>
        <w:t> </w:t>
      </w:r>
      <w:r>
        <w:rPr>
          <w:spacing w:val="-110"/>
        </w:rPr>
      </w:r>
      <w:r>
        <w:rPr/>
        <w:t>实业有限公司并任总经理，银河科技</w:t>
      </w:r>
      <w:r>
        <w:rPr>
          <w:rFonts w:ascii="宋体" w:hAnsi="宋体" w:cs="宋体" w:eastAsia="宋体" w:hint="default"/>
        </w:rPr>
        <w:t>(0806SZ.)</w:t>
      </w:r>
      <w:r>
        <w:rPr/>
        <w:t>银河南方软件有限公司总经理，中国风险投资研究院华东代表处主任。</w:t>
      </w:r>
      <w:r>
        <w:rPr>
          <w:rFonts w:ascii="宋体" w:hAnsi="宋体" w:cs="宋体" w:eastAsia="宋体" w:hint="default"/>
        </w:rPr>
        <w:t>2009 </w:t>
      </w:r>
      <w:r>
        <w:rPr/>
        <w:t>年 </w:t>
      </w:r>
      <w:r>
        <w:rPr>
          <w:rFonts w:ascii="宋体" w:hAnsi="宋体" w:cs="宋体" w:eastAsia="宋体" w:hint="default"/>
        </w:rPr>
        <w:t>9 </w:t>
      </w:r>
      <w:r>
        <w:rPr/>
        <w:t>月 至今任中国普天信息产业股份有限公司国际事业本部上海业务部总经理。现任本公司第五届董事会董事。</w:t>
      </w:r>
    </w:p>
    <w:p>
      <w:pPr>
        <w:pStyle w:val="BodyText"/>
        <w:spacing w:line="310" w:lineRule="exact" w:before="150"/>
        <w:ind w:left="140" w:right="123" w:firstLine="480"/>
        <w:jc w:val="both"/>
      </w:pPr>
      <w:r>
        <w:rPr/>
        <w:t>（</w:t>
      </w:r>
      <w:r>
        <w:rPr>
          <w:rFonts w:ascii="宋体" w:hAnsi="宋体" w:cs="宋体" w:eastAsia="宋体" w:hint="default"/>
        </w:rPr>
        <w:t>4</w:t>
      </w:r>
      <w:r>
        <w:rPr/>
        <w:t>）王斌，现年</w:t>
      </w:r>
      <w:r>
        <w:rPr>
          <w:spacing w:val="-84"/>
        </w:rPr>
        <w:t> </w:t>
      </w:r>
      <w:r>
        <w:rPr>
          <w:rFonts w:ascii="宋体" w:hAnsi="宋体" w:cs="宋体" w:eastAsia="宋体" w:hint="default"/>
        </w:rPr>
        <w:t>49</w:t>
      </w:r>
      <w:r>
        <w:rPr>
          <w:rFonts w:ascii="宋体" w:hAnsi="宋体" w:cs="宋体" w:eastAsia="宋体" w:hint="default"/>
          <w:spacing w:val="-84"/>
        </w:rPr>
        <w:t> </w:t>
      </w:r>
      <w:r>
        <w:rPr/>
        <w:t>岁，毕业于北京商学院会计系（现北京工商大学商学院）、财政部财政科学研究所，分获会计学学士、会计 </w:t>
      </w:r>
      <w:r>
        <w:rPr>
          <w:spacing w:val="-1"/>
        </w:rPr>
        <w:t>学硕士、管理学博士学位。曾任北京商学院会计系财务教研室主任、会计系副主任，北京工商大学会计学院副院长，现为北京工商大</w:t>
      </w:r>
      <w:r>
        <w:rPr>
          <w:spacing w:val="-112"/>
        </w:rPr>
        <w:t> </w:t>
      </w:r>
      <w:r>
        <w:rPr>
          <w:spacing w:val="-112"/>
        </w:rPr>
      </w:r>
      <w:r>
        <w:rPr/>
        <w:t>学商财务学教授、对外经济贸易大学国际商学院博士生导师。现任本公司第五届董事会董事。</w:t>
      </w:r>
    </w:p>
    <w:p>
      <w:pPr>
        <w:pStyle w:val="BodyText"/>
        <w:spacing w:line="310" w:lineRule="exact" w:before="122"/>
        <w:ind w:left="140" w:right="124" w:firstLine="480"/>
        <w:jc w:val="both"/>
      </w:pPr>
      <w:r>
        <w:rPr/>
        <w:t>（</w:t>
      </w:r>
      <w:r>
        <w:rPr>
          <w:rFonts w:ascii="宋体" w:hAnsi="宋体" w:cs="宋体" w:eastAsia="宋体" w:hint="default"/>
        </w:rPr>
        <w:t>5</w:t>
      </w:r>
      <w:r>
        <w:rPr/>
        <w:t>）朱红仙，现年</w:t>
      </w:r>
      <w:r>
        <w:rPr>
          <w:spacing w:val="-85"/>
        </w:rPr>
        <w:t> </w:t>
      </w:r>
      <w:r>
        <w:rPr>
          <w:rFonts w:ascii="宋体" w:hAnsi="宋体" w:cs="宋体" w:eastAsia="宋体" w:hint="default"/>
        </w:rPr>
        <w:t>39</w:t>
      </w:r>
      <w:r>
        <w:rPr>
          <w:rFonts w:ascii="宋体" w:hAnsi="宋体" w:cs="宋体" w:eastAsia="宋体" w:hint="default"/>
          <w:spacing w:val="-85"/>
        </w:rPr>
        <w:t> </w:t>
      </w:r>
      <w:r>
        <w:rPr/>
        <w:t>岁，四川省工商管理学院工商管理硕士。历任本公司存储及增值产品事业部西区总经理，区域总经理、事 业部总经理、副总裁。现任本公司第五届董事会董事兼常务副总裁。</w:t>
      </w:r>
    </w:p>
    <w:p>
      <w:pPr>
        <w:pStyle w:val="BodyText"/>
        <w:spacing w:line="237" w:lineRule="auto" w:before="91"/>
        <w:ind w:left="140" w:right="122" w:firstLine="480"/>
        <w:jc w:val="both"/>
      </w:pPr>
      <w:r>
        <w:rPr/>
        <w:t>（</w:t>
      </w:r>
      <w:r>
        <w:rPr>
          <w:rFonts w:ascii="宋体" w:hAnsi="宋体" w:cs="宋体" w:eastAsia="宋体" w:hint="default"/>
        </w:rPr>
        <w:t>6</w:t>
      </w:r>
      <w:r>
        <w:rPr/>
        <w:t>）陈朝晖，现年</w:t>
      </w:r>
      <w:r>
        <w:rPr>
          <w:spacing w:val="-85"/>
        </w:rPr>
        <w:t> </w:t>
      </w:r>
      <w:r>
        <w:rPr>
          <w:rFonts w:ascii="宋体" w:hAnsi="宋体" w:cs="宋体" w:eastAsia="宋体" w:hint="default"/>
        </w:rPr>
        <w:t>37</w:t>
      </w:r>
      <w:r>
        <w:rPr>
          <w:rFonts w:ascii="宋体" w:hAnsi="宋体" w:cs="宋体" w:eastAsia="宋体" w:hint="default"/>
          <w:spacing w:val="-85"/>
        </w:rPr>
        <w:t> </w:t>
      </w:r>
      <w:r>
        <w:rPr/>
        <w:t>岁，获北京大学工商管理硕士。曾任本公司财务部经理及财务总监，任职期间负责公司预算管理体系、信 </w:t>
      </w:r>
      <w:r>
        <w:rPr>
          <w:spacing w:val="-1"/>
        </w:rPr>
        <w:t>用管理体系、资金管理以及投融资体系的工作，并负责公司新股发行以及定向增发等股权融资项目的财务协调工作。曾在哥伦比亚大</w:t>
      </w:r>
      <w:r>
        <w:rPr>
          <w:spacing w:val="-110"/>
        </w:rPr>
        <w:t> </w:t>
      </w:r>
      <w:r>
        <w:rPr>
          <w:spacing w:val="-110"/>
        </w:rPr>
      </w:r>
      <w:r>
        <w:rPr/>
        <w:t>学商学院进修 </w:t>
      </w:r>
      <w:r>
        <w:rPr>
          <w:rFonts w:ascii="宋体" w:hAnsi="宋体" w:cs="宋体" w:eastAsia="宋体" w:hint="default"/>
        </w:rPr>
        <w:t>EMBA</w:t>
      </w:r>
      <w:r>
        <w:rPr>
          <w:rFonts w:ascii="宋体" w:hAnsi="宋体" w:cs="宋体" w:eastAsia="宋体" w:hint="default"/>
          <w:spacing w:val="-49"/>
        </w:rPr>
        <w:t> </w:t>
      </w:r>
      <w:r>
        <w:rPr/>
        <w:t>课程，在宾夕法尼亚大学沃顿商学院进修“并购与重组”、“公司财务”课程。现任华胜天成（中国）融资租赁 有限公司董事长。 本公司第五届董事会董事。</w:t>
      </w:r>
    </w:p>
    <w:p>
      <w:pPr>
        <w:spacing w:after="0" w:line="237" w:lineRule="auto"/>
        <w:jc w:val="both"/>
        <w:sectPr>
          <w:pgSz w:w="16840" w:h="11910" w:orient="landscape"/>
          <w:pgMar w:header="882" w:footer="1194" w:top="1120" w:bottom="1380" w:left="1300" w:right="14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BodyText"/>
        <w:spacing w:line="310" w:lineRule="exact" w:before="58"/>
        <w:ind w:left="140" w:right="223" w:firstLine="480"/>
        <w:jc w:val="both"/>
      </w:pPr>
      <w:r>
        <w:rPr/>
        <w:t>（</w:t>
      </w:r>
      <w:r>
        <w:rPr>
          <w:rFonts w:ascii="宋体" w:hAnsi="宋体" w:cs="宋体" w:eastAsia="宋体" w:hint="default"/>
        </w:rPr>
        <w:t>7</w:t>
      </w:r>
      <w:r>
        <w:rPr/>
        <w:t>）沈青华，现年</w:t>
      </w:r>
      <w:r>
        <w:rPr>
          <w:spacing w:val="-86"/>
        </w:rPr>
        <w:t> </w:t>
      </w:r>
      <w:r>
        <w:rPr>
          <w:rFonts w:ascii="宋体" w:hAnsi="宋体" w:cs="宋体" w:eastAsia="宋体" w:hint="default"/>
        </w:rPr>
        <w:t>69</w:t>
      </w:r>
      <w:r>
        <w:rPr>
          <w:rFonts w:ascii="宋体" w:hAnsi="宋体" w:cs="宋体" w:eastAsia="宋体" w:hint="default"/>
          <w:spacing w:val="-86"/>
        </w:rPr>
        <w:t> </w:t>
      </w:r>
      <w:r>
        <w:rPr/>
        <w:t>岁，硕士研究生，高级工程师。现任中国信息协会特邀副会长。原国家统计局总工程师。原国务院信息化 </w:t>
      </w:r>
      <w:r>
        <w:rPr>
          <w:spacing w:val="-1"/>
        </w:rPr>
        <w:t>领导小组办公室重大课题专家组成员。目前的主要工作方向为信息化技术在我国的应用；信息化促进我国的工业化。曾任本公司第四</w:t>
      </w:r>
      <w:r>
        <w:rPr>
          <w:spacing w:val="-110"/>
        </w:rPr>
        <w:t> </w:t>
      </w:r>
      <w:r>
        <w:rPr>
          <w:spacing w:val="-110"/>
        </w:rPr>
      </w:r>
      <w:r>
        <w:rPr/>
        <w:t>届董事会独立董事。现任本公司第五届董事会独立董事。</w:t>
      </w:r>
    </w:p>
    <w:p>
      <w:pPr>
        <w:pStyle w:val="BodyText"/>
        <w:spacing w:line="310" w:lineRule="exact" w:before="122"/>
        <w:ind w:left="140" w:right="225" w:firstLine="480"/>
        <w:jc w:val="both"/>
      </w:pPr>
      <w:r>
        <w:rPr>
          <w:spacing w:val="-8"/>
        </w:rPr>
        <w:t>（</w:t>
      </w:r>
      <w:r>
        <w:rPr>
          <w:rFonts w:ascii="宋体" w:hAnsi="宋体" w:cs="宋体" w:eastAsia="宋体" w:hint="default"/>
          <w:spacing w:val="-8"/>
        </w:rPr>
        <w:t>8</w:t>
      </w:r>
      <w:r>
        <w:rPr>
          <w:spacing w:val="-8"/>
        </w:rPr>
        <w:t>）仝允桓，现年 </w:t>
      </w:r>
      <w:r>
        <w:rPr>
          <w:rFonts w:ascii="宋体" w:hAnsi="宋体" w:cs="宋体" w:eastAsia="宋体" w:hint="default"/>
        </w:rPr>
        <w:t>64</w:t>
      </w:r>
      <w:r>
        <w:rPr>
          <w:rFonts w:ascii="宋体" w:hAnsi="宋体" w:cs="宋体" w:eastAsia="宋体" w:hint="default"/>
          <w:spacing w:val="-94"/>
        </w:rPr>
        <w:t> </w:t>
      </w:r>
      <w:r>
        <w:rPr>
          <w:spacing w:val="-5"/>
        </w:rPr>
        <w:t>岁，清华大学经济管理学院创新、创业与战略系教授。曾任清华大学经济管理学院副院长、第一、二、三、</w:t>
      </w:r>
      <w:r>
        <w:rPr/>
        <w:t> 四届全国工商管理硕士教育指导委员会秘书长。本公司第四届董事会独立董事。现任本公司第五届董事会独立董事。</w:t>
      </w:r>
    </w:p>
    <w:p>
      <w:pPr>
        <w:pStyle w:val="BodyText"/>
        <w:spacing w:line="237" w:lineRule="auto" w:before="91"/>
        <w:ind w:left="140" w:right="223" w:firstLine="480"/>
        <w:jc w:val="both"/>
      </w:pPr>
      <w:r>
        <w:rPr>
          <w:spacing w:val="-3"/>
        </w:rPr>
        <w:t>（</w:t>
      </w:r>
      <w:r>
        <w:rPr>
          <w:rFonts w:ascii="宋体" w:hAnsi="宋体" w:cs="宋体" w:eastAsia="宋体" w:hint="default"/>
          <w:spacing w:val="-3"/>
        </w:rPr>
        <w:t>9</w:t>
      </w:r>
      <w:r>
        <w:rPr>
          <w:spacing w:val="-3"/>
        </w:rPr>
        <w:t>）姜培维，现年</w:t>
      </w:r>
      <w:r>
        <w:rPr>
          <w:spacing w:val="-71"/>
        </w:rPr>
        <w:t> </w:t>
      </w:r>
      <w:r>
        <w:rPr>
          <w:rFonts w:ascii="宋体" w:hAnsi="宋体" w:cs="宋体" w:eastAsia="宋体" w:hint="default"/>
        </w:rPr>
        <w:t>51</w:t>
      </w:r>
      <w:r>
        <w:rPr>
          <w:rFonts w:ascii="宋体" w:hAnsi="宋体" w:cs="宋体" w:eastAsia="宋体" w:hint="default"/>
          <w:spacing w:val="-71"/>
        </w:rPr>
        <w:t> </w:t>
      </w:r>
      <w:r>
        <w:rPr/>
        <w:t>岁，中国社会科学院研究生院工业经济管理专业在职博士研究生，高级会计师。曾任轻工业部昆明三聚磷 </w:t>
      </w:r>
      <w:r>
        <w:rPr>
          <w:spacing w:val="-1"/>
        </w:rPr>
        <w:t>酸纳厂财务处副处长，中国工商银行总行华强科技开发实业公司副总经理，新华会计师事务所有限责任公司总经理，北京浩维投资有</w:t>
      </w:r>
      <w:r>
        <w:rPr>
          <w:spacing w:val="-110"/>
        </w:rPr>
        <w:t> </w:t>
      </w:r>
      <w:r>
        <w:rPr>
          <w:spacing w:val="-110"/>
        </w:rPr>
      </w:r>
      <w:r>
        <w:rPr/>
        <w:t>限公司董事长。</w:t>
      </w:r>
      <w:r>
        <w:rPr>
          <w:rFonts w:ascii="宋体" w:hAnsi="宋体" w:cs="宋体" w:eastAsia="宋体" w:hint="default"/>
        </w:rPr>
        <w:t>2012 </w:t>
      </w:r>
      <w:r>
        <w:rPr/>
        <w:t>年 </w:t>
      </w:r>
      <w:r>
        <w:rPr>
          <w:rFonts w:ascii="宋体" w:hAnsi="宋体" w:cs="宋体" w:eastAsia="宋体" w:hint="default"/>
        </w:rPr>
        <w:t>5 </w:t>
      </w:r>
      <w:r>
        <w:rPr/>
        <w:t>月至今，任道生国际融资租赁股份有限公司董事长。现任本公司第五届董事会独立董事。</w:t>
      </w:r>
    </w:p>
    <w:p>
      <w:pPr>
        <w:pStyle w:val="BodyText"/>
        <w:spacing w:line="237" w:lineRule="auto" w:before="121"/>
        <w:ind w:left="140" w:right="89" w:firstLine="480"/>
        <w:jc w:val="left"/>
      </w:pPr>
      <w:r>
        <w:rPr/>
        <w:t>（</w:t>
      </w:r>
      <w:r>
        <w:rPr>
          <w:rFonts w:ascii="宋体" w:hAnsi="宋体" w:cs="宋体" w:eastAsia="宋体" w:hint="default"/>
        </w:rPr>
        <w:t>10</w:t>
      </w:r>
      <w:r>
        <w:rPr/>
        <w:t>）符全，现年</w:t>
      </w:r>
      <w:r>
        <w:rPr>
          <w:spacing w:val="-60"/>
        </w:rPr>
        <w:t> </w:t>
      </w:r>
      <w:r>
        <w:rPr>
          <w:rFonts w:ascii="宋体" w:hAnsi="宋体" w:cs="宋体" w:eastAsia="宋体" w:hint="default"/>
        </w:rPr>
        <w:t>51</w:t>
      </w:r>
      <w:r>
        <w:rPr>
          <w:rFonts w:ascii="宋体" w:hAnsi="宋体" w:cs="宋体" w:eastAsia="宋体" w:hint="default"/>
          <w:spacing w:val="-60"/>
        </w:rPr>
        <w:t> </w:t>
      </w:r>
      <w:r>
        <w:rPr/>
        <w:t>岁，</w:t>
      </w:r>
      <w:r>
        <w:rPr>
          <w:rFonts w:ascii="宋体" w:hAnsi="宋体" w:cs="宋体" w:eastAsia="宋体" w:hint="default"/>
        </w:rPr>
        <w:t>1986</w:t>
      </w:r>
      <w:r>
        <w:rPr>
          <w:rFonts w:ascii="宋体" w:hAnsi="宋体" w:cs="宋体" w:eastAsia="宋体" w:hint="default"/>
          <w:spacing w:val="-60"/>
        </w:rPr>
        <w:t> </w:t>
      </w:r>
      <w:r>
        <w:rPr/>
        <w:t>年获清华大学工程物理系学士学位。曾任美国安泰公司总经理。太阳计算机系统（中国）有限公 司北方区副总经理、公司大中华区高级经理、全球</w:t>
      </w:r>
      <w:r>
        <w:rPr>
          <w:spacing w:val="-60"/>
        </w:rPr>
        <w:t> </w:t>
      </w:r>
      <w:r>
        <w:rPr>
          <w:rFonts w:ascii="宋体" w:hAnsi="宋体" w:cs="宋体" w:eastAsia="宋体" w:hint="default"/>
        </w:rPr>
        <w:t>16</w:t>
      </w:r>
      <w:r>
        <w:rPr>
          <w:rFonts w:ascii="宋体" w:hAnsi="宋体" w:cs="宋体" w:eastAsia="宋体" w:hint="default"/>
          <w:spacing w:val="-60"/>
        </w:rPr>
        <w:t> </w:t>
      </w:r>
      <w:r>
        <w:rPr/>
        <w:t>个客户运营中心总经理之一、亚太区高级经理等。甲骨文软件系统（中国）有 </w:t>
      </w:r>
      <w:r>
        <w:rPr>
          <w:spacing w:val="-7"/>
        </w:rPr>
        <w:t>限公司亚太区高级经理。云基地北京天地云箱科技有限公司首席运营官。</w:t>
      </w:r>
      <w:r>
        <w:rPr>
          <w:rFonts w:ascii="宋体" w:hAnsi="宋体" w:cs="宋体" w:eastAsia="宋体" w:hint="default"/>
          <w:spacing w:val="-7"/>
        </w:rPr>
        <w:t>2013</w:t>
      </w:r>
      <w:r>
        <w:rPr>
          <w:rFonts w:ascii="宋体" w:hAnsi="宋体" w:cs="宋体" w:eastAsia="宋体" w:hint="default"/>
          <w:spacing w:val="-53"/>
        </w:rPr>
        <w:t> </w:t>
      </w:r>
      <w:r>
        <w:rPr/>
        <w:t>年</w:t>
      </w:r>
      <w:r>
        <w:rPr>
          <w:spacing w:val="-53"/>
        </w:rPr>
        <w:t> </w:t>
      </w:r>
      <w:r>
        <w:rPr>
          <w:rFonts w:ascii="宋体" w:hAnsi="宋体" w:cs="宋体" w:eastAsia="宋体" w:hint="default"/>
        </w:rPr>
        <w:t>4</w:t>
      </w:r>
      <w:r>
        <w:rPr>
          <w:rFonts w:ascii="宋体" w:hAnsi="宋体" w:cs="宋体" w:eastAsia="宋体" w:hint="default"/>
          <w:spacing w:val="-53"/>
        </w:rPr>
        <w:t> </w:t>
      </w:r>
      <w:r>
        <w:rPr/>
        <w:t>月至今任本公司负责集团运营及业务管理的副总裁。 现任本公司第五届监事会主席。</w:t>
      </w:r>
    </w:p>
    <w:p>
      <w:pPr>
        <w:pStyle w:val="BodyText"/>
        <w:spacing w:line="312" w:lineRule="exact" w:before="117"/>
        <w:ind w:left="620" w:right="89"/>
        <w:jc w:val="left"/>
      </w:pPr>
      <w:r>
        <w:rPr/>
        <w:t>（</w:t>
      </w:r>
      <w:r>
        <w:rPr>
          <w:rFonts w:ascii="宋体" w:hAnsi="宋体" w:cs="宋体" w:eastAsia="宋体" w:hint="default"/>
        </w:rPr>
        <w:t>11</w:t>
      </w:r>
      <w:r>
        <w:rPr/>
        <w:t>）安耀华，现年</w:t>
      </w:r>
      <w:r>
        <w:rPr>
          <w:spacing w:val="-60"/>
        </w:rPr>
        <w:t> </w:t>
      </w:r>
      <w:r>
        <w:rPr>
          <w:rFonts w:ascii="宋体" w:hAnsi="宋体" w:cs="宋体" w:eastAsia="宋体" w:hint="default"/>
        </w:rPr>
        <w:t>36</w:t>
      </w:r>
      <w:r>
        <w:rPr>
          <w:rFonts w:ascii="宋体" w:hAnsi="宋体" w:cs="宋体" w:eastAsia="宋体" w:hint="default"/>
          <w:spacing w:val="-60"/>
        </w:rPr>
        <w:t> </w:t>
      </w:r>
      <w:r>
        <w:rPr/>
        <w:t>岁，中国注册会计师，美国注册管理会计师，获石家庄铁道学院管理学学士学位。曾任北京西站科贸集</w:t>
      </w:r>
    </w:p>
    <w:p>
      <w:pPr>
        <w:pStyle w:val="BodyText"/>
        <w:spacing w:line="312" w:lineRule="exact" w:before="29"/>
        <w:ind w:left="140" w:right="89"/>
        <w:jc w:val="left"/>
      </w:pPr>
      <w:r>
        <w:rPr/>
        <w:t>团财务副经理，北京红日会计师事务所项目经理，北京信永中和会计师事务所项目经理，北京国研数通软件技术有限公司财务总监。</w:t>
      </w:r>
      <w:r>
        <w:rPr>
          <w:spacing w:val="-62"/>
        </w:rPr>
        <w:t> </w:t>
      </w:r>
      <w:r>
        <w:rPr>
          <w:spacing w:val="-62"/>
        </w:rPr>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月至今任本公司财务核算中心总经理。 现任本公司第五届监事会职工代表监事。</w:t>
      </w:r>
    </w:p>
    <w:p>
      <w:pPr>
        <w:pStyle w:val="BodyText"/>
        <w:spacing w:line="313" w:lineRule="exact" w:before="88"/>
        <w:ind w:left="620" w:right="89"/>
        <w:jc w:val="left"/>
      </w:pPr>
      <w:r>
        <w:rPr/>
        <w:t>（</w:t>
      </w:r>
      <w:r>
        <w:rPr>
          <w:rFonts w:ascii="宋体" w:hAnsi="宋体" w:cs="宋体" w:eastAsia="宋体" w:hint="default"/>
        </w:rPr>
        <w:t>12</w:t>
      </w:r>
      <w:r>
        <w:rPr/>
        <w:t>）程亚光，现年</w:t>
      </w:r>
      <w:r>
        <w:rPr>
          <w:spacing w:val="-60"/>
        </w:rPr>
        <w:t> </w:t>
      </w:r>
      <w:r>
        <w:rPr>
          <w:rFonts w:ascii="宋体" w:hAnsi="宋体" w:cs="宋体" w:eastAsia="宋体" w:hint="default"/>
        </w:rPr>
        <w:t>45</w:t>
      </w:r>
      <w:r>
        <w:rPr>
          <w:rFonts w:ascii="宋体" w:hAnsi="宋体" w:cs="宋体" w:eastAsia="宋体" w:hint="default"/>
          <w:spacing w:val="-60"/>
        </w:rPr>
        <w:t> </w:t>
      </w:r>
      <w:r>
        <w:rPr/>
        <w:t>岁，获中国人民大学信息资源管理学院学士学位。曾任信息产业部电子六所所长秘书，北京六所华胜高</w:t>
      </w:r>
    </w:p>
    <w:p>
      <w:pPr>
        <w:pStyle w:val="BodyText"/>
        <w:spacing w:line="310" w:lineRule="exact" w:before="31"/>
        <w:ind w:left="140" w:right="398"/>
        <w:jc w:val="left"/>
      </w:pPr>
      <w:r>
        <w:rPr/>
        <w:t>技术股份有限公司企业规划部经理、董事会秘书、董事长助理。中国和平（北京）投资有限公司董事会秘书、投资经理。</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9 </w:t>
      </w:r>
      <w:r>
        <w:rPr/>
        <w:t>月至今任本公司企业规划部经理，负责公司投融资工作。现任本公司第五届监事会职工代表监事。</w:t>
      </w:r>
    </w:p>
    <w:p>
      <w:pPr>
        <w:pStyle w:val="BodyText"/>
        <w:spacing w:line="313" w:lineRule="exact" w:before="89"/>
        <w:ind w:left="620" w:right="89"/>
        <w:jc w:val="left"/>
      </w:pPr>
      <w:r>
        <w:rPr>
          <w:spacing w:val="-4"/>
        </w:rPr>
        <w:t>（</w:t>
      </w:r>
      <w:r>
        <w:rPr>
          <w:rFonts w:ascii="宋体" w:hAnsi="宋体" w:cs="宋体" w:eastAsia="宋体" w:hint="default"/>
          <w:spacing w:val="-4"/>
        </w:rPr>
        <w:t>13</w:t>
      </w:r>
      <w:r>
        <w:rPr>
          <w:spacing w:val="-4"/>
        </w:rPr>
        <w:t>）杨俏丛，本公司副总裁，现年</w:t>
      </w:r>
      <w:r>
        <w:rPr>
          <w:spacing w:val="-69"/>
        </w:rPr>
        <w:t> </w:t>
      </w:r>
      <w:r>
        <w:rPr>
          <w:rFonts w:ascii="宋体" w:hAnsi="宋体" w:cs="宋体" w:eastAsia="宋体" w:hint="default"/>
        </w:rPr>
        <w:t>45</w:t>
      </w:r>
      <w:r>
        <w:rPr>
          <w:rFonts w:ascii="宋体" w:hAnsi="宋体" w:cs="宋体" w:eastAsia="宋体" w:hint="default"/>
          <w:spacing w:val="-69"/>
        </w:rPr>
        <w:t> </w:t>
      </w:r>
      <w:r>
        <w:rPr/>
        <w:t>岁，获沈阳工业学院工业外贸专业学士学位。</w:t>
      </w:r>
      <w:r>
        <w:rPr>
          <w:rFonts w:ascii="宋体" w:hAnsi="宋体" w:cs="宋体" w:eastAsia="宋体" w:hint="default"/>
        </w:rPr>
        <w:t>1999</w:t>
      </w:r>
      <w:r>
        <w:rPr>
          <w:rFonts w:ascii="宋体" w:hAnsi="宋体" w:cs="宋体" w:eastAsia="宋体" w:hint="default"/>
          <w:spacing w:val="-69"/>
        </w:rPr>
        <w:t> </w:t>
      </w:r>
      <w:r>
        <w:rPr/>
        <w:t>年至</w:t>
      </w:r>
      <w:r>
        <w:rPr>
          <w:spacing w:val="-69"/>
        </w:rPr>
        <w:t> </w:t>
      </w:r>
      <w:r>
        <w:rPr>
          <w:rFonts w:ascii="宋体" w:hAnsi="宋体" w:cs="宋体" w:eastAsia="宋体" w:hint="default"/>
        </w:rPr>
        <w:t>2001</w:t>
      </w:r>
      <w:r>
        <w:rPr>
          <w:rFonts w:ascii="宋体" w:hAnsi="宋体" w:cs="宋体" w:eastAsia="宋体" w:hint="default"/>
          <w:spacing w:val="-69"/>
        </w:rPr>
        <w:t> </w:t>
      </w:r>
      <w:r>
        <w:rPr/>
        <w:t>年任北京地杰共为信息系统</w:t>
      </w:r>
    </w:p>
    <w:p>
      <w:pPr>
        <w:pStyle w:val="BodyText"/>
        <w:spacing w:line="313" w:lineRule="exact"/>
        <w:ind w:left="140" w:right="89"/>
        <w:jc w:val="left"/>
      </w:pPr>
      <w:r>
        <w:rPr/>
        <w:t>有限公司常务副总经理。于</w:t>
      </w:r>
      <w:r>
        <w:rPr>
          <w:spacing w:val="-60"/>
        </w:rPr>
        <w:t> </w:t>
      </w:r>
      <w:r>
        <w:rPr>
          <w:rFonts w:ascii="宋体" w:hAnsi="宋体" w:cs="宋体" w:eastAsia="宋体" w:hint="default"/>
        </w:rPr>
        <w:t>2001</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月加入公司，曾任公司电信产品与集成事业部总经理。</w:t>
      </w:r>
    </w:p>
    <w:p>
      <w:pPr>
        <w:pStyle w:val="BodyText"/>
        <w:spacing w:line="310" w:lineRule="exact" w:before="149"/>
        <w:ind w:left="140" w:right="221" w:firstLine="480"/>
        <w:jc w:val="both"/>
      </w:pPr>
      <w:r>
        <w:rPr>
          <w:spacing w:val="-15"/>
        </w:rPr>
        <w:t>（</w:t>
      </w:r>
      <w:r>
        <w:rPr>
          <w:rFonts w:ascii="宋体" w:hAnsi="宋体" w:cs="宋体" w:eastAsia="宋体" w:hint="default"/>
          <w:spacing w:val="-15"/>
        </w:rPr>
        <w:t>14</w:t>
      </w:r>
      <w:r>
        <w:rPr>
          <w:spacing w:val="-15"/>
        </w:rPr>
        <w:t>）任学英，女，</w:t>
      </w:r>
      <w:r>
        <w:rPr>
          <w:rFonts w:ascii="宋体" w:hAnsi="宋体" w:cs="宋体" w:eastAsia="宋体" w:hint="default"/>
          <w:spacing w:val="-15"/>
        </w:rPr>
        <w:t>40</w:t>
      </w:r>
      <w:r>
        <w:rPr>
          <w:rFonts w:ascii="宋体" w:hAnsi="宋体" w:cs="宋体" w:eastAsia="宋体" w:hint="default"/>
          <w:spacing w:val="-42"/>
        </w:rPr>
        <w:t> </w:t>
      </w:r>
      <w:r>
        <w:rPr>
          <w:spacing w:val="-4"/>
        </w:rPr>
        <w:t>岁，本公司财务总监。工商管理硕士学历，曾任联想集团财务部会计经理及神州数码集团财务部核算总监，</w:t>
      </w:r>
      <w:r>
        <w:rPr/>
        <w:t> </w:t>
      </w:r>
      <w:r>
        <w:rPr>
          <w:rFonts w:ascii="宋体" w:hAnsi="宋体" w:cs="宋体" w:eastAsia="宋体" w:hint="default"/>
        </w:rPr>
        <w:t>2006</w:t>
      </w:r>
      <w:r>
        <w:rPr>
          <w:rFonts w:ascii="宋体" w:hAnsi="宋体" w:cs="宋体" w:eastAsia="宋体" w:hint="default"/>
          <w:spacing w:val="-60"/>
        </w:rPr>
        <w:t> </w:t>
      </w:r>
      <w:r>
        <w:rPr/>
        <w:t>年加盟华胜天成，曾担任会计部经理、财务中心总经理、事业群运营总监等职位。</w:t>
      </w:r>
    </w:p>
    <w:p>
      <w:pPr>
        <w:pStyle w:val="BodyText"/>
        <w:spacing w:line="310" w:lineRule="exact" w:before="122"/>
        <w:ind w:left="140" w:right="297" w:firstLine="480"/>
        <w:jc w:val="both"/>
      </w:pPr>
      <w:r>
        <w:rPr/>
        <w:t>（</w:t>
      </w:r>
      <w:r>
        <w:rPr>
          <w:rFonts w:ascii="宋体" w:hAnsi="宋体" w:cs="宋体" w:eastAsia="宋体" w:hint="default"/>
        </w:rPr>
        <w:t>15</w:t>
      </w:r>
      <w:r>
        <w:rPr/>
        <w:t>）崔勇，本公司副总裁，现年</w:t>
      </w:r>
      <w:r>
        <w:rPr>
          <w:spacing w:val="-60"/>
        </w:rPr>
        <w:t> </w:t>
      </w:r>
      <w:r>
        <w:rPr>
          <w:rFonts w:ascii="宋体" w:hAnsi="宋体" w:cs="宋体" w:eastAsia="宋体" w:hint="default"/>
        </w:rPr>
        <w:t>47</w:t>
      </w:r>
      <w:r>
        <w:rPr>
          <w:rFonts w:ascii="宋体" w:hAnsi="宋体" w:cs="宋体" w:eastAsia="宋体" w:hint="default"/>
          <w:spacing w:val="-60"/>
        </w:rPr>
        <w:t> </w:t>
      </w:r>
      <w:r>
        <w:rPr/>
        <w:t>岁，北京大学高级工商管理硕士；公司电信行业总经理，存储增值事业部总经理，系统产 品事业部总经理。现任公司系统信息产品一部总经理。</w:t>
      </w:r>
    </w:p>
    <w:p>
      <w:pPr>
        <w:spacing w:after="0" w:line="310" w:lineRule="exact"/>
        <w:jc w:val="both"/>
        <w:sectPr>
          <w:pgSz w:w="16840" w:h="11910" w:orient="landscape"/>
          <w:pgMar w:header="882" w:footer="1194" w:top="1120" w:bottom="1380" w:left="1300" w:right="13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BodyText"/>
        <w:spacing w:line="312" w:lineRule="exact" w:before="26"/>
        <w:ind w:left="700" w:right="0"/>
        <w:jc w:val="left"/>
      </w:pPr>
      <w:r>
        <w:rPr/>
        <w:t>（</w:t>
      </w:r>
      <w:r>
        <w:rPr>
          <w:rFonts w:ascii="宋体" w:hAnsi="宋体" w:cs="宋体" w:eastAsia="宋体" w:hint="default"/>
        </w:rPr>
        <w:t>16</w:t>
      </w:r>
      <w:r>
        <w:rPr/>
        <w:t>）邓昳，现年</w:t>
      </w:r>
      <w:r>
        <w:rPr>
          <w:spacing w:val="-60"/>
        </w:rPr>
        <w:t> </w:t>
      </w:r>
      <w:r>
        <w:rPr>
          <w:rFonts w:ascii="宋体" w:hAnsi="宋体" w:cs="宋体" w:eastAsia="宋体" w:hint="default"/>
        </w:rPr>
        <w:t>50</w:t>
      </w:r>
      <w:r>
        <w:rPr>
          <w:rFonts w:ascii="宋体" w:hAnsi="宋体" w:cs="宋体" w:eastAsia="宋体" w:hint="default"/>
          <w:spacing w:val="-60"/>
        </w:rPr>
        <w:t> </w:t>
      </w:r>
      <w:r>
        <w:rPr/>
        <w:t>岁，获北京航空航天大学计算机科学与工程系计算机应用人工智能专业硕士。</w:t>
      </w:r>
      <w:r>
        <w:rPr>
          <w:rFonts w:ascii="宋体" w:hAnsi="宋体" w:cs="宋体" w:eastAsia="宋体" w:hint="default"/>
        </w:rPr>
        <w:t>2000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月至</w:t>
      </w:r>
      <w:r>
        <w:rPr>
          <w:spacing w:val="-60"/>
        </w:rPr>
        <w:t> </w:t>
      </w:r>
      <w:r>
        <w:rPr>
          <w:rFonts w:ascii="宋体" w:hAnsi="宋体" w:cs="宋体" w:eastAsia="宋体" w:hint="default"/>
        </w:rPr>
        <w:t>2005</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p>
    <w:p>
      <w:pPr>
        <w:pStyle w:val="BodyText"/>
        <w:spacing w:line="310" w:lineRule="exact" w:before="30"/>
        <w:ind w:left="220" w:right="218"/>
        <w:jc w:val="left"/>
      </w:pPr>
      <w:r>
        <w:rPr/>
        <w:t>历任联想集团手持业务发展部副总经理、联想移动自主研发产品高级经理、联想移动业务拓展部总监；</w:t>
      </w:r>
      <w:r>
        <w:rPr>
          <w:rFonts w:ascii="宋体" w:hAnsi="宋体" w:cs="宋体" w:eastAsia="宋体" w:hint="default"/>
        </w:rPr>
        <w:t>2005</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月至</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月历 任德国电信国际咨询公司，销售总监、客户总监、中国区副总裁。现为公司副总裁。</w:t>
      </w:r>
    </w:p>
    <w:p>
      <w:pPr>
        <w:pStyle w:val="BodyText"/>
        <w:spacing w:line="310" w:lineRule="exact" w:before="122"/>
        <w:ind w:left="220" w:right="223" w:firstLine="480"/>
        <w:jc w:val="both"/>
      </w:pPr>
      <w:r>
        <w:rPr/>
        <w:t>（</w:t>
      </w:r>
      <w:r>
        <w:rPr>
          <w:rFonts w:ascii="宋体" w:hAnsi="宋体" w:cs="宋体" w:eastAsia="宋体" w:hint="default"/>
        </w:rPr>
        <w:t>17</w:t>
      </w:r>
      <w:r>
        <w:rPr/>
        <w:t>）黄华，现年</w:t>
      </w:r>
      <w:r>
        <w:rPr>
          <w:spacing w:val="-60"/>
        </w:rPr>
        <w:t> </w:t>
      </w:r>
      <w:r>
        <w:rPr>
          <w:rFonts w:ascii="宋体" w:hAnsi="宋体" w:cs="宋体" w:eastAsia="宋体" w:hint="default"/>
        </w:rPr>
        <w:t>43</w:t>
      </w:r>
      <w:r>
        <w:rPr>
          <w:rFonts w:ascii="宋体" w:hAnsi="宋体" w:cs="宋体" w:eastAsia="宋体" w:hint="default"/>
          <w:spacing w:val="-60"/>
        </w:rPr>
        <w:t> </w:t>
      </w:r>
      <w:r>
        <w:rPr/>
        <w:t>岁，南京大学商务智能硕士。历任宏智科技有限公司部门经理、产品管理部经理、移动事业部开发部门经 理，</w:t>
      </w:r>
      <w:r>
        <w:rPr>
          <w:rFonts w:ascii="宋体" w:hAnsi="宋体" w:cs="宋体" w:eastAsia="宋体" w:hint="default"/>
        </w:rPr>
        <w:t>NCR</w:t>
      </w:r>
      <w:r>
        <w:rPr>
          <w:rFonts w:ascii="宋体" w:hAnsi="宋体" w:cs="宋体" w:eastAsia="宋体" w:hint="default"/>
          <w:spacing w:val="-50"/>
        </w:rPr>
        <w:t> </w:t>
      </w:r>
      <w:r>
        <w:rPr/>
        <w:t>高级经理，华为软件技术有限责任公司商业智能（</w:t>
      </w:r>
      <w:r>
        <w:rPr>
          <w:rFonts w:ascii="宋体" w:hAnsi="宋体" w:cs="宋体" w:eastAsia="宋体" w:hint="default"/>
        </w:rPr>
        <w:t>BI</w:t>
      </w:r>
      <w:r>
        <w:rPr/>
        <w:t>）产品线经理、亚信联创科技有限公司研发中心副总经理、中信二十一 世纪有限责任公司副总裁。现任本公司副总裁。</w:t>
      </w:r>
    </w:p>
    <w:p>
      <w:pPr>
        <w:pStyle w:val="BodyText"/>
        <w:spacing w:line="310" w:lineRule="exact" w:before="122"/>
        <w:ind w:left="220" w:right="297" w:firstLine="480"/>
        <w:jc w:val="both"/>
      </w:pPr>
      <w:r>
        <w:rPr>
          <w:rFonts w:ascii="宋体" w:hAnsi="宋体" w:cs="宋体" w:eastAsia="宋体" w:hint="default"/>
        </w:rPr>
        <w:t>(18)</w:t>
      </w:r>
      <w:r>
        <w:rPr/>
        <w:t>杜欣，现年</w:t>
      </w:r>
      <w:r>
        <w:rPr>
          <w:spacing w:val="-60"/>
        </w:rPr>
        <w:t> </w:t>
      </w:r>
      <w:r>
        <w:rPr>
          <w:rFonts w:ascii="宋体" w:hAnsi="宋体" w:cs="宋体" w:eastAsia="宋体" w:hint="default"/>
        </w:rPr>
        <w:t>45</w:t>
      </w:r>
      <w:r>
        <w:rPr>
          <w:rFonts w:ascii="宋体" w:hAnsi="宋体" w:cs="宋体" w:eastAsia="宋体" w:hint="default"/>
          <w:spacing w:val="-60"/>
        </w:rPr>
        <w:t> </w:t>
      </w:r>
      <w:r>
        <w:rPr/>
        <w:t>岁，获北京理工大学管理学硕士学位。历任本公司工程师、培训经理、服务交付总监、专业服务总经理、系 统集成事业部总经理等。现任本公司 </w:t>
      </w:r>
      <w:r>
        <w:rPr>
          <w:rFonts w:ascii="宋体" w:hAnsi="宋体" w:cs="宋体" w:eastAsia="宋体" w:hint="default"/>
        </w:rPr>
        <w:t>CIO</w:t>
      </w:r>
      <w:r>
        <w:rPr/>
        <w:t>、副总裁。</w:t>
      </w:r>
    </w:p>
    <w:p>
      <w:pPr>
        <w:pStyle w:val="BodyText"/>
        <w:spacing w:line="310" w:lineRule="exact" w:before="122"/>
        <w:ind w:left="220" w:right="206" w:firstLine="360"/>
        <w:jc w:val="left"/>
      </w:pPr>
      <w:r>
        <w:rPr/>
        <w:t>（</w:t>
      </w:r>
      <w:r>
        <w:rPr>
          <w:rFonts w:ascii="宋体" w:hAnsi="宋体" w:cs="宋体" w:eastAsia="宋体" w:hint="default"/>
        </w:rPr>
        <w:t>19</w:t>
      </w:r>
      <w:r>
        <w:rPr/>
        <w:t>）代双珠，现年</w:t>
      </w:r>
      <w:r>
        <w:rPr>
          <w:spacing w:val="-69"/>
        </w:rPr>
        <w:t> </w:t>
      </w:r>
      <w:r>
        <w:rPr>
          <w:rFonts w:ascii="宋体" w:hAnsi="宋体" w:cs="宋体" w:eastAsia="宋体" w:hint="default"/>
        </w:rPr>
        <w:t>34</w:t>
      </w:r>
      <w:r>
        <w:rPr>
          <w:rFonts w:ascii="宋体" w:hAnsi="宋体" w:cs="宋体" w:eastAsia="宋体" w:hint="default"/>
          <w:spacing w:val="-69"/>
        </w:rPr>
        <w:t> </w:t>
      </w:r>
      <w:r>
        <w:rPr/>
        <w:t>岁，对外经贸大学资本运营专业</w:t>
      </w:r>
      <w:r>
        <w:rPr>
          <w:spacing w:val="-18"/>
        </w:rPr>
        <w:t> </w:t>
      </w:r>
      <w:r>
        <w:rPr>
          <w:rFonts w:ascii="宋体" w:hAnsi="宋体" w:cs="宋体" w:eastAsia="宋体" w:hint="default"/>
        </w:rPr>
        <w:t>EMBA</w:t>
      </w:r>
      <w:r>
        <w:rPr>
          <w:rFonts w:ascii="宋体" w:hAnsi="宋体" w:cs="宋体" w:eastAsia="宋体" w:hint="default"/>
          <w:spacing w:val="-18"/>
        </w:rPr>
        <w:t> </w:t>
      </w:r>
      <w:r>
        <w:rPr/>
        <w:t>在读，专业方向为企业融资、并购及重组。曾任香港电讯盈科北京 研发中心软件业务架构师、北京合力金桥软件华南区业务负责人等职。 </w:t>
      </w:r>
      <w:r>
        <w:rPr>
          <w:rFonts w:ascii="宋体" w:hAnsi="宋体" w:cs="宋体" w:eastAsia="宋体" w:hint="default"/>
        </w:rPr>
        <w:t>2007</w:t>
      </w:r>
      <w:r>
        <w:rPr>
          <w:rFonts w:ascii="宋体" w:hAnsi="宋体" w:cs="宋体" w:eastAsia="宋体" w:hint="default"/>
          <w:spacing w:val="-48"/>
        </w:rPr>
        <w:t> </w:t>
      </w:r>
      <w:r>
        <w:rPr/>
        <w:t>年加入本公司，任华南区销售总监，华南平台副总经理</w:t>
      </w:r>
    </w:p>
    <w:p>
      <w:pPr>
        <w:pStyle w:val="BodyText"/>
        <w:spacing w:line="282" w:lineRule="exact"/>
        <w:ind w:left="220" w:right="0"/>
        <w:jc w:val="left"/>
      </w:pPr>
      <w:r>
        <w:rPr/>
        <w:t>至 </w:t>
      </w:r>
      <w:r>
        <w:rPr>
          <w:rFonts w:ascii="宋体" w:hAnsi="宋体" w:cs="宋体" w:eastAsia="宋体" w:hint="default"/>
        </w:rPr>
        <w:t>2009 </w:t>
      </w:r>
      <w:r>
        <w:rPr/>
        <w:t>年 </w:t>
      </w:r>
      <w:r>
        <w:rPr>
          <w:rFonts w:ascii="宋体" w:hAnsi="宋体" w:cs="宋体" w:eastAsia="宋体" w:hint="default"/>
        </w:rPr>
        <w:t>4 </w:t>
      </w:r>
      <w:r>
        <w:rPr/>
        <w:t>月，根据公司业务发展需要，调任回总部，担任软件应用事业部副总经理，</w:t>
      </w:r>
      <w:r>
        <w:rPr>
          <w:rFonts w:ascii="宋体" w:hAnsi="宋体" w:cs="宋体" w:eastAsia="宋体" w:hint="default"/>
        </w:rPr>
        <w:t>2010 </w:t>
      </w:r>
      <w:r>
        <w:rPr/>
        <w:t>年 </w:t>
      </w:r>
      <w:r>
        <w:rPr>
          <w:rFonts w:ascii="宋体" w:hAnsi="宋体" w:cs="宋体" w:eastAsia="宋体" w:hint="default"/>
        </w:rPr>
        <w:t>10</w:t>
      </w:r>
      <w:r>
        <w:rPr>
          <w:rFonts w:ascii="宋体" w:hAnsi="宋体" w:cs="宋体" w:eastAsia="宋体" w:hint="default"/>
          <w:spacing w:val="-48"/>
        </w:rPr>
        <w:t> </w:t>
      </w:r>
      <w:r>
        <w:rPr/>
        <w:t>月接任企业通讯产品事业部总</w:t>
      </w:r>
    </w:p>
    <w:p>
      <w:pPr>
        <w:pStyle w:val="BodyText"/>
        <w:spacing w:line="313" w:lineRule="exact"/>
        <w:ind w:left="220" w:right="0"/>
        <w:jc w:val="left"/>
      </w:pPr>
      <w:r>
        <w:rPr/>
        <w:t>经理一职至今。现任本公司董事会秘书。</w:t>
      </w:r>
    </w:p>
    <w:p>
      <w:pPr>
        <w:spacing w:line="240" w:lineRule="auto" w:before="2"/>
        <w:rPr>
          <w:rFonts w:ascii="宋体" w:hAnsi="宋体" w:cs="宋体" w:eastAsia="宋体" w:hint="default"/>
          <w:sz w:val="21"/>
          <w:szCs w:val="21"/>
        </w:rPr>
      </w:pPr>
    </w:p>
    <w:p>
      <w:pPr>
        <w:spacing w:line="20" w:lineRule="exact"/>
        <w:ind w:left="214"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1"/>
          <w:szCs w:val="21"/>
        </w:rPr>
      </w:pPr>
    </w:p>
    <w:p>
      <w:pPr>
        <w:pStyle w:val="Heading2"/>
        <w:spacing w:line="240" w:lineRule="auto"/>
        <w:ind w:left="220" w:right="0"/>
        <w:jc w:val="left"/>
        <w:rPr>
          <w:b w:val="0"/>
          <w:bCs w:val="0"/>
        </w:rPr>
      </w:pPr>
      <w:r>
        <w:rPr>
          <w:rFonts w:ascii="Calibri" w:hAnsi="Calibri" w:cs="Calibri" w:eastAsia="Calibri" w:hint="default"/>
          <w:w w:val="95"/>
        </w:rPr>
        <w:t>(</w:t>
      </w:r>
      <w:r>
        <w:rPr>
          <w:w w:val="95"/>
        </w:rPr>
        <w:t>二</w:t>
      </w:r>
      <w:r>
        <w:rPr>
          <w:rFonts w:ascii="Calibri" w:hAnsi="Calibri" w:cs="Calibri" w:eastAsia="Calibri" w:hint="default"/>
          <w:w w:val="95"/>
        </w:rPr>
        <w:t>)     </w:t>
      </w:r>
      <w:r>
        <w:rPr>
          <w:rFonts w:ascii="Calibri" w:hAnsi="Calibri" w:cs="Calibri" w:eastAsia="Calibri" w:hint="default"/>
          <w:spacing w:val="27"/>
          <w:w w:val="95"/>
        </w:rPr>
        <w:t> </w:t>
      </w:r>
      <w:r>
        <w:rPr>
          <w:w w:val="95"/>
        </w:rPr>
        <w:t>董事、监事、高级管理人员报告期内被授予的股权激励情况</w:t>
      </w:r>
      <w:r>
        <w:rPr>
          <w:b w:val="0"/>
          <w:bCs w:val="0"/>
        </w:rPr>
      </w:r>
    </w:p>
    <w:p>
      <w:pPr>
        <w:spacing w:before="30"/>
        <w:ind w:left="220" w:right="0" w:firstLine="0"/>
        <w:jc w:val="left"/>
        <w:rPr>
          <w:rFonts w:ascii="宋体" w:hAnsi="宋体" w:cs="宋体" w:eastAsia="宋体" w:hint="default"/>
          <w:sz w:val="21"/>
          <w:szCs w:val="21"/>
        </w:rPr>
      </w:pPr>
      <w:r>
        <w:rPr>
          <w:rFonts w:ascii="宋体" w:hAnsi="宋体" w:cs="宋体" w:eastAsia="宋体" w:hint="default"/>
          <w:sz w:val="21"/>
          <w:szCs w:val="21"/>
        </w:rPr>
        <w:t>√适用□不适用</w:t>
      </w:r>
    </w:p>
    <w:p>
      <w:pPr>
        <w:spacing w:line="240" w:lineRule="auto" w:before="12"/>
        <w:rPr>
          <w:rFonts w:ascii="宋体" w:hAnsi="宋体" w:cs="宋体" w:eastAsia="宋体" w:hint="default"/>
          <w:sz w:val="17"/>
          <w:szCs w:val="17"/>
        </w:rPr>
      </w:pPr>
    </w:p>
    <w:p>
      <w:pPr>
        <w:spacing w:before="35"/>
        <w:ind w:left="0" w:right="220"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股</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243"/>
        <w:gridCol w:w="1418"/>
        <w:gridCol w:w="1702"/>
        <w:gridCol w:w="1699"/>
        <w:gridCol w:w="1558"/>
        <w:gridCol w:w="1703"/>
        <w:gridCol w:w="1702"/>
        <w:gridCol w:w="1558"/>
        <w:gridCol w:w="1509"/>
      </w:tblGrid>
      <w:tr>
        <w:trPr>
          <w:trHeight w:val="827"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0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426" w:right="109" w:hanging="316"/>
              <w:jc w:val="left"/>
              <w:rPr>
                <w:rFonts w:ascii="宋体" w:hAnsi="宋体" w:cs="宋体" w:eastAsia="宋体" w:hint="default"/>
                <w:sz w:val="21"/>
                <w:szCs w:val="21"/>
              </w:rPr>
            </w:pPr>
            <w:r>
              <w:rPr>
                <w:rFonts w:ascii="宋体" w:hAnsi="宋体" w:cs="宋体" w:eastAsia="宋体" w:hint="default"/>
                <w:sz w:val="21"/>
                <w:szCs w:val="21"/>
              </w:rPr>
              <w:t>年初持有限制性 股票数量</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14" w:right="108" w:hanging="106"/>
              <w:jc w:val="left"/>
              <w:rPr>
                <w:rFonts w:ascii="宋体" w:hAnsi="宋体" w:cs="宋体" w:eastAsia="宋体" w:hint="default"/>
                <w:sz w:val="21"/>
                <w:szCs w:val="21"/>
              </w:rPr>
            </w:pPr>
            <w:r>
              <w:rPr>
                <w:rFonts w:ascii="宋体" w:hAnsi="宋体" w:cs="宋体" w:eastAsia="宋体" w:hint="default"/>
                <w:sz w:val="21"/>
                <w:szCs w:val="21"/>
              </w:rPr>
              <w:t>报告期新授予限 制性股票数量</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限制性股票的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授予价格</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20" w:right="0"/>
              <w:jc w:val="left"/>
              <w:rPr>
                <w:rFonts w:ascii="宋体" w:hAnsi="宋体" w:cs="宋体" w:eastAsia="宋体" w:hint="default"/>
                <w:sz w:val="21"/>
                <w:szCs w:val="21"/>
              </w:rPr>
            </w:pPr>
            <w:r>
              <w:rPr>
                <w:rFonts w:ascii="宋体" w:hAnsi="宋体" w:cs="宋体" w:eastAsia="宋体" w:hint="default"/>
                <w:sz w:val="21"/>
                <w:szCs w:val="21"/>
              </w:rPr>
              <w:t>已解锁股份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未解锁股份</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48" w:right="143" w:hanging="105"/>
              <w:jc w:val="left"/>
              <w:rPr>
                <w:rFonts w:ascii="宋体" w:hAnsi="宋体" w:cs="宋体" w:eastAsia="宋体" w:hint="default"/>
                <w:sz w:val="21"/>
                <w:szCs w:val="21"/>
              </w:rPr>
            </w:pPr>
            <w:r>
              <w:rPr>
                <w:rFonts w:ascii="宋体" w:hAnsi="宋体" w:cs="宋体" w:eastAsia="宋体" w:hint="default"/>
                <w:sz w:val="21"/>
                <w:szCs w:val="21"/>
              </w:rPr>
              <w:t>期末持有限制 性股票数量</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1"/>
              <w:ind w:right="0"/>
              <w:jc w:val="center"/>
              <w:rPr>
                <w:rFonts w:ascii="宋体" w:hAnsi="宋体" w:cs="宋体" w:eastAsia="宋体" w:hint="default"/>
                <w:sz w:val="21"/>
                <w:szCs w:val="21"/>
              </w:rPr>
            </w:pPr>
            <w:r>
              <w:rPr>
                <w:rFonts w:ascii="宋体" w:hAnsi="宋体" w:cs="宋体" w:eastAsia="宋体" w:hint="default"/>
                <w:sz w:val="21"/>
                <w:szCs w:val="21"/>
              </w:rPr>
              <w:t>报告期末市价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陈朝晖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792,180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726,090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396,090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396,090</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20.37</w:t>
            </w:r>
          </w:p>
        </w:tc>
      </w:tr>
      <w:tr>
        <w:trPr>
          <w:trHeight w:val="55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朱红仙</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董</w:t>
            </w:r>
            <w:r>
              <w:rPr>
                <w:rFonts w:ascii="宋体" w:hAnsi="宋体" w:cs="宋体" w:eastAsia="宋体" w:hint="default"/>
                <w:spacing w:val="-69"/>
                <w:sz w:val="21"/>
                <w:szCs w:val="21"/>
              </w:rPr>
              <w:t> </w:t>
            </w:r>
            <w:r>
              <w:rPr>
                <w:rFonts w:ascii="宋体" w:hAnsi="宋体" w:cs="宋体" w:eastAsia="宋体" w:hint="default"/>
                <w:sz w:val="21"/>
                <w:szCs w:val="21"/>
              </w:rPr>
              <w:t>事</w:t>
            </w:r>
            <w:r>
              <w:rPr>
                <w:rFonts w:ascii="宋体" w:hAnsi="宋体" w:cs="宋体" w:eastAsia="宋体" w:hint="default"/>
                <w:spacing w:val="-69"/>
                <w:sz w:val="21"/>
                <w:szCs w:val="21"/>
              </w:rPr>
              <w:t> </w:t>
            </w:r>
            <w:r>
              <w:rPr>
                <w:rFonts w:ascii="宋体" w:hAnsi="宋体" w:cs="宋体" w:eastAsia="宋体" w:hint="default"/>
                <w:sz w:val="21"/>
                <w:szCs w:val="21"/>
              </w:rPr>
              <w:t>兼</w:t>
            </w:r>
            <w:r>
              <w:rPr>
                <w:rFonts w:ascii="宋体" w:hAnsi="宋体" w:cs="宋体" w:eastAsia="宋体" w:hint="default"/>
                <w:spacing w:val="-67"/>
                <w:sz w:val="21"/>
                <w:szCs w:val="21"/>
              </w:rPr>
              <w:t> </w:t>
            </w:r>
            <w:r>
              <w:rPr>
                <w:rFonts w:ascii="宋体" w:hAnsi="宋体" w:cs="宋体" w:eastAsia="宋体" w:hint="default"/>
                <w:sz w:val="21"/>
                <w:szCs w:val="21"/>
              </w:rPr>
              <w:t>副</w:t>
            </w:r>
            <w:r>
              <w:rPr>
                <w:rFonts w:ascii="宋体" w:hAnsi="宋体" w:cs="宋体" w:eastAsia="宋体" w:hint="default"/>
                <w:spacing w:val="-69"/>
                <w:sz w:val="21"/>
                <w:szCs w:val="21"/>
              </w:rPr>
              <w:t> </w:t>
            </w:r>
            <w:r>
              <w:rPr>
                <w:rFonts w:ascii="宋体" w:hAnsi="宋体" w:cs="宋体" w:eastAsia="宋体" w:hint="default"/>
                <w:sz w:val="21"/>
                <w:szCs w:val="21"/>
              </w:rPr>
              <w:t>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99,022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90,761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99,022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99,022</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20.37</w:t>
            </w:r>
          </w:p>
        </w:tc>
      </w:tr>
      <w:tr>
        <w:trPr>
          <w:trHeight w:val="28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崔勇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686,556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629,278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343,278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343,278</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20.37</w:t>
            </w:r>
          </w:p>
        </w:tc>
      </w:tr>
      <w:tr>
        <w:trPr>
          <w:trHeight w:val="28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杜欣</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699,760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641,380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349,880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349,880</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20.37</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杨俏丛</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1,320,300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1,210,150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660,150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660,150</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20.37</w:t>
            </w:r>
          </w:p>
        </w:tc>
      </w:tr>
    </w:tbl>
    <w:p>
      <w:pPr>
        <w:spacing w:after="0" w:line="241" w:lineRule="exact"/>
        <w:jc w:val="right"/>
        <w:rPr>
          <w:rFonts w:ascii="宋体" w:hAnsi="宋体" w:cs="宋体" w:eastAsia="宋体" w:hint="default"/>
          <w:sz w:val="21"/>
          <w:szCs w:val="21"/>
        </w:rPr>
        <w:sectPr>
          <w:pgSz w:w="16840" w:h="11910" w:orient="landscape"/>
          <w:pgMar w:header="882" w:footer="1194"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243"/>
        <w:gridCol w:w="1418"/>
        <w:gridCol w:w="1702"/>
        <w:gridCol w:w="1699"/>
        <w:gridCol w:w="1558"/>
        <w:gridCol w:w="1703"/>
        <w:gridCol w:w="1702"/>
        <w:gridCol w:w="1558"/>
        <w:gridCol w:w="1509"/>
      </w:tblGrid>
      <w:tr>
        <w:trPr>
          <w:trHeight w:val="28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任学英</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66,016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60,508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33,008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33,008</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20.37</w:t>
            </w:r>
          </w:p>
        </w:tc>
      </w:tr>
      <w:tr>
        <w:trPr>
          <w:trHeight w:val="28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代双珠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33,008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30,254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16,504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16,504</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20.37</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3,696,842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3,388,421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1,897,932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1,897,932</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20"/>
          <w:szCs w:val="20"/>
        </w:rPr>
      </w:pPr>
    </w:p>
    <w:p>
      <w:pPr>
        <w:pStyle w:val="Heading2"/>
        <w:spacing w:line="240" w:lineRule="auto"/>
        <w:ind w:left="220" w:right="0"/>
        <w:jc w:val="left"/>
        <w:rPr>
          <w:b w:val="0"/>
          <w:bCs w:val="0"/>
        </w:rPr>
      </w:pPr>
      <w:r>
        <w:rPr/>
        <w:t>二、现任及报告期内离任董事、监事和高级管理人员的任职情况</w:t>
      </w:r>
      <w:r>
        <w:rPr>
          <w:b w:val="0"/>
          <w:bCs w:val="0"/>
        </w:rPr>
      </w:r>
    </w:p>
    <w:p>
      <w:pPr>
        <w:pStyle w:val="Heading2"/>
        <w:spacing w:line="240" w:lineRule="auto" w:before="56"/>
        <w:ind w:left="220"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在股东单位任职情况</w:t>
      </w:r>
      <w:r>
        <w:rPr>
          <w:b w:val="0"/>
          <w:bCs w:val="0"/>
        </w:rPr>
      </w:r>
    </w:p>
    <w:p>
      <w:pPr>
        <w:spacing w:before="30"/>
        <w:ind w:left="220"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p>
    <w:p>
      <w:pPr>
        <w:spacing w:line="240" w:lineRule="auto" w:before="12"/>
        <w:rPr>
          <w:rFonts w:ascii="宋体" w:hAnsi="宋体" w:cs="宋体" w:eastAsia="宋体" w:hint="default"/>
          <w:sz w:val="24"/>
          <w:szCs w:val="24"/>
        </w:rPr>
      </w:pPr>
    </w:p>
    <w:p>
      <w:pPr>
        <w:pStyle w:val="Heading2"/>
        <w:spacing w:line="240" w:lineRule="auto" w:before="0"/>
        <w:ind w:left="220"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0"/>
        </w:rPr>
        <w:t> </w:t>
      </w:r>
      <w:r>
        <w:rPr/>
        <w:t>在其他单位任职情况</w:t>
      </w:r>
      <w:r>
        <w:rPr>
          <w:b w:val="0"/>
          <w:bCs w:val="0"/>
        </w:rPr>
      </w:r>
    </w:p>
    <w:p>
      <w:pPr>
        <w:spacing w:before="31"/>
        <w:ind w:left="220"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18"/>
        <w:gridCol w:w="3670"/>
        <w:gridCol w:w="2835"/>
        <w:gridCol w:w="2376"/>
        <w:gridCol w:w="2392"/>
      </w:tblGrid>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74"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8"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2"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3"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60"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王斌</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北京翠微大厦股份有限公司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王斌</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深圳市铁汉生态环境股份有限公司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仝允桓</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山东威达机械股份有限公司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仝允桓</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浙江日发精密机械股份有限公司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姜培维</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大商股份有限公司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11272"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0"/>
          <w:szCs w:val="20"/>
        </w:rPr>
      </w:pPr>
    </w:p>
    <w:p>
      <w:pPr>
        <w:pStyle w:val="Heading2"/>
        <w:spacing w:line="240" w:lineRule="auto"/>
        <w:ind w:left="220" w:right="0"/>
        <w:jc w:val="left"/>
        <w:rPr>
          <w:b w:val="0"/>
          <w:bCs w:val="0"/>
        </w:rPr>
      </w:pPr>
      <w:r>
        <w:rPr/>
        <w:t>三、董事、监事、高级管理人员报酬情况</w:t>
      </w:r>
      <w:r>
        <w:rPr>
          <w:b w:val="0"/>
          <w:bCs w:val="0"/>
        </w:rPr>
      </w:r>
    </w:p>
    <w:p>
      <w:pPr>
        <w:spacing w:line="240" w:lineRule="auto" w:before="4"/>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4361"/>
        <w:gridCol w:w="9729"/>
      </w:tblGrid>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董事会对其实行基本年薪与年度业绩相结合的目标考核制度</w:t>
            </w:r>
          </w:p>
        </w:tc>
      </w:tr>
      <w:tr>
        <w:trPr>
          <w:trHeight w:val="555"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基本年薪由董事会根据不同岗位制定标准，按月发放；年度业绩奖励则按董事会年度经营目标分解，根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据财务报表测算结果，结合公司总体经营状况及个人业绩表现，综合评分后，按季度发放。</w:t>
            </w:r>
          </w:p>
        </w:tc>
      </w:tr>
      <w:tr>
        <w:trPr>
          <w:trHeight w:val="1099"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董事、监事和高级管理人员报酬的应付报酬情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根据中国证监会发布的《关于在上市公司建立独立董事制度的指导意见》的精神，为保证本公司独立董</w:t>
            </w:r>
          </w:p>
          <w:p>
            <w:pPr>
              <w:pStyle w:val="TableParagraph"/>
              <w:spacing w:line="272" w:lineRule="exact" w:before="26"/>
              <w:ind w:left="103" w:right="100"/>
              <w:jc w:val="left"/>
              <w:rPr>
                <w:rFonts w:ascii="宋体" w:hAnsi="宋体" w:cs="宋体" w:eastAsia="宋体" w:hint="default"/>
                <w:sz w:val="21"/>
                <w:szCs w:val="21"/>
              </w:rPr>
            </w:pPr>
            <w:r>
              <w:rPr>
                <w:rFonts w:ascii="宋体" w:hAnsi="宋体" w:cs="宋体" w:eastAsia="宋体" w:hint="default"/>
                <w:sz w:val="21"/>
                <w:szCs w:val="21"/>
              </w:rPr>
              <w:t>事有效行使职权，公司实行独立董事津贴制度。独立董事津贴按月发放，由公司按国家有关规定代扣税</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款。在报告期内，公司内部董事梁达光先生、陈朝晖先生、朱红仙女士领取津贴</w:t>
            </w:r>
            <w:r>
              <w:rPr>
                <w:rFonts w:ascii="宋体" w:hAnsi="宋体" w:cs="宋体" w:eastAsia="宋体" w:hint="default"/>
                <w:spacing w:val="-62"/>
                <w:sz w:val="21"/>
                <w:szCs w:val="21"/>
              </w:rPr>
              <w:t> </w:t>
            </w:r>
            <w:r>
              <w:rPr>
                <w:rFonts w:ascii="宋体" w:hAnsi="宋体" w:cs="宋体" w:eastAsia="宋体" w:hint="default"/>
                <w:sz w:val="21"/>
                <w:szCs w:val="21"/>
              </w:rPr>
              <w:t>5</w:t>
            </w:r>
            <w:r>
              <w:rPr>
                <w:rFonts w:ascii="宋体" w:hAnsi="宋体" w:cs="宋体" w:eastAsia="宋体" w:hint="default"/>
                <w:spacing w:val="-62"/>
                <w:sz w:val="21"/>
                <w:szCs w:val="21"/>
              </w:rPr>
              <w:t> </w:t>
            </w:r>
            <w:r>
              <w:rPr>
                <w:rFonts w:ascii="宋体" w:hAnsi="宋体" w:cs="宋体" w:eastAsia="宋体" w:hint="default"/>
                <w:spacing w:val="-3"/>
                <w:sz w:val="21"/>
                <w:szCs w:val="21"/>
              </w:rPr>
              <w:t>万元（含税）</w:t>
            </w:r>
            <w:r>
              <w:rPr>
                <w:rFonts w:ascii="宋体" w:hAnsi="宋体" w:cs="宋体" w:eastAsia="宋体" w:hint="default"/>
                <w:spacing w:val="-3"/>
                <w:sz w:val="21"/>
                <w:szCs w:val="21"/>
              </w:rPr>
              <w:t>/</w:t>
            </w:r>
            <w:r>
              <w:rPr>
                <w:rFonts w:ascii="宋体" w:hAnsi="宋体" w:cs="宋体" w:eastAsia="宋体" w:hint="default"/>
                <w:spacing w:val="-3"/>
                <w:sz w:val="21"/>
                <w:szCs w:val="21"/>
              </w:rPr>
              <w:t>年，监</w:t>
            </w:r>
          </w:p>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事符全先生、程亚光女士、安耀华女士领取津贴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万元（含税）</w:t>
            </w:r>
            <w:r>
              <w:rPr>
                <w:rFonts w:ascii="宋体" w:hAnsi="宋体" w:cs="宋体" w:eastAsia="宋体" w:hint="default"/>
                <w:sz w:val="21"/>
                <w:szCs w:val="21"/>
              </w:rPr>
              <w:t>/</w:t>
            </w:r>
            <w:r>
              <w:rPr>
                <w:rFonts w:ascii="宋体" w:hAnsi="宋体" w:cs="宋体" w:eastAsia="宋体" w:hint="default"/>
                <w:sz w:val="21"/>
                <w:szCs w:val="21"/>
              </w:rPr>
              <w:t>年。</w:t>
            </w:r>
          </w:p>
        </w:tc>
      </w:tr>
      <w:tr>
        <w:trPr>
          <w:trHeight w:val="556"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报告期末全体董事、监事和高级管理人员实际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报告期内公司全体董事、监事和高管人员实际获得的薪酬合计为</w:t>
            </w:r>
            <w:r>
              <w:rPr>
                <w:rFonts w:ascii="宋体" w:hAnsi="宋体" w:cs="宋体" w:eastAsia="宋体" w:hint="default"/>
                <w:spacing w:val="-53"/>
                <w:sz w:val="21"/>
                <w:szCs w:val="21"/>
              </w:rPr>
              <w:t> </w:t>
            </w:r>
            <w:r>
              <w:rPr>
                <w:rFonts w:ascii="宋体" w:hAnsi="宋体" w:cs="宋体" w:eastAsia="宋体" w:hint="default"/>
                <w:sz w:val="21"/>
                <w:szCs w:val="21"/>
              </w:rPr>
              <w:t>1,280.13</w:t>
            </w:r>
            <w:r>
              <w:rPr>
                <w:rFonts w:ascii="宋体" w:hAnsi="宋体" w:cs="宋体" w:eastAsia="宋体" w:hint="default"/>
                <w:spacing w:val="-53"/>
                <w:sz w:val="21"/>
                <w:szCs w:val="21"/>
              </w:rPr>
              <w:t> </w:t>
            </w:r>
            <w:r>
              <w:rPr>
                <w:rFonts w:ascii="宋体" w:hAnsi="宋体" w:cs="宋体" w:eastAsia="宋体" w:hint="default"/>
                <w:sz w:val="21"/>
                <w:szCs w:val="21"/>
              </w:rPr>
              <w:t>万元。</w:t>
            </w:r>
          </w:p>
        </w:tc>
      </w:tr>
    </w:tbl>
    <w:p>
      <w:pPr>
        <w:spacing w:after="0" w:line="240" w:lineRule="exact"/>
        <w:jc w:val="left"/>
        <w:rPr>
          <w:rFonts w:ascii="宋体" w:hAnsi="宋体" w:cs="宋体" w:eastAsia="宋体" w:hint="default"/>
          <w:sz w:val="21"/>
          <w:szCs w:val="21"/>
        </w:rPr>
        <w:sectPr>
          <w:pgSz w:w="16840" w:h="11910" w:orient="landscape"/>
          <w:pgMar w:header="882" w:footer="1194" w:top="1120" w:bottom="1380" w:left="1220" w:right="130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6"/>
          <w:szCs w:val="26"/>
        </w:rPr>
      </w:pPr>
    </w:p>
    <w:p>
      <w:pPr>
        <w:pStyle w:val="Heading2"/>
        <w:spacing w:line="240" w:lineRule="auto"/>
        <w:ind w:left="220" w:right="0"/>
        <w:jc w:val="left"/>
        <w:rPr>
          <w:b w:val="0"/>
          <w:bCs w:val="0"/>
        </w:rPr>
      </w:pPr>
      <w:r>
        <w:rPr/>
        <w:t>四、公司董事、监事、高级管理人员变动情况</w:t>
      </w:r>
      <w:r>
        <w:rPr>
          <w:b w:val="0"/>
          <w:bCs w:val="0"/>
        </w:rPr>
      </w:r>
    </w:p>
    <w:p>
      <w:pPr>
        <w:spacing w:line="240" w:lineRule="auto" w:before="4"/>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3522"/>
        <w:gridCol w:w="3522"/>
        <w:gridCol w:w="3522"/>
        <w:gridCol w:w="3524"/>
      </w:tblGrid>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梁达光</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换届选举</w:t>
            </w:r>
          </w:p>
        </w:tc>
      </w:tr>
      <w:tr>
        <w:trPr>
          <w:trHeight w:val="283"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李伟</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换届选举</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王斌</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换届选举</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朱红仙</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董事兼副总裁</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换届选举</w:t>
            </w:r>
          </w:p>
        </w:tc>
      </w:tr>
      <w:tr>
        <w:trPr>
          <w:trHeight w:val="283"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陈朝晖</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换届选举</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姜培维</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换届选举</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符全</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换届选举</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安耀华</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换届选举</w:t>
            </w:r>
          </w:p>
        </w:tc>
      </w:tr>
      <w:tr>
        <w:trPr>
          <w:trHeight w:val="284"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程亚光</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换届选举</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黄华</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高管</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换届选举</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代双珠</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高管</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r>
      <w:tr>
        <w:trPr>
          <w:trHeight w:val="283"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胡联奎</w:t>
            </w:r>
          </w:p>
        </w:tc>
        <w:tc>
          <w:tcPr>
            <w:tcW w:w="3522" w:type="dxa"/>
            <w:tcBorders>
              <w:top w:val="single" w:sz="4" w:space="0" w:color="000000"/>
              <w:left w:val="single" w:sz="4" w:space="0" w:color="000000"/>
              <w:bottom w:val="single" w:sz="4" w:space="0" w:color="000000"/>
              <w:right w:val="single" w:sz="4" w:space="0" w:color="000000"/>
            </w:tcBorders>
          </w:tcPr>
          <w:p>
            <w:pP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任期届满离任</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刘建柱</w:t>
            </w:r>
          </w:p>
        </w:tc>
        <w:tc>
          <w:tcPr>
            <w:tcW w:w="3522" w:type="dxa"/>
            <w:tcBorders>
              <w:top w:val="single" w:sz="4" w:space="0" w:color="000000"/>
              <w:left w:val="single" w:sz="4" w:space="0" w:color="000000"/>
              <w:bottom w:val="single" w:sz="4" w:space="0" w:color="000000"/>
              <w:right w:val="single" w:sz="4" w:space="0" w:color="000000"/>
            </w:tcBorders>
          </w:tcPr>
          <w:p>
            <w:pP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任期届满离任</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刘燕京</w:t>
            </w:r>
          </w:p>
        </w:tc>
        <w:tc>
          <w:tcPr>
            <w:tcW w:w="3522" w:type="dxa"/>
            <w:tcBorders>
              <w:top w:val="single" w:sz="4" w:space="0" w:color="000000"/>
              <w:left w:val="single" w:sz="4" w:space="0" w:color="000000"/>
              <w:bottom w:val="single" w:sz="4" w:space="0" w:color="000000"/>
              <w:right w:val="single" w:sz="4" w:space="0" w:color="000000"/>
            </w:tcBorders>
          </w:tcPr>
          <w:p>
            <w:pP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任期届满离任</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郭先臣</w:t>
            </w:r>
          </w:p>
        </w:tc>
        <w:tc>
          <w:tcPr>
            <w:tcW w:w="3522" w:type="dxa"/>
            <w:tcBorders>
              <w:top w:val="single" w:sz="4" w:space="0" w:color="000000"/>
              <w:left w:val="single" w:sz="4" w:space="0" w:color="000000"/>
              <w:bottom w:val="single" w:sz="4" w:space="0" w:color="000000"/>
              <w:right w:val="single" w:sz="4" w:space="0" w:color="000000"/>
            </w:tcBorders>
          </w:tcPr>
          <w:p>
            <w:pP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任期届满离任</w:t>
            </w:r>
          </w:p>
        </w:tc>
      </w:tr>
      <w:tr>
        <w:trPr>
          <w:trHeight w:val="283"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隋雪青</w:t>
            </w:r>
          </w:p>
        </w:tc>
        <w:tc>
          <w:tcPr>
            <w:tcW w:w="3522" w:type="dxa"/>
            <w:tcBorders>
              <w:top w:val="single" w:sz="4" w:space="0" w:color="000000"/>
              <w:left w:val="single" w:sz="4" w:space="0" w:color="000000"/>
              <w:bottom w:val="single" w:sz="4" w:space="0" w:color="000000"/>
              <w:right w:val="single" w:sz="4" w:space="0" w:color="000000"/>
            </w:tcBorders>
          </w:tcPr>
          <w:p>
            <w:pP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任期届满离任</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陈涛涛</w:t>
            </w:r>
          </w:p>
        </w:tc>
        <w:tc>
          <w:tcPr>
            <w:tcW w:w="3522" w:type="dxa"/>
            <w:tcBorders>
              <w:top w:val="single" w:sz="4" w:space="0" w:color="000000"/>
              <w:left w:val="single" w:sz="4" w:space="0" w:color="000000"/>
              <w:bottom w:val="single" w:sz="4" w:space="0" w:color="000000"/>
              <w:right w:val="single" w:sz="4" w:space="0" w:color="000000"/>
            </w:tcBorders>
          </w:tcPr>
          <w:p>
            <w:pP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任期届满离任</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卢孝威</w:t>
            </w:r>
          </w:p>
        </w:tc>
        <w:tc>
          <w:tcPr>
            <w:tcW w:w="3522" w:type="dxa"/>
            <w:tcBorders>
              <w:top w:val="single" w:sz="4" w:space="0" w:color="000000"/>
              <w:left w:val="single" w:sz="4" w:space="0" w:color="000000"/>
              <w:bottom w:val="single" w:sz="4" w:space="0" w:color="000000"/>
              <w:right w:val="single" w:sz="4" w:space="0" w:color="000000"/>
            </w:tcBorders>
          </w:tcPr>
          <w:p>
            <w:pP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任期届满离任</w:t>
            </w:r>
          </w:p>
        </w:tc>
      </w:tr>
      <w:tr>
        <w:trPr>
          <w:trHeight w:val="283"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刘亚玲</w:t>
            </w:r>
          </w:p>
        </w:tc>
        <w:tc>
          <w:tcPr>
            <w:tcW w:w="3522" w:type="dxa"/>
            <w:tcBorders>
              <w:top w:val="single" w:sz="4" w:space="0" w:color="000000"/>
              <w:left w:val="single" w:sz="4" w:space="0" w:color="000000"/>
              <w:bottom w:val="single" w:sz="4" w:space="0" w:color="000000"/>
              <w:right w:val="single" w:sz="4" w:space="0" w:color="000000"/>
            </w:tcBorders>
          </w:tcPr>
          <w:p>
            <w:pP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任期届满离任</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高蔚</w:t>
            </w:r>
          </w:p>
        </w:tc>
        <w:tc>
          <w:tcPr>
            <w:tcW w:w="3522" w:type="dxa"/>
            <w:tcBorders>
              <w:top w:val="single" w:sz="4" w:space="0" w:color="000000"/>
              <w:left w:val="single" w:sz="4" w:space="0" w:color="000000"/>
              <w:bottom w:val="single" w:sz="4" w:space="0" w:color="000000"/>
              <w:right w:val="single" w:sz="4" w:space="0" w:color="000000"/>
            </w:tcBorders>
          </w:tcPr>
          <w:p>
            <w:pP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任期届满离任</w:t>
            </w:r>
          </w:p>
        </w:tc>
      </w:tr>
      <w:tr>
        <w:trPr>
          <w:trHeight w:val="284"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杨淮</w:t>
            </w:r>
          </w:p>
        </w:tc>
        <w:tc>
          <w:tcPr>
            <w:tcW w:w="3522" w:type="dxa"/>
            <w:tcBorders>
              <w:top w:val="single" w:sz="4" w:space="0" w:color="000000"/>
              <w:left w:val="single" w:sz="4" w:space="0" w:color="000000"/>
              <w:bottom w:val="single" w:sz="4" w:space="0" w:color="000000"/>
              <w:right w:val="single" w:sz="4" w:space="0" w:color="000000"/>
            </w:tcBorders>
          </w:tcPr>
          <w:p>
            <w:pP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任期届满离任</w:t>
            </w:r>
          </w:p>
        </w:tc>
      </w:tr>
    </w:tbl>
    <w:p>
      <w:pPr>
        <w:pStyle w:val="BodyText"/>
        <w:spacing w:line="310" w:lineRule="exact" w:before="113"/>
        <w:ind w:left="220" w:right="225"/>
        <w:jc w:val="both"/>
      </w:pPr>
      <w:r>
        <w:rPr>
          <w:rFonts w:ascii="宋体" w:hAnsi="宋体" w:cs="宋体" w:eastAsia="宋体" w:hint="default"/>
        </w:rPr>
        <w:t>1</w:t>
      </w:r>
      <w:r>
        <w:rPr/>
        <w:t>、</w:t>
      </w:r>
      <w:r>
        <w:rPr>
          <w:rFonts w:ascii="宋体" w:hAnsi="宋体" w:cs="宋体" w:eastAsia="宋体" w:hint="default"/>
        </w:rPr>
        <w:t>2014</w:t>
      </w:r>
      <w:r>
        <w:rPr>
          <w:rFonts w:ascii="宋体" w:hAnsi="宋体" w:cs="宋体" w:eastAsia="宋体" w:hint="default"/>
          <w:spacing w:val="-10"/>
        </w:rPr>
        <w:t> </w:t>
      </w:r>
      <w:r>
        <w:rPr/>
        <w:t>年</w:t>
      </w:r>
      <w:r>
        <w:rPr>
          <w:spacing w:val="-65"/>
        </w:rPr>
        <w:t> </w:t>
      </w:r>
      <w:r>
        <w:rPr>
          <w:rFonts w:ascii="宋体" w:hAnsi="宋体" w:cs="宋体" w:eastAsia="宋体" w:hint="default"/>
        </w:rPr>
        <w:t>2</w:t>
      </w:r>
      <w:r>
        <w:rPr>
          <w:rFonts w:ascii="宋体" w:hAnsi="宋体" w:cs="宋体" w:eastAsia="宋体" w:hint="default"/>
          <w:spacing w:val="-65"/>
        </w:rPr>
        <w:t> </w:t>
      </w:r>
      <w:r>
        <w:rPr/>
        <w:t>月</w:t>
      </w:r>
      <w:r>
        <w:rPr>
          <w:spacing w:val="-65"/>
        </w:rPr>
        <w:t> </w:t>
      </w:r>
      <w:r>
        <w:rPr>
          <w:rFonts w:ascii="宋体" w:hAnsi="宋体" w:cs="宋体" w:eastAsia="宋体" w:hint="default"/>
        </w:rPr>
        <w:t>26</w:t>
      </w:r>
      <w:r>
        <w:rPr>
          <w:rFonts w:ascii="宋体" w:hAnsi="宋体" w:cs="宋体" w:eastAsia="宋体" w:hint="default"/>
          <w:spacing w:val="-65"/>
        </w:rPr>
        <w:t> </w:t>
      </w:r>
      <w:r>
        <w:rPr>
          <w:spacing w:val="-3"/>
        </w:rPr>
        <w:t>日，公司</w:t>
      </w:r>
      <w:r>
        <w:rPr>
          <w:spacing w:val="-65"/>
        </w:rPr>
        <w:t> </w:t>
      </w:r>
      <w:r>
        <w:rPr>
          <w:rFonts w:ascii="宋体" w:hAnsi="宋体" w:cs="宋体" w:eastAsia="宋体" w:hint="default"/>
        </w:rPr>
        <w:t>2014</w:t>
      </w:r>
      <w:r>
        <w:rPr>
          <w:rFonts w:ascii="宋体" w:hAnsi="宋体" w:cs="宋体" w:eastAsia="宋体" w:hint="default"/>
          <w:spacing w:val="-65"/>
        </w:rPr>
        <w:t> </w:t>
      </w:r>
      <w:r>
        <w:rPr/>
        <w:t>年第一次临时董事会会议审议通过了《关于公司董事会换届的议案》。公司第四届董事会已届满到 </w:t>
      </w:r>
      <w:r>
        <w:rPr>
          <w:spacing w:val="-1"/>
        </w:rPr>
        <w:t>期，经公司第四届董事会提名，梁达光、隋雪青、李伟、王斌、王维航、朱红仙、陈朝晖为第五届董事会董事候选人为第五届董事会</w:t>
      </w:r>
      <w:r>
        <w:rPr>
          <w:spacing w:val="-110"/>
        </w:rPr>
        <w:t> </w:t>
      </w:r>
      <w:r>
        <w:rPr>
          <w:spacing w:val="-110"/>
        </w:rPr>
      </w:r>
      <w:r>
        <w:rPr/>
        <w:t>董事候选人；沈青华、仝允桓、姜培维获提名为第五届董事会独立董事候选人。</w:t>
      </w:r>
    </w:p>
    <w:p>
      <w:pPr>
        <w:pStyle w:val="BodyText"/>
        <w:spacing w:line="310" w:lineRule="exact" w:before="122"/>
        <w:ind w:left="220" w:right="237"/>
        <w:jc w:val="both"/>
      </w:pPr>
      <w:r>
        <w:rPr>
          <w:rFonts w:ascii="宋体" w:hAnsi="宋体" w:cs="宋体" w:eastAsia="宋体" w:hint="default"/>
        </w:rPr>
        <w:t>2</w:t>
      </w:r>
      <w:r>
        <w:rPr/>
        <w:t>、</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26</w:t>
      </w:r>
      <w:r>
        <w:rPr>
          <w:rFonts w:ascii="宋体" w:hAnsi="宋体" w:cs="宋体" w:eastAsia="宋体" w:hint="default"/>
          <w:spacing w:val="-60"/>
        </w:rPr>
        <w:t> </w:t>
      </w:r>
      <w:r>
        <w:rPr/>
        <w:t>日，公司召开</w:t>
      </w:r>
      <w:r>
        <w:rPr>
          <w:spacing w:val="-60"/>
        </w:rPr>
        <w:t> </w:t>
      </w:r>
      <w:r>
        <w:rPr>
          <w:rFonts w:ascii="宋体" w:hAnsi="宋体" w:cs="宋体" w:eastAsia="宋体" w:hint="default"/>
        </w:rPr>
        <w:t>2014</w:t>
      </w:r>
      <w:r>
        <w:rPr>
          <w:rFonts w:ascii="宋体" w:hAnsi="宋体" w:cs="宋体" w:eastAsia="宋体" w:hint="default"/>
          <w:spacing w:val="-60"/>
        </w:rPr>
        <w:t> </w:t>
      </w:r>
      <w:r>
        <w:rPr/>
        <w:t>年第一次临时监事会会议审议通过了《关于公司监事会换届的议案》。公司第四届监事会届满 到期，经公司第四届监事会提名，第五届监事会候选人名单为符全、程亚光</w:t>
      </w:r>
      <w:r>
        <w:rPr>
          <w:rFonts w:ascii="宋体" w:hAnsi="宋体" w:cs="宋体" w:eastAsia="宋体" w:hint="default"/>
        </w:rPr>
        <w:t>(</w:t>
      </w:r>
      <w:r>
        <w:rPr/>
        <w:t>职工监事</w:t>
      </w:r>
      <w:r>
        <w:rPr>
          <w:rFonts w:ascii="宋体" w:hAnsi="宋体" w:cs="宋体" w:eastAsia="宋体" w:hint="default"/>
        </w:rPr>
        <w:t>)</w:t>
      </w:r>
      <w:r>
        <w:rPr/>
        <w:t>、安耀华</w:t>
      </w:r>
      <w:r>
        <w:rPr>
          <w:rFonts w:ascii="宋体" w:hAnsi="宋体" w:cs="宋体" w:eastAsia="宋体" w:hint="default"/>
        </w:rPr>
        <w:t>(</w:t>
      </w:r>
      <w:r>
        <w:rPr/>
        <w:t>职工监事</w:t>
      </w:r>
      <w:r>
        <w:rPr>
          <w:rFonts w:ascii="宋体" w:hAnsi="宋体" w:cs="宋体" w:eastAsia="宋体" w:hint="default"/>
        </w:rPr>
        <w:t>)</w:t>
      </w:r>
      <w:r>
        <w:rPr/>
        <w:t>组成新一届监事会。</w:t>
      </w:r>
    </w:p>
    <w:p>
      <w:pPr>
        <w:spacing w:after="0" w:line="310" w:lineRule="exact"/>
        <w:jc w:val="both"/>
        <w:sectPr>
          <w:pgSz w:w="16840" w:h="11910" w:orient="landscape"/>
          <w:pgMar w:header="882" w:footer="1194" w:top="1120" w:bottom="1380" w:left="1220" w:right="13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BodyText"/>
        <w:spacing w:line="240" w:lineRule="auto" w:before="26"/>
        <w:ind w:left="140" w:right="3898"/>
        <w:jc w:val="left"/>
      </w:pPr>
      <w:r>
        <w:rPr>
          <w:rFonts w:ascii="宋体" w:hAnsi="宋体" w:cs="宋体" w:eastAsia="宋体" w:hint="default"/>
        </w:rPr>
        <w:t>3</w:t>
      </w:r>
      <w:r>
        <w:rPr/>
        <w:t>、</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14</w:t>
      </w:r>
      <w:r>
        <w:rPr>
          <w:rFonts w:ascii="宋体" w:hAnsi="宋体" w:cs="宋体" w:eastAsia="宋体" w:hint="default"/>
          <w:spacing w:val="-60"/>
        </w:rPr>
        <w:t> </w:t>
      </w:r>
      <w:r>
        <w:rPr/>
        <w:t>日公司召开</w:t>
      </w:r>
      <w:r>
        <w:rPr>
          <w:spacing w:val="-60"/>
        </w:rPr>
        <w:t> </w:t>
      </w:r>
      <w:r>
        <w:rPr>
          <w:rFonts w:ascii="宋体" w:hAnsi="宋体" w:cs="宋体" w:eastAsia="宋体" w:hint="default"/>
        </w:rPr>
        <w:t>2014</w:t>
      </w:r>
      <w:r>
        <w:rPr>
          <w:rFonts w:ascii="宋体" w:hAnsi="宋体" w:cs="宋体" w:eastAsia="宋体" w:hint="default"/>
          <w:spacing w:val="-60"/>
        </w:rPr>
        <w:t> </w:t>
      </w:r>
      <w:r>
        <w:rPr/>
        <w:t>年第一次临时股东大会审议通过了以下议案：</w:t>
      </w:r>
    </w:p>
    <w:p>
      <w:pPr>
        <w:pStyle w:val="BodyText"/>
        <w:spacing w:line="328" w:lineRule="auto" w:before="116"/>
        <w:ind w:left="620" w:right="3898" w:hanging="480"/>
        <w:jc w:val="left"/>
      </w:pPr>
      <w:r>
        <w:rPr/>
        <w:t>（</w:t>
      </w:r>
      <w:r>
        <w:rPr>
          <w:rFonts w:ascii="宋体" w:hAnsi="宋体" w:cs="宋体" w:eastAsia="宋体" w:hint="default"/>
        </w:rPr>
        <w:t>1</w:t>
      </w:r>
      <w:r>
        <w:rPr/>
        <w:t>）《关于公司董事会换届的议案》 审议通过：选举梁达光、李伟、王斌、王维航、朱红仙、陈朝晖为公司第五届董事会董事； 审议通过：选举沈青华、仝允桓、姜培维为公司第五届董事会独立董事。</w:t>
      </w:r>
    </w:p>
    <w:p>
      <w:pPr>
        <w:pStyle w:val="BodyText"/>
        <w:spacing w:line="328" w:lineRule="auto" w:before="28"/>
        <w:ind w:left="620" w:right="298" w:hanging="480"/>
        <w:jc w:val="left"/>
      </w:pPr>
      <w:r>
        <w:rPr/>
        <w:t>（</w:t>
      </w:r>
      <w:r>
        <w:rPr>
          <w:rFonts w:ascii="宋体" w:hAnsi="宋体" w:cs="宋体" w:eastAsia="宋体" w:hint="default"/>
        </w:rPr>
        <w:t>2</w:t>
      </w:r>
      <w:r>
        <w:rPr/>
        <w:t>）《关于公司监事会换届的议案》 审议通过：选举符全为公司监事。公司第五届监事会监事成员：符全、程亚光（职工代表监事）、安耀华（职工代表监事）。</w:t>
      </w:r>
    </w:p>
    <w:p>
      <w:pPr>
        <w:pStyle w:val="BodyText"/>
        <w:spacing w:line="240" w:lineRule="auto" w:before="29"/>
        <w:ind w:left="140" w:right="3898"/>
        <w:jc w:val="left"/>
      </w:pPr>
      <w:r>
        <w:rPr>
          <w:rFonts w:ascii="宋体" w:hAnsi="宋体" w:cs="宋体" w:eastAsia="宋体" w:hint="default"/>
        </w:rPr>
        <w:t>4</w:t>
      </w:r>
      <w:r>
        <w:rPr/>
        <w:t>、</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14</w:t>
      </w:r>
      <w:r>
        <w:rPr>
          <w:rFonts w:ascii="宋体" w:hAnsi="宋体" w:cs="宋体" w:eastAsia="宋体" w:hint="default"/>
          <w:spacing w:val="-60"/>
        </w:rPr>
        <w:t> </w:t>
      </w:r>
      <w:r>
        <w:rPr/>
        <w:t>日，公司召开第五届董事会第一次会议审议通过了以下议案：</w:t>
      </w:r>
    </w:p>
    <w:p>
      <w:pPr>
        <w:pStyle w:val="BodyText"/>
        <w:spacing w:line="331" w:lineRule="auto" w:before="117"/>
        <w:ind w:left="740" w:right="6178" w:hanging="600"/>
        <w:jc w:val="left"/>
      </w:pPr>
      <w:r>
        <w:rPr/>
        <w:t>（</w:t>
      </w:r>
      <w:r>
        <w:rPr>
          <w:rFonts w:ascii="宋体" w:hAnsi="宋体" w:cs="宋体" w:eastAsia="宋体" w:hint="default"/>
        </w:rPr>
        <w:t>1</w:t>
      </w:r>
      <w:r>
        <w:rPr/>
        <w:t>）《关于选举董事长的议案》 选举王维航先生为董事长，任期至下次换届的股东大会召开之日止。</w:t>
      </w:r>
    </w:p>
    <w:p>
      <w:pPr>
        <w:pStyle w:val="BodyText"/>
        <w:spacing w:line="328" w:lineRule="auto" w:before="25"/>
        <w:ind w:left="740" w:right="4978" w:hanging="600"/>
        <w:jc w:val="left"/>
      </w:pPr>
      <w:r>
        <w:rPr/>
        <w:t>（</w:t>
      </w:r>
      <w:r>
        <w:rPr>
          <w:rFonts w:ascii="宋体" w:hAnsi="宋体" w:cs="宋体" w:eastAsia="宋体" w:hint="default"/>
        </w:rPr>
        <w:t>2</w:t>
      </w:r>
      <w:r>
        <w:rPr/>
        <w:t>）《关于聘任公司总裁的议案》 董事长提名，聘任王维航先生为公司总裁，任期至新一届的董事会召开之日止。</w:t>
      </w:r>
    </w:p>
    <w:p>
      <w:pPr>
        <w:pStyle w:val="BodyText"/>
        <w:spacing w:line="328" w:lineRule="auto" w:before="29"/>
        <w:ind w:left="725" w:right="193" w:hanging="586"/>
        <w:jc w:val="left"/>
      </w:pPr>
      <w:r>
        <w:rPr/>
        <w:t>（</w:t>
      </w:r>
      <w:r>
        <w:rPr>
          <w:rFonts w:ascii="宋体" w:hAnsi="宋体" w:cs="宋体" w:eastAsia="宋体" w:hint="default"/>
        </w:rPr>
        <w:t>3</w:t>
      </w:r>
      <w:r>
        <w:rPr/>
        <w:t>）《关于聘任高级管理人员的议案》 总裁提名，聘任邓昳女士、崔勇先生、杨俏丛先生、杜欣女士、黄华先生、朱红仙女士为公司副总裁，任期至新一届的董事会</w:t>
      </w:r>
    </w:p>
    <w:p>
      <w:pPr>
        <w:pStyle w:val="BodyText"/>
        <w:spacing w:line="222" w:lineRule="exact"/>
        <w:ind w:left="245" w:right="3898"/>
        <w:jc w:val="left"/>
      </w:pPr>
      <w:r>
        <w:rPr/>
        <w:t>召开之日止。</w:t>
      </w:r>
    </w:p>
    <w:p>
      <w:pPr>
        <w:pStyle w:val="BodyText"/>
        <w:spacing w:line="328" w:lineRule="auto" w:before="118"/>
        <w:ind w:left="725" w:right="4753" w:hanging="480"/>
        <w:jc w:val="left"/>
      </w:pPr>
      <w:r>
        <w:rPr/>
        <w:t>（</w:t>
      </w:r>
      <w:r>
        <w:rPr>
          <w:rFonts w:ascii="宋体" w:hAnsi="宋体" w:cs="宋体" w:eastAsia="宋体" w:hint="default"/>
        </w:rPr>
        <w:t>4</w:t>
      </w:r>
      <w:r>
        <w:rPr/>
        <w:t>）《关于聘任财务总监的议案》 总裁提名，聘任任学英女士为公司财务总监，任期至新一届的董事会召开之日止。</w:t>
      </w:r>
    </w:p>
    <w:p>
      <w:pPr>
        <w:pStyle w:val="BodyText"/>
        <w:spacing w:line="328" w:lineRule="auto" w:before="29"/>
        <w:ind w:left="725" w:right="2413" w:hanging="480"/>
        <w:jc w:val="left"/>
      </w:pPr>
      <w:r>
        <w:rPr>
          <w:rFonts w:ascii="宋体" w:hAnsi="宋体" w:cs="宋体" w:eastAsia="宋体" w:hint="default"/>
        </w:rPr>
        <w:t>5</w:t>
      </w:r>
      <w:r>
        <w:rPr/>
        <w:t>、</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14</w:t>
      </w:r>
      <w:r>
        <w:rPr>
          <w:rFonts w:ascii="宋体" w:hAnsi="宋体" w:cs="宋体" w:eastAsia="宋体" w:hint="default"/>
          <w:spacing w:val="-60"/>
        </w:rPr>
        <w:t> </w:t>
      </w:r>
      <w:r>
        <w:rPr/>
        <w:t>日公司召开</w:t>
      </w:r>
      <w:r>
        <w:rPr>
          <w:spacing w:val="-60"/>
        </w:rPr>
        <w:t> </w:t>
      </w:r>
      <w:r>
        <w:rPr>
          <w:rFonts w:ascii="宋体" w:hAnsi="宋体" w:cs="宋体" w:eastAsia="宋体" w:hint="default"/>
        </w:rPr>
        <w:t>2014</w:t>
      </w:r>
      <w:r>
        <w:rPr>
          <w:rFonts w:ascii="宋体" w:hAnsi="宋体" w:cs="宋体" w:eastAsia="宋体" w:hint="default"/>
          <w:spacing w:val="-60"/>
        </w:rPr>
        <w:t> </w:t>
      </w:r>
      <w:r>
        <w:rPr/>
        <w:t>年第一次临时监事会会议，审议通过了《关于公司监事会换届的议案》。 选举符全为监事会主席，任期至下次换届的股东大会召开之日止。</w:t>
      </w:r>
    </w:p>
    <w:p>
      <w:pPr>
        <w:pStyle w:val="BodyText"/>
        <w:spacing w:line="312" w:lineRule="exact" w:before="58"/>
        <w:ind w:left="245" w:right="106"/>
        <w:jc w:val="left"/>
      </w:pPr>
      <w:r>
        <w:rPr>
          <w:rFonts w:ascii="宋体" w:hAnsi="宋体" w:cs="宋体" w:eastAsia="宋体" w:hint="default"/>
          <w:spacing w:val="-3"/>
        </w:rPr>
        <w:t>6</w:t>
      </w:r>
      <w:r>
        <w:rPr>
          <w:spacing w:val="-3"/>
        </w:rPr>
        <w:t>、</w:t>
      </w:r>
      <w:r>
        <w:rPr>
          <w:rFonts w:ascii="宋体" w:hAnsi="宋体" w:cs="宋体" w:eastAsia="宋体" w:hint="default"/>
          <w:spacing w:val="-3"/>
        </w:rPr>
        <w:t>2014</w:t>
      </w:r>
      <w:r>
        <w:rPr>
          <w:rFonts w:ascii="宋体" w:hAnsi="宋体" w:cs="宋体" w:eastAsia="宋体" w:hint="default"/>
          <w:spacing w:val="-75"/>
        </w:rPr>
        <w:t> </w:t>
      </w:r>
      <w:r>
        <w:rPr/>
        <w:t>年</w:t>
      </w:r>
      <w:r>
        <w:rPr>
          <w:spacing w:val="-75"/>
        </w:rPr>
        <w:t> </w:t>
      </w:r>
      <w:r>
        <w:rPr>
          <w:rFonts w:ascii="宋体" w:hAnsi="宋体" w:cs="宋体" w:eastAsia="宋体" w:hint="default"/>
        </w:rPr>
        <w:t>4</w:t>
      </w:r>
      <w:r>
        <w:rPr>
          <w:rFonts w:ascii="宋体" w:hAnsi="宋体" w:cs="宋体" w:eastAsia="宋体" w:hint="default"/>
          <w:spacing w:val="-75"/>
        </w:rPr>
        <w:t> </w:t>
      </w:r>
      <w:r>
        <w:rPr/>
        <w:t>月</w:t>
      </w:r>
      <w:r>
        <w:rPr>
          <w:spacing w:val="-75"/>
        </w:rPr>
        <w:t> </w:t>
      </w:r>
      <w:r>
        <w:rPr>
          <w:rFonts w:ascii="宋体" w:hAnsi="宋体" w:cs="宋体" w:eastAsia="宋体" w:hint="default"/>
        </w:rPr>
        <w:t>8</w:t>
      </w:r>
      <w:r>
        <w:rPr>
          <w:rFonts w:ascii="宋体" w:hAnsi="宋体" w:cs="宋体" w:eastAsia="宋体" w:hint="default"/>
          <w:spacing w:val="-75"/>
        </w:rPr>
        <w:t> </w:t>
      </w:r>
      <w:r>
        <w:rPr/>
        <w:t>日，公司召开第五届董事会第二次董事会会议，经董事长提名，聘任代双珠女士为董事会秘书，任期至新一届的董 事会召开之日止。</w:t>
      </w:r>
    </w:p>
    <w:p>
      <w:pPr>
        <w:spacing w:after="0" w:line="312" w:lineRule="exact"/>
        <w:jc w:val="left"/>
        <w:sectPr>
          <w:pgSz w:w="16840" w:h="11910" w:orient="landscape"/>
          <w:pgMar w:header="882" w:footer="1194" w:top="1120" w:bottom="1380" w:left="1300" w:right="14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spacing w:line="328" w:lineRule="auto" w:before="26"/>
        <w:ind w:left="560" w:right="7798" w:hanging="420"/>
        <w:jc w:val="left"/>
        <w:rPr>
          <w:rFonts w:ascii="宋体" w:hAnsi="宋体" w:cs="宋体" w:eastAsia="宋体" w:hint="default"/>
          <w:sz w:val="24"/>
          <w:szCs w:val="24"/>
        </w:rPr>
      </w:pPr>
      <w:r>
        <w:rPr>
          <w:rFonts w:ascii="宋体" w:hAnsi="宋体" w:cs="宋体" w:eastAsia="宋体" w:hint="default"/>
          <w:b/>
          <w:bCs/>
          <w:sz w:val="24"/>
          <w:szCs w:val="24"/>
        </w:rPr>
        <w:t>五、公司核心技术团队或关键技术人员情况</w:t>
      </w:r>
      <w:r>
        <w:rPr>
          <w:rFonts w:ascii="宋体" w:hAnsi="宋体" w:cs="宋体" w:eastAsia="宋体" w:hint="default"/>
          <w:b/>
          <w:bCs/>
          <w:w w:val="99"/>
          <w:sz w:val="24"/>
          <w:szCs w:val="24"/>
        </w:rPr>
        <w:t> </w:t>
      </w:r>
      <w:r>
        <w:rPr>
          <w:rFonts w:ascii="宋体" w:hAnsi="宋体" w:cs="宋体" w:eastAsia="宋体" w:hint="default"/>
          <w:sz w:val="24"/>
          <w:szCs w:val="24"/>
        </w:rPr>
        <w:t>本年度未发生核心技术团队或关键技术人员变动情况。</w:t>
      </w:r>
    </w:p>
    <w:p>
      <w:pPr>
        <w:spacing w:after="0" w:line="328" w:lineRule="auto"/>
        <w:jc w:val="left"/>
        <w:rPr>
          <w:rFonts w:ascii="宋体" w:hAnsi="宋体" w:cs="宋体" w:eastAsia="宋体" w:hint="default"/>
          <w:sz w:val="24"/>
          <w:szCs w:val="24"/>
        </w:rPr>
        <w:sectPr>
          <w:footerReference w:type="default" r:id="rId23"/>
          <w:pgSz w:w="16840" w:h="11910" w:orient="landscape"/>
          <w:pgMar w:footer="1194" w:header="882" w:top="1120" w:bottom="1380" w:left="1300" w:right="1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right="101"/>
        <w:jc w:val="left"/>
        <w:rPr>
          <w:b w:val="0"/>
          <w:bCs w:val="0"/>
        </w:rPr>
      </w:pPr>
      <w:r>
        <w:rPr/>
        <w:t>六、母公司和主要子公司的员工情况</w:t>
      </w:r>
      <w:r>
        <w:rPr>
          <w:b w:val="0"/>
          <w:bCs w:val="0"/>
        </w:rPr>
      </w:r>
    </w:p>
    <w:p>
      <w:pPr>
        <w:pStyle w:val="Heading2"/>
        <w:spacing w:line="240" w:lineRule="auto" w:before="56"/>
        <w:ind w:right="101"/>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1"/>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1,238</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3,293</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4,531</w:t>
            </w:r>
          </w:p>
        </w:tc>
      </w:tr>
      <w:tr>
        <w:trPr>
          <w:trHeight w:val="556"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母公司及主要子公司需承担费用的离退休职工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w:t>
            </w:r>
          </w:p>
        </w:tc>
      </w:tr>
      <w:tr>
        <w:trPr>
          <w:trHeight w:val="28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25"/>
              <w:jc w:val="right"/>
              <w:rPr>
                <w:rFonts w:ascii="宋体" w:hAnsi="宋体" w:cs="宋体" w:eastAsia="宋体" w:hint="default"/>
                <w:sz w:val="21"/>
                <w:szCs w:val="21"/>
              </w:rPr>
            </w:pPr>
            <w:r>
              <w:rPr>
                <w:rFonts w:ascii="宋体" w:hAnsi="宋体" w:cs="宋体" w:eastAsia="宋体" w:hint="default"/>
                <w:sz w:val="21"/>
                <w:szCs w:val="21"/>
              </w:rPr>
              <w:t>专业构成类别</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525</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3,318</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142</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533</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
        </w:tc>
        <w:tc>
          <w:tcPr>
            <w:tcW w:w="452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
        </w:tc>
        <w:tc>
          <w:tcPr>
            <w:tcW w:w="4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4,531</w:t>
            </w:r>
          </w:p>
        </w:tc>
      </w:tr>
      <w:tr>
        <w:trPr>
          <w:trHeight w:val="28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25"/>
              <w:jc w:val="right"/>
              <w:rPr>
                <w:rFonts w:ascii="宋体" w:hAnsi="宋体" w:cs="宋体" w:eastAsia="宋体" w:hint="default"/>
                <w:sz w:val="21"/>
                <w:szCs w:val="21"/>
              </w:rPr>
            </w:pPr>
            <w:r>
              <w:rPr>
                <w:rFonts w:ascii="宋体" w:hAnsi="宋体" w:cs="宋体" w:eastAsia="宋体" w:hint="default"/>
                <w:sz w:val="21"/>
                <w:szCs w:val="21"/>
              </w:rPr>
              <w:t>教育程度类别</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博士</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902</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大学本科</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2,334</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大学专科</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824</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专科以下</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448</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4,531</w:t>
            </w:r>
          </w:p>
        </w:tc>
      </w:tr>
    </w:tbl>
    <w:p>
      <w:pPr>
        <w:spacing w:line="240" w:lineRule="auto" w:before="6"/>
        <w:rPr>
          <w:rFonts w:ascii="宋体" w:hAnsi="宋体" w:cs="宋体" w:eastAsia="宋体" w:hint="default"/>
          <w:b/>
          <w:bCs/>
          <w:sz w:val="20"/>
          <w:szCs w:val="20"/>
        </w:rPr>
      </w:pPr>
    </w:p>
    <w:p>
      <w:pPr>
        <w:pStyle w:val="Heading2"/>
        <w:spacing w:line="240" w:lineRule="auto"/>
        <w:ind w:right="101"/>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1"/>
        </w:rPr>
        <w:t> </w:t>
      </w:r>
      <w:r>
        <w:rPr/>
        <w:t>薪酬政策</w:t>
      </w:r>
      <w:r>
        <w:rPr>
          <w:b w:val="0"/>
          <w:bCs w:val="0"/>
        </w:rPr>
      </w:r>
    </w:p>
    <w:p>
      <w:pPr>
        <w:pStyle w:val="BodyText"/>
        <w:spacing w:line="237" w:lineRule="auto" w:before="89"/>
        <w:ind w:left="218" w:right="233" w:firstLine="420"/>
        <w:jc w:val="both"/>
      </w:pPr>
      <w:r>
        <w:rPr/>
        <w:t>公司董事、监事、独立董事的薪酬按照《公司董事、监事薪酬及独立董事津贴的 </w:t>
      </w:r>
      <w:r>
        <w:rPr>
          <w:spacing w:val="-2"/>
        </w:rPr>
        <w:t>议案》执行。职工薪酬包括：基本工资、奖金提成、津贴和补贴；医疗保险费、养老</w:t>
      </w:r>
      <w:r>
        <w:rPr>
          <w:spacing w:val="-100"/>
        </w:rPr>
        <w:t> </w:t>
      </w:r>
      <w:r>
        <w:rPr>
          <w:spacing w:val="-100"/>
        </w:rPr>
      </w:r>
      <w:r>
        <w:rPr>
          <w:spacing w:val="-2"/>
        </w:rPr>
        <w:t>保险费、失业保险费、工伤保险费和生育保险费等社会保险费；住房公积金；职工福</w:t>
      </w:r>
      <w:r>
        <w:rPr>
          <w:spacing w:val="-94"/>
        </w:rPr>
        <w:t> </w:t>
      </w:r>
      <w:r>
        <w:rPr>
          <w:spacing w:val="-94"/>
        </w:rPr>
      </w:r>
      <w:r>
        <w:rPr>
          <w:spacing w:val="-2"/>
        </w:rPr>
        <w:t>利费、工会经费和职工教育经费；因解除与职工的劳动关系给予的补偿；其他与获得</w:t>
      </w:r>
      <w:r>
        <w:rPr>
          <w:spacing w:val="-94"/>
        </w:rPr>
        <w:t> </w:t>
      </w:r>
      <w:r>
        <w:rPr>
          <w:spacing w:val="-94"/>
        </w:rPr>
      </w:r>
      <w:r>
        <w:rPr>
          <w:spacing w:val="-2"/>
        </w:rPr>
        <w:t>职工提供的服务相关的支出。职工工资主要由基本工资、浮动绩效工资、销售提成和</w:t>
      </w:r>
      <w:r>
        <w:rPr>
          <w:spacing w:val="-94"/>
        </w:rPr>
        <w:t> </w:t>
      </w:r>
      <w:r>
        <w:rPr>
          <w:spacing w:val="-94"/>
        </w:rPr>
      </w:r>
      <w:r>
        <w:rPr>
          <w:spacing w:val="-2"/>
        </w:rPr>
        <w:t>各项奖金构成。公司执行“绩效付薪”理念，执行全员范围绩效管理。对企业高级管</w:t>
      </w:r>
      <w:r>
        <w:rPr>
          <w:spacing w:val="-96"/>
        </w:rPr>
        <w:t> </w:t>
      </w:r>
      <w:r>
        <w:rPr>
          <w:spacing w:val="-96"/>
        </w:rPr>
      </w:r>
      <w:r>
        <w:rPr>
          <w:spacing w:val="-2"/>
        </w:rPr>
        <w:t>理者和关键、重要岗位人员执行股权激励政策，企业中高层员工执行年薪制并按照绩</w:t>
      </w:r>
      <w:r>
        <w:rPr>
          <w:spacing w:val="-94"/>
        </w:rPr>
        <w:t> </w:t>
      </w:r>
      <w:r>
        <w:rPr>
          <w:spacing w:val="-94"/>
        </w:rPr>
      </w:r>
      <w:r>
        <w:rPr/>
        <w:t>效考核的情况进行浮动绩效工资的发放。销售体系非管理层员工执行底薪提成制。</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31"/>
          <w:szCs w:val="31"/>
        </w:rPr>
      </w:pPr>
    </w:p>
    <w:p>
      <w:pPr>
        <w:spacing w:before="0"/>
        <w:ind w:left="218" w:right="101" w:firstLine="0"/>
        <w:jc w:val="left"/>
        <w:rPr>
          <w:rFonts w:ascii="宋体" w:hAnsi="宋体" w:cs="宋体" w:eastAsia="宋体" w:hint="default"/>
          <w:sz w:val="24"/>
          <w:szCs w:val="24"/>
        </w:rPr>
      </w:pPr>
      <w:r>
        <w:rPr>
          <w:rFonts w:ascii="Calibri" w:hAnsi="Calibri" w:cs="Calibri" w:eastAsia="Calibri" w:hint="default"/>
          <w:b/>
          <w:bCs/>
          <w:sz w:val="21"/>
          <w:szCs w:val="21"/>
        </w:rPr>
        <w:t>(</w:t>
      </w:r>
      <w:r>
        <w:rPr>
          <w:rFonts w:ascii="宋体" w:hAnsi="宋体" w:cs="宋体" w:eastAsia="宋体" w:hint="default"/>
          <w:b/>
          <w:bCs/>
          <w:sz w:val="21"/>
          <w:szCs w:val="21"/>
        </w:rPr>
        <w:t>三</w:t>
      </w:r>
      <w:r>
        <w:rPr>
          <w:rFonts w:ascii="Calibri" w:hAnsi="Calibri" w:cs="Calibri" w:eastAsia="Calibri" w:hint="default"/>
          <w:b/>
          <w:bCs/>
          <w:sz w:val="21"/>
          <w:szCs w:val="21"/>
        </w:rPr>
        <w:t>)</w:t>
      </w:r>
      <w:r>
        <w:rPr>
          <w:rFonts w:ascii="Calibri" w:hAnsi="Calibri" w:cs="Calibri" w:eastAsia="Calibri" w:hint="default"/>
          <w:b/>
          <w:bCs/>
          <w:spacing w:val="34"/>
          <w:sz w:val="21"/>
          <w:szCs w:val="21"/>
        </w:rPr>
        <w:t> </w:t>
      </w:r>
      <w:r>
        <w:rPr>
          <w:rFonts w:ascii="宋体" w:hAnsi="宋体" w:cs="宋体" w:eastAsia="宋体" w:hint="default"/>
          <w:b/>
          <w:bCs/>
          <w:sz w:val="24"/>
          <w:szCs w:val="24"/>
        </w:rPr>
        <w:t>培训计划</w:t>
      </w:r>
      <w:r>
        <w:rPr>
          <w:rFonts w:ascii="宋体" w:hAnsi="宋体" w:cs="宋体" w:eastAsia="宋体" w:hint="default"/>
          <w:sz w:val="24"/>
          <w:szCs w:val="24"/>
        </w:rPr>
      </w:r>
    </w:p>
    <w:p>
      <w:pPr>
        <w:pStyle w:val="BodyText"/>
        <w:spacing w:line="237" w:lineRule="auto" w:before="98"/>
        <w:ind w:left="218" w:right="233" w:firstLine="420"/>
        <w:jc w:val="both"/>
      </w:pPr>
      <w:r>
        <w:rPr/>
        <w:t>为保证公司可持续性发展，实现企业的战略转型，据集团战略发展布局，针对未 </w:t>
      </w:r>
      <w:r>
        <w:rPr>
          <w:spacing w:val="-2"/>
        </w:rPr>
        <w:t>来业务发展中所需的人力资源配置与需求，公司有针对性地制订培训计划，并由人力</w:t>
      </w:r>
      <w:r>
        <w:rPr>
          <w:spacing w:val="-94"/>
        </w:rPr>
        <w:t> </w:t>
      </w:r>
      <w:r>
        <w:rPr>
          <w:spacing w:val="-94"/>
        </w:rPr>
      </w:r>
      <w:r>
        <w:rPr>
          <w:spacing w:val="-8"/>
        </w:rPr>
        <w:t>资源中心牵头组织培训。培训计划，包含入职培训、在岗培训、技能培训、管理培训、</w:t>
      </w:r>
      <w:r>
        <w:rPr>
          <w:spacing w:val="-106"/>
        </w:rPr>
        <w:t> </w:t>
      </w:r>
      <w:r>
        <w:rPr>
          <w:spacing w:val="-106"/>
        </w:rPr>
      </w:r>
      <w:r>
        <w:rPr>
          <w:spacing w:val="-3"/>
        </w:rPr>
        <w:t>财务培训、</w:t>
      </w:r>
      <w:r>
        <w:rPr>
          <w:rFonts w:ascii="宋体" w:hAnsi="宋体" w:cs="宋体" w:eastAsia="宋体" w:hint="default"/>
          <w:spacing w:val="-3"/>
        </w:rPr>
        <w:t>TMBA</w:t>
      </w:r>
      <w:r>
        <w:rPr>
          <w:rFonts w:ascii="宋体" w:hAnsi="宋体" w:cs="宋体" w:eastAsia="宋体" w:hint="default"/>
          <w:spacing w:val="-52"/>
        </w:rPr>
        <w:t> </w:t>
      </w:r>
      <w:r>
        <w:rPr>
          <w:spacing w:val="-3"/>
        </w:rPr>
        <w:t>培训、重大自主产品培训等。根据各类管理人员、技术人员和销售人</w:t>
      </w:r>
      <w:r>
        <w:rPr/>
        <w:t> </w:t>
      </w:r>
      <w:r>
        <w:rPr>
          <w:spacing w:val="-2"/>
        </w:rPr>
        <w:t>员的特点，采取内训与外训相结合的形式，并对培训结果进行评估和跟踪，进一步推</w:t>
      </w:r>
      <w:r>
        <w:rPr>
          <w:spacing w:val="-94"/>
        </w:rPr>
        <w:t> </w:t>
      </w:r>
      <w:r>
        <w:rPr>
          <w:spacing w:val="-94"/>
        </w:rPr>
      </w:r>
      <w:r>
        <w:rPr>
          <w:spacing w:val="-2"/>
        </w:rPr>
        <w:t>进培训成果的转化。与此同时，公司积极创新培训模式，将外训成果成功转为内训成</w:t>
      </w:r>
    </w:p>
    <w:p>
      <w:pPr>
        <w:spacing w:after="0" w:line="237" w:lineRule="auto"/>
        <w:jc w:val="both"/>
        <w:sectPr>
          <w:headerReference w:type="default" r:id="rId24"/>
          <w:footerReference w:type="default" r:id="rId25"/>
          <w:pgSz w:w="11910" w:h="16840"/>
          <w:pgMar w:header="882" w:footer="1194" w:top="1100" w:bottom="1380" w:left="1580" w:right="1040"/>
          <w:pgNumType w:start="61"/>
        </w:sectPr>
      </w:pPr>
    </w:p>
    <w:p>
      <w:pPr>
        <w:spacing w:line="240" w:lineRule="auto" w:before="10"/>
        <w:rPr>
          <w:rFonts w:ascii="宋体" w:hAnsi="宋体" w:cs="宋体" w:eastAsia="宋体" w:hint="default"/>
          <w:sz w:val="25"/>
          <w:szCs w:val="25"/>
        </w:rPr>
      </w:pPr>
    </w:p>
    <w:p>
      <w:pPr>
        <w:pStyle w:val="BodyText"/>
        <w:spacing w:line="310" w:lineRule="exact" w:before="58"/>
        <w:ind w:left="218" w:right="101"/>
        <w:jc w:val="left"/>
      </w:pPr>
      <w:r>
        <w:rPr>
          <w:spacing w:val="-2"/>
        </w:rPr>
        <w:t>果，扩大培训覆盖面，提高员工素质，为公司业务发展、经营目标的实现提供了有力</w:t>
      </w:r>
      <w:r>
        <w:rPr>
          <w:spacing w:val="-94"/>
        </w:rPr>
        <w:t> </w:t>
      </w:r>
      <w:r>
        <w:rPr>
          <w:spacing w:val="-94"/>
        </w:rPr>
      </w:r>
      <w:r>
        <w:rPr/>
        <w:t>的人才保障。</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9"/>
          <w:szCs w:val="29"/>
        </w:rPr>
      </w:pPr>
    </w:p>
    <w:p>
      <w:pPr>
        <w:spacing w:before="0"/>
        <w:ind w:left="218" w:right="101" w:firstLine="0"/>
        <w:jc w:val="left"/>
        <w:rPr>
          <w:rFonts w:ascii="宋体" w:hAnsi="宋体" w:cs="宋体" w:eastAsia="宋体" w:hint="default"/>
          <w:sz w:val="24"/>
          <w:szCs w:val="24"/>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28"/>
          <w:sz w:val="21"/>
          <w:szCs w:val="21"/>
        </w:rPr>
        <w:t> </w:t>
      </w:r>
      <w:r>
        <w:rPr>
          <w:rFonts w:ascii="宋体" w:hAnsi="宋体" w:cs="宋体" w:eastAsia="宋体" w:hint="default"/>
          <w:b/>
          <w:bCs/>
          <w:sz w:val="24"/>
          <w:szCs w:val="24"/>
        </w:rPr>
        <w:t>专业构成统计图</w:t>
      </w:r>
      <w:r>
        <w:rPr>
          <w:rFonts w:ascii="宋体" w:hAnsi="宋体" w:cs="宋体" w:eastAsia="宋体" w:hint="default"/>
          <w:sz w:val="24"/>
          <w:szCs w:val="24"/>
        </w:rPr>
      </w:r>
    </w:p>
    <w:p>
      <w:pPr>
        <w:spacing w:line="240" w:lineRule="auto" w:before="9"/>
        <w:rPr>
          <w:rFonts w:ascii="宋体" w:hAnsi="宋体" w:cs="宋体" w:eastAsia="宋体" w:hint="default"/>
          <w:b/>
          <w:bCs/>
          <w:sz w:val="5"/>
          <w:szCs w:val="5"/>
        </w:rPr>
      </w:pPr>
    </w:p>
    <w:p>
      <w:pPr>
        <w:spacing w:line="3765" w:lineRule="exact"/>
        <w:ind w:left="247" w:right="0" w:firstLine="0"/>
        <w:rPr>
          <w:rFonts w:ascii="宋体" w:hAnsi="宋体" w:cs="宋体" w:eastAsia="宋体" w:hint="default"/>
          <w:sz w:val="20"/>
          <w:szCs w:val="20"/>
        </w:rPr>
      </w:pPr>
      <w:r>
        <w:rPr>
          <w:rFonts w:ascii="宋体" w:hAnsi="宋体" w:cs="宋体" w:eastAsia="宋体" w:hint="default"/>
          <w:position w:val="-74"/>
          <w:sz w:val="20"/>
          <w:szCs w:val="20"/>
        </w:rPr>
        <w:drawing>
          <wp:inline distT="0" distB="0" distL="0" distR="0">
            <wp:extent cx="4083386" cy="239115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26" cstate="print"/>
                    <a:stretch>
                      <a:fillRect/>
                    </a:stretch>
                  </pic:blipFill>
                  <pic:spPr>
                    <a:xfrm>
                      <a:off x="0" y="0"/>
                      <a:ext cx="4083386" cy="2391155"/>
                    </a:xfrm>
                    <a:prstGeom prst="rect">
                      <a:avLst/>
                    </a:prstGeom>
                  </pic:spPr>
                </pic:pic>
              </a:graphicData>
            </a:graphic>
          </wp:inline>
        </w:drawing>
      </w:r>
      <w:r>
        <w:rPr>
          <w:rFonts w:ascii="宋体" w:hAnsi="宋体" w:cs="宋体" w:eastAsia="宋体" w:hint="default"/>
          <w:position w:val="-74"/>
          <w:sz w:val="20"/>
          <w:szCs w:val="20"/>
        </w:rPr>
      </w:r>
    </w:p>
    <w:p>
      <w:pPr>
        <w:spacing w:line="240" w:lineRule="auto" w:before="0"/>
        <w:rPr>
          <w:rFonts w:ascii="宋体" w:hAnsi="宋体" w:cs="宋体" w:eastAsia="宋体" w:hint="default"/>
          <w:b/>
          <w:bCs/>
          <w:sz w:val="20"/>
          <w:szCs w:val="20"/>
        </w:rPr>
      </w:pPr>
    </w:p>
    <w:p>
      <w:pPr>
        <w:spacing w:before="0"/>
        <w:ind w:left="218" w:right="101" w:firstLine="0"/>
        <w:jc w:val="left"/>
        <w:rPr>
          <w:rFonts w:ascii="宋体" w:hAnsi="宋体" w:cs="宋体" w:eastAsia="宋体" w:hint="default"/>
          <w:sz w:val="24"/>
          <w:szCs w:val="24"/>
        </w:rPr>
      </w:pPr>
      <w:r>
        <w:rPr>
          <w:rFonts w:ascii="Calibri" w:hAnsi="Calibri" w:cs="Calibri" w:eastAsia="Calibri" w:hint="default"/>
          <w:b/>
          <w:bCs/>
          <w:sz w:val="21"/>
          <w:szCs w:val="21"/>
        </w:rPr>
        <w:t>(</w:t>
      </w:r>
      <w:r>
        <w:rPr>
          <w:rFonts w:ascii="宋体" w:hAnsi="宋体" w:cs="宋体" w:eastAsia="宋体" w:hint="default"/>
          <w:b/>
          <w:bCs/>
          <w:sz w:val="21"/>
          <w:szCs w:val="21"/>
        </w:rPr>
        <w:t>五</w:t>
      </w:r>
      <w:r>
        <w:rPr>
          <w:rFonts w:ascii="Calibri" w:hAnsi="Calibri" w:cs="Calibri" w:eastAsia="Calibri" w:hint="default"/>
          <w:b/>
          <w:bCs/>
          <w:sz w:val="21"/>
          <w:szCs w:val="21"/>
        </w:rPr>
        <w:t>)</w:t>
      </w:r>
      <w:r>
        <w:rPr>
          <w:rFonts w:ascii="Calibri" w:hAnsi="Calibri" w:cs="Calibri" w:eastAsia="Calibri" w:hint="default"/>
          <w:b/>
          <w:bCs/>
          <w:spacing w:val="28"/>
          <w:sz w:val="21"/>
          <w:szCs w:val="21"/>
        </w:rPr>
        <w:t> </w:t>
      </w:r>
      <w:r>
        <w:rPr>
          <w:rFonts w:ascii="宋体" w:hAnsi="宋体" w:cs="宋体" w:eastAsia="宋体" w:hint="default"/>
          <w:b/>
          <w:bCs/>
          <w:sz w:val="24"/>
          <w:szCs w:val="24"/>
        </w:rPr>
        <w:t>教育程度统计图</w:t>
      </w:r>
      <w:r>
        <w:rPr>
          <w:rFonts w:ascii="宋体" w:hAnsi="宋体" w:cs="宋体" w:eastAsia="宋体" w:hint="default"/>
          <w:sz w:val="24"/>
          <w:szCs w:val="24"/>
        </w:rPr>
      </w:r>
    </w:p>
    <w:p>
      <w:pPr>
        <w:spacing w:line="240" w:lineRule="auto" w:before="9"/>
        <w:rPr>
          <w:rFonts w:ascii="宋体" w:hAnsi="宋体" w:cs="宋体" w:eastAsia="宋体" w:hint="default"/>
          <w:b/>
          <w:bCs/>
          <w:sz w:val="5"/>
          <w:szCs w:val="5"/>
        </w:rPr>
      </w:pPr>
    </w:p>
    <w:p>
      <w:pPr>
        <w:spacing w:line="3687" w:lineRule="exact"/>
        <w:ind w:left="247" w:right="0" w:firstLine="0"/>
        <w:rPr>
          <w:rFonts w:ascii="宋体" w:hAnsi="宋体" w:cs="宋体" w:eastAsia="宋体" w:hint="default"/>
          <w:sz w:val="20"/>
          <w:szCs w:val="20"/>
        </w:rPr>
      </w:pPr>
      <w:r>
        <w:rPr>
          <w:rFonts w:ascii="宋体" w:hAnsi="宋体" w:cs="宋体" w:eastAsia="宋体" w:hint="default"/>
          <w:position w:val="-73"/>
          <w:sz w:val="20"/>
          <w:szCs w:val="20"/>
        </w:rPr>
        <w:drawing>
          <wp:inline distT="0" distB="0" distL="0" distR="0">
            <wp:extent cx="3998765" cy="234134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7" cstate="print"/>
                    <a:stretch>
                      <a:fillRect/>
                    </a:stretch>
                  </pic:blipFill>
                  <pic:spPr>
                    <a:xfrm>
                      <a:off x="0" y="0"/>
                      <a:ext cx="3998765" cy="2341340"/>
                    </a:xfrm>
                    <a:prstGeom prst="rect">
                      <a:avLst/>
                    </a:prstGeom>
                  </pic:spPr>
                </pic:pic>
              </a:graphicData>
            </a:graphic>
          </wp:inline>
        </w:drawing>
      </w:r>
      <w:r>
        <w:rPr>
          <w:rFonts w:ascii="宋体" w:hAnsi="宋体" w:cs="宋体" w:eastAsia="宋体" w:hint="default"/>
          <w:position w:val="-73"/>
          <w:sz w:val="20"/>
          <w:szCs w:val="20"/>
        </w:rPr>
      </w:r>
    </w:p>
    <w:p>
      <w:pPr>
        <w:spacing w:line="240" w:lineRule="auto" w:before="3"/>
        <w:rPr>
          <w:rFonts w:ascii="宋体" w:hAnsi="宋体" w:cs="宋体" w:eastAsia="宋体" w:hint="default"/>
          <w:b/>
          <w:bCs/>
          <w:sz w:val="20"/>
          <w:szCs w:val="20"/>
        </w:rPr>
      </w:pPr>
    </w:p>
    <w:p>
      <w:pPr>
        <w:spacing w:before="0"/>
        <w:ind w:left="218" w:right="101" w:firstLine="0"/>
        <w:jc w:val="left"/>
        <w:rPr>
          <w:rFonts w:ascii="宋体" w:hAnsi="宋体" w:cs="宋体" w:eastAsia="宋体" w:hint="default"/>
          <w:sz w:val="24"/>
          <w:szCs w:val="24"/>
        </w:rPr>
      </w:pPr>
      <w:r>
        <w:rPr>
          <w:rFonts w:ascii="Calibri" w:hAnsi="Calibri" w:cs="Calibri" w:eastAsia="Calibri" w:hint="default"/>
          <w:b/>
          <w:bCs/>
          <w:sz w:val="21"/>
          <w:szCs w:val="21"/>
        </w:rPr>
        <w:t>(</w:t>
      </w:r>
      <w:r>
        <w:rPr>
          <w:rFonts w:ascii="宋体" w:hAnsi="宋体" w:cs="宋体" w:eastAsia="宋体" w:hint="default"/>
          <w:b/>
          <w:bCs/>
          <w:sz w:val="21"/>
          <w:szCs w:val="21"/>
        </w:rPr>
        <w:t>六</w:t>
      </w:r>
      <w:r>
        <w:rPr>
          <w:rFonts w:ascii="Calibri" w:hAnsi="Calibri" w:cs="Calibri" w:eastAsia="Calibri" w:hint="default"/>
          <w:b/>
          <w:bCs/>
          <w:sz w:val="21"/>
          <w:szCs w:val="21"/>
        </w:rPr>
        <w:t>)</w:t>
      </w:r>
      <w:r>
        <w:rPr>
          <w:rFonts w:ascii="Calibri" w:hAnsi="Calibri" w:cs="Calibri" w:eastAsia="Calibri" w:hint="default"/>
          <w:b/>
          <w:bCs/>
          <w:spacing w:val="29"/>
          <w:sz w:val="21"/>
          <w:szCs w:val="21"/>
        </w:rPr>
        <w:t> </w:t>
      </w:r>
      <w:r>
        <w:rPr>
          <w:rFonts w:ascii="宋体" w:hAnsi="宋体" w:cs="宋体" w:eastAsia="宋体" w:hint="default"/>
          <w:b/>
          <w:bCs/>
          <w:sz w:val="24"/>
          <w:szCs w:val="24"/>
        </w:rPr>
        <w:t>劳务外包情况</w:t>
      </w:r>
      <w:r>
        <w:rPr>
          <w:rFonts w:ascii="宋体" w:hAnsi="宋体" w:cs="宋体" w:eastAsia="宋体" w:hint="default"/>
          <w:sz w:val="24"/>
          <w:szCs w:val="24"/>
        </w:rPr>
      </w:r>
    </w:p>
    <w:p>
      <w:pPr>
        <w:spacing w:line="240" w:lineRule="auto" w:before="9"/>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60,000</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1,788,768.19</w:t>
            </w:r>
            <w:r>
              <w:rPr>
                <w:rFonts w:ascii="宋体" w:hAnsi="宋体" w:cs="宋体" w:eastAsia="宋体" w:hint="default"/>
                <w:spacing w:val="-53"/>
                <w:sz w:val="21"/>
                <w:szCs w:val="21"/>
              </w:rPr>
              <w:t> </w:t>
            </w:r>
            <w:r>
              <w:rPr>
                <w:rFonts w:ascii="宋体" w:hAnsi="宋体" w:cs="宋体" w:eastAsia="宋体" w:hint="default"/>
                <w:sz w:val="21"/>
                <w:szCs w:val="21"/>
              </w:rPr>
              <w:t>元</w:t>
            </w:r>
          </w:p>
        </w:tc>
      </w:tr>
    </w:tbl>
    <w:p>
      <w:pPr>
        <w:spacing w:after="0" w:line="240" w:lineRule="exact"/>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6"/>
          <w:szCs w:val="26"/>
        </w:rPr>
      </w:pPr>
    </w:p>
    <w:p>
      <w:pPr>
        <w:pStyle w:val="Heading1"/>
        <w:tabs>
          <w:tab w:pos="1259" w:val="left" w:leader="none"/>
        </w:tabs>
        <w:spacing w:line="240" w:lineRule="auto"/>
        <w:ind w:right="95"/>
        <w:jc w:val="center"/>
        <w:rPr>
          <w:rFonts w:ascii="黑体" w:hAnsi="黑体" w:cs="黑体" w:eastAsia="黑体" w:hint="default"/>
          <w:b w:val="0"/>
          <w:bCs w:val="0"/>
        </w:rPr>
      </w:pPr>
      <w:bookmarkStart w:name="_TOC_250003" w:id="8"/>
      <w:r>
        <w:rPr>
          <w:rFonts w:ascii="黑体" w:hAnsi="黑体" w:cs="黑体" w:eastAsia="黑体" w:hint="default"/>
          <w:w w:val="95"/>
        </w:rPr>
        <w:t>第八节</w:t>
        <w:tab/>
      </w:r>
      <w:r>
        <w:rPr>
          <w:rFonts w:ascii="黑体" w:hAnsi="黑体" w:cs="黑体" w:eastAsia="黑体" w:hint="default"/>
        </w:rPr>
        <w:t>公司治理</w:t>
      </w:r>
      <w:bookmarkEnd w:id="8"/>
      <w:r>
        <w:rPr>
          <w:rFonts w:ascii="黑体" w:hAnsi="黑体" w:cs="黑体" w:eastAsia="黑体" w:hint="default"/>
          <w:b w:val="0"/>
          <w:bCs w:val="0"/>
        </w:rPr>
      </w:r>
    </w:p>
    <w:p>
      <w:pPr>
        <w:pStyle w:val="Heading2"/>
        <w:tabs>
          <w:tab w:pos="977" w:val="left" w:leader="none"/>
        </w:tabs>
        <w:spacing w:line="240" w:lineRule="auto" w:before="245"/>
        <w:ind w:left="138" w:right="0"/>
        <w:jc w:val="left"/>
        <w:rPr>
          <w:b w:val="0"/>
          <w:bCs w:val="0"/>
        </w:rPr>
      </w:pPr>
      <w:r>
        <w:rPr>
          <w:w w:val="95"/>
        </w:rPr>
        <w:t>一、</w:t>
        <w:tab/>
      </w:r>
      <w:r>
        <w:rPr/>
        <w:t>公司治理及内幕知情人登记管理等相关情况说明</w:t>
      </w:r>
      <w:r>
        <w:rPr>
          <w:b w:val="0"/>
          <w:bCs w:val="0"/>
        </w:rPr>
      </w:r>
    </w:p>
    <w:p>
      <w:pPr>
        <w:pStyle w:val="BodyText"/>
        <w:spacing w:line="328" w:lineRule="auto" w:before="117"/>
        <w:ind w:left="618" w:right="0" w:hanging="480"/>
        <w:jc w:val="left"/>
      </w:pPr>
      <w:r>
        <w:rPr/>
        <w:t>（一）公司治理情况 </w:t>
      </w:r>
      <w:r>
        <w:rPr>
          <w:spacing w:val="-2"/>
        </w:rPr>
        <w:t>本报告期内，公司严格按照《公司法》、《证券法》等相关法律法规以及中国证</w:t>
      </w:r>
    </w:p>
    <w:p>
      <w:pPr>
        <w:pStyle w:val="BodyText"/>
        <w:spacing w:line="222" w:lineRule="exact"/>
        <w:ind w:right="0"/>
        <w:jc w:val="left"/>
      </w:pPr>
      <w:r>
        <w:rPr/>
        <w:t>监会、上海证券交易所的有关规章、制度以及相关规范治理文件等要求，不断完善、</w:t>
      </w:r>
    </w:p>
    <w:p>
      <w:pPr>
        <w:pStyle w:val="BodyText"/>
        <w:spacing w:line="312" w:lineRule="exact" w:before="29"/>
        <w:ind w:right="0"/>
        <w:jc w:val="left"/>
      </w:pPr>
      <w:r>
        <w:rPr>
          <w:spacing w:val="-2"/>
        </w:rPr>
        <w:t>规范公司治理。目前公司法人治理结构的实际情况符合现代企业制度和《上市公司治</w:t>
      </w:r>
      <w:r>
        <w:rPr>
          <w:spacing w:val="-94"/>
        </w:rPr>
        <w:t> </w:t>
      </w:r>
      <w:r>
        <w:rPr>
          <w:spacing w:val="-94"/>
        </w:rPr>
      </w:r>
      <w:r>
        <w:rPr/>
        <w:t>理准则》的要求，具体内容如下：</w:t>
      </w:r>
    </w:p>
    <w:p>
      <w:pPr>
        <w:pStyle w:val="BodyText"/>
        <w:spacing w:line="328" w:lineRule="auto" w:before="88"/>
        <w:ind w:left="618" w:right="216" w:hanging="480"/>
        <w:jc w:val="left"/>
      </w:pPr>
      <w:r>
        <w:rPr/>
        <w:t>（</w:t>
      </w:r>
      <w:r>
        <w:rPr>
          <w:rFonts w:ascii="宋体" w:hAnsi="宋体" w:cs="宋体" w:eastAsia="宋体" w:hint="default"/>
        </w:rPr>
        <w:t>1</w:t>
      </w:r>
      <w:r>
        <w:rPr/>
        <w:t>） 关于股东与股东大会 </w:t>
      </w:r>
      <w:r>
        <w:rPr>
          <w:spacing w:val="-8"/>
        </w:rPr>
        <w:t>报告期内，公司召开了一次年度股东大会，两次临时股东大会。公司严格按照《公</w:t>
      </w:r>
    </w:p>
    <w:p>
      <w:pPr>
        <w:pStyle w:val="BodyText"/>
        <w:spacing w:line="222" w:lineRule="exact"/>
        <w:ind w:right="0"/>
        <w:jc w:val="left"/>
      </w:pPr>
      <w:r>
        <w:rPr/>
        <w:t>司章程》、《股东大会议事规则》等有关要求，规范股东大会的召集、召开和议事程</w:t>
      </w:r>
    </w:p>
    <w:p>
      <w:pPr>
        <w:pStyle w:val="BodyText"/>
        <w:spacing w:line="237" w:lineRule="auto" w:before="1"/>
        <w:ind w:right="233"/>
        <w:jc w:val="both"/>
      </w:pPr>
      <w:r>
        <w:rPr>
          <w:spacing w:val="-2"/>
        </w:rPr>
        <w:t>序，确保所有股东，特别是中小股东享有平等地位和行使自己的权利，保证全体股东</w:t>
      </w:r>
      <w:r>
        <w:rPr>
          <w:spacing w:val="-94"/>
        </w:rPr>
        <w:t> </w:t>
      </w:r>
      <w:r>
        <w:rPr>
          <w:spacing w:val="-94"/>
        </w:rPr>
      </w:r>
      <w:r>
        <w:rPr>
          <w:spacing w:val="-2"/>
        </w:rPr>
        <w:t>的信息对称。报告期内，公司三次股东大会的召集、召开符合《上市公司股东大会规</w:t>
      </w:r>
      <w:r>
        <w:rPr>
          <w:spacing w:val="-94"/>
        </w:rPr>
        <w:t> </w:t>
      </w:r>
      <w:r>
        <w:rPr>
          <w:spacing w:val="-94"/>
        </w:rPr>
      </w:r>
      <w:r>
        <w:rPr>
          <w:spacing w:val="-2"/>
        </w:rPr>
        <w:t>范意见》、《公司章程》和《股东大会议事规则》的规定，并有律师现场见证，表决</w:t>
      </w:r>
      <w:r>
        <w:rPr>
          <w:spacing w:val="-94"/>
        </w:rPr>
        <w:t> </w:t>
      </w:r>
      <w:r>
        <w:rPr>
          <w:spacing w:val="-94"/>
        </w:rPr>
      </w:r>
      <w:r>
        <w:rPr/>
        <w:t>程序合法、有效。</w:t>
      </w:r>
    </w:p>
    <w:p>
      <w:pPr>
        <w:pStyle w:val="BodyText"/>
        <w:spacing w:line="240" w:lineRule="auto" w:before="118"/>
        <w:ind w:right="0"/>
        <w:jc w:val="left"/>
      </w:pPr>
      <w:r>
        <w:rPr/>
        <w:t>（</w:t>
      </w:r>
      <w:r>
        <w:rPr>
          <w:rFonts w:ascii="宋体" w:hAnsi="宋体" w:cs="宋体" w:eastAsia="宋体" w:hint="default"/>
        </w:rPr>
        <w:t>2</w:t>
      </w:r>
      <w:r>
        <w:rPr/>
        <w:t>）关于董事与董事会</w:t>
      </w:r>
    </w:p>
    <w:p>
      <w:pPr>
        <w:pStyle w:val="BodyText"/>
        <w:spacing w:line="237" w:lineRule="auto" w:before="119"/>
        <w:ind w:right="232" w:firstLine="480"/>
        <w:jc w:val="both"/>
      </w:pPr>
      <w:r>
        <w:rPr/>
        <w:t>公司共有</w:t>
      </w:r>
      <w:r>
        <w:rPr>
          <w:spacing w:val="-72"/>
        </w:rPr>
        <w:t> </w:t>
      </w:r>
      <w:r>
        <w:rPr>
          <w:rFonts w:ascii="宋体" w:hAnsi="宋体" w:cs="宋体" w:eastAsia="宋体" w:hint="default"/>
        </w:rPr>
        <w:t>9</w:t>
      </w:r>
      <w:r>
        <w:rPr>
          <w:rFonts w:ascii="宋体" w:hAnsi="宋体" w:cs="宋体" w:eastAsia="宋体" w:hint="default"/>
          <w:spacing w:val="-72"/>
        </w:rPr>
        <w:t> </w:t>
      </w:r>
      <w:r>
        <w:rPr/>
        <w:t>名董事，其中独立董事</w:t>
      </w:r>
      <w:r>
        <w:rPr>
          <w:spacing w:val="-72"/>
        </w:rPr>
        <w:t> </w:t>
      </w:r>
      <w:r>
        <w:rPr>
          <w:rFonts w:ascii="宋体" w:hAnsi="宋体" w:cs="宋体" w:eastAsia="宋体" w:hint="default"/>
        </w:rPr>
        <w:t>3</w:t>
      </w:r>
      <w:r>
        <w:rPr>
          <w:rFonts w:ascii="宋体" w:hAnsi="宋体" w:cs="宋体" w:eastAsia="宋体" w:hint="default"/>
          <w:spacing w:val="-72"/>
        </w:rPr>
        <w:t> </w:t>
      </w:r>
      <w:r>
        <w:rPr/>
        <w:t>名。公司董事人数、人员构成及选聘程序符 </w:t>
      </w:r>
      <w:r>
        <w:rPr>
          <w:spacing w:val="-2"/>
        </w:rPr>
        <w:t>合法律、法规要求。各位董事均能够忠实勤勉地履行其权利、义务，按要求出席董事</w:t>
      </w:r>
      <w:r>
        <w:rPr>
          <w:spacing w:val="-94"/>
        </w:rPr>
        <w:t> </w:t>
      </w:r>
      <w:r>
        <w:rPr>
          <w:spacing w:val="-94"/>
        </w:rPr>
      </w:r>
      <w:r>
        <w:rPr>
          <w:spacing w:val="-2"/>
        </w:rPr>
        <w:t>会和列席股东大会；在董事会会议投票表决重大事项或其他对公司有重大影响的事项</w:t>
      </w:r>
      <w:r>
        <w:rPr>
          <w:spacing w:val="-93"/>
        </w:rPr>
        <w:t> </w:t>
      </w:r>
      <w:r>
        <w:rPr>
          <w:spacing w:val="-93"/>
        </w:rPr>
      </w:r>
      <w:r>
        <w:rPr>
          <w:spacing w:val="-2"/>
        </w:rPr>
        <w:t>时，均能严格遵循公司《董事会议事规则》的有关规定，审慎决策，切实保护公司和</w:t>
      </w:r>
      <w:r>
        <w:rPr>
          <w:spacing w:val="-96"/>
        </w:rPr>
        <w:t> </w:t>
      </w:r>
      <w:r>
        <w:rPr>
          <w:spacing w:val="-96"/>
        </w:rPr>
      </w:r>
      <w:r>
        <w:rPr>
          <w:spacing w:val="-2"/>
        </w:rPr>
        <w:t>投资者利益；熟悉相关法律法规，深入了解作为董事的权利和责任，更好地履行相应</w:t>
      </w:r>
    </w:p>
    <w:p>
      <w:pPr>
        <w:pStyle w:val="BodyText"/>
        <w:spacing w:line="310" w:lineRule="exact" w:before="30"/>
        <w:ind w:right="0"/>
        <w:jc w:val="left"/>
      </w:pPr>
      <w:r>
        <w:rPr/>
        <w:t>的权利和义务。公司董事均积极主动地及时了解掌握公司的经营情况和相关的宏观、</w:t>
      </w:r>
      <w:r>
        <w:rPr>
          <w:spacing w:val="-62"/>
        </w:rPr>
        <w:t> </w:t>
      </w:r>
      <w:r>
        <w:rPr>
          <w:spacing w:val="-62"/>
        </w:rPr>
      </w:r>
      <w:r>
        <w:rPr/>
        <w:t>行业信息，并听取经营管理层工作汇报。</w:t>
      </w:r>
    </w:p>
    <w:p>
      <w:pPr>
        <w:pStyle w:val="BodyText"/>
        <w:spacing w:line="310" w:lineRule="exact" w:before="122"/>
        <w:ind w:right="0" w:firstLine="480"/>
        <w:jc w:val="left"/>
      </w:pPr>
      <w:r>
        <w:rPr/>
        <w:t>报告期内，公司共召开了 </w:t>
      </w:r>
      <w:r>
        <w:rPr>
          <w:rFonts w:ascii="宋体" w:hAnsi="宋体" w:cs="宋体" w:eastAsia="宋体" w:hint="default"/>
        </w:rPr>
        <w:t>7</w:t>
      </w:r>
      <w:r>
        <w:rPr>
          <w:rFonts w:ascii="宋体" w:hAnsi="宋体" w:cs="宋体" w:eastAsia="宋体" w:hint="default"/>
          <w:spacing w:val="-66"/>
        </w:rPr>
        <w:t> </w:t>
      </w:r>
      <w:r>
        <w:rPr/>
        <w:t>次董事会会议。董事会会议严格按照规定议程进行，</w:t>
      </w:r>
      <w:r>
        <w:rPr>
          <w:spacing w:val="2"/>
        </w:rPr>
        <w:t> </w:t>
      </w:r>
      <w:r>
        <w:rPr/>
        <w:t>并有完整的会议记录。</w:t>
      </w:r>
    </w:p>
    <w:p>
      <w:pPr>
        <w:pStyle w:val="BodyText"/>
        <w:spacing w:line="312" w:lineRule="exact" w:before="119"/>
        <w:ind w:right="0" w:firstLine="480"/>
        <w:jc w:val="left"/>
      </w:pPr>
      <w:r>
        <w:rPr/>
        <w:t>公司董事会下设了审计委员会、薪酬与考核委员会、提名委员会、战略委员会，</w:t>
      </w:r>
      <w:r>
        <w:rPr>
          <w:spacing w:val="2"/>
        </w:rPr>
        <w:t> </w:t>
      </w:r>
      <w:r>
        <w:rPr/>
        <w:t>确保董事会高效运作和科学决策。</w:t>
      </w:r>
    </w:p>
    <w:p>
      <w:pPr>
        <w:pStyle w:val="BodyText"/>
        <w:spacing w:line="240" w:lineRule="auto" w:before="88"/>
        <w:ind w:right="0"/>
        <w:jc w:val="left"/>
      </w:pPr>
      <w:r>
        <w:rPr/>
        <w:t>（</w:t>
      </w:r>
      <w:r>
        <w:rPr>
          <w:rFonts w:ascii="宋体" w:hAnsi="宋体" w:cs="宋体" w:eastAsia="宋体" w:hint="default"/>
        </w:rPr>
        <w:t>3</w:t>
      </w:r>
      <w:r>
        <w:rPr/>
        <w:t>）关于监事与监事会</w:t>
      </w:r>
    </w:p>
    <w:p>
      <w:pPr>
        <w:pStyle w:val="BodyText"/>
        <w:spacing w:line="237" w:lineRule="auto" w:before="119"/>
        <w:ind w:right="235" w:firstLine="480"/>
        <w:jc w:val="both"/>
      </w:pPr>
      <w:r>
        <w:rPr/>
        <w:t>公司共有</w:t>
      </w:r>
      <w:r>
        <w:rPr>
          <w:spacing w:val="-72"/>
        </w:rPr>
        <w:t> </w:t>
      </w:r>
      <w:r>
        <w:rPr>
          <w:rFonts w:ascii="宋体" w:hAnsi="宋体" w:cs="宋体" w:eastAsia="宋体" w:hint="default"/>
        </w:rPr>
        <w:t>3</w:t>
      </w:r>
      <w:r>
        <w:rPr>
          <w:rFonts w:ascii="宋体" w:hAnsi="宋体" w:cs="宋体" w:eastAsia="宋体" w:hint="default"/>
          <w:spacing w:val="-72"/>
        </w:rPr>
        <w:t> </w:t>
      </w:r>
      <w:r>
        <w:rPr/>
        <w:t>名监事，其中职工代表监事</w:t>
      </w:r>
      <w:r>
        <w:rPr>
          <w:spacing w:val="-72"/>
        </w:rPr>
        <w:t> </w:t>
      </w:r>
      <w:r>
        <w:rPr>
          <w:rFonts w:ascii="宋体" w:hAnsi="宋体" w:cs="宋体" w:eastAsia="宋体" w:hint="default"/>
        </w:rPr>
        <w:t>2</w:t>
      </w:r>
      <w:r>
        <w:rPr>
          <w:rFonts w:ascii="宋体" w:hAnsi="宋体" w:cs="宋体" w:eastAsia="宋体" w:hint="default"/>
          <w:spacing w:val="-72"/>
        </w:rPr>
        <w:t> </w:t>
      </w:r>
      <w:r>
        <w:rPr/>
        <w:t>名。监事人数和人员构成符合法律法规 </w:t>
      </w:r>
      <w:r>
        <w:rPr>
          <w:spacing w:val="-2"/>
        </w:rPr>
        <w:t>的要求；公司监事能够本着对股东负责的态度，认真履行其职责，对公司财务，对董</w:t>
      </w:r>
      <w:r>
        <w:rPr>
          <w:spacing w:val="-94"/>
        </w:rPr>
        <w:t> </w:t>
      </w:r>
      <w:r>
        <w:rPr>
          <w:spacing w:val="-94"/>
        </w:rPr>
      </w:r>
      <w:r>
        <w:rPr>
          <w:spacing w:val="-2"/>
        </w:rPr>
        <w:t>事、总裁和其他高级管理人员履行职责之合法性、合规性，进行监督。监事会会议符</w:t>
      </w:r>
      <w:r>
        <w:rPr>
          <w:spacing w:val="-94"/>
        </w:rPr>
        <w:t> </w:t>
      </w:r>
      <w:r>
        <w:rPr>
          <w:spacing w:val="-94"/>
        </w:rPr>
      </w:r>
      <w:r>
        <w:rPr/>
        <w:t>合相关规定，有完整、真实的会议记录。</w:t>
      </w:r>
    </w:p>
    <w:p>
      <w:pPr>
        <w:pStyle w:val="BodyText"/>
        <w:spacing w:line="328" w:lineRule="auto" w:before="117"/>
        <w:ind w:left="618" w:right="108" w:hanging="480"/>
        <w:jc w:val="left"/>
      </w:pPr>
      <w:r>
        <w:rPr/>
        <w:t>（</w:t>
      </w:r>
      <w:r>
        <w:rPr>
          <w:rFonts w:ascii="宋体" w:hAnsi="宋体" w:cs="宋体" w:eastAsia="宋体" w:hint="default"/>
        </w:rPr>
        <w:t>4</w:t>
      </w:r>
      <w:r>
        <w:rPr/>
        <w:t>）关于董事会与经营管理层 本报告期内，董事会对经营管理层授权明确、管理有效。 </w:t>
      </w:r>
      <w:r>
        <w:rPr>
          <w:spacing w:val="-5"/>
        </w:rPr>
        <w:t>公司经营管理层在《公司章程》及董事会规定的授权范围内实施公司经营和管理，</w:t>
      </w:r>
    </w:p>
    <w:p>
      <w:pPr>
        <w:pStyle w:val="BodyText"/>
        <w:spacing w:line="222" w:lineRule="exact"/>
        <w:ind w:right="0"/>
        <w:jc w:val="left"/>
      </w:pPr>
      <w:r>
        <w:rPr/>
        <w:t>推动了公司各项业务的快速发展。</w:t>
      </w:r>
    </w:p>
    <w:p>
      <w:pPr>
        <w:pStyle w:val="BodyText"/>
        <w:spacing w:line="240" w:lineRule="auto" w:before="116"/>
        <w:ind w:right="0"/>
        <w:jc w:val="left"/>
      </w:pPr>
      <w:r>
        <w:rPr/>
        <w:t>（</w:t>
      </w:r>
      <w:r>
        <w:rPr>
          <w:rFonts w:ascii="宋体" w:hAnsi="宋体" w:cs="宋体" w:eastAsia="宋体" w:hint="default"/>
        </w:rPr>
        <w:t>5</w:t>
      </w:r>
      <w:r>
        <w:rPr/>
        <w:t>）关于绩效评价和激励约束机制</w:t>
      </w:r>
    </w:p>
    <w:p>
      <w:pPr>
        <w:spacing w:after="0" w:line="240" w:lineRule="auto"/>
        <w:jc w:val="left"/>
        <w:sectPr>
          <w:pgSz w:w="11910" w:h="16840"/>
          <w:pgMar w:header="882" w:footer="1194" w:top="1120" w:bottom="1380" w:left="1660" w:right="1040"/>
        </w:sectPr>
      </w:pPr>
    </w:p>
    <w:p>
      <w:pPr>
        <w:spacing w:line="240" w:lineRule="auto" w:before="10"/>
        <w:rPr>
          <w:rFonts w:ascii="宋体" w:hAnsi="宋体" w:cs="宋体" w:eastAsia="宋体" w:hint="default"/>
          <w:sz w:val="25"/>
          <w:szCs w:val="25"/>
        </w:rPr>
      </w:pPr>
    </w:p>
    <w:p>
      <w:pPr>
        <w:pStyle w:val="BodyText"/>
        <w:spacing w:line="310" w:lineRule="exact" w:before="58"/>
        <w:ind w:left="218" w:right="101" w:firstLine="480"/>
        <w:jc w:val="left"/>
      </w:pPr>
      <w:r>
        <w:rPr>
          <w:spacing w:val="-2"/>
        </w:rPr>
        <w:t>公司已建立了公正透明的董事、监事和高级管理人员绩效评价标准和激励约束机</w:t>
      </w:r>
      <w:r>
        <w:rPr/>
        <w:t> 制，公司经理人员的选聘过程公开透明，符合法律法规规定。</w:t>
      </w:r>
    </w:p>
    <w:p>
      <w:pPr>
        <w:pStyle w:val="BodyText"/>
        <w:spacing w:line="328" w:lineRule="auto" w:before="89"/>
        <w:ind w:left="698" w:right="101" w:hanging="480"/>
        <w:jc w:val="left"/>
      </w:pPr>
      <w:r>
        <w:rPr/>
        <w:t>（</w:t>
      </w:r>
      <w:r>
        <w:rPr>
          <w:rFonts w:ascii="宋体" w:hAnsi="宋体" w:cs="宋体" w:eastAsia="宋体" w:hint="default"/>
        </w:rPr>
        <w:t>6</w:t>
      </w:r>
      <w:r>
        <w:rPr/>
        <w:t>）关于信息披露与透明度 </w:t>
      </w:r>
      <w:r>
        <w:rPr>
          <w:spacing w:val="-2"/>
        </w:rPr>
        <w:t>公司按照《公司法》、《上海证券交易所股票上市规则》及《公司章程》等相关</w:t>
      </w:r>
    </w:p>
    <w:p>
      <w:pPr>
        <w:pStyle w:val="BodyText"/>
        <w:spacing w:line="221" w:lineRule="exact"/>
        <w:ind w:left="218" w:right="101"/>
        <w:jc w:val="left"/>
      </w:pPr>
      <w:r>
        <w:rPr/>
        <w:t>规定，真实、准确、完整、及时、公平地披露信息。公司证券部通过接待股东来访、</w:t>
      </w:r>
    </w:p>
    <w:p>
      <w:pPr>
        <w:pStyle w:val="BodyText"/>
        <w:spacing w:line="310" w:lineRule="exact" w:before="31"/>
        <w:ind w:left="218" w:right="101"/>
        <w:jc w:val="left"/>
      </w:pPr>
      <w:r>
        <w:rPr/>
        <w:t>回答咨询等方式来增强信息披露的透明度，并指定《中国证券报》、《上海证券报》</w:t>
      </w:r>
      <w:r>
        <w:rPr>
          <w:spacing w:val="-62"/>
        </w:rPr>
        <w:t> </w:t>
      </w:r>
      <w:r>
        <w:rPr>
          <w:spacing w:val="-62"/>
        </w:rPr>
      </w:r>
      <w:r>
        <w:rPr/>
        <w:t>为公司信息披露的报纸，使所有股东都有平等的机会获得信息。</w:t>
      </w:r>
    </w:p>
    <w:p>
      <w:pPr>
        <w:pStyle w:val="BodyText"/>
        <w:spacing w:line="240" w:lineRule="auto" w:before="88"/>
        <w:ind w:left="338" w:right="101"/>
        <w:jc w:val="left"/>
      </w:pPr>
      <w:r>
        <w:rPr>
          <w:rFonts w:ascii="宋体" w:hAnsi="宋体" w:cs="宋体" w:eastAsia="宋体" w:hint="default"/>
        </w:rPr>
        <w:t>(</w:t>
      </w:r>
      <w:r>
        <w:rPr/>
        <w:t>二</w:t>
      </w:r>
      <w:r>
        <w:rPr>
          <w:rFonts w:ascii="宋体" w:hAnsi="宋体" w:cs="宋体" w:eastAsia="宋体" w:hint="default"/>
        </w:rPr>
        <w:t>)</w:t>
      </w:r>
      <w:r>
        <w:rPr/>
        <w:t>内幕信息知情人登记相关情况</w:t>
      </w:r>
    </w:p>
    <w:p>
      <w:pPr>
        <w:pStyle w:val="BodyText"/>
        <w:spacing w:line="310" w:lineRule="exact" w:before="150"/>
        <w:ind w:left="218" w:right="219" w:firstLine="480"/>
        <w:jc w:val="left"/>
      </w:pPr>
      <w:r>
        <w:rPr>
          <w:rFonts w:ascii="宋体" w:hAnsi="宋体" w:cs="宋体" w:eastAsia="宋体" w:hint="default"/>
        </w:rPr>
        <w:t>2014</w:t>
      </w:r>
      <w:r>
        <w:rPr>
          <w:rFonts w:ascii="宋体" w:hAnsi="宋体" w:cs="宋体" w:eastAsia="宋体" w:hint="default"/>
          <w:spacing w:val="-39"/>
        </w:rPr>
        <w:t> </w:t>
      </w:r>
      <w:r>
        <w:rPr>
          <w:spacing w:val="-4"/>
        </w:rPr>
        <w:t>年，公司进一步加强内幕信息及知情人管理工作，加强相关法律法规的宣贯</w:t>
      </w:r>
      <w:r>
        <w:rPr/>
        <w:t> 力度，并持续做好内幕信息知情人登记。</w:t>
      </w:r>
    </w:p>
    <w:p>
      <w:pPr>
        <w:spacing w:line="240" w:lineRule="auto" w:before="3"/>
        <w:rPr>
          <w:rFonts w:ascii="宋体" w:hAnsi="宋体" w:cs="宋体" w:eastAsia="宋体" w:hint="default"/>
          <w:sz w:val="32"/>
          <w:szCs w:val="32"/>
        </w:rPr>
      </w:pPr>
    </w:p>
    <w:p>
      <w:pPr>
        <w:pStyle w:val="Heading2"/>
        <w:tabs>
          <w:tab w:pos="1057" w:val="left" w:leader="none"/>
        </w:tabs>
        <w:spacing w:line="240" w:lineRule="auto" w:before="0"/>
        <w:ind w:right="101"/>
        <w:jc w:val="left"/>
        <w:rPr>
          <w:b w:val="0"/>
          <w:bCs w:val="0"/>
        </w:rPr>
      </w:pPr>
      <w:r>
        <w:rPr>
          <w:w w:val="95"/>
        </w:rPr>
        <w:t>二、</w:t>
        <w:tab/>
      </w:r>
      <w:r>
        <w:rPr/>
        <w:t>股东大会情况简介</w:t>
      </w:r>
      <w:r>
        <w:rPr>
          <w:b w:val="0"/>
          <w:bCs w:val="0"/>
        </w:rPr>
      </w:r>
    </w:p>
    <w:p>
      <w:pPr>
        <w:spacing w:line="240" w:lineRule="auto" w:before="4"/>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301"/>
        <w:gridCol w:w="1157"/>
        <w:gridCol w:w="2612"/>
        <w:gridCol w:w="1135"/>
        <w:gridCol w:w="1688"/>
        <w:gridCol w:w="1158"/>
      </w:tblGrid>
      <w:tr>
        <w:trPr>
          <w:trHeight w:val="827"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52"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669" w:right="0"/>
              <w:jc w:val="left"/>
              <w:rPr>
                <w:rFonts w:ascii="宋体" w:hAnsi="宋体" w:cs="宋体" w:eastAsia="宋体" w:hint="default"/>
                <w:sz w:val="21"/>
                <w:szCs w:val="21"/>
              </w:rPr>
            </w:pPr>
            <w:r>
              <w:rPr>
                <w:rFonts w:ascii="宋体" w:hAnsi="宋体" w:cs="宋体" w:eastAsia="宋体" w:hint="default"/>
                <w:sz w:val="21"/>
                <w:szCs w:val="21"/>
              </w:rPr>
              <w:t>会议议案名称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42" w:right="0"/>
              <w:jc w:val="left"/>
              <w:rPr>
                <w:rFonts w:ascii="宋体" w:hAnsi="宋体" w:cs="宋体" w:eastAsia="宋体" w:hint="default"/>
                <w:sz w:val="21"/>
                <w:szCs w:val="21"/>
              </w:rPr>
            </w:pPr>
            <w:r>
              <w:rPr>
                <w:rFonts w:ascii="宋体" w:hAnsi="宋体" w:cs="宋体" w:eastAsia="宋体" w:hint="default"/>
                <w:sz w:val="21"/>
                <w:szCs w:val="21"/>
              </w:rPr>
              <w:t>决议情况</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3" w:right="102"/>
              <w:jc w:val="left"/>
              <w:rPr>
                <w:rFonts w:ascii="宋体" w:hAnsi="宋体" w:cs="宋体" w:eastAsia="宋体" w:hint="default"/>
                <w:sz w:val="21"/>
                <w:szCs w:val="21"/>
              </w:rPr>
            </w:pPr>
            <w:r>
              <w:rPr>
                <w:rFonts w:ascii="宋体" w:hAnsi="宋体" w:cs="宋体" w:eastAsia="宋体" w:hint="default"/>
                <w:sz w:val="21"/>
                <w:szCs w:val="21"/>
              </w:rPr>
              <w:t>决议刊登的指定 网站的查询索引</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2" w:right="0"/>
              <w:jc w:val="left"/>
              <w:rPr>
                <w:rFonts w:ascii="宋体" w:hAnsi="宋体" w:cs="宋体" w:eastAsia="宋体" w:hint="default"/>
                <w:sz w:val="21"/>
                <w:szCs w:val="21"/>
              </w:rPr>
            </w:pPr>
            <w:r>
              <w:rPr>
                <w:rFonts w:ascii="宋体" w:hAnsi="宋体" w:cs="宋体" w:eastAsia="宋体" w:hint="default"/>
                <w:sz w:val="21"/>
                <w:szCs w:val="21"/>
              </w:rPr>
              <w:t>决议刊登</w:t>
            </w:r>
          </w:p>
          <w:p>
            <w:pPr>
              <w:pStyle w:val="TableParagraph"/>
              <w:spacing w:line="272" w:lineRule="exact" w:before="26"/>
              <w:ind w:left="467" w:right="155" w:hanging="316"/>
              <w:jc w:val="left"/>
              <w:rPr>
                <w:rFonts w:ascii="宋体" w:hAnsi="宋体" w:cs="宋体" w:eastAsia="宋体" w:hint="default"/>
                <w:sz w:val="21"/>
                <w:szCs w:val="21"/>
              </w:rPr>
            </w:pPr>
            <w:r>
              <w:rPr>
                <w:rFonts w:ascii="宋体" w:hAnsi="宋体" w:cs="宋体" w:eastAsia="宋体" w:hint="default"/>
                <w:sz w:val="21"/>
                <w:szCs w:val="21"/>
              </w:rPr>
              <w:t>的披露日 期</w:t>
            </w:r>
          </w:p>
        </w:tc>
      </w:tr>
      <w:tr>
        <w:trPr>
          <w:trHeight w:val="1372"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60"/>
                <w:sz w:val="21"/>
                <w:szCs w:val="21"/>
              </w:rPr>
              <w:t>华胜天成</w:t>
            </w:r>
            <w:r>
              <w:rPr>
                <w:rFonts w:ascii="宋体" w:hAnsi="宋体" w:cs="宋体" w:eastAsia="宋体" w:hint="default"/>
                <w:spacing w:val="-24"/>
                <w:sz w:val="21"/>
                <w:szCs w:val="21"/>
              </w:rPr>
              <w:t> </w:t>
            </w:r>
            <w:r>
              <w:rPr>
                <w:rFonts w:ascii="宋体" w:hAnsi="宋体" w:cs="宋体" w:eastAsia="宋体" w:hint="default"/>
                <w:sz w:val="21"/>
                <w:szCs w:val="21"/>
              </w:rPr>
            </w:r>
          </w:p>
          <w:p>
            <w:pPr>
              <w:pStyle w:val="TableParagraph"/>
              <w:spacing w:line="272" w:lineRule="exact" w:before="26"/>
              <w:ind w:left="103" w:right="95"/>
              <w:jc w:val="both"/>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9"/>
                <w:sz w:val="21"/>
                <w:szCs w:val="21"/>
              </w:rPr>
              <w:t> </w:t>
            </w:r>
            <w:r>
              <w:rPr>
                <w:rFonts w:ascii="宋体" w:hAnsi="宋体" w:cs="宋体" w:eastAsia="宋体" w:hint="default"/>
                <w:sz w:val="21"/>
                <w:szCs w:val="21"/>
              </w:rPr>
              <w:t>年第一 </w:t>
            </w:r>
            <w:r>
              <w:rPr>
                <w:rFonts w:ascii="宋体" w:hAnsi="宋体" w:cs="宋体" w:eastAsia="宋体" w:hint="default"/>
                <w:spacing w:val="8"/>
                <w:sz w:val="21"/>
                <w:szCs w:val="21"/>
              </w:rPr>
              <w:t>次临时股东</w:t>
            </w:r>
            <w:r>
              <w:rPr>
                <w:rFonts w:ascii="宋体" w:hAnsi="宋体" w:cs="宋体" w:eastAsia="宋体" w:hint="default"/>
                <w:spacing w:val="8"/>
                <w:sz w:val="21"/>
                <w:szCs w:val="21"/>
              </w:rPr>
              <w:t> 大会决议公 </w:t>
            </w:r>
            <w:r>
              <w:rPr>
                <w:rFonts w:ascii="宋体" w:hAnsi="宋体" w:cs="宋体" w:eastAsia="宋体" w:hint="default"/>
                <w:sz w:val="21"/>
                <w:szCs w:val="21"/>
              </w:rPr>
              <w:t>告</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5"/>
                <w:sz w:val="21"/>
                <w:szCs w:val="21"/>
              </w:rPr>
              <w:t> </w:t>
            </w:r>
            <w:r>
              <w:rPr>
                <w:rFonts w:ascii="宋体" w:hAnsi="宋体" w:cs="宋体" w:eastAsia="宋体" w:hint="default"/>
                <w:sz w:val="21"/>
                <w:szCs w:val="21"/>
              </w:rPr>
              <w:t>3</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、《关于公司董事会换届</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z w:val="21"/>
                <w:szCs w:val="21"/>
              </w:rPr>
              <w:t>的议案》； </w:t>
            </w:r>
            <w:r>
              <w:rPr>
                <w:rFonts w:ascii="宋体" w:hAnsi="宋体" w:cs="宋体" w:eastAsia="宋体" w:hint="default"/>
                <w:spacing w:val="-2"/>
                <w:sz w:val="21"/>
                <w:szCs w:val="21"/>
              </w:rPr>
              <w:t>2</w:t>
            </w:r>
            <w:r>
              <w:rPr>
                <w:rFonts w:ascii="宋体" w:hAnsi="宋体" w:cs="宋体" w:eastAsia="宋体" w:hint="default"/>
                <w:spacing w:val="-2"/>
                <w:sz w:val="21"/>
                <w:szCs w:val="21"/>
              </w:rPr>
              <w:t>、《关于公司监事会换届</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的议案》。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审议通过</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http://www.sse</w:t>
            </w:r>
          </w:p>
          <w:p>
            <w:pPr>
              <w:pStyle w:val="TableParagraph"/>
              <w:spacing w:line="274" w:lineRule="exact"/>
              <w:ind w:left="103" w:right="0"/>
              <w:jc w:val="left"/>
              <w:rPr>
                <w:rFonts w:ascii="宋体" w:hAnsi="宋体" w:cs="宋体" w:eastAsia="宋体" w:hint="default"/>
                <w:sz w:val="21"/>
                <w:szCs w:val="21"/>
              </w:rPr>
            </w:pPr>
            <w:r>
              <w:rPr>
                <w:rFonts w:ascii="宋体"/>
                <w:sz w:val="21"/>
              </w:rPr>
              <w:t>.com.cn</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3"/>
                <w:sz w:val="21"/>
                <w:szCs w:val="21"/>
              </w:rPr>
              <w:t> </w:t>
            </w:r>
            <w:r>
              <w:rPr>
                <w:rFonts w:ascii="宋体" w:hAnsi="宋体" w:cs="宋体" w:eastAsia="宋体" w:hint="default"/>
                <w:sz w:val="21"/>
                <w:szCs w:val="21"/>
              </w:rPr>
              <w:t>3</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7093"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60"/>
                <w:sz w:val="21"/>
                <w:szCs w:val="21"/>
              </w:rPr>
              <w:t>华胜天成</w:t>
            </w:r>
            <w:r>
              <w:rPr>
                <w:rFonts w:ascii="宋体" w:hAnsi="宋体" w:cs="宋体" w:eastAsia="宋体" w:hint="default"/>
                <w:spacing w:val="-24"/>
                <w:sz w:val="21"/>
                <w:szCs w:val="21"/>
              </w:rPr>
              <w:t> </w:t>
            </w:r>
            <w:r>
              <w:rPr>
                <w:rFonts w:ascii="宋体" w:hAnsi="宋体" w:cs="宋体" w:eastAsia="宋体" w:hint="default"/>
                <w:sz w:val="21"/>
                <w:szCs w:val="21"/>
              </w:rPr>
            </w:r>
          </w:p>
          <w:p>
            <w:pPr>
              <w:pStyle w:val="TableParagraph"/>
              <w:spacing w:line="272" w:lineRule="exact" w:before="26"/>
              <w:ind w:left="103" w:right="95"/>
              <w:jc w:val="both"/>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69"/>
                <w:sz w:val="21"/>
                <w:szCs w:val="21"/>
              </w:rPr>
              <w:t> </w:t>
            </w:r>
            <w:r>
              <w:rPr>
                <w:rFonts w:ascii="宋体" w:hAnsi="宋体" w:cs="宋体" w:eastAsia="宋体" w:hint="default"/>
                <w:sz w:val="21"/>
                <w:szCs w:val="21"/>
              </w:rPr>
              <w:t>年年度 </w:t>
            </w:r>
            <w:r>
              <w:rPr>
                <w:rFonts w:ascii="宋体" w:hAnsi="宋体" w:cs="宋体" w:eastAsia="宋体" w:hint="default"/>
                <w:spacing w:val="8"/>
                <w:sz w:val="21"/>
                <w:szCs w:val="21"/>
              </w:rPr>
              <w:t>股东大会决</w:t>
            </w:r>
            <w:r>
              <w:rPr>
                <w:rFonts w:ascii="宋体" w:hAnsi="宋体" w:cs="宋体" w:eastAsia="宋体" w:hint="default"/>
                <w:spacing w:val="8"/>
                <w:sz w:val="21"/>
                <w:szCs w:val="21"/>
              </w:rPr>
              <w:t> </w:t>
            </w:r>
            <w:r>
              <w:rPr>
                <w:rFonts w:ascii="宋体" w:hAnsi="宋体" w:cs="宋体" w:eastAsia="宋体" w:hint="default"/>
                <w:sz w:val="21"/>
                <w:szCs w:val="21"/>
              </w:rPr>
              <w:t>议公告</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5"/>
                <w:sz w:val="21"/>
                <w:szCs w:val="21"/>
              </w:rPr>
              <w:t> </w:t>
            </w:r>
            <w:r>
              <w:rPr>
                <w:rFonts w:ascii="宋体" w:hAnsi="宋体" w:cs="宋体" w:eastAsia="宋体" w:hint="default"/>
                <w:sz w:val="21"/>
                <w:szCs w:val="21"/>
              </w:rPr>
              <w:t>5</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、《公司 </w:t>
            </w:r>
            <w:r>
              <w:rPr>
                <w:rFonts w:ascii="宋体" w:hAnsi="宋体" w:cs="宋体" w:eastAsia="宋体" w:hint="default"/>
                <w:sz w:val="21"/>
                <w:szCs w:val="21"/>
              </w:rPr>
              <w:t>2013</w:t>
            </w:r>
            <w:r>
              <w:rPr>
                <w:rFonts w:ascii="宋体" w:hAnsi="宋体" w:cs="宋体" w:eastAsia="宋体" w:hint="default"/>
                <w:spacing w:val="-20"/>
                <w:sz w:val="21"/>
                <w:szCs w:val="21"/>
              </w:rPr>
              <w:t> </w:t>
            </w:r>
            <w:r>
              <w:rPr>
                <w:rFonts w:ascii="宋体" w:hAnsi="宋体" w:cs="宋体" w:eastAsia="宋体" w:hint="default"/>
                <w:sz w:val="21"/>
                <w:szCs w:val="21"/>
              </w:rPr>
              <w:t>年度财务</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z w:val="21"/>
                <w:szCs w:val="21"/>
              </w:rPr>
              <w:t>决算报告及</w:t>
            </w:r>
            <w:r>
              <w:rPr>
                <w:rFonts w:ascii="宋体" w:hAnsi="宋体" w:cs="宋体" w:eastAsia="宋体" w:hint="default"/>
                <w:spacing w:val="-62"/>
                <w:sz w:val="21"/>
                <w:szCs w:val="21"/>
              </w:rPr>
              <w:t> </w:t>
            </w:r>
            <w:r>
              <w:rPr>
                <w:rFonts w:ascii="宋体" w:hAnsi="宋体" w:cs="宋体" w:eastAsia="宋体" w:hint="default"/>
                <w:sz w:val="21"/>
                <w:szCs w:val="21"/>
              </w:rPr>
              <w:t>2014</w:t>
            </w:r>
            <w:r>
              <w:rPr>
                <w:rFonts w:ascii="宋体" w:hAnsi="宋体" w:cs="宋体" w:eastAsia="宋体" w:hint="default"/>
                <w:spacing w:val="-62"/>
                <w:sz w:val="21"/>
                <w:szCs w:val="21"/>
              </w:rPr>
              <w:t> </w:t>
            </w:r>
            <w:r>
              <w:rPr>
                <w:rFonts w:ascii="宋体" w:hAnsi="宋体" w:cs="宋体" w:eastAsia="宋体" w:hint="default"/>
                <w:sz w:val="21"/>
                <w:szCs w:val="21"/>
              </w:rPr>
              <w:t>年度财务 预算报告》；</w:t>
            </w:r>
          </w:p>
          <w:p>
            <w:pPr>
              <w:pStyle w:val="TableParagraph"/>
              <w:spacing w:line="272" w:lineRule="exact"/>
              <w:ind w:left="101" w:right="101"/>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、《公司 </w:t>
            </w:r>
            <w:r>
              <w:rPr>
                <w:rFonts w:ascii="宋体" w:hAnsi="宋体" w:cs="宋体" w:eastAsia="宋体" w:hint="default"/>
                <w:sz w:val="21"/>
                <w:szCs w:val="21"/>
              </w:rPr>
              <w:t>2013</w:t>
            </w:r>
            <w:r>
              <w:rPr>
                <w:rFonts w:ascii="宋体" w:hAnsi="宋体" w:cs="宋体" w:eastAsia="宋体" w:hint="default"/>
                <w:spacing w:val="-20"/>
                <w:sz w:val="21"/>
                <w:szCs w:val="21"/>
              </w:rPr>
              <w:t> </w:t>
            </w:r>
            <w:r>
              <w:rPr>
                <w:rFonts w:ascii="宋体" w:hAnsi="宋体" w:cs="宋体" w:eastAsia="宋体" w:hint="default"/>
                <w:sz w:val="21"/>
                <w:szCs w:val="21"/>
              </w:rPr>
              <w:t>年度董事 会工作报告》； </w:t>
            </w:r>
            <w:r>
              <w:rPr>
                <w:rFonts w:ascii="宋体" w:hAnsi="宋体" w:cs="宋体" w:eastAsia="宋体" w:hint="default"/>
                <w:sz w:val="21"/>
                <w:szCs w:val="21"/>
              </w:rPr>
              <w:t>3</w:t>
            </w:r>
            <w:r>
              <w:rPr>
                <w:rFonts w:ascii="宋体" w:hAnsi="宋体" w:cs="宋体" w:eastAsia="宋体" w:hint="default"/>
                <w:sz w:val="21"/>
                <w:szCs w:val="21"/>
              </w:rPr>
              <w:t>、《公司 </w:t>
            </w:r>
            <w:r>
              <w:rPr>
                <w:rFonts w:ascii="宋体" w:hAnsi="宋体" w:cs="宋体" w:eastAsia="宋体" w:hint="default"/>
                <w:sz w:val="21"/>
                <w:szCs w:val="21"/>
              </w:rPr>
              <w:t>2013</w:t>
            </w:r>
            <w:r>
              <w:rPr>
                <w:rFonts w:ascii="宋体" w:hAnsi="宋体" w:cs="宋体" w:eastAsia="宋体" w:hint="default"/>
                <w:spacing w:val="-20"/>
                <w:sz w:val="21"/>
                <w:szCs w:val="21"/>
              </w:rPr>
              <w:t> </w:t>
            </w:r>
            <w:r>
              <w:rPr>
                <w:rFonts w:ascii="宋体" w:hAnsi="宋体" w:cs="宋体" w:eastAsia="宋体" w:hint="default"/>
                <w:sz w:val="21"/>
                <w:szCs w:val="21"/>
              </w:rPr>
              <w:t>年年度报 告》及摘要；</w:t>
            </w:r>
          </w:p>
          <w:p>
            <w:pPr>
              <w:pStyle w:val="TableParagraph"/>
              <w:spacing w:line="246" w:lineRule="exact"/>
              <w:ind w:left="101" w:right="-2"/>
              <w:jc w:val="left"/>
              <w:rPr>
                <w:rFonts w:ascii="宋体" w:hAnsi="宋体" w:cs="宋体" w:eastAsia="宋体" w:hint="default"/>
                <w:sz w:val="21"/>
                <w:szCs w:val="21"/>
              </w:rPr>
            </w:pPr>
            <w:r>
              <w:rPr>
                <w:rFonts w:ascii="宋体" w:hAnsi="宋体" w:cs="宋体" w:eastAsia="宋体" w:hint="default"/>
                <w:spacing w:val="-10"/>
                <w:sz w:val="21"/>
                <w:szCs w:val="21"/>
              </w:rPr>
              <w:t>4</w:t>
            </w:r>
            <w:r>
              <w:rPr>
                <w:rFonts w:ascii="宋体" w:hAnsi="宋体" w:cs="宋体" w:eastAsia="宋体" w:hint="default"/>
                <w:spacing w:val="-10"/>
                <w:sz w:val="21"/>
                <w:szCs w:val="21"/>
              </w:rPr>
              <w:t>、《独立董事述职报告》；</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、《公司 </w:t>
            </w:r>
            <w:r>
              <w:rPr>
                <w:rFonts w:ascii="宋体" w:hAnsi="宋体" w:cs="宋体" w:eastAsia="宋体" w:hint="default"/>
                <w:sz w:val="21"/>
                <w:szCs w:val="21"/>
              </w:rPr>
              <w:t>2013</w:t>
            </w:r>
            <w:r>
              <w:rPr>
                <w:rFonts w:ascii="宋体" w:hAnsi="宋体" w:cs="宋体" w:eastAsia="宋体" w:hint="default"/>
                <w:spacing w:val="-20"/>
                <w:sz w:val="21"/>
                <w:szCs w:val="21"/>
              </w:rPr>
              <w:t> </w:t>
            </w:r>
            <w:r>
              <w:rPr>
                <w:rFonts w:ascii="宋体" w:hAnsi="宋体" w:cs="宋体" w:eastAsia="宋体" w:hint="default"/>
                <w:sz w:val="21"/>
                <w:szCs w:val="21"/>
              </w:rPr>
              <w:t>年度利润 </w:t>
            </w:r>
            <w:r>
              <w:rPr>
                <w:rFonts w:ascii="宋体" w:hAnsi="宋体" w:cs="宋体" w:eastAsia="宋体" w:hint="default"/>
                <w:spacing w:val="7"/>
                <w:sz w:val="21"/>
                <w:szCs w:val="21"/>
              </w:rPr>
              <w:t>及以前年度滚存利润分配</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7"/>
                <w:sz w:val="21"/>
                <w:szCs w:val="21"/>
              </w:rPr>
              <w:t>的预案》；《关于聘请致</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6"/>
                <w:sz w:val="21"/>
                <w:szCs w:val="21"/>
              </w:rPr>
              <w:t>同会计师事务所</w:t>
            </w:r>
            <w:r>
              <w:rPr>
                <w:rFonts w:ascii="宋体" w:hAnsi="宋体" w:cs="宋体" w:eastAsia="宋体" w:hint="default"/>
                <w:spacing w:val="16"/>
                <w:sz w:val="21"/>
                <w:szCs w:val="21"/>
              </w:rPr>
              <w:t>(</w:t>
            </w:r>
            <w:r>
              <w:rPr>
                <w:rFonts w:ascii="宋体" w:hAnsi="宋体" w:cs="宋体" w:eastAsia="宋体" w:hint="default"/>
                <w:spacing w:val="-83"/>
                <w:sz w:val="21"/>
                <w:szCs w:val="21"/>
              </w:rPr>
              <w:t> </w:t>
            </w:r>
            <w:r>
              <w:rPr>
                <w:rFonts w:ascii="宋体" w:hAnsi="宋体" w:cs="宋体" w:eastAsia="宋体" w:hint="default"/>
                <w:spacing w:val="11"/>
                <w:sz w:val="21"/>
                <w:szCs w:val="21"/>
              </w:rPr>
              <w:t>特殊普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4"/>
                <w:sz w:val="21"/>
                <w:szCs w:val="21"/>
              </w:rPr>
              <w:t>通合伙</w:t>
            </w:r>
            <w:r>
              <w:rPr>
                <w:rFonts w:ascii="宋体" w:hAnsi="宋体" w:cs="宋体" w:eastAsia="宋体" w:hint="default"/>
                <w:spacing w:val="14"/>
                <w:sz w:val="21"/>
                <w:szCs w:val="21"/>
              </w:rPr>
              <w:t>)</w:t>
            </w:r>
            <w:r>
              <w:rPr>
                <w:rFonts w:ascii="宋体" w:hAnsi="宋体" w:cs="宋体" w:eastAsia="宋体" w:hint="default"/>
                <w:spacing w:val="-85"/>
                <w:sz w:val="21"/>
                <w:szCs w:val="21"/>
              </w:rPr>
              <w:t> </w:t>
            </w:r>
            <w:r>
              <w:rPr>
                <w:rFonts w:ascii="宋体" w:hAnsi="宋体" w:cs="宋体" w:eastAsia="宋体" w:hint="default"/>
                <w:spacing w:val="15"/>
                <w:sz w:val="21"/>
                <w:szCs w:val="21"/>
              </w:rPr>
              <w:t>为公司内控审计</w:t>
            </w:r>
            <w:r>
              <w:rPr>
                <w:rFonts w:ascii="宋体" w:hAnsi="宋体" w:cs="宋体" w:eastAsia="宋体" w:hint="default"/>
                <w:sz w:val="21"/>
                <w:szCs w:val="21"/>
              </w:rPr>
              <w:t> 机构的议案》； </w:t>
            </w:r>
            <w:r>
              <w:rPr>
                <w:rFonts w:ascii="宋体" w:hAnsi="宋体" w:cs="宋体" w:eastAsia="宋体" w:hint="default"/>
                <w:spacing w:val="-2"/>
                <w:sz w:val="21"/>
                <w:szCs w:val="21"/>
              </w:rPr>
              <w:t>6</w:t>
            </w:r>
            <w:r>
              <w:rPr>
                <w:rFonts w:ascii="宋体" w:hAnsi="宋体" w:cs="宋体" w:eastAsia="宋体" w:hint="default"/>
                <w:spacing w:val="-2"/>
                <w:sz w:val="21"/>
                <w:szCs w:val="21"/>
              </w:rPr>
              <w:t>、《关于续聘致同会计师</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6"/>
                <w:sz w:val="21"/>
                <w:szCs w:val="21"/>
              </w:rPr>
              <w:t>事务所</w:t>
            </w:r>
            <w:r>
              <w:rPr>
                <w:rFonts w:ascii="宋体" w:hAnsi="宋体" w:cs="宋体" w:eastAsia="宋体" w:hint="default"/>
                <w:spacing w:val="6"/>
                <w:sz w:val="21"/>
                <w:szCs w:val="21"/>
              </w:rPr>
              <w:t>(</w:t>
            </w:r>
            <w:r>
              <w:rPr>
                <w:rFonts w:ascii="宋体" w:hAnsi="宋体" w:cs="宋体" w:eastAsia="宋体" w:hint="default"/>
                <w:spacing w:val="6"/>
                <w:sz w:val="21"/>
                <w:szCs w:val="21"/>
              </w:rPr>
              <w:t>特殊普通合伙</w:t>
            </w:r>
            <w:r>
              <w:rPr>
                <w:rFonts w:ascii="宋体" w:hAnsi="宋体" w:cs="宋体" w:eastAsia="宋体" w:hint="default"/>
                <w:spacing w:val="6"/>
                <w:sz w:val="21"/>
                <w:szCs w:val="21"/>
              </w:rPr>
              <w:t>)</w:t>
            </w:r>
            <w:r>
              <w:rPr>
                <w:rFonts w:ascii="宋体" w:hAnsi="宋体" w:cs="宋体" w:eastAsia="宋体" w:hint="default"/>
                <w:spacing w:val="6"/>
                <w:sz w:val="21"/>
                <w:szCs w:val="21"/>
              </w:rPr>
              <w:t>的</w:t>
            </w:r>
            <w:r>
              <w:rPr>
                <w:rFonts w:ascii="宋体" w:hAnsi="宋体" w:cs="宋体" w:eastAsia="宋体" w:hint="default"/>
                <w:spacing w:val="-95"/>
                <w:sz w:val="21"/>
                <w:szCs w:val="21"/>
              </w:rPr>
              <w:t> </w:t>
            </w:r>
            <w:r>
              <w:rPr>
                <w:rFonts w:ascii="宋体" w:hAnsi="宋体" w:cs="宋体" w:eastAsia="宋体" w:hint="default"/>
                <w:sz w:val="21"/>
                <w:szCs w:val="21"/>
              </w:rPr>
              <w:t>议案》； </w:t>
            </w:r>
            <w:r>
              <w:rPr>
                <w:rFonts w:ascii="宋体" w:hAnsi="宋体" w:cs="宋体" w:eastAsia="宋体" w:hint="default"/>
                <w:spacing w:val="-6"/>
                <w:sz w:val="21"/>
                <w:szCs w:val="21"/>
              </w:rPr>
              <w:t>7</w:t>
            </w:r>
            <w:r>
              <w:rPr>
                <w:rFonts w:ascii="宋体" w:hAnsi="宋体" w:cs="宋体" w:eastAsia="宋体" w:hint="default"/>
                <w:spacing w:val="-6"/>
                <w:sz w:val="21"/>
                <w:szCs w:val="21"/>
              </w:rPr>
              <w:t>、《公司章程》（</w:t>
            </w:r>
            <w:r>
              <w:rPr>
                <w:rFonts w:ascii="宋体" w:hAnsi="宋体" w:cs="宋体" w:eastAsia="宋体" w:hint="default"/>
                <w:spacing w:val="-6"/>
                <w:sz w:val="21"/>
                <w:szCs w:val="21"/>
              </w:rPr>
              <w:t>2014</w:t>
            </w:r>
            <w:r>
              <w:rPr>
                <w:rFonts w:ascii="宋体" w:hAnsi="宋体" w:cs="宋体" w:eastAsia="宋体" w:hint="default"/>
                <w:spacing w:val="-49"/>
                <w:sz w:val="21"/>
                <w:szCs w:val="21"/>
              </w:rPr>
              <w:t> </w:t>
            </w:r>
            <w:r>
              <w:rPr>
                <w:rFonts w:ascii="宋体" w:hAnsi="宋体" w:cs="宋体" w:eastAsia="宋体" w:hint="default"/>
                <w:sz w:val="21"/>
                <w:szCs w:val="21"/>
              </w:rPr>
              <w:t>年 第一修订）；</w:t>
            </w:r>
          </w:p>
          <w:p>
            <w:pPr>
              <w:pStyle w:val="TableParagraph"/>
              <w:spacing w:line="272" w:lineRule="exact"/>
              <w:ind w:left="101" w:right="101"/>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、《公司 </w:t>
            </w:r>
            <w:r>
              <w:rPr>
                <w:rFonts w:ascii="宋体" w:hAnsi="宋体" w:cs="宋体" w:eastAsia="宋体" w:hint="default"/>
                <w:sz w:val="21"/>
                <w:szCs w:val="21"/>
              </w:rPr>
              <w:t>2013</w:t>
            </w:r>
            <w:r>
              <w:rPr>
                <w:rFonts w:ascii="宋体" w:hAnsi="宋体" w:cs="宋体" w:eastAsia="宋体" w:hint="default"/>
                <w:spacing w:val="-20"/>
                <w:sz w:val="21"/>
                <w:szCs w:val="21"/>
              </w:rPr>
              <w:t> </w:t>
            </w:r>
            <w:r>
              <w:rPr>
                <w:rFonts w:ascii="宋体" w:hAnsi="宋体" w:cs="宋体" w:eastAsia="宋体" w:hint="default"/>
                <w:sz w:val="21"/>
                <w:szCs w:val="21"/>
              </w:rPr>
              <w:t>年度监事 会工作报告》；</w:t>
            </w:r>
          </w:p>
          <w:p>
            <w:pPr>
              <w:pStyle w:val="TableParagraph"/>
              <w:spacing w:line="247" w:lineRule="exact"/>
              <w:ind w:left="101"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、《对公司 </w:t>
            </w:r>
            <w:r>
              <w:rPr>
                <w:rFonts w:ascii="宋体" w:hAnsi="宋体" w:cs="宋体" w:eastAsia="宋体" w:hint="default"/>
                <w:sz w:val="21"/>
                <w:szCs w:val="21"/>
              </w:rPr>
              <w:t>2013</w:t>
            </w:r>
            <w:r>
              <w:rPr>
                <w:rFonts w:ascii="宋体" w:hAnsi="宋体" w:cs="宋体" w:eastAsia="宋体" w:hint="default"/>
                <w:spacing w:val="-22"/>
                <w:sz w:val="21"/>
                <w:szCs w:val="21"/>
              </w:rPr>
              <w:t> </w:t>
            </w:r>
            <w:r>
              <w:rPr>
                <w:rFonts w:ascii="宋体" w:hAnsi="宋体" w:cs="宋体" w:eastAsia="宋体" w:hint="default"/>
                <w:sz w:val="21"/>
                <w:szCs w:val="21"/>
              </w:rPr>
              <w:t>年度运</w:t>
            </w:r>
          </w:p>
          <w:p>
            <w:pPr>
              <w:pStyle w:val="TableParagraph"/>
              <w:spacing w:line="272" w:lineRule="exact" w:before="26"/>
              <w:ind w:left="101" w:right="103"/>
              <w:jc w:val="left"/>
              <w:rPr>
                <w:rFonts w:ascii="宋体" w:hAnsi="宋体" w:cs="宋体" w:eastAsia="宋体" w:hint="default"/>
                <w:sz w:val="21"/>
                <w:szCs w:val="21"/>
              </w:rPr>
            </w:pPr>
            <w:r>
              <w:rPr>
                <w:rFonts w:ascii="宋体" w:hAnsi="宋体" w:cs="宋体" w:eastAsia="宋体" w:hint="default"/>
                <w:spacing w:val="7"/>
                <w:sz w:val="21"/>
                <w:szCs w:val="21"/>
              </w:rPr>
              <w:t>作和经营决策情况的监察</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报告》；</w:t>
            </w:r>
          </w:p>
          <w:p>
            <w:pPr>
              <w:pStyle w:val="TableParagraph"/>
              <w:spacing w:line="272" w:lineRule="exact"/>
              <w:ind w:left="101" w:right="101"/>
              <w:jc w:val="left"/>
              <w:rPr>
                <w:rFonts w:ascii="宋体" w:hAnsi="宋体" w:cs="宋体" w:eastAsia="宋体" w:hint="default"/>
                <w:sz w:val="21"/>
                <w:szCs w:val="21"/>
              </w:rPr>
            </w:pPr>
            <w:r>
              <w:rPr>
                <w:rFonts w:ascii="宋体" w:hAnsi="宋体" w:cs="宋体" w:eastAsia="宋体" w:hint="default"/>
                <w:spacing w:val="6"/>
                <w:sz w:val="21"/>
                <w:szCs w:val="21"/>
              </w:rPr>
              <w:t>10</w:t>
            </w:r>
            <w:r>
              <w:rPr>
                <w:rFonts w:ascii="宋体" w:hAnsi="宋体" w:cs="宋体" w:eastAsia="宋体" w:hint="default"/>
                <w:spacing w:val="6"/>
                <w:sz w:val="21"/>
                <w:szCs w:val="21"/>
              </w:rPr>
              <w:t>、《第五届董事会成员</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薪酬标准的议案》。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审议通过</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http://www.sse</w:t>
            </w:r>
          </w:p>
          <w:p>
            <w:pPr>
              <w:pStyle w:val="TableParagraph"/>
              <w:spacing w:line="273" w:lineRule="exact"/>
              <w:ind w:left="103" w:right="0"/>
              <w:jc w:val="left"/>
              <w:rPr>
                <w:rFonts w:ascii="宋体" w:hAnsi="宋体" w:cs="宋体" w:eastAsia="宋体" w:hint="default"/>
                <w:sz w:val="21"/>
                <w:szCs w:val="21"/>
              </w:rPr>
            </w:pPr>
            <w:r>
              <w:rPr>
                <w:rFonts w:ascii="宋体"/>
                <w:sz w:val="21"/>
              </w:rPr>
              <w:t>.com.cn</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3"/>
                <w:sz w:val="21"/>
                <w:szCs w:val="21"/>
              </w:rPr>
              <w:t> </w:t>
            </w:r>
            <w:r>
              <w:rPr>
                <w:rFonts w:ascii="宋体" w:hAnsi="宋体" w:cs="宋体" w:eastAsia="宋体" w:hint="default"/>
                <w:sz w:val="21"/>
                <w:szCs w:val="21"/>
              </w:rPr>
              <w:t>5</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after="0" w:line="273"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1301"/>
        <w:gridCol w:w="1157"/>
        <w:gridCol w:w="2612"/>
        <w:gridCol w:w="1135"/>
        <w:gridCol w:w="1688"/>
        <w:gridCol w:w="1158"/>
      </w:tblGrid>
      <w:tr>
        <w:trPr>
          <w:trHeight w:val="1644"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60"/>
                <w:sz w:val="21"/>
                <w:szCs w:val="21"/>
              </w:rPr>
              <w:t>华胜天成</w:t>
            </w:r>
            <w:r>
              <w:rPr>
                <w:rFonts w:ascii="宋体" w:hAnsi="宋体" w:cs="宋体" w:eastAsia="宋体" w:hint="default"/>
                <w:spacing w:val="-24"/>
                <w:sz w:val="21"/>
                <w:szCs w:val="21"/>
              </w:rPr>
              <w:t> </w:t>
            </w:r>
            <w:r>
              <w:rPr>
                <w:rFonts w:ascii="宋体" w:hAnsi="宋体" w:cs="宋体" w:eastAsia="宋体" w:hint="default"/>
                <w:sz w:val="21"/>
                <w:szCs w:val="21"/>
              </w:rPr>
            </w:r>
          </w:p>
          <w:p>
            <w:pPr>
              <w:pStyle w:val="TableParagraph"/>
              <w:spacing w:line="237" w:lineRule="auto" w:before="1"/>
              <w:ind w:left="103" w:right="95"/>
              <w:jc w:val="both"/>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9"/>
                <w:sz w:val="21"/>
                <w:szCs w:val="21"/>
              </w:rPr>
              <w:t> </w:t>
            </w:r>
            <w:r>
              <w:rPr>
                <w:rFonts w:ascii="宋体" w:hAnsi="宋体" w:cs="宋体" w:eastAsia="宋体" w:hint="default"/>
                <w:sz w:val="21"/>
                <w:szCs w:val="21"/>
              </w:rPr>
              <w:t>年第二 </w:t>
            </w:r>
            <w:r>
              <w:rPr>
                <w:rFonts w:ascii="宋体" w:hAnsi="宋体" w:cs="宋体" w:eastAsia="宋体" w:hint="default"/>
                <w:spacing w:val="8"/>
                <w:sz w:val="21"/>
                <w:szCs w:val="21"/>
              </w:rPr>
              <w:t>次临时股东</w:t>
            </w:r>
            <w:r>
              <w:rPr>
                <w:rFonts w:ascii="宋体" w:hAnsi="宋体" w:cs="宋体" w:eastAsia="宋体" w:hint="default"/>
                <w:spacing w:val="8"/>
                <w:sz w:val="21"/>
                <w:szCs w:val="21"/>
              </w:rPr>
              <w:t> 大会决议公 </w:t>
            </w:r>
            <w:r>
              <w:rPr>
                <w:rFonts w:ascii="宋体" w:hAnsi="宋体" w:cs="宋体" w:eastAsia="宋体" w:hint="default"/>
                <w:sz w:val="21"/>
                <w:szCs w:val="21"/>
              </w:rPr>
              <w:t>告</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1"/>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、《关于投资设立华胜信</w:t>
            </w:r>
          </w:p>
          <w:p>
            <w:pPr>
              <w:pStyle w:val="TableParagraph"/>
              <w:spacing w:line="272" w:lineRule="exact" w:before="26"/>
              <w:ind w:left="101" w:right="-1"/>
              <w:jc w:val="left"/>
              <w:rPr>
                <w:rFonts w:ascii="宋体" w:hAnsi="宋体" w:cs="宋体" w:eastAsia="宋体" w:hint="default"/>
                <w:sz w:val="21"/>
                <w:szCs w:val="21"/>
              </w:rPr>
            </w:pPr>
            <w:r>
              <w:rPr>
                <w:rFonts w:ascii="宋体" w:hAnsi="宋体" w:cs="宋体" w:eastAsia="宋体" w:hint="default"/>
                <w:spacing w:val="-2"/>
                <w:sz w:val="21"/>
                <w:szCs w:val="21"/>
              </w:rPr>
              <w:t>泰科技有限公司（暂定名）</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的议案》； </w:t>
            </w:r>
            <w:r>
              <w:rPr>
                <w:rFonts w:ascii="宋体" w:hAnsi="宋体" w:cs="宋体" w:eastAsia="宋体" w:hint="default"/>
                <w:sz w:val="21"/>
                <w:szCs w:val="21"/>
              </w:rPr>
              <w:t>2</w:t>
            </w:r>
            <w:r>
              <w:rPr>
                <w:rFonts w:ascii="宋体" w:hAnsi="宋体" w:cs="宋体" w:eastAsia="宋体" w:hint="default"/>
                <w:sz w:val="21"/>
                <w:szCs w:val="21"/>
              </w:rPr>
              <w:t>、《关于修改公司章程的</w:t>
            </w:r>
          </w:p>
          <w:p>
            <w:pPr>
              <w:pStyle w:val="TableParagraph"/>
              <w:spacing w:line="272" w:lineRule="exact" w:before="1"/>
              <w:ind w:left="101" w:right="90"/>
              <w:jc w:val="left"/>
              <w:rPr>
                <w:rFonts w:ascii="宋体" w:hAnsi="宋体" w:cs="宋体" w:eastAsia="宋体" w:hint="default"/>
                <w:sz w:val="21"/>
                <w:szCs w:val="21"/>
              </w:rPr>
            </w:pPr>
            <w:r>
              <w:rPr>
                <w:rFonts w:ascii="宋体" w:hAnsi="宋体" w:cs="宋体" w:eastAsia="宋体" w:hint="default"/>
                <w:spacing w:val="3"/>
                <w:sz w:val="21"/>
                <w:szCs w:val="21"/>
              </w:rPr>
              <w:t>议案》</w:t>
            </w:r>
            <w:r>
              <w:rPr>
                <w:rFonts w:ascii="宋体" w:hAnsi="宋体" w:cs="宋体" w:eastAsia="宋体" w:hint="default"/>
                <w:spacing w:val="3"/>
                <w:sz w:val="21"/>
                <w:szCs w:val="21"/>
              </w:rPr>
              <w:t>(2014</w:t>
            </w:r>
            <w:r>
              <w:rPr>
                <w:rFonts w:ascii="宋体" w:hAnsi="宋体" w:cs="宋体" w:eastAsia="宋体" w:hint="default"/>
                <w:spacing w:val="15"/>
                <w:sz w:val="21"/>
                <w:szCs w:val="21"/>
              </w:rPr>
              <w:t> </w:t>
            </w:r>
            <w:r>
              <w:rPr>
                <w:rFonts w:ascii="宋体" w:hAnsi="宋体" w:cs="宋体" w:eastAsia="宋体" w:hint="default"/>
                <w:spacing w:val="10"/>
                <w:sz w:val="21"/>
                <w:szCs w:val="21"/>
              </w:rPr>
              <w:t>年第二次修 </w:t>
            </w:r>
            <w:r>
              <w:rPr>
                <w:rFonts w:ascii="宋体" w:hAnsi="宋体" w:cs="宋体" w:eastAsia="宋体" w:hint="default"/>
                <w:sz w:val="21"/>
                <w:szCs w:val="21"/>
              </w:rPr>
              <w:t>订</w:t>
            </w:r>
            <w:r>
              <w:rPr>
                <w:rFonts w:ascii="宋体" w:hAnsi="宋体" w:cs="宋体" w:eastAsia="宋体" w:hint="default"/>
                <w:sz w:val="21"/>
                <w:szCs w:val="21"/>
              </w:rPr>
              <w:t>)</w:t>
            </w:r>
            <w:r>
              <w:rPr>
                <w:rFonts w:ascii="宋体" w:hAnsi="宋体" w:cs="宋体" w:eastAsia="宋体" w:hint="default"/>
                <w:sz w:val="21"/>
                <w:szCs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审议通过</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http://www.sse</w:t>
            </w:r>
          </w:p>
          <w:p>
            <w:pPr>
              <w:pStyle w:val="TableParagraph"/>
              <w:spacing w:line="274" w:lineRule="exact"/>
              <w:ind w:left="103" w:right="0"/>
              <w:jc w:val="left"/>
              <w:rPr>
                <w:rFonts w:ascii="宋体" w:hAnsi="宋体" w:cs="宋体" w:eastAsia="宋体" w:hint="default"/>
                <w:sz w:val="21"/>
                <w:szCs w:val="21"/>
              </w:rPr>
            </w:pPr>
            <w:r>
              <w:rPr>
                <w:rFonts w:ascii="宋体"/>
                <w:sz w:val="21"/>
              </w:rPr>
              <w:t>.com.cn</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line="240" w:lineRule="auto" w:before="6"/>
        <w:rPr>
          <w:rFonts w:ascii="宋体" w:hAnsi="宋体" w:cs="宋体" w:eastAsia="宋体" w:hint="default"/>
          <w:b/>
          <w:bCs/>
          <w:sz w:val="20"/>
          <w:szCs w:val="20"/>
        </w:rPr>
      </w:pPr>
    </w:p>
    <w:p>
      <w:pPr>
        <w:pStyle w:val="Heading2"/>
        <w:tabs>
          <w:tab w:pos="1057" w:val="left" w:leader="none"/>
        </w:tabs>
        <w:spacing w:line="240" w:lineRule="auto"/>
        <w:ind w:right="101"/>
        <w:jc w:val="left"/>
        <w:rPr>
          <w:b w:val="0"/>
          <w:bCs w:val="0"/>
        </w:rPr>
      </w:pPr>
      <w:r>
        <w:rPr>
          <w:w w:val="95"/>
        </w:rPr>
        <w:t>三、</w:t>
        <w:tab/>
      </w:r>
      <w:r>
        <w:rPr/>
        <w:t>董事履行职责情况</w:t>
      </w:r>
      <w:r>
        <w:rPr>
          <w:b w:val="0"/>
          <w:bCs w:val="0"/>
        </w:rPr>
      </w:r>
    </w:p>
    <w:p>
      <w:pPr>
        <w:pStyle w:val="Heading2"/>
        <w:spacing w:line="240" w:lineRule="auto" w:before="58"/>
        <w:ind w:right="101"/>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董事参加董事会和股东大会的情况</w:t>
      </w:r>
      <w:r>
        <w:rPr>
          <w:b w:val="0"/>
          <w:bCs w:val="0"/>
        </w:rPr>
      </w:r>
    </w:p>
    <w:p>
      <w:pPr>
        <w:spacing w:line="240" w:lineRule="auto" w:before="13"/>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980"/>
        <w:gridCol w:w="846"/>
        <w:gridCol w:w="1099"/>
        <w:gridCol w:w="852"/>
        <w:gridCol w:w="968"/>
        <w:gridCol w:w="905"/>
        <w:gridCol w:w="845"/>
        <w:gridCol w:w="1292"/>
        <w:gridCol w:w="1261"/>
      </w:tblGrid>
      <w:tr>
        <w:trPr>
          <w:trHeight w:val="571" w:hRule="exact"/>
        </w:trPr>
        <w:tc>
          <w:tcPr>
            <w:tcW w:w="9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3"/>
              <w:ind w:left="274" w:right="275"/>
              <w:jc w:val="left"/>
              <w:rPr>
                <w:rFonts w:ascii="宋体" w:hAnsi="宋体" w:cs="宋体" w:eastAsia="宋体" w:hint="default"/>
                <w:sz w:val="21"/>
                <w:szCs w:val="21"/>
              </w:rPr>
            </w:pPr>
            <w:r>
              <w:rPr>
                <w:rFonts w:ascii="宋体" w:hAnsi="宋体" w:cs="宋体" w:eastAsia="宋体" w:hint="default"/>
                <w:sz w:val="21"/>
                <w:szCs w:val="21"/>
              </w:rPr>
              <w:t>董事 姓名</w:t>
            </w:r>
          </w:p>
        </w:tc>
        <w:tc>
          <w:tcPr>
            <w:tcW w:w="8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3"/>
              <w:ind w:left="102" w:right="102"/>
              <w:jc w:val="left"/>
              <w:rPr>
                <w:rFonts w:ascii="宋体" w:hAnsi="宋体" w:cs="宋体" w:eastAsia="宋体" w:hint="default"/>
                <w:sz w:val="21"/>
                <w:szCs w:val="21"/>
              </w:rPr>
            </w:pPr>
            <w:r>
              <w:rPr>
                <w:rFonts w:ascii="宋体" w:hAnsi="宋体" w:cs="宋体" w:eastAsia="宋体" w:hint="default"/>
                <w:sz w:val="21"/>
                <w:szCs w:val="21"/>
              </w:rPr>
              <w:t>是否独 立董事</w:t>
            </w:r>
          </w:p>
        </w:tc>
        <w:tc>
          <w:tcPr>
            <w:tcW w:w="596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
              <w:ind w:left="205" w:right="204"/>
              <w:jc w:val="left"/>
              <w:rPr>
                <w:rFonts w:ascii="宋体" w:hAnsi="宋体" w:cs="宋体" w:eastAsia="宋体" w:hint="default"/>
                <w:sz w:val="21"/>
                <w:szCs w:val="21"/>
              </w:rPr>
            </w:pPr>
            <w:r>
              <w:rPr>
                <w:rFonts w:ascii="宋体" w:hAnsi="宋体" w:cs="宋体" w:eastAsia="宋体" w:hint="default"/>
                <w:sz w:val="21"/>
                <w:szCs w:val="21"/>
              </w:rPr>
              <w:t>参加股东 大会情况</w:t>
            </w:r>
          </w:p>
        </w:tc>
      </w:tr>
      <w:tr>
        <w:trPr>
          <w:trHeight w:val="827" w:hRule="exact"/>
        </w:trPr>
        <w:tc>
          <w:tcPr>
            <w:tcW w:w="980" w:type="dxa"/>
            <w:vMerge/>
            <w:tcBorders>
              <w:left w:val="single" w:sz="4" w:space="0" w:color="000000"/>
              <w:bottom w:val="single" w:sz="4" w:space="0" w:color="000000"/>
              <w:right w:val="single" w:sz="4" w:space="0" w:color="000000"/>
            </w:tcBorders>
          </w:tcPr>
          <w:p>
            <w:pPr/>
          </w:p>
        </w:tc>
        <w:tc>
          <w:tcPr>
            <w:tcW w:w="846" w:type="dxa"/>
            <w:vMerge/>
            <w:tcBorders>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3"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6"/>
              <w:ind w:left="333" w:right="125" w:hanging="210"/>
              <w:jc w:val="left"/>
              <w:rPr>
                <w:rFonts w:ascii="宋体" w:hAnsi="宋体" w:cs="宋体" w:eastAsia="宋体" w:hint="default"/>
                <w:sz w:val="21"/>
                <w:szCs w:val="21"/>
              </w:rPr>
            </w:pPr>
            <w:r>
              <w:rPr>
                <w:rFonts w:ascii="宋体" w:hAnsi="宋体" w:cs="宋体" w:eastAsia="宋体" w:hint="default"/>
                <w:sz w:val="21"/>
                <w:szCs w:val="21"/>
              </w:rPr>
              <w:t>加董事会 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5" w:right="105"/>
              <w:jc w:val="left"/>
              <w:rPr>
                <w:rFonts w:ascii="宋体" w:hAnsi="宋体" w:cs="宋体" w:eastAsia="宋体" w:hint="default"/>
                <w:sz w:val="21"/>
                <w:szCs w:val="21"/>
              </w:rPr>
            </w:pPr>
            <w:r>
              <w:rPr>
                <w:rFonts w:ascii="宋体" w:hAnsi="宋体" w:cs="宋体" w:eastAsia="宋体" w:hint="default"/>
                <w:sz w:val="21"/>
                <w:szCs w:val="21"/>
              </w:rPr>
              <w:t>亲自出 席次数</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4"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6"/>
              <w:ind w:left="164" w:right="162"/>
              <w:jc w:val="left"/>
              <w:rPr>
                <w:rFonts w:ascii="宋体" w:hAnsi="宋体" w:cs="宋体" w:eastAsia="宋体" w:hint="default"/>
                <w:sz w:val="21"/>
                <w:szCs w:val="21"/>
              </w:rPr>
            </w:pPr>
            <w:r>
              <w:rPr>
                <w:rFonts w:ascii="宋体" w:hAnsi="宋体" w:cs="宋体" w:eastAsia="宋体" w:hint="default"/>
                <w:sz w:val="21"/>
                <w:szCs w:val="21"/>
              </w:rPr>
              <w:t>方式参 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30" w:right="132"/>
              <w:jc w:val="left"/>
              <w:rPr>
                <w:rFonts w:ascii="宋体" w:hAnsi="宋体" w:cs="宋体" w:eastAsia="宋体" w:hint="default"/>
                <w:sz w:val="21"/>
                <w:szCs w:val="21"/>
              </w:rPr>
            </w:pPr>
            <w:r>
              <w:rPr>
                <w:rFonts w:ascii="宋体" w:hAnsi="宋体" w:cs="宋体" w:eastAsia="宋体" w:hint="default"/>
                <w:sz w:val="21"/>
                <w:szCs w:val="21"/>
              </w:rPr>
              <w:t>委托出 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07" w:right="207"/>
              <w:jc w:val="left"/>
              <w:rPr>
                <w:rFonts w:ascii="宋体" w:hAnsi="宋体" w:cs="宋体" w:eastAsia="宋体" w:hint="default"/>
                <w:sz w:val="21"/>
                <w:szCs w:val="21"/>
              </w:rPr>
            </w:pPr>
            <w:r>
              <w:rPr>
                <w:rFonts w:ascii="宋体" w:hAnsi="宋体" w:cs="宋体" w:eastAsia="宋体" w:hint="default"/>
                <w:sz w:val="21"/>
                <w:szCs w:val="21"/>
              </w:rPr>
              <w:t>缺席 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6"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6"/>
              <w:ind w:left="326" w:right="114" w:hanging="210"/>
              <w:jc w:val="left"/>
              <w:rPr>
                <w:rFonts w:ascii="宋体" w:hAnsi="宋体" w:cs="宋体" w:eastAsia="宋体" w:hint="default"/>
                <w:sz w:val="21"/>
                <w:szCs w:val="21"/>
              </w:rPr>
            </w:pPr>
            <w:r>
              <w:rPr>
                <w:rFonts w:ascii="宋体" w:hAnsi="宋体" w:cs="宋体" w:eastAsia="宋体" w:hint="default"/>
                <w:sz w:val="21"/>
                <w:szCs w:val="21"/>
              </w:rPr>
              <w:t>次未亲自参 加会议</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5"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6"/>
              <w:ind w:left="520" w:right="204" w:hanging="316"/>
              <w:jc w:val="left"/>
              <w:rPr>
                <w:rFonts w:ascii="宋体" w:hAnsi="宋体" w:cs="宋体" w:eastAsia="宋体" w:hint="default"/>
                <w:sz w:val="21"/>
                <w:szCs w:val="21"/>
              </w:rPr>
            </w:pPr>
            <w:r>
              <w:rPr>
                <w:rFonts w:ascii="宋体" w:hAnsi="宋体" w:cs="宋体" w:eastAsia="宋体" w:hint="default"/>
                <w:sz w:val="21"/>
                <w:szCs w:val="21"/>
              </w:rPr>
              <w:t>大会的次 数</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王维航</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w:t>
            </w:r>
          </w:p>
        </w:tc>
        <w:tc>
          <w:tcPr>
            <w:tcW w:w="968"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梁达光</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w:t>
            </w:r>
          </w:p>
        </w:tc>
        <w:tc>
          <w:tcPr>
            <w:tcW w:w="968"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李伟</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w:t>
            </w:r>
          </w:p>
        </w:tc>
        <w:tc>
          <w:tcPr>
            <w:tcW w:w="968"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王斌</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w:t>
            </w:r>
          </w:p>
        </w:tc>
        <w:tc>
          <w:tcPr>
            <w:tcW w:w="968"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朱红仙</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w:t>
            </w:r>
          </w:p>
        </w:tc>
        <w:tc>
          <w:tcPr>
            <w:tcW w:w="968"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陈朝晖</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w:t>
            </w:r>
          </w:p>
        </w:tc>
        <w:tc>
          <w:tcPr>
            <w:tcW w:w="968"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沈青华</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w:t>
            </w:r>
          </w:p>
        </w:tc>
        <w:tc>
          <w:tcPr>
            <w:tcW w:w="968"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仝允桓</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w:t>
            </w:r>
          </w:p>
        </w:tc>
        <w:tc>
          <w:tcPr>
            <w:tcW w:w="968"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姜培维</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w:t>
            </w:r>
          </w:p>
        </w:tc>
        <w:tc>
          <w:tcPr>
            <w:tcW w:w="968"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r>
    </w:tbl>
    <w:p>
      <w:pPr>
        <w:spacing w:line="240" w:lineRule="exact" w:before="0"/>
        <w:ind w:left="218" w:right="101" w:firstLine="0"/>
        <w:jc w:val="left"/>
        <w:rPr>
          <w:rFonts w:ascii="宋体" w:hAnsi="宋体" w:cs="宋体" w:eastAsia="宋体" w:hint="default"/>
          <w:sz w:val="21"/>
          <w:szCs w:val="21"/>
        </w:rPr>
      </w:pPr>
      <w:r>
        <w:rPr>
          <w:rFonts w:ascii="宋体" w:hAnsi="宋体" w:cs="宋体" w:eastAsia="宋体" w:hint="default"/>
          <w:sz w:val="21"/>
          <w:szCs w:val="21"/>
        </w:rPr>
        <w:t>连续两次未亲自出席董事会会议的说明</w:t>
      </w:r>
    </w:p>
    <w:p>
      <w:pPr>
        <w:spacing w:line="240" w:lineRule="auto" w:before="13"/>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bl>
    <w:p>
      <w:pPr>
        <w:spacing w:line="240" w:lineRule="auto" w:before="6"/>
        <w:rPr>
          <w:rFonts w:ascii="宋体" w:hAnsi="宋体" w:cs="宋体" w:eastAsia="宋体" w:hint="default"/>
          <w:sz w:val="20"/>
          <w:szCs w:val="20"/>
        </w:rPr>
      </w:pPr>
    </w:p>
    <w:p>
      <w:pPr>
        <w:spacing w:line="300" w:lineRule="auto" w:before="26"/>
        <w:ind w:left="698" w:right="101" w:hanging="480"/>
        <w:jc w:val="left"/>
        <w:rPr>
          <w:rFonts w:ascii="宋体" w:hAnsi="宋体" w:cs="宋体" w:eastAsia="宋体" w:hint="default"/>
          <w:sz w:val="24"/>
          <w:szCs w:val="24"/>
        </w:rPr>
      </w:pPr>
      <w:r>
        <w:rPr>
          <w:rFonts w:ascii="Calibri" w:hAnsi="Calibri" w:cs="Calibri" w:eastAsia="Calibri" w:hint="default"/>
          <w:b/>
          <w:bCs/>
          <w:sz w:val="24"/>
          <w:szCs w:val="24"/>
        </w:rPr>
        <w:t>(</w:t>
      </w:r>
      <w:r>
        <w:rPr>
          <w:rFonts w:ascii="宋体" w:hAnsi="宋体" w:cs="宋体" w:eastAsia="宋体" w:hint="default"/>
          <w:b/>
          <w:bCs/>
          <w:sz w:val="24"/>
          <w:szCs w:val="24"/>
        </w:rPr>
        <w:t>二</w:t>
      </w:r>
      <w:r>
        <w:rPr>
          <w:rFonts w:ascii="Calibri" w:hAnsi="Calibri" w:cs="Calibri" w:eastAsia="Calibri" w:hint="default"/>
          <w:b/>
          <w:bCs/>
          <w:sz w:val="24"/>
          <w:szCs w:val="24"/>
        </w:rPr>
        <w:t>)</w:t>
      </w:r>
      <w:r>
        <w:rPr>
          <w:rFonts w:ascii="Calibri" w:hAnsi="Calibri" w:cs="Calibri" w:eastAsia="Calibri" w:hint="default"/>
          <w:b/>
          <w:bCs/>
          <w:spacing w:val="-21"/>
          <w:sz w:val="24"/>
          <w:szCs w:val="24"/>
        </w:rPr>
        <w:t> </w:t>
      </w:r>
      <w:r>
        <w:rPr>
          <w:rFonts w:ascii="宋体" w:hAnsi="宋体" w:cs="宋体" w:eastAsia="宋体" w:hint="default"/>
          <w:b/>
          <w:bCs/>
          <w:sz w:val="24"/>
          <w:szCs w:val="24"/>
        </w:rPr>
        <w:t>独立董事对公司有关事项提出异议的情况</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报告期内，公司独立董事未对公司本年度的董事会议案及其他非董事会议案事项</w:t>
      </w:r>
    </w:p>
    <w:p>
      <w:pPr>
        <w:pStyle w:val="BodyText"/>
        <w:spacing w:line="251" w:lineRule="exact"/>
        <w:ind w:left="218" w:right="101"/>
        <w:jc w:val="left"/>
      </w:pPr>
      <w:r>
        <w:rPr/>
        <w:t>提出异议。</w:t>
      </w:r>
    </w:p>
    <w:p>
      <w:pPr>
        <w:spacing w:line="240" w:lineRule="auto" w:before="4"/>
        <w:rPr>
          <w:rFonts w:ascii="宋体" w:hAnsi="宋体" w:cs="宋体" w:eastAsia="宋体" w:hint="default"/>
          <w:sz w:val="34"/>
          <w:szCs w:val="34"/>
        </w:rPr>
      </w:pPr>
    </w:p>
    <w:p>
      <w:pPr>
        <w:tabs>
          <w:tab w:pos="1057" w:val="left" w:leader="none"/>
        </w:tabs>
        <w:spacing w:line="283" w:lineRule="auto" w:before="0"/>
        <w:ind w:left="638" w:right="246" w:hanging="420"/>
        <w:jc w:val="left"/>
        <w:rPr>
          <w:rFonts w:ascii="宋体" w:hAnsi="宋体" w:cs="宋体" w:eastAsia="宋体" w:hint="default"/>
          <w:sz w:val="24"/>
          <w:szCs w:val="24"/>
        </w:rPr>
      </w:pPr>
      <w:r>
        <w:rPr>
          <w:rFonts w:ascii="宋体" w:hAnsi="宋体" w:cs="宋体" w:eastAsia="宋体" w:hint="default"/>
          <w:b/>
          <w:bCs/>
          <w:w w:val="95"/>
          <w:sz w:val="24"/>
          <w:szCs w:val="24"/>
        </w:rPr>
        <w:t>四、</w:t>
        <w:tab/>
      </w:r>
      <w:r>
        <w:rPr>
          <w:rFonts w:ascii="宋体" w:hAnsi="宋体" w:cs="宋体" w:eastAsia="宋体" w:hint="default"/>
          <w:b/>
          <w:bCs/>
          <w:sz w:val="24"/>
          <w:szCs w:val="24"/>
        </w:rPr>
        <w:t>董事会下设专门委员会在报告期内履行职责时所提出的重要意见和建议</w:t>
      </w:r>
      <w:r>
        <w:rPr>
          <w:rFonts w:ascii="宋体" w:hAnsi="宋体" w:cs="宋体" w:eastAsia="宋体" w:hint="default"/>
          <w:b/>
          <w:bCs/>
          <w:w w:val="99"/>
          <w:sz w:val="24"/>
          <w:szCs w:val="24"/>
        </w:rPr>
        <w:t> </w:t>
      </w:r>
      <w:r>
        <w:rPr>
          <w:rFonts w:ascii="宋体" w:hAnsi="宋体" w:cs="宋体" w:eastAsia="宋体" w:hint="default"/>
          <w:sz w:val="24"/>
          <w:szCs w:val="24"/>
        </w:rPr>
        <w:t>报告期内，公司董事会各专门委员会按照各自议事规则的规定，以认真负责、勤</w:t>
      </w:r>
    </w:p>
    <w:p>
      <w:pPr>
        <w:pStyle w:val="BodyText"/>
        <w:spacing w:line="266" w:lineRule="exact"/>
        <w:ind w:left="218" w:right="101"/>
        <w:jc w:val="left"/>
      </w:pPr>
      <w:r>
        <w:rPr/>
        <w:t>勉诚信的态度忠实履行各自职责，在完善公司治理、公司战略、内控体系建设等方面</w:t>
      </w:r>
    </w:p>
    <w:p>
      <w:pPr>
        <w:pStyle w:val="BodyText"/>
        <w:spacing w:line="237" w:lineRule="auto" w:before="1"/>
        <w:ind w:left="218" w:right="233"/>
        <w:jc w:val="both"/>
      </w:pPr>
      <w:r>
        <w:rPr>
          <w:spacing w:val="-2"/>
        </w:rPr>
        <w:t>发挥了积极有效的作用。董事会审计委员会在公司聘任审计机构、编制定期报告、内</w:t>
      </w:r>
      <w:r>
        <w:rPr>
          <w:spacing w:val="-94"/>
        </w:rPr>
        <w:t> </w:t>
      </w:r>
      <w:r>
        <w:rPr>
          <w:spacing w:val="-94"/>
        </w:rPr>
      </w:r>
      <w:r>
        <w:rPr>
          <w:spacing w:val="-2"/>
        </w:rPr>
        <w:t>控实施等事项的决策中，实施了有效监督，提出了许多建设性意见和建议，并保持与</w:t>
      </w:r>
      <w:r>
        <w:rPr>
          <w:spacing w:val="-94"/>
        </w:rPr>
        <w:t> </w:t>
      </w:r>
      <w:r>
        <w:rPr>
          <w:spacing w:val="-94"/>
        </w:rPr>
      </w:r>
      <w:r>
        <w:rPr>
          <w:spacing w:val="-2"/>
        </w:rPr>
        <w:t>外部审计机构的有效沟通；董事会战略委员会、提名委员会和薪酬与考核委员会在公</w:t>
      </w:r>
      <w:r>
        <w:rPr>
          <w:spacing w:val="-94"/>
        </w:rPr>
        <w:t> </w:t>
      </w:r>
      <w:r>
        <w:rPr>
          <w:spacing w:val="-94"/>
        </w:rPr>
      </w:r>
      <w:r>
        <w:rPr>
          <w:spacing w:val="-2"/>
        </w:rPr>
        <w:t>司战略、重大项目论证、董事及高管人员更换、高管人员年度考核等方面提出了有建</w:t>
      </w:r>
      <w:r>
        <w:rPr>
          <w:spacing w:val="-94"/>
        </w:rPr>
        <w:t> </w:t>
      </w:r>
      <w:r>
        <w:rPr>
          <w:spacing w:val="-94"/>
        </w:rPr>
      </w:r>
      <w:r>
        <w:rPr/>
        <w:t>设性的意见和建议。</w:t>
      </w:r>
    </w:p>
    <w:p>
      <w:pPr>
        <w:spacing w:after="0" w:line="237" w:lineRule="auto"/>
        <w:jc w:val="both"/>
        <w:sectPr>
          <w:pgSz w:w="11910" w:h="16840"/>
          <w:pgMar w:header="882" w:footer="1194" w:top="1120" w:bottom="1380" w:left="1580" w:right="1040"/>
        </w:sectPr>
      </w:pPr>
    </w:p>
    <w:p>
      <w:pPr>
        <w:spacing w:line="240" w:lineRule="auto" w:before="10"/>
        <w:rPr>
          <w:rFonts w:ascii="宋体" w:hAnsi="宋体" w:cs="宋体" w:eastAsia="宋体" w:hint="default"/>
          <w:sz w:val="25"/>
          <w:szCs w:val="25"/>
        </w:rPr>
      </w:pPr>
    </w:p>
    <w:p>
      <w:pPr>
        <w:tabs>
          <w:tab w:pos="977" w:val="left" w:leader="none"/>
        </w:tabs>
        <w:spacing w:line="283" w:lineRule="auto" w:before="26"/>
        <w:ind w:left="562" w:right="214" w:hanging="425"/>
        <w:jc w:val="left"/>
        <w:rPr>
          <w:rFonts w:ascii="宋体" w:hAnsi="宋体" w:cs="宋体" w:eastAsia="宋体" w:hint="default"/>
          <w:sz w:val="24"/>
          <w:szCs w:val="24"/>
        </w:rPr>
      </w:pPr>
      <w:r>
        <w:rPr>
          <w:rFonts w:ascii="宋体" w:hAnsi="宋体" w:cs="宋体" w:eastAsia="宋体" w:hint="default"/>
          <w:b/>
          <w:bCs/>
          <w:w w:val="95"/>
          <w:sz w:val="24"/>
          <w:szCs w:val="24"/>
        </w:rPr>
        <w:t>五、</w:t>
        <w:tab/>
      </w:r>
      <w:r>
        <w:rPr>
          <w:rFonts w:ascii="宋体" w:hAnsi="宋体" w:cs="宋体" w:eastAsia="宋体" w:hint="default"/>
          <w:b/>
          <w:bCs/>
          <w:sz w:val="24"/>
          <w:szCs w:val="24"/>
        </w:rPr>
        <w:t>监事会发现公司存在风险的说明</w:t>
      </w:r>
      <w:r>
        <w:rPr>
          <w:rFonts w:ascii="宋体" w:hAnsi="宋体" w:cs="宋体" w:eastAsia="宋体" w:hint="default"/>
          <w:b/>
          <w:bCs/>
          <w:w w:val="99"/>
          <w:sz w:val="24"/>
          <w:szCs w:val="24"/>
        </w:rPr>
        <w:t> </w:t>
      </w:r>
      <w:r>
        <w:rPr>
          <w:rFonts w:ascii="宋体" w:hAnsi="宋体" w:cs="宋体" w:eastAsia="宋体" w:hint="default"/>
          <w:spacing w:val="-7"/>
          <w:sz w:val="24"/>
          <w:szCs w:val="24"/>
        </w:rPr>
        <w:t>报告期内，公司监事会依据有关法律法规，对公司的财务状况进行了监督和检查，</w:t>
      </w:r>
    </w:p>
    <w:p>
      <w:pPr>
        <w:pStyle w:val="BodyText"/>
        <w:spacing w:line="267" w:lineRule="exact"/>
        <w:ind w:right="101"/>
        <w:jc w:val="left"/>
      </w:pPr>
      <w:r>
        <w:rPr/>
        <w:t>列席了各次董事会和股东大会，认为公司董事会决策程序合法，建立了符合公司现状</w:t>
      </w:r>
    </w:p>
    <w:p>
      <w:pPr>
        <w:pStyle w:val="BodyText"/>
        <w:spacing w:line="237" w:lineRule="auto" w:before="1"/>
        <w:ind w:right="213"/>
        <w:jc w:val="both"/>
      </w:pPr>
      <w:r>
        <w:rPr>
          <w:spacing w:val="-2"/>
        </w:rPr>
        <w:t>的内部控制制度，公司董事、高级管理人员能够勤勉尽责地履行各自职责，在执行职</w:t>
      </w:r>
      <w:r>
        <w:rPr>
          <w:spacing w:val="-94"/>
        </w:rPr>
        <w:t> </w:t>
      </w:r>
      <w:r>
        <w:rPr>
          <w:spacing w:val="-94"/>
        </w:rPr>
      </w:r>
      <w:r>
        <w:rPr>
          <w:spacing w:val="-2"/>
        </w:rPr>
        <w:t>务时能够严格按照法律、法规、公司章程的规定进行，没有发现损害公司利益和广大</w:t>
      </w:r>
      <w:r>
        <w:rPr>
          <w:spacing w:val="-94"/>
        </w:rPr>
        <w:t> </w:t>
      </w:r>
      <w:r>
        <w:rPr>
          <w:spacing w:val="-94"/>
        </w:rPr>
      </w:r>
      <w:r>
        <w:rPr/>
        <w:t>投资者利益的行为。</w:t>
      </w:r>
    </w:p>
    <w:p>
      <w:pPr>
        <w:spacing w:line="240" w:lineRule="auto" w:before="13"/>
        <w:rPr>
          <w:rFonts w:ascii="宋体" w:hAnsi="宋体" w:cs="宋体" w:eastAsia="宋体" w:hint="default"/>
          <w:sz w:val="31"/>
          <w:szCs w:val="31"/>
        </w:rPr>
      </w:pPr>
    </w:p>
    <w:p>
      <w:pPr>
        <w:tabs>
          <w:tab w:pos="977" w:val="left" w:leader="none"/>
        </w:tabs>
        <w:spacing w:line="261" w:lineRule="auto" w:before="0"/>
        <w:ind w:left="562" w:right="221" w:hanging="425"/>
        <w:jc w:val="left"/>
        <w:rPr>
          <w:rFonts w:ascii="宋体" w:hAnsi="宋体" w:cs="宋体" w:eastAsia="宋体" w:hint="default"/>
          <w:sz w:val="24"/>
          <w:szCs w:val="24"/>
        </w:rPr>
      </w:pPr>
      <w:r>
        <w:rPr>
          <w:rFonts w:ascii="宋体" w:hAnsi="宋体" w:cs="宋体" w:eastAsia="宋体" w:hint="default"/>
          <w:b/>
          <w:bCs/>
          <w:w w:val="95"/>
          <w:sz w:val="24"/>
          <w:szCs w:val="24"/>
        </w:rPr>
        <w:t>六、</w:t>
        <w:tab/>
      </w:r>
      <w:r>
        <w:rPr>
          <w:rFonts w:ascii="宋体" w:hAnsi="宋体" w:cs="宋体" w:eastAsia="宋体" w:hint="default"/>
          <w:b/>
          <w:bCs/>
          <w:sz w:val="24"/>
          <w:szCs w:val="24"/>
        </w:rPr>
        <w:t>公司就其与控股股东在业务、人员、资产、机构、财务等方面存在的不能保</w:t>
      </w:r>
      <w:r>
        <w:rPr>
          <w:rFonts w:ascii="宋体" w:hAnsi="宋体" w:cs="宋体" w:eastAsia="宋体" w:hint="default"/>
          <w:b/>
          <w:bCs/>
          <w:spacing w:val="-100"/>
          <w:sz w:val="24"/>
          <w:szCs w:val="24"/>
        </w:rPr>
        <w:t> </w:t>
      </w:r>
      <w:r>
        <w:rPr>
          <w:rFonts w:ascii="宋体" w:hAnsi="宋体" w:cs="宋体" w:eastAsia="宋体" w:hint="default"/>
          <w:b/>
          <w:bCs/>
          <w:spacing w:val="-100"/>
          <w:sz w:val="24"/>
          <w:szCs w:val="24"/>
        </w:rPr>
      </w:r>
      <w:r>
        <w:rPr>
          <w:rFonts w:ascii="宋体" w:hAnsi="宋体" w:cs="宋体" w:eastAsia="宋体" w:hint="default"/>
          <w:b/>
          <w:bCs/>
          <w:sz w:val="24"/>
          <w:szCs w:val="24"/>
        </w:rPr>
        <w:t>证独立性、不能保持自主经营能力的情况说明</w:t>
      </w:r>
      <w:r>
        <w:rPr>
          <w:rFonts w:ascii="宋体" w:hAnsi="宋体" w:cs="宋体" w:eastAsia="宋体" w:hint="default"/>
          <w:b/>
          <w:bCs/>
          <w:w w:val="99"/>
          <w:sz w:val="24"/>
          <w:szCs w:val="24"/>
        </w:rPr>
        <w:t> </w:t>
      </w:r>
      <w:r>
        <w:rPr>
          <w:rFonts w:ascii="宋体" w:hAnsi="宋体" w:cs="宋体" w:eastAsia="宋体" w:hint="default"/>
          <w:sz w:val="24"/>
          <w:szCs w:val="24"/>
        </w:rPr>
        <w:t>报告期内，公司相对于控股股东在业务、人员、资产、机构、财务等方面均具有</w:t>
      </w:r>
    </w:p>
    <w:p>
      <w:pPr>
        <w:pStyle w:val="BodyText"/>
        <w:spacing w:line="289" w:lineRule="exact"/>
        <w:ind w:right="214"/>
        <w:jc w:val="left"/>
      </w:pPr>
      <w:r>
        <w:rPr/>
        <w:t>独立性。</w:t>
      </w:r>
    </w:p>
    <w:p>
      <w:pPr>
        <w:spacing w:line="240" w:lineRule="auto" w:before="0"/>
        <w:rPr>
          <w:rFonts w:ascii="宋体" w:hAnsi="宋体" w:cs="宋体" w:eastAsia="宋体" w:hint="default"/>
          <w:sz w:val="32"/>
          <w:szCs w:val="32"/>
        </w:rPr>
      </w:pPr>
    </w:p>
    <w:p>
      <w:pPr>
        <w:tabs>
          <w:tab w:pos="977" w:val="left" w:leader="none"/>
        </w:tabs>
        <w:spacing w:line="328" w:lineRule="auto" w:before="0"/>
        <w:ind w:left="618" w:right="213" w:hanging="480"/>
        <w:jc w:val="left"/>
        <w:rPr>
          <w:rFonts w:ascii="宋体" w:hAnsi="宋体" w:cs="宋体" w:eastAsia="宋体" w:hint="default"/>
          <w:sz w:val="24"/>
          <w:szCs w:val="24"/>
        </w:rPr>
      </w:pPr>
      <w:r>
        <w:rPr>
          <w:rFonts w:ascii="宋体" w:hAnsi="宋体" w:cs="宋体" w:eastAsia="宋体" w:hint="default"/>
          <w:b/>
          <w:bCs/>
          <w:w w:val="95"/>
          <w:sz w:val="24"/>
          <w:szCs w:val="24"/>
        </w:rPr>
        <w:t>七、</w:t>
        <w:tab/>
      </w:r>
      <w:r>
        <w:rPr>
          <w:rFonts w:ascii="宋体" w:hAnsi="宋体" w:cs="宋体" w:eastAsia="宋体" w:hint="default"/>
          <w:b/>
          <w:bCs/>
          <w:sz w:val="24"/>
          <w:szCs w:val="24"/>
        </w:rPr>
        <w:t>报告期内对高级管理人员的考评机制，以及激励机制的建立、实施情况</w:t>
      </w:r>
      <w:r>
        <w:rPr>
          <w:rFonts w:ascii="宋体" w:hAnsi="宋体" w:cs="宋体" w:eastAsia="宋体" w:hint="default"/>
          <w:b/>
          <w:bCs/>
          <w:w w:val="99"/>
          <w:sz w:val="24"/>
          <w:szCs w:val="24"/>
        </w:rPr>
        <w:t> </w:t>
      </w:r>
      <w:r>
        <w:rPr>
          <w:rFonts w:ascii="宋体" w:hAnsi="宋体" w:cs="宋体" w:eastAsia="宋体" w:hint="default"/>
          <w:spacing w:val="-2"/>
          <w:sz w:val="24"/>
          <w:szCs w:val="24"/>
        </w:rPr>
        <w:t>公司进一步完善高级管理人员的绩效考评标准和流程，加大了对于高级管理人员</w:t>
      </w:r>
    </w:p>
    <w:p>
      <w:pPr>
        <w:pStyle w:val="BodyText"/>
        <w:spacing w:line="221" w:lineRule="exact"/>
        <w:ind w:right="101"/>
        <w:jc w:val="left"/>
      </w:pPr>
      <w:r>
        <w:rPr/>
        <w:t>考核利润指标完成情况的定期审核与评估，同时今年重点强调高管人员的述职考核，</w:t>
      </w:r>
    </w:p>
    <w:p>
      <w:pPr>
        <w:pStyle w:val="BodyText"/>
        <w:spacing w:line="310" w:lineRule="exact" w:before="31"/>
        <w:ind w:right="225"/>
        <w:jc w:val="both"/>
      </w:pPr>
      <w:r>
        <w:rPr/>
        <w:t>并根据结果实施不同的人力绩效管理措施。其中对总体业绩目标完成率未达到</w:t>
      </w:r>
      <w:r>
        <w:rPr>
          <w:spacing w:val="-60"/>
        </w:rPr>
        <w:t> </w:t>
      </w:r>
      <w:r>
        <w:rPr>
          <w:rFonts w:ascii="宋体" w:hAnsi="宋体" w:cs="宋体" w:eastAsia="宋体" w:hint="default"/>
        </w:rPr>
        <w:t>60%</w:t>
      </w:r>
      <w:r>
        <w:rPr/>
        <w:t>的 被考核人员，要求其自动提出辞去本职工作申请。</w:t>
      </w:r>
    </w:p>
    <w:p>
      <w:pPr>
        <w:pStyle w:val="BodyText"/>
        <w:spacing w:line="310" w:lineRule="exact" w:before="122"/>
        <w:ind w:right="213" w:firstLine="480"/>
        <w:jc w:val="both"/>
      </w:pPr>
      <w:r>
        <w:rPr>
          <w:spacing w:val="-2"/>
        </w:rPr>
        <w:t>公司将进一步完善全面薪酬结构体系和激励机制；通过股权激励机制使高级管理</w:t>
      </w:r>
      <w:r>
        <w:rPr/>
        <w:t> </w:t>
      </w:r>
      <w:r>
        <w:rPr>
          <w:spacing w:val="-2"/>
        </w:rPr>
        <w:t>人员及核心员工的薪酬收入与公司业绩表现更加紧密的结合起来，使激励对象的行为</w:t>
      </w:r>
      <w:r>
        <w:rPr>
          <w:spacing w:val="-93"/>
        </w:rPr>
        <w:t> </w:t>
      </w:r>
      <w:r>
        <w:rPr>
          <w:spacing w:val="-93"/>
        </w:rPr>
      </w:r>
      <w:r>
        <w:rPr/>
        <w:t>与公司的战略目标保持一致，促进公司长远战略目标的实现。</w:t>
      </w:r>
    </w:p>
    <w:p>
      <w:pPr>
        <w:spacing w:after="0" w:line="310" w:lineRule="exact"/>
        <w:jc w:val="both"/>
        <w:sectPr>
          <w:pgSz w:w="11910" w:h="16840"/>
          <w:pgMar w:header="882" w:footer="1194" w:top="112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4622" w:val="left" w:leader="none"/>
        </w:tabs>
        <w:spacing w:line="240" w:lineRule="auto" w:before="164"/>
        <w:ind w:left="3362" w:right="128"/>
        <w:jc w:val="left"/>
        <w:rPr>
          <w:rFonts w:ascii="黑体" w:hAnsi="黑体" w:cs="黑体" w:eastAsia="黑体" w:hint="default"/>
          <w:b w:val="0"/>
          <w:bCs w:val="0"/>
        </w:rPr>
      </w:pPr>
      <w:bookmarkStart w:name="_TOC_250002" w:id="9"/>
      <w:r>
        <w:rPr>
          <w:rFonts w:ascii="黑体" w:hAnsi="黑体" w:cs="黑体" w:eastAsia="黑体" w:hint="default"/>
          <w:w w:val="95"/>
        </w:rPr>
        <w:t>第九节</w:t>
        <w:tab/>
      </w:r>
      <w:r>
        <w:rPr>
          <w:rFonts w:ascii="黑体" w:hAnsi="黑体" w:cs="黑体" w:eastAsia="黑体" w:hint="default"/>
        </w:rPr>
        <w:t>内部控制</w:t>
      </w:r>
      <w:bookmarkEnd w:id="9"/>
      <w:r>
        <w:rPr>
          <w:rFonts w:ascii="黑体" w:hAnsi="黑体" w:cs="黑体" w:eastAsia="黑体" w:hint="default"/>
          <w:b w:val="0"/>
          <w:bCs w:val="0"/>
        </w:rPr>
      </w:r>
    </w:p>
    <w:p>
      <w:pPr>
        <w:tabs>
          <w:tab w:pos="977" w:val="left" w:leader="none"/>
        </w:tabs>
        <w:spacing w:line="328" w:lineRule="auto" w:before="245"/>
        <w:ind w:left="138" w:right="3553" w:firstLine="0"/>
        <w:jc w:val="left"/>
        <w:rPr>
          <w:rFonts w:ascii="宋体" w:hAnsi="宋体" w:cs="宋体" w:eastAsia="宋体" w:hint="default"/>
          <w:sz w:val="24"/>
          <w:szCs w:val="24"/>
        </w:rPr>
      </w:pPr>
      <w:r>
        <w:rPr>
          <w:rFonts w:ascii="宋体" w:hAnsi="宋体" w:cs="宋体" w:eastAsia="宋体" w:hint="default"/>
          <w:b/>
          <w:bCs/>
          <w:w w:val="95"/>
          <w:sz w:val="24"/>
          <w:szCs w:val="24"/>
        </w:rPr>
        <w:t>一、</w:t>
        <w:tab/>
        <w:t>内部控制责任声明及内部控制制度建设情况</w:t>
      </w:r>
      <w:r>
        <w:rPr>
          <w:rFonts w:ascii="宋体" w:hAnsi="宋体" w:cs="宋体" w:eastAsia="宋体" w:hint="default"/>
          <w:b/>
          <w:bCs/>
          <w:spacing w:val="96"/>
          <w:w w:val="95"/>
          <w:sz w:val="24"/>
          <w:szCs w:val="24"/>
        </w:rPr>
        <w:t> </w:t>
      </w:r>
      <w:r>
        <w:rPr>
          <w:rFonts w:ascii="宋体" w:hAnsi="宋体" w:cs="宋体" w:eastAsia="宋体" w:hint="default"/>
          <w:b/>
          <w:bCs/>
          <w:spacing w:val="96"/>
          <w:w w:val="95"/>
          <w:sz w:val="24"/>
          <w:szCs w:val="24"/>
        </w:rPr>
      </w:r>
      <w:r>
        <w:rPr>
          <w:rFonts w:ascii="宋体" w:hAnsi="宋体" w:cs="宋体" w:eastAsia="宋体" w:hint="default"/>
          <w:sz w:val="24"/>
          <w:szCs w:val="24"/>
        </w:rPr>
        <w:t>1</w:t>
      </w:r>
      <w:r>
        <w:rPr>
          <w:rFonts w:ascii="宋体" w:hAnsi="宋体" w:cs="宋体" w:eastAsia="宋体" w:hint="default"/>
          <w:sz w:val="24"/>
          <w:szCs w:val="24"/>
        </w:rPr>
        <w:t>、内部控制建设的总体方案</w:t>
      </w:r>
    </w:p>
    <w:p>
      <w:pPr>
        <w:pStyle w:val="BodyText"/>
        <w:spacing w:line="237" w:lineRule="auto" w:before="30"/>
        <w:ind w:right="133" w:firstLine="480"/>
        <w:jc w:val="both"/>
      </w:pPr>
      <w:r>
        <w:rPr>
          <w:spacing w:val="-2"/>
        </w:rPr>
        <w:t>公司依据《公司法》和国家其他有关法律法规以及上海证券交易所《上市公司内</w:t>
      </w:r>
      <w:r>
        <w:rPr/>
        <w:t> </w:t>
      </w:r>
      <w:r>
        <w:rPr>
          <w:spacing w:val="-2"/>
        </w:rPr>
        <w:t>部控制指引》和国家五部委颁布的《企业内部控制基本规范》的规定，根据公司实际</w:t>
      </w:r>
      <w:r>
        <w:rPr>
          <w:spacing w:val="-94"/>
        </w:rPr>
        <w:t> </w:t>
      </w:r>
      <w:r>
        <w:rPr>
          <w:spacing w:val="-94"/>
        </w:rPr>
      </w:r>
      <w:r>
        <w:rPr>
          <w:spacing w:val="-2"/>
        </w:rPr>
        <w:t>情况，建立了符合现代企业法人治理结构的内部控制体系。其基本目标是：合理保证</w:t>
      </w:r>
      <w:r>
        <w:rPr>
          <w:spacing w:val="-94"/>
        </w:rPr>
        <w:t> </w:t>
      </w:r>
      <w:r>
        <w:rPr>
          <w:spacing w:val="-94"/>
        </w:rPr>
      </w:r>
      <w:r>
        <w:rPr>
          <w:spacing w:val="-2"/>
        </w:rPr>
        <w:t>企业经营管理合法合规、资产安全、财务报告及相关信息真实完整，提高经营效率和</w:t>
      </w:r>
      <w:r>
        <w:rPr>
          <w:spacing w:val="-94"/>
        </w:rPr>
        <w:t> </w:t>
      </w:r>
      <w:r>
        <w:rPr>
          <w:spacing w:val="-94"/>
        </w:rPr>
      </w:r>
      <w:r>
        <w:rPr>
          <w:spacing w:val="-2"/>
        </w:rPr>
        <w:t>效果，促进企业实现发展战略。依据《企业内部控制基本规范》的内部环境、风险评</w:t>
      </w:r>
      <w:r>
        <w:rPr>
          <w:spacing w:val="-96"/>
        </w:rPr>
        <w:t> </w:t>
      </w:r>
      <w:r>
        <w:rPr>
          <w:spacing w:val="-96"/>
        </w:rPr>
      </w:r>
      <w:r>
        <w:rPr>
          <w:spacing w:val="-2"/>
        </w:rPr>
        <w:t>估、控制活动、信息和沟通、内部监督等五要素要求，围绕公司战略目标，依托公司</w:t>
      </w:r>
      <w:r>
        <w:rPr>
          <w:spacing w:val="-96"/>
        </w:rPr>
        <w:t> </w:t>
      </w:r>
      <w:r>
        <w:rPr>
          <w:spacing w:val="-96"/>
        </w:rPr>
      </w:r>
      <w:r>
        <w:rPr>
          <w:spacing w:val="-2"/>
        </w:rPr>
        <w:t>管理基础，《内部控制手册》、《内部控制评价手册》等内部控制的相关制度和操作</w:t>
      </w:r>
      <w:r>
        <w:rPr>
          <w:spacing w:val="-96"/>
        </w:rPr>
        <w:t> </w:t>
      </w:r>
      <w:r>
        <w:rPr>
          <w:spacing w:val="-96"/>
        </w:rPr>
      </w:r>
      <w:r>
        <w:rPr>
          <w:spacing w:val="-2"/>
        </w:rPr>
        <w:t>手册并及时进行了修订和完善，为创建、运行及维护良好的公司内部控制体系提供了</w:t>
      </w:r>
      <w:r>
        <w:rPr>
          <w:spacing w:val="-94"/>
        </w:rPr>
        <w:t> </w:t>
      </w:r>
      <w:r>
        <w:rPr>
          <w:spacing w:val="-94"/>
        </w:rPr>
      </w:r>
      <w:r>
        <w:rPr/>
        <w:t>制度上的保证。</w:t>
      </w:r>
    </w:p>
    <w:p>
      <w:pPr>
        <w:pStyle w:val="BodyText"/>
        <w:spacing w:line="328" w:lineRule="auto" w:before="118"/>
        <w:ind w:left="618" w:right="128" w:hanging="480"/>
        <w:jc w:val="left"/>
      </w:pPr>
      <w:r>
        <w:rPr>
          <w:rFonts w:ascii="宋体" w:hAnsi="宋体" w:cs="宋体" w:eastAsia="宋体" w:hint="default"/>
        </w:rPr>
        <w:t>2</w:t>
      </w:r>
      <w:r>
        <w:rPr/>
        <w:t>、内部控制制度建立健全的工作计划及其实施情况 </w:t>
      </w:r>
      <w:r>
        <w:rPr>
          <w:spacing w:val="-2"/>
        </w:rPr>
        <w:t>公司已建立和实施的内部控制制度以规范决策、执行、监督为主要内容，涵盖了</w:t>
      </w:r>
    </w:p>
    <w:p>
      <w:pPr>
        <w:pStyle w:val="BodyText"/>
        <w:spacing w:line="222" w:lineRule="exact"/>
        <w:ind w:right="0"/>
        <w:jc w:val="left"/>
      </w:pPr>
      <w:r>
        <w:rPr/>
        <w:t>公司治理、业务循环、业务流程、信息与沟通等公司各个经营管理过程，目前已形成</w:t>
      </w:r>
    </w:p>
    <w:p>
      <w:pPr>
        <w:pStyle w:val="BodyText"/>
        <w:spacing w:line="328" w:lineRule="auto"/>
        <w:ind w:right="4988"/>
        <w:jc w:val="left"/>
      </w:pPr>
      <w:r>
        <w:rPr/>
        <w:t>规范健全的内部控制体系。 </w:t>
      </w:r>
      <w:r>
        <w:rPr>
          <w:rFonts w:ascii="宋体" w:hAnsi="宋体" w:cs="宋体" w:eastAsia="宋体" w:hint="default"/>
        </w:rPr>
        <w:t>3</w:t>
      </w:r>
      <w:r>
        <w:rPr/>
        <w:t>、内部控制检查监督部门的设置情况</w:t>
      </w:r>
    </w:p>
    <w:p>
      <w:pPr>
        <w:pStyle w:val="BodyText"/>
        <w:spacing w:line="237" w:lineRule="auto" w:before="32"/>
        <w:ind w:right="133" w:firstLine="480"/>
        <w:jc w:val="both"/>
      </w:pPr>
      <w:r>
        <w:rPr>
          <w:spacing w:val="-8"/>
        </w:rPr>
        <w:t>公司董事会下设的审计委员会，负责公司内、外部审计的沟通、监督和核查工作，</w:t>
      </w:r>
      <w:r>
        <w:rPr/>
        <w:t> </w:t>
      </w:r>
      <w:r>
        <w:rPr>
          <w:spacing w:val="-2"/>
        </w:rPr>
        <w:t>确保董事会对公司内部控制制度执行的有效监督。公司内部审计部门是公司内部监督</w:t>
      </w:r>
      <w:r>
        <w:rPr>
          <w:spacing w:val="-93"/>
        </w:rPr>
        <w:t> </w:t>
      </w:r>
      <w:r>
        <w:rPr>
          <w:spacing w:val="-93"/>
        </w:rPr>
      </w:r>
      <w:r>
        <w:rPr>
          <w:spacing w:val="-2"/>
        </w:rPr>
        <w:t>体系和自我约束机制的重要组成部分，对公司内部控制制度的执行进行日常监管，履</w:t>
      </w:r>
      <w:r>
        <w:rPr>
          <w:spacing w:val="-94"/>
        </w:rPr>
        <w:t> </w:t>
      </w:r>
      <w:r>
        <w:rPr>
          <w:spacing w:val="-94"/>
        </w:rPr>
      </w:r>
      <w:r>
        <w:rPr>
          <w:spacing w:val="-2"/>
        </w:rPr>
        <w:t>行独立的监督和评价职能，对公司及分子公司内部控制制度的执行情况等进行检查和</w:t>
      </w:r>
      <w:r>
        <w:rPr>
          <w:spacing w:val="-93"/>
        </w:rPr>
        <w:t> </w:t>
      </w:r>
      <w:r>
        <w:rPr>
          <w:spacing w:val="-93"/>
        </w:rPr>
      </w:r>
      <w:r>
        <w:rPr/>
        <w:t>监督，定期对公司内部控制制度是否有效、健全进行评估，并提出改进意见。</w:t>
      </w:r>
    </w:p>
    <w:p>
      <w:pPr>
        <w:pStyle w:val="BodyText"/>
        <w:spacing w:line="328" w:lineRule="auto" w:before="118"/>
        <w:ind w:left="618" w:right="128" w:hanging="480"/>
        <w:jc w:val="left"/>
      </w:pPr>
      <w:r>
        <w:rPr>
          <w:rFonts w:ascii="宋体" w:hAnsi="宋体" w:cs="宋体" w:eastAsia="宋体" w:hint="default"/>
        </w:rPr>
        <w:t>4</w:t>
      </w:r>
      <w:r>
        <w:rPr/>
        <w:t>、内部监督和内部控制自我评价工作开展情况 </w:t>
      </w:r>
      <w:r>
        <w:rPr>
          <w:spacing w:val="-2"/>
        </w:rPr>
        <w:t>依据公司内部控制制度，报告期内审计部门对公司内部控制制度的执行进行了监</w:t>
      </w:r>
    </w:p>
    <w:p>
      <w:pPr>
        <w:pStyle w:val="BodyText"/>
        <w:spacing w:line="221" w:lineRule="exact"/>
        <w:ind w:right="0"/>
        <w:jc w:val="left"/>
      </w:pPr>
      <w:r>
        <w:rPr>
          <w:spacing w:val="-8"/>
        </w:rPr>
        <w:t>督和检查，定期对内部控制制度是否有效、健全进行评估并提出意见。按照有关要求，</w:t>
      </w:r>
    </w:p>
    <w:p>
      <w:pPr>
        <w:pStyle w:val="BodyText"/>
        <w:spacing w:line="310" w:lineRule="exact" w:before="31"/>
        <w:ind w:right="128"/>
        <w:jc w:val="left"/>
      </w:pPr>
      <w:r>
        <w:rPr>
          <w:spacing w:val="-2"/>
        </w:rPr>
        <w:t>审计部门对公司年度内部控制情况进行了评价，并形成内部控制评价报告，提交给董</w:t>
      </w:r>
      <w:r>
        <w:rPr>
          <w:spacing w:val="-94"/>
        </w:rPr>
        <w:t> </w:t>
      </w:r>
      <w:r>
        <w:rPr>
          <w:spacing w:val="-94"/>
        </w:rPr>
      </w:r>
      <w:r>
        <w:rPr/>
        <w:t>事会审计委员会和董事会审议。</w:t>
      </w:r>
    </w:p>
    <w:p>
      <w:pPr>
        <w:pStyle w:val="BodyText"/>
        <w:spacing w:line="331" w:lineRule="auto" w:before="88"/>
        <w:ind w:left="618" w:right="128" w:hanging="480"/>
        <w:jc w:val="left"/>
      </w:pPr>
      <w:r>
        <w:rPr>
          <w:rFonts w:ascii="宋体" w:hAnsi="宋体" w:cs="宋体" w:eastAsia="宋体" w:hint="default"/>
        </w:rPr>
        <w:t>5</w:t>
      </w:r>
      <w:r>
        <w:rPr/>
        <w:t>、董事会对内部控制有关工作的安排 </w:t>
      </w:r>
      <w:r>
        <w:rPr>
          <w:spacing w:val="-2"/>
        </w:rPr>
        <w:t>公司董事会审计委员会和经营审计部根据相关要求，对公司内部控制制度的执行</w:t>
      </w:r>
    </w:p>
    <w:p>
      <w:pPr>
        <w:pStyle w:val="BodyText"/>
        <w:spacing w:line="219" w:lineRule="exact"/>
        <w:ind w:right="0"/>
        <w:jc w:val="left"/>
      </w:pPr>
      <w:r>
        <w:rPr/>
        <w:t>情况进行监督和检查，形成评估报告，确保内部控制制度得到有效实施，规避公司经</w:t>
      </w:r>
    </w:p>
    <w:p>
      <w:pPr>
        <w:pStyle w:val="BodyText"/>
        <w:spacing w:line="328" w:lineRule="auto"/>
        <w:ind w:right="5228"/>
        <w:jc w:val="left"/>
      </w:pPr>
      <w:r>
        <w:rPr/>
        <w:t>营风险，强化内部流程管理。 </w:t>
      </w:r>
      <w:r>
        <w:rPr>
          <w:rFonts w:ascii="宋体" w:hAnsi="宋体" w:cs="宋体" w:eastAsia="宋体" w:hint="default"/>
        </w:rPr>
        <w:t>6</w:t>
      </w:r>
      <w:r>
        <w:rPr/>
        <w:t>、内部控制存在的缺陷及整改情况</w:t>
      </w:r>
    </w:p>
    <w:p>
      <w:pPr>
        <w:pStyle w:val="BodyText"/>
        <w:spacing w:line="240" w:lineRule="auto" w:before="28"/>
        <w:ind w:right="134" w:firstLine="480"/>
        <w:jc w:val="both"/>
      </w:pPr>
      <w:r>
        <w:rPr>
          <w:spacing w:val="-2"/>
        </w:rPr>
        <w:t>报告期内公司不存财务报告内部控制重大缺陷、重要缺陷；未发现公司非财务报</w:t>
      </w:r>
      <w:r>
        <w:rPr/>
        <w:t> 告内部控制重大缺陷、重要缺陷。</w:t>
      </w:r>
    </w:p>
    <w:p>
      <w:pPr>
        <w:spacing w:line="240" w:lineRule="auto" w:before="0"/>
        <w:rPr>
          <w:rFonts w:ascii="宋体" w:hAnsi="宋体" w:cs="宋体" w:eastAsia="宋体" w:hint="default"/>
          <w:sz w:val="30"/>
          <w:szCs w:val="30"/>
        </w:rPr>
      </w:pPr>
    </w:p>
    <w:p>
      <w:pPr>
        <w:spacing w:before="0"/>
        <w:ind w:left="138" w:right="128" w:firstLine="0"/>
        <w:jc w:val="left"/>
        <w:rPr>
          <w:rFonts w:ascii="宋体" w:hAnsi="宋体" w:cs="宋体" w:eastAsia="宋体" w:hint="default"/>
          <w:sz w:val="21"/>
          <w:szCs w:val="21"/>
        </w:rPr>
      </w:pPr>
      <w:r>
        <w:rPr>
          <w:rFonts w:ascii="宋体" w:hAnsi="宋体" w:cs="宋体" w:eastAsia="宋体" w:hint="default"/>
          <w:sz w:val="21"/>
          <w:szCs w:val="21"/>
        </w:rPr>
        <w:t>是否披露内部控制自我评价报告：是</w:t>
      </w:r>
    </w:p>
    <w:p>
      <w:pPr>
        <w:spacing w:after="0"/>
        <w:jc w:val="left"/>
        <w:rPr>
          <w:rFonts w:ascii="宋体" w:hAnsi="宋体" w:cs="宋体" w:eastAsia="宋体" w:hint="default"/>
          <w:sz w:val="21"/>
          <w:szCs w:val="21"/>
        </w:rPr>
        <w:sectPr>
          <w:pgSz w:w="11910" w:h="16840"/>
          <w:pgMar w:header="882" w:footer="1194" w:top="1120" w:bottom="1380" w:left="1660" w:right="1140"/>
        </w:sectPr>
      </w:pPr>
    </w:p>
    <w:p>
      <w:pPr>
        <w:spacing w:line="240" w:lineRule="auto" w:before="10"/>
        <w:rPr>
          <w:rFonts w:ascii="宋体" w:hAnsi="宋体" w:cs="宋体" w:eastAsia="宋体" w:hint="default"/>
          <w:sz w:val="25"/>
          <w:szCs w:val="25"/>
        </w:rPr>
      </w:pPr>
    </w:p>
    <w:p>
      <w:pPr>
        <w:pStyle w:val="Heading2"/>
        <w:tabs>
          <w:tab w:pos="977" w:val="left" w:leader="none"/>
        </w:tabs>
        <w:spacing w:line="240" w:lineRule="auto"/>
        <w:ind w:left="138" w:right="128"/>
        <w:jc w:val="left"/>
        <w:rPr>
          <w:b w:val="0"/>
          <w:bCs w:val="0"/>
        </w:rPr>
      </w:pPr>
      <w:r>
        <w:rPr>
          <w:w w:val="95"/>
        </w:rPr>
        <w:t>二、</w:t>
        <w:tab/>
      </w:r>
      <w:r>
        <w:rPr/>
        <w:t>内部控制审计报告的相关情况说明</w:t>
      </w:r>
      <w:r>
        <w:rPr>
          <w:b w:val="0"/>
          <w:bCs w:val="0"/>
        </w:rPr>
      </w:r>
    </w:p>
    <w:p>
      <w:pPr>
        <w:pStyle w:val="BodyText"/>
        <w:spacing w:line="237" w:lineRule="auto" w:before="119"/>
        <w:ind w:right="133" w:firstLine="420"/>
        <w:jc w:val="both"/>
      </w:pPr>
      <w:r>
        <w:rPr>
          <w:spacing w:val="-1"/>
        </w:rPr>
        <w:t>公司编制并披露了《</w:t>
      </w:r>
      <w:r>
        <w:rPr>
          <w:rFonts w:ascii="宋体" w:hAnsi="宋体" w:cs="宋体" w:eastAsia="宋体" w:hint="default"/>
          <w:spacing w:val="-1"/>
        </w:rPr>
        <w:t>2014</w:t>
      </w:r>
      <w:r>
        <w:rPr>
          <w:rFonts w:ascii="宋体" w:hAnsi="宋体" w:cs="宋体" w:eastAsia="宋体" w:hint="default"/>
          <w:spacing w:val="-49"/>
        </w:rPr>
        <w:t> </w:t>
      </w:r>
      <w:r>
        <w:rPr>
          <w:spacing w:val="-2"/>
        </w:rPr>
        <w:t>年度内部控制评价报告》，致同会计师事务所（特殊普</w:t>
      </w:r>
      <w:r>
        <w:rPr/>
        <w:t> </w:t>
      </w:r>
      <w:r>
        <w:rPr>
          <w:spacing w:val="-2"/>
        </w:rPr>
        <w:t>通合伙）对公司内部控制进行了审计，并出具了《内部控制审计报告》。上述报告全</w:t>
      </w:r>
      <w:r>
        <w:rPr>
          <w:spacing w:val="-96"/>
        </w:rPr>
        <w:t> </w:t>
      </w:r>
      <w:r>
        <w:rPr>
          <w:spacing w:val="-96"/>
        </w:rPr>
      </w:r>
      <w:r>
        <w:rPr/>
        <w:t>文刊登在上海证券交易所网站 </w:t>
      </w:r>
      <w:hyperlink r:id="rId9">
        <w:r>
          <w:rPr>
            <w:rFonts w:ascii="宋体" w:hAnsi="宋体" w:cs="宋体" w:eastAsia="宋体" w:hint="default"/>
          </w:rPr>
          <w:t>http://www.sse.com.cn</w:t>
        </w:r>
      </w:hyperlink>
      <w:r>
        <w:rPr/>
        <w:t>。</w:t>
      </w:r>
    </w:p>
    <w:p>
      <w:pPr>
        <w:spacing w:line="240" w:lineRule="auto" w:before="1"/>
        <w:rPr>
          <w:rFonts w:ascii="宋体" w:hAnsi="宋体" w:cs="宋体" w:eastAsia="宋体" w:hint="default"/>
          <w:sz w:val="30"/>
          <w:szCs w:val="30"/>
        </w:rPr>
      </w:pPr>
    </w:p>
    <w:p>
      <w:pPr>
        <w:spacing w:before="0"/>
        <w:ind w:left="138" w:right="128" w:firstLine="0"/>
        <w:jc w:val="left"/>
        <w:rPr>
          <w:rFonts w:ascii="宋体" w:hAnsi="宋体" w:cs="宋体" w:eastAsia="宋体" w:hint="default"/>
          <w:sz w:val="21"/>
          <w:szCs w:val="21"/>
        </w:rPr>
      </w:pPr>
      <w:r>
        <w:rPr>
          <w:rFonts w:ascii="宋体" w:hAnsi="宋体" w:cs="宋体" w:eastAsia="宋体" w:hint="default"/>
          <w:sz w:val="21"/>
          <w:szCs w:val="21"/>
        </w:rPr>
        <w:t>是否披露内部控制审计报告：是</w:t>
      </w:r>
    </w:p>
    <w:p>
      <w:pPr>
        <w:spacing w:line="240" w:lineRule="auto" w:before="12"/>
        <w:rPr>
          <w:rFonts w:ascii="宋体" w:hAnsi="宋体" w:cs="宋体" w:eastAsia="宋体" w:hint="default"/>
          <w:sz w:val="24"/>
          <w:szCs w:val="24"/>
        </w:rPr>
      </w:pPr>
    </w:p>
    <w:p>
      <w:pPr>
        <w:tabs>
          <w:tab w:pos="977" w:val="left" w:leader="none"/>
        </w:tabs>
        <w:spacing w:line="331" w:lineRule="auto" w:before="0"/>
        <w:ind w:left="558" w:right="146" w:hanging="420"/>
        <w:jc w:val="left"/>
        <w:rPr>
          <w:rFonts w:ascii="宋体" w:hAnsi="宋体" w:cs="宋体" w:eastAsia="宋体" w:hint="default"/>
          <w:sz w:val="24"/>
          <w:szCs w:val="24"/>
        </w:rPr>
      </w:pPr>
      <w:r>
        <w:rPr>
          <w:rFonts w:ascii="宋体" w:hAnsi="宋体" w:cs="宋体" w:eastAsia="宋体" w:hint="default"/>
          <w:b/>
          <w:bCs/>
          <w:w w:val="95"/>
          <w:sz w:val="24"/>
          <w:szCs w:val="24"/>
        </w:rPr>
        <w:t>三、</w:t>
        <w:tab/>
      </w:r>
      <w:r>
        <w:rPr>
          <w:rFonts w:ascii="宋体" w:hAnsi="宋体" w:cs="宋体" w:eastAsia="宋体" w:hint="default"/>
          <w:b/>
          <w:bCs/>
          <w:sz w:val="24"/>
          <w:szCs w:val="24"/>
        </w:rPr>
        <w:t>年度报告重大差错责任追究制度及相关执行情况说明</w:t>
      </w:r>
      <w:r>
        <w:rPr>
          <w:rFonts w:ascii="宋体" w:hAnsi="宋体" w:cs="宋体" w:eastAsia="宋体" w:hint="default"/>
          <w:b/>
          <w:bCs/>
          <w:w w:val="99"/>
          <w:sz w:val="24"/>
          <w:szCs w:val="24"/>
        </w:rPr>
        <w:t> </w:t>
      </w:r>
      <w:r>
        <w:rPr>
          <w:rFonts w:ascii="宋体" w:hAnsi="宋体" w:cs="宋体" w:eastAsia="宋体" w:hint="default"/>
          <w:sz w:val="24"/>
          <w:szCs w:val="24"/>
        </w:rPr>
        <w:t>公司建立了《年报信息披露重大差错责任追究制度》、《信息披露管理办法》等</w:t>
      </w:r>
    </w:p>
    <w:p>
      <w:pPr>
        <w:pStyle w:val="BodyText"/>
        <w:spacing w:line="218" w:lineRule="exact"/>
        <w:ind w:right="0"/>
        <w:jc w:val="left"/>
      </w:pPr>
      <w:r>
        <w:rPr/>
        <w:t>内部控制制度，根据相关规定，信息知情人等因工作差错、失职或违反制度规定，使</w:t>
      </w:r>
    </w:p>
    <w:p>
      <w:pPr>
        <w:pStyle w:val="BodyText"/>
        <w:spacing w:line="312" w:lineRule="exact" w:before="29"/>
        <w:ind w:right="128"/>
        <w:jc w:val="left"/>
      </w:pPr>
      <w:r>
        <w:rPr>
          <w:spacing w:val="-2"/>
        </w:rPr>
        <w:t>公司信息披露工作出现差错、失误或给公司带来损失的，应查明原因，依情节轻重追</w:t>
      </w:r>
      <w:r>
        <w:rPr>
          <w:spacing w:val="-94"/>
        </w:rPr>
        <w:t> </w:t>
      </w:r>
      <w:r>
        <w:rPr>
          <w:spacing w:val="-94"/>
        </w:rPr>
      </w:r>
      <w:r>
        <w:rPr/>
        <w:t>究当事人责任。报告期内，公司未出现年度信息披露重大差错。</w:t>
      </w:r>
    </w:p>
    <w:p>
      <w:pPr>
        <w:spacing w:after="0" w:line="312" w:lineRule="exact"/>
        <w:jc w:val="left"/>
        <w:sectPr>
          <w:pgSz w:w="11910" w:h="16840"/>
          <w:pgMar w:header="882" w:footer="1194"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1"/>
        <w:tabs>
          <w:tab w:pos="1259" w:val="left" w:leader="none"/>
        </w:tabs>
        <w:spacing w:line="240" w:lineRule="auto"/>
        <w:ind w:right="75"/>
        <w:jc w:val="center"/>
        <w:rPr>
          <w:b w:val="0"/>
          <w:bCs w:val="0"/>
        </w:rPr>
      </w:pPr>
      <w:bookmarkStart w:name="_TOC_250001" w:id="10"/>
      <w:r>
        <w:rPr>
          <w:w w:val="95"/>
        </w:rPr>
        <w:t>第十节</w:t>
        <w:tab/>
      </w:r>
      <w:r>
        <w:rPr/>
        <w:t>财务报告</w:t>
      </w:r>
      <w:bookmarkEnd w:id="10"/>
      <w:r>
        <w:rPr>
          <w:b w:val="0"/>
          <w:bCs w:val="0"/>
        </w:rPr>
      </w:r>
    </w:p>
    <w:p>
      <w:pPr>
        <w:spacing w:line="240" w:lineRule="auto" w:before="5"/>
        <w:rPr>
          <w:rFonts w:ascii="宋体" w:hAnsi="宋体" w:cs="宋体" w:eastAsia="宋体" w:hint="default"/>
          <w:b/>
          <w:bCs/>
          <w:sz w:val="21"/>
          <w:szCs w:val="21"/>
        </w:rPr>
      </w:pPr>
    </w:p>
    <w:p>
      <w:pPr>
        <w:spacing w:before="26"/>
        <w:ind w:left="138" w:right="214" w:firstLine="0"/>
        <w:jc w:val="left"/>
        <w:rPr>
          <w:rFonts w:ascii="宋体" w:hAnsi="宋体" w:cs="宋体" w:eastAsia="宋体" w:hint="default"/>
          <w:sz w:val="24"/>
          <w:szCs w:val="24"/>
        </w:rPr>
      </w:pPr>
      <w:r>
        <w:rPr>
          <w:rFonts w:ascii="宋体" w:hAnsi="宋体" w:cs="宋体" w:eastAsia="宋体" w:hint="default"/>
          <w:b/>
          <w:bCs/>
          <w:sz w:val="21"/>
          <w:szCs w:val="21"/>
        </w:rPr>
        <w:t>一、</w:t>
      </w:r>
      <w:r>
        <w:rPr>
          <w:rFonts w:ascii="宋体" w:hAnsi="宋体" w:cs="宋体" w:eastAsia="宋体" w:hint="default"/>
          <w:b/>
          <w:bCs/>
          <w:sz w:val="24"/>
          <w:szCs w:val="24"/>
        </w:rPr>
        <w:t>审计报告</w:t>
      </w:r>
      <w:r>
        <w:rPr>
          <w:rFonts w:ascii="宋体" w:hAnsi="宋体" w:cs="宋体" w:eastAsia="宋体" w:hint="default"/>
          <w:sz w:val="24"/>
          <w:szCs w:val="24"/>
        </w:rPr>
      </w:r>
    </w:p>
    <w:p>
      <w:pPr>
        <w:pStyle w:val="BodyText"/>
        <w:spacing w:line="240" w:lineRule="auto" w:before="145"/>
        <w:ind w:left="5250" w:right="101"/>
        <w:jc w:val="left"/>
      </w:pPr>
      <w:r>
        <w:rPr>
          <w:spacing w:val="5"/>
        </w:rPr>
        <w:t>致同审字（</w:t>
      </w:r>
      <w:r>
        <w:rPr>
          <w:rFonts w:ascii="宋体" w:hAnsi="宋体" w:cs="宋体" w:eastAsia="宋体" w:hint="default"/>
          <w:spacing w:val="5"/>
        </w:rPr>
        <w:t>2015</w:t>
      </w:r>
      <w:r>
        <w:rPr>
          <w:spacing w:val="5"/>
        </w:rPr>
        <w:t>）第</w:t>
      </w:r>
      <w:r>
        <w:rPr>
          <w:spacing w:val="-49"/>
        </w:rPr>
        <w:t> </w:t>
      </w:r>
      <w:r>
        <w:rPr>
          <w:rFonts w:ascii="宋体" w:hAnsi="宋体" w:cs="宋体" w:eastAsia="宋体" w:hint="default"/>
          <w:spacing w:val="3"/>
        </w:rPr>
        <w:t>110ZA3249</w:t>
      </w:r>
      <w:r>
        <w:rPr>
          <w:rFonts w:ascii="宋体" w:hAnsi="宋体" w:cs="宋体" w:eastAsia="宋体" w:hint="default"/>
          <w:spacing w:val="-51"/>
        </w:rPr>
        <w:t> </w:t>
      </w:r>
      <w:r>
        <w:rPr/>
        <w:t>号</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spacing w:line="328" w:lineRule="auto" w:before="26"/>
        <w:ind w:left="633" w:right="101" w:hanging="496"/>
        <w:jc w:val="left"/>
        <w:rPr>
          <w:rFonts w:ascii="宋体" w:hAnsi="宋体" w:cs="宋体" w:eastAsia="宋体" w:hint="default"/>
          <w:sz w:val="24"/>
          <w:szCs w:val="24"/>
        </w:rPr>
      </w:pPr>
      <w:r>
        <w:rPr>
          <w:rFonts w:ascii="宋体" w:hAnsi="宋体" w:cs="宋体" w:eastAsia="宋体" w:hint="default"/>
          <w:b/>
          <w:bCs/>
          <w:spacing w:val="8"/>
          <w:sz w:val="24"/>
          <w:szCs w:val="24"/>
        </w:rPr>
        <w:t>北京华胜天成科技股份有限公司全体股东：</w:t>
      </w:r>
      <w:r>
        <w:rPr>
          <w:rFonts w:ascii="宋体" w:hAnsi="宋体" w:cs="宋体" w:eastAsia="宋体" w:hint="default"/>
          <w:b/>
          <w:bCs/>
          <w:w w:val="99"/>
          <w:sz w:val="24"/>
          <w:szCs w:val="24"/>
        </w:rPr>
        <w:t> </w:t>
      </w:r>
      <w:r>
        <w:rPr>
          <w:rFonts w:ascii="宋体" w:hAnsi="宋体" w:cs="宋体" w:eastAsia="宋体" w:hint="default"/>
          <w:spacing w:val="8"/>
          <w:sz w:val="24"/>
          <w:szCs w:val="24"/>
        </w:rPr>
        <w:t>我们审计了后附的北京华胜天成科技股份有限公司（以下简称华胜天成公司）</w:t>
      </w:r>
    </w:p>
    <w:p>
      <w:pPr>
        <w:pStyle w:val="BodyText"/>
        <w:spacing w:line="222" w:lineRule="exact"/>
        <w:ind w:right="101"/>
        <w:jc w:val="left"/>
      </w:pPr>
      <w:r>
        <w:rPr>
          <w:spacing w:val="3"/>
        </w:rPr>
        <w:t>财务报表，包括</w:t>
      </w:r>
      <w:r>
        <w:rPr>
          <w:spacing w:val="-47"/>
        </w:rPr>
        <w:t> </w:t>
      </w:r>
      <w:r>
        <w:rPr>
          <w:rFonts w:ascii="宋体" w:hAnsi="宋体" w:cs="宋体" w:eastAsia="宋体" w:hint="default"/>
          <w:spacing w:val="2"/>
        </w:rPr>
        <w:t>2014</w:t>
      </w:r>
      <w:r>
        <w:rPr>
          <w:rFonts w:ascii="宋体" w:hAnsi="宋体" w:cs="宋体" w:eastAsia="宋体" w:hint="default"/>
          <w:spacing w:val="-50"/>
        </w:rPr>
        <w:t> </w:t>
      </w:r>
      <w:r>
        <w:rPr/>
        <w:t>年</w:t>
      </w:r>
      <w:r>
        <w:rPr>
          <w:spacing w:val="-48"/>
        </w:rPr>
        <w:t> </w:t>
      </w:r>
      <w:r>
        <w:rPr>
          <w:rFonts w:ascii="宋体" w:hAnsi="宋体" w:cs="宋体" w:eastAsia="宋体" w:hint="default"/>
        </w:rPr>
        <w:t>12</w:t>
      </w:r>
      <w:r>
        <w:rPr>
          <w:rFonts w:ascii="宋体" w:hAnsi="宋体" w:cs="宋体" w:eastAsia="宋体" w:hint="default"/>
          <w:spacing w:val="-51"/>
        </w:rPr>
        <w:t> </w:t>
      </w:r>
      <w:r>
        <w:rPr/>
        <w:t>月</w:t>
      </w:r>
      <w:r>
        <w:rPr>
          <w:spacing w:val="-47"/>
        </w:rPr>
        <w:t> </w:t>
      </w:r>
      <w:r>
        <w:rPr>
          <w:rFonts w:ascii="宋体" w:hAnsi="宋体" w:cs="宋体" w:eastAsia="宋体" w:hint="default"/>
        </w:rPr>
        <w:t>31</w:t>
      </w:r>
      <w:r>
        <w:rPr>
          <w:rFonts w:ascii="宋体" w:hAnsi="宋体" w:cs="宋体" w:eastAsia="宋体" w:hint="default"/>
          <w:spacing w:val="-51"/>
        </w:rPr>
        <w:t> </w:t>
      </w:r>
      <w:r>
        <w:rPr>
          <w:spacing w:val="5"/>
        </w:rPr>
        <w:t>日的合并及公司资产负债表，</w:t>
      </w:r>
      <w:r>
        <w:rPr>
          <w:rFonts w:ascii="宋体" w:hAnsi="宋体" w:cs="宋体" w:eastAsia="宋体" w:hint="default"/>
          <w:spacing w:val="5"/>
        </w:rPr>
        <w:t>2014</w:t>
      </w:r>
      <w:r>
        <w:rPr>
          <w:rFonts w:ascii="宋体" w:hAnsi="宋体" w:cs="宋体" w:eastAsia="宋体" w:hint="default"/>
          <w:spacing w:val="-50"/>
        </w:rPr>
        <w:t> </w:t>
      </w:r>
      <w:r>
        <w:rPr>
          <w:spacing w:val="6"/>
        </w:rPr>
        <w:t>年度的合并及</w:t>
      </w:r>
    </w:p>
    <w:p>
      <w:pPr>
        <w:pStyle w:val="BodyText"/>
        <w:spacing w:line="310" w:lineRule="exact" w:before="30"/>
        <w:ind w:right="214"/>
        <w:jc w:val="left"/>
      </w:pPr>
      <w:r>
        <w:rPr>
          <w:spacing w:val="4"/>
        </w:rPr>
        <w:t>公司利润表、合并及公司现金流量表、合并及公司股东权益变动表以及财务报表附</w:t>
      </w:r>
      <w:r>
        <w:rPr>
          <w:spacing w:val="-99"/>
        </w:rPr>
        <w:t> </w:t>
      </w:r>
      <w:r>
        <w:rPr>
          <w:spacing w:val="-99"/>
        </w:rPr>
      </w:r>
      <w:r>
        <w:rPr>
          <w:spacing w:val="7"/>
        </w:rPr>
        <w:t>注。</w:t>
      </w:r>
      <w:r>
        <w:rPr/>
      </w:r>
    </w:p>
    <w:p>
      <w:pPr>
        <w:spacing w:line="328" w:lineRule="auto" w:before="89"/>
        <w:ind w:left="633" w:right="218" w:hanging="14"/>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w w:val="99"/>
          <w:sz w:val="24"/>
          <w:szCs w:val="24"/>
        </w:rPr>
        <w:t> </w:t>
      </w:r>
      <w:r>
        <w:rPr>
          <w:rFonts w:ascii="宋体" w:hAnsi="宋体" w:cs="宋体" w:eastAsia="宋体" w:hint="default"/>
          <w:spacing w:val="1"/>
          <w:sz w:val="24"/>
          <w:szCs w:val="24"/>
        </w:rPr>
        <w:t>编制和公允列报财务报表是华胜天成公司管理层的责任，这种责任包括：（</w:t>
      </w:r>
      <w:r>
        <w:rPr>
          <w:rFonts w:ascii="宋体" w:hAnsi="宋体" w:cs="宋体" w:eastAsia="宋体" w:hint="default"/>
          <w:spacing w:val="1"/>
          <w:sz w:val="24"/>
          <w:szCs w:val="24"/>
        </w:rPr>
        <w:t>1</w:t>
      </w:r>
      <w:r>
        <w:rPr>
          <w:rFonts w:ascii="宋体" w:hAnsi="宋体" w:cs="宋体" w:eastAsia="宋体" w:hint="default"/>
          <w:spacing w:val="1"/>
          <w:sz w:val="24"/>
          <w:szCs w:val="24"/>
        </w:rPr>
        <w:t>）</w:t>
      </w:r>
    </w:p>
    <w:p>
      <w:pPr>
        <w:pStyle w:val="BodyText"/>
        <w:spacing w:line="221" w:lineRule="exact"/>
        <w:ind w:right="214"/>
        <w:jc w:val="left"/>
      </w:pPr>
      <w:r>
        <w:rPr>
          <w:spacing w:val="7"/>
        </w:rPr>
        <w:t>按照企业会计准则的规定编制财务报表，并使其实现公允反映；（</w:t>
      </w:r>
      <w:r>
        <w:rPr>
          <w:rFonts w:ascii="宋体" w:hAnsi="宋体" w:cs="宋体" w:eastAsia="宋体" w:hint="default"/>
          <w:spacing w:val="7"/>
        </w:rPr>
        <w:t>2</w:t>
      </w:r>
      <w:r>
        <w:rPr>
          <w:spacing w:val="7"/>
        </w:rPr>
        <w:t>）设计、执行</w:t>
      </w:r>
    </w:p>
    <w:p>
      <w:pPr>
        <w:pStyle w:val="BodyText"/>
        <w:spacing w:line="328" w:lineRule="auto"/>
        <w:ind w:left="620" w:right="214" w:hanging="483"/>
        <w:jc w:val="left"/>
      </w:pPr>
      <w:r>
        <w:rPr>
          <w:spacing w:val="7"/>
        </w:rPr>
        <w:t>和维护必要的内部控制，以使财务报表不存在由于舞弊或错误导致的重大错报。</w:t>
      </w:r>
      <w:r>
        <w:rPr>
          <w:spacing w:val="-112"/>
        </w:rPr>
        <w:t> </w:t>
      </w:r>
      <w:r>
        <w:rPr>
          <w:spacing w:val="-112"/>
        </w:rPr>
      </w:r>
      <w:r>
        <w:rPr>
          <w:rFonts w:ascii="宋体" w:hAnsi="宋体" w:cs="宋体" w:eastAsia="宋体" w:hint="default"/>
          <w:b/>
          <w:bCs/>
        </w:rPr>
        <w:t>二、注册会计师的责任</w:t>
      </w:r>
      <w:r>
        <w:rPr>
          <w:rFonts w:ascii="宋体" w:hAnsi="宋体" w:cs="宋体" w:eastAsia="宋体" w:hint="default"/>
          <w:b/>
          <w:bCs/>
          <w:w w:val="99"/>
        </w:rPr>
        <w:t> </w:t>
      </w:r>
      <w:r>
        <w:rPr>
          <w:spacing w:val="4"/>
        </w:rPr>
        <w:t>我们的责任是在执行审计工作的基础上对财务报表发表审计意见。我们按照中</w:t>
      </w:r>
    </w:p>
    <w:p>
      <w:pPr>
        <w:pStyle w:val="BodyText"/>
        <w:spacing w:line="221" w:lineRule="exact"/>
        <w:ind w:right="214"/>
        <w:jc w:val="left"/>
      </w:pPr>
      <w:r>
        <w:rPr>
          <w:spacing w:val="4"/>
        </w:rPr>
        <w:t>国注册会计师审计准则的规定执行了审计工作。中国注册会计师审计准则要求我们</w:t>
      </w:r>
    </w:p>
    <w:p>
      <w:pPr>
        <w:pStyle w:val="BodyText"/>
        <w:spacing w:line="312" w:lineRule="exact" w:before="29"/>
        <w:ind w:right="214"/>
        <w:jc w:val="left"/>
      </w:pPr>
      <w:r>
        <w:rPr>
          <w:spacing w:val="4"/>
        </w:rPr>
        <w:t>遵守中国注册会计师职业道德守则，计划和执行审计工作以对财务报表是否不存在</w:t>
      </w:r>
      <w:r>
        <w:rPr>
          <w:spacing w:val="-101"/>
        </w:rPr>
        <w:t> </w:t>
      </w:r>
      <w:r>
        <w:rPr>
          <w:spacing w:val="-101"/>
        </w:rPr>
      </w:r>
      <w:r>
        <w:rPr>
          <w:spacing w:val="6"/>
        </w:rPr>
        <w:t>重大错报获取合理保证。</w:t>
      </w:r>
    </w:p>
    <w:p>
      <w:pPr>
        <w:pStyle w:val="BodyText"/>
        <w:spacing w:line="237" w:lineRule="auto" w:before="91"/>
        <w:ind w:right="223" w:firstLine="495"/>
        <w:jc w:val="both"/>
      </w:pPr>
      <w:r>
        <w:rPr>
          <w:spacing w:val="4"/>
        </w:rPr>
        <w:t>审计工作涉及实施审计程序，以获取有关财务报表金额和披露的审计证据。选</w:t>
      </w:r>
      <w:r>
        <w:rPr/>
        <w:t> </w:t>
      </w:r>
      <w:r>
        <w:rPr>
          <w:spacing w:val="4"/>
        </w:rPr>
        <w:t>择的审计程序取决于注册会计师的判断，包括对由于舞弊或错误导致的财务报表重</w:t>
      </w:r>
      <w:r>
        <w:rPr>
          <w:spacing w:val="-97"/>
        </w:rPr>
        <w:t> </w:t>
      </w:r>
      <w:r>
        <w:rPr>
          <w:spacing w:val="-97"/>
        </w:rPr>
      </w:r>
      <w:r>
        <w:rPr>
          <w:spacing w:val="4"/>
        </w:rPr>
        <w:t>大错报风险的评估。在进行风险评估时，注册会计师考虑与财务报表编制和公允列</w:t>
      </w:r>
      <w:r>
        <w:rPr>
          <w:spacing w:val="-100"/>
        </w:rPr>
        <w:t> </w:t>
      </w:r>
      <w:r>
        <w:rPr>
          <w:spacing w:val="-100"/>
        </w:rPr>
      </w:r>
      <w:r>
        <w:rPr>
          <w:spacing w:val="4"/>
        </w:rPr>
        <w:t>报相关的内部控制，以设计恰当的审计程序。审计工作还包括评价管理层选用会计</w:t>
      </w:r>
      <w:r>
        <w:rPr>
          <w:spacing w:val="-100"/>
        </w:rPr>
        <w:t> </w:t>
      </w:r>
      <w:r>
        <w:rPr>
          <w:spacing w:val="-100"/>
        </w:rPr>
      </w:r>
      <w:r>
        <w:rPr>
          <w:spacing w:val="7"/>
        </w:rPr>
        <w:t>政策的恰当性和作出会计估计的合理性，以及评价财务报表的总体列报。</w:t>
      </w:r>
    </w:p>
    <w:p>
      <w:pPr>
        <w:pStyle w:val="BodyText"/>
        <w:spacing w:line="328" w:lineRule="auto" w:before="117"/>
        <w:ind w:left="620" w:right="214" w:firstLine="13"/>
        <w:jc w:val="left"/>
      </w:pPr>
      <w:r>
        <w:rPr>
          <w:spacing w:val="-3"/>
        </w:rPr>
        <w:t>我们相信，我们获取的审计证据是充分、适当的，为发表审计意见提供了基础。</w:t>
      </w:r>
      <w:r>
        <w:rPr/>
        <w:t> </w:t>
      </w:r>
      <w:r>
        <w:rPr>
          <w:rFonts w:ascii="宋体" w:hAnsi="宋体" w:cs="宋体" w:eastAsia="宋体" w:hint="default"/>
          <w:b/>
          <w:bCs/>
        </w:rPr>
        <w:t>三、审计意见</w:t>
      </w:r>
      <w:r>
        <w:rPr>
          <w:rFonts w:ascii="宋体" w:hAnsi="宋体" w:cs="宋体" w:eastAsia="宋体" w:hint="default"/>
          <w:b/>
          <w:bCs/>
          <w:w w:val="99"/>
        </w:rPr>
        <w:t> </w:t>
      </w:r>
      <w:r>
        <w:rPr>
          <w:spacing w:val="4"/>
        </w:rPr>
        <w:t>我们认为，华胜天成公司财务报表在所有重大方面按照企业会计准则的规定编</w:t>
      </w:r>
    </w:p>
    <w:p>
      <w:pPr>
        <w:pStyle w:val="BodyText"/>
        <w:spacing w:line="220" w:lineRule="exact"/>
        <w:ind w:right="101"/>
        <w:jc w:val="left"/>
        <w:rPr>
          <w:rFonts w:ascii="宋体" w:hAnsi="宋体" w:cs="宋体" w:eastAsia="宋体" w:hint="default"/>
        </w:rPr>
      </w:pPr>
      <w:r>
        <w:rPr>
          <w:spacing w:val="4"/>
        </w:rPr>
        <w:t>制，公允反映了华胜天成公司</w:t>
      </w:r>
      <w:r>
        <w:rPr>
          <w:spacing w:val="-44"/>
        </w:rPr>
        <w:t> </w:t>
      </w:r>
      <w:r>
        <w:rPr>
          <w:rFonts w:ascii="宋体" w:hAnsi="宋体" w:cs="宋体" w:eastAsia="宋体" w:hint="default"/>
          <w:spacing w:val="2"/>
        </w:rPr>
        <w:t>2014</w:t>
      </w:r>
      <w:r>
        <w:rPr>
          <w:rFonts w:ascii="宋体" w:hAnsi="宋体" w:cs="宋体" w:eastAsia="宋体" w:hint="default"/>
          <w:spacing w:val="-51"/>
        </w:rPr>
        <w:t> </w:t>
      </w:r>
      <w:r>
        <w:rPr/>
        <w:t>年</w:t>
      </w:r>
      <w:r>
        <w:rPr>
          <w:spacing w:val="-48"/>
        </w:rPr>
        <w:t> </w:t>
      </w:r>
      <w:r>
        <w:rPr>
          <w:rFonts w:ascii="宋体" w:hAnsi="宋体" w:cs="宋体" w:eastAsia="宋体" w:hint="default"/>
        </w:rPr>
        <w:t>12</w:t>
      </w:r>
      <w:r>
        <w:rPr>
          <w:rFonts w:ascii="宋体" w:hAnsi="宋体" w:cs="宋体" w:eastAsia="宋体" w:hint="default"/>
          <w:spacing w:val="-50"/>
        </w:rPr>
        <w:t> </w:t>
      </w:r>
      <w:r>
        <w:rPr/>
        <w:t>月</w:t>
      </w:r>
      <w:r>
        <w:rPr>
          <w:spacing w:val="-48"/>
        </w:rPr>
        <w:t> </w:t>
      </w:r>
      <w:r>
        <w:rPr>
          <w:rFonts w:ascii="宋体" w:hAnsi="宋体" w:cs="宋体" w:eastAsia="宋体" w:hint="default"/>
        </w:rPr>
        <w:t>31</w:t>
      </w:r>
      <w:r>
        <w:rPr>
          <w:rFonts w:ascii="宋体" w:hAnsi="宋体" w:cs="宋体" w:eastAsia="宋体" w:hint="default"/>
          <w:spacing w:val="-51"/>
        </w:rPr>
        <w:t> </w:t>
      </w:r>
      <w:r>
        <w:rPr>
          <w:spacing w:val="6"/>
        </w:rPr>
        <w:t>日的合并及公司财务状况以及</w:t>
      </w:r>
      <w:r>
        <w:rPr>
          <w:spacing w:val="-45"/>
        </w:rPr>
        <w:t> </w:t>
      </w:r>
      <w:r>
        <w:rPr>
          <w:rFonts w:ascii="宋体" w:hAnsi="宋体" w:cs="宋体" w:eastAsia="宋体" w:hint="default"/>
          <w:spacing w:val="3"/>
        </w:rPr>
        <w:t>2014</w:t>
      </w:r>
      <w:r>
        <w:rPr>
          <w:rFonts w:ascii="宋体" w:hAnsi="宋体" w:cs="宋体" w:eastAsia="宋体" w:hint="default"/>
        </w:rPr>
      </w:r>
    </w:p>
    <w:p>
      <w:pPr>
        <w:pStyle w:val="BodyText"/>
        <w:spacing w:line="312" w:lineRule="exact"/>
        <w:ind w:right="214"/>
        <w:jc w:val="left"/>
      </w:pPr>
      <w:r>
        <w:rPr>
          <w:spacing w:val="7"/>
        </w:rPr>
        <w:t>年度的合并及公司经营成果和合并及公司现金流量。</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tbl>
      <w:tblPr>
        <w:tblW w:w="0" w:type="auto"/>
        <w:jc w:val="left"/>
        <w:tblInd w:w="187" w:type="dxa"/>
        <w:tblLayout w:type="fixed"/>
        <w:tblCellMar>
          <w:top w:w="0" w:type="dxa"/>
          <w:left w:w="0" w:type="dxa"/>
          <w:bottom w:w="0" w:type="dxa"/>
          <w:right w:w="0" w:type="dxa"/>
        </w:tblCellMar>
        <w:tblLook w:val="01E0"/>
      </w:tblPr>
      <w:tblGrid>
        <w:gridCol w:w="2922"/>
        <w:gridCol w:w="3587"/>
      </w:tblGrid>
      <w:tr>
        <w:trPr>
          <w:trHeight w:val="1084"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4"/>
                <w:szCs w:val="24"/>
              </w:rPr>
            </w:pPr>
            <w:r>
              <w:rPr>
                <w:rFonts w:ascii="宋体" w:hAnsi="宋体" w:cs="宋体" w:eastAsia="宋体" w:hint="default"/>
                <w:spacing w:val="6"/>
                <w:sz w:val="24"/>
                <w:szCs w:val="24"/>
              </w:rPr>
              <w:t>致同会计师事务所</w:t>
            </w:r>
          </w:p>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pacing w:val="6"/>
                <w:sz w:val="24"/>
                <w:szCs w:val="24"/>
              </w:rPr>
              <w:t>（特殊普通合伙）</w:t>
            </w:r>
          </w:p>
        </w:tc>
        <w:tc>
          <w:tcPr>
            <w:tcW w:w="3587" w:type="dxa"/>
            <w:tcBorders>
              <w:top w:val="nil" w:sz="6" w:space="0" w:color="auto"/>
              <w:left w:val="nil" w:sz="6" w:space="0" w:color="auto"/>
              <w:bottom w:val="nil" w:sz="6" w:space="0" w:color="auto"/>
              <w:right w:val="nil" w:sz="6" w:space="0" w:color="auto"/>
            </w:tcBorders>
          </w:tcPr>
          <w:p>
            <w:pPr>
              <w:pStyle w:val="TableParagraph"/>
              <w:spacing w:line="240" w:lineRule="exact"/>
              <w:ind w:left="746" w:right="0"/>
              <w:jc w:val="left"/>
              <w:rPr>
                <w:rFonts w:ascii="宋体" w:hAnsi="宋体" w:cs="宋体" w:eastAsia="宋体" w:hint="default"/>
                <w:sz w:val="24"/>
                <w:szCs w:val="24"/>
              </w:rPr>
            </w:pPr>
            <w:r>
              <w:rPr>
                <w:rFonts w:ascii="宋体" w:hAnsi="宋体" w:cs="宋体" w:eastAsia="宋体" w:hint="default"/>
                <w:sz w:val="24"/>
                <w:szCs w:val="24"/>
              </w:rPr>
              <w:t>中国注册会计师：郑建彪</w:t>
            </w:r>
          </w:p>
          <w:p>
            <w:pPr>
              <w:pStyle w:val="TableParagraph"/>
              <w:spacing w:line="240" w:lineRule="auto" w:before="8"/>
              <w:ind w:right="0"/>
              <w:jc w:val="left"/>
              <w:rPr>
                <w:rFonts w:ascii="宋体" w:hAnsi="宋体" w:cs="宋体" w:eastAsia="宋体" w:hint="default"/>
                <w:sz w:val="23"/>
                <w:szCs w:val="23"/>
              </w:rPr>
            </w:pPr>
          </w:p>
          <w:p>
            <w:pPr>
              <w:pStyle w:val="TableParagraph"/>
              <w:tabs>
                <w:tab w:pos="3146" w:val="left" w:leader="none"/>
              </w:tabs>
              <w:spacing w:line="240" w:lineRule="auto"/>
              <w:ind w:left="746" w:right="0"/>
              <w:jc w:val="left"/>
              <w:rPr>
                <w:rFonts w:ascii="宋体" w:hAnsi="宋体" w:cs="宋体" w:eastAsia="宋体" w:hint="default"/>
                <w:sz w:val="24"/>
                <w:szCs w:val="24"/>
              </w:rPr>
            </w:pPr>
            <w:r>
              <w:rPr>
                <w:rFonts w:ascii="宋体" w:hAnsi="宋体" w:cs="宋体" w:eastAsia="宋体" w:hint="default"/>
                <w:sz w:val="24"/>
                <w:szCs w:val="24"/>
              </w:rPr>
              <w:t>中国注册会计师：王</w:t>
              <w:tab/>
              <w:t>娟</w:t>
            </w:r>
          </w:p>
        </w:tc>
      </w:tr>
      <w:tr>
        <w:trPr>
          <w:trHeight w:val="461"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200" w:right="0"/>
              <w:jc w:val="left"/>
              <w:rPr>
                <w:rFonts w:ascii="宋体" w:hAnsi="宋体" w:cs="宋体" w:eastAsia="宋体" w:hint="default"/>
                <w:sz w:val="24"/>
                <w:szCs w:val="24"/>
              </w:rPr>
            </w:pPr>
            <w:r>
              <w:rPr>
                <w:rFonts w:ascii="宋体" w:hAnsi="宋体" w:cs="宋体" w:eastAsia="宋体" w:hint="default"/>
                <w:sz w:val="24"/>
                <w:szCs w:val="24"/>
              </w:rPr>
              <w:t>中国·北京</w:t>
            </w:r>
          </w:p>
        </w:tc>
        <w:tc>
          <w:tcPr>
            <w:tcW w:w="3587"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746" w:right="0"/>
              <w:jc w:val="left"/>
              <w:rPr>
                <w:rFonts w:ascii="宋体" w:hAnsi="宋体" w:cs="宋体" w:eastAsia="宋体" w:hint="default"/>
                <w:sz w:val="24"/>
                <w:szCs w:val="24"/>
              </w:rPr>
            </w:pPr>
            <w:r>
              <w:rPr>
                <w:rFonts w:ascii="宋体" w:hAnsi="宋体" w:cs="宋体" w:eastAsia="宋体" w:hint="default"/>
                <w:sz w:val="24"/>
                <w:szCs w:val="24"/>
              </w:rPr>
              <w:t>二Ｏ一五年四月八日</w:t>
            </w:r>
          </w:p>
        </w:tc>
      </w:tr>
    </w:tbl>
    <w:p>
      <w:pPr>
        <w:spacing w:after="0" w:line="240" w:lineRule="auto"/>
        <w:jc w:val="left"/>
        <w:rPr>
          <w:rFonts w:ascii="宋体" w:hAnsi="宋体" w:cs="宋体" w:eastAsia="宋体" w:hint="default"/>
          <w:sz w:val="24"/>
          <w:szCs w:val="24"/>
        </w:rPr>
        <w:sectPr>
          <w:pgSz w:w="11910" w:h="16840"/>
          <w:pgMar w:header="882" w:footer="1194" w:top="112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28"/>
          <w:pgSz w:w="11910" w:h="16840"/>
          <w:pgMar w:footer="1194" w:header="882" w:top="1100" w:bottom="1380" w:left="1580" w:right="1040"/>
        </w:sectPr>
      </w:pPr>
    </w:p>
    <w:p>
      <w:pPr>
        <w:pStyle w:val="Heading2"/>
        <w:tabs>
          <w:tab w:pos="1057" w:val="left" w:leader="none"/>
        </w:tabs>
        <w:spacing w:line="240" w:lineRule="auto"/>
        <w:ind w:right="-18"/>
        <w:jc w:val="left"/>
        <w:rPr>
          <w:b w:val="0"/>
          <w:bCs w:val="0"/>
        </w:rPr>
      </w:pPr>
      <w:r>
        <w:rPr>
          <w:w w:val="95"/>
        </w:rPr>
        <w:t>二、</w:t>
        <w:tab/>
      </w:r>
      <w:r>
        <w:rPr/>
        <w:t>财务报表</w:t>
      </w:r>
      <w:r>
        <w:rPr>
          <w:b w:val="0"/>
          <w:bCs w:val="0"/>
        </w:rPr>
      </w:r>
    </w:p>
    <w:p>
      <w:pPr>
        <w:spacing w:line="240" w:lineRule="auto" w:before="13"/>
        <w:rPr>
          <w:rFonts w:ascii="宋体" w:hAnsi="宋体" w:cs="宋体" w:eastAsia="宋体" w:hint="default"/>
          <w:b/>
          <w:bCs/>
          <w:sz w:val="34"/>
          <w:szCs w:val="34"/>
        </w:rPr>
      </w:pPr>
      <w:r>
        <w:rPr/>
        <w:br w:type="column"/>
      </w:r>
      <w:r>
        <w:rPr>
          <w:rFonts w:ascii="宋体"/>
          <w:b/>
          <w:sz w:val="34"/>
        </w:rPr>
      </w:r>
    </w:p>
    <w:p>
      <w:pPr>
        <w:spacing w:line="328" w:lineRule="auto" w:before="0"/>
        <w:ind w:left="218" w:right="3642" w:firstLine="146"/>
        <w:jc w:val="left"/>
        <w:rPr>
          <w:rFonts w:ascii="宋体" w:hAnsi="宋体" w:cs="宋体" w:eastAsia="宋体" w:hint="default"/>
          <w:sz w:val="24"/>
          <w:szCs w:val="24"/>
        </w:rPr>
      </w:pPr>
      <w:r>
        <w:rPr>
          <w:rFonts w:ascii="宋体" w:hAnsi="宋体" w:cs="宋体" w:eastAsia="宋体" w:hint="default"/>
          <w:b/>
          <w:bCs/>
          <w:sz w:val="24"/>
          <w:szCs w:val="24"/>
        </w:rPr>
        <w:t>合并资产负债表</w:t>
      </w:r>
      <w:r>
        <w:rPr>
          <w:rFonts w:ascii="宋体" w:hAnsi="宋体" w:cs="宋体" w:eastAsia="宋体" w:hint="default"/>
          <w:b/>
          <w:bCs/>
          <w:w w:val="99"/>
          <w:sz w:val="24"/>
          <w:szCs w:val="24"/>
        </w:rPr>
        <w:t> </w:t>
      </w: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p>
      <w:pPr>
        <w:spacing w:after="0" w:line="328" w:lineRule="auto"/>
        <w:jc w:val="left"/>
        <w:rPr>
          <w:rFonts w:ascii="宋体" w:hAnsi="宋体" w:cs="宋体" w:eastAsia="宋体" w:hint="default"/>
          <w:sz w:val="24"/>
          <w:szCs w:val="24"/>
        </w:rPr>
        <w:sectPr>
          <w:type w:val="continuous"/>
          <w:pgSz w:w="11910" w:h="16840"/>
          <w:pgMar w:top="1080" w:bottom="1380" w:left="1580" w:right="1040"/>
          <w:cols w:num="2" w:equalWidth="0">
            <w:col w:w="2023" w:space="1403"/>
            <w:col w:w="5864"/>
          </w:cols>
        </w:sectPr>
      </w:pPr>
    </w:p>
    <w:p>
      <w:pPr>
        <w:tabs>
          <w:tab w:pos="6831" w:val="left" w:leader="none"/>
          <w:tab w:pos="7777" w:val="left" w:leader="none"/>
        </w:tabs>
        <w:spacing w:before="31"/>
        <w:ind w:left="218" w:right="101" w:firstLine="0"/>
        <w:jc w:val="left"/>
        <w:rPr>
          <w:rFonts w:ascii="宋体" w:hAnsi="宋体" w:cs="宋体" w:eastAsia="宋体" w:hint="default"/>
          <w:sz w:val="21"/>
          <w:szCs w:val="21"/>
        </w:rPr>
      </w:pPr>
      <w:r>
        <w:rPr>
          <w:rFonts w:ascii="宋体" w:hAnsi="宋体" w:cs="宋体" w:eastAsia="宋体" w:hint="default"/>
          <w:sz w:val="21"/>
          <w:szCs w:val="21"/>
        </w:rPr>
        <w:t>编制单位</w:t>
      </w:r>
      <w:r>
        <w:rPr>
          <w:rFonts w:ascii="宋体" w:hAnsi="宋体" w:cs="宋体" w:eastAsia="宋体" w:hint="default"/>
          <w:sz w:val="21"/>
          <w:szCs w:val="21"/>
        </w:rPr>
        <w:t>: </w:t>
      </w:r>
      <w:r>
        <w:rPr>
          <w:rFonts w:ascii="宋体" w:hAnsi="宋体" w:cs="宋体" w:eastAsia="宋体" w:hint="default"/>
          <w:sz w:val="21"/>
          <w:szCs w:val="21"/>
        </w:rPr>
        <w:t>北京华胜天成科技股份有限公司</w:t>
        <w:tab/>
        <w:t>单位</w:t>
      </w:r>
      <w:r>
        <w:rPr>
          <w:rFonts w:ascii="宋体" w:hAnsi="宋体" w:cs="宋体" w:eastAsia="宋体" w:hint="default"/>
          <w:sz w:val="21"/>
          <w:szCs w:val="21"/>
        </w:rPr>
        <w:t>:</w:t>
      </w:r>
      <w:r>
        <w:rPr>
          <w:rFonts w:ascii="宋体" w:hAnsi="宋体" w:cs="宋体" w:eastAsia="宋体" w:hint="default"/>
          <w:sz w:val="21"/>
          <w:szCs w:val="21"/>
        </w:rPr>
        <w:t>元</w:t>
        <w:tab/>
        <w:t>币种</w:t>
      </w:r>
      <w:r>
        <w:rPr>
          <w:rFonts w:ascii="宋体" w:hAnsi="宋体" w:cs="宋体" w:eastAsia="宋体" w:hint="default"/>
          <w:sz w:val="21"/>
          <w:szCs w:val="21"/>
        </w:rPr>
        <w:t>:</w:t>
      </w:r>
      <w:r>
        <w:rPr>
          <w:rFonts w:ascii="宋体" w:hAnsi="宋体" w:cs="宋体" w:eastAsia="宋体" w:hint="default"/>
          <w:sz w:val="21"/>
          <w:szCs w:val="21"/>
        </w:rPr>
        <w:t>人民币</w:t>
      </w:r>
    </w:p>
    <w:p>
      <w:pPr>
        <w:spacing w:line="240" w:lineRule="auto" w:before="9"/>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08"/>
        <w:gridCol w:w="2208"/>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3"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3"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1,738,745,309.13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1,349,560,032.74</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57,684,318.55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116,419,143.06</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1,649,312,260.82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1,746,614,625.05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200,920,288.86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223,107,619.27</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77,448,648.94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76,446,700.22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675,967,145.90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521,109,148.31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66,198,928.99</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301,150,743.41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231,365,636.64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71,319,046.23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42,116,185.17</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4,772,547,761.84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4,372,938,019.45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10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67,400,000.00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300,000.00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11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585,903,776.55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321,880,944.02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12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63,845,660.81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14,947,639.28</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13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41,058,305.60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42,179,195.89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14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201,671,558.28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157,241,507.18</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15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213,051,760.55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55,665,333.73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16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278,924,311.08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244,818,654.40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17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61,118,673.08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67,827,345.70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18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205,156,811.34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199,977,507.95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19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4,616,879.92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2,245,080.95</w:t>
            </w:r>
          </w:p>
        </w:tc>
      </w:tr>
    </w:tbl>
    <w:p>
      <w:pPr>
        <w:spacing w:after="0" w:line="241" w:lineRule="exact"/>
        <w:jc w:val="right"/>
        <w:rPr>
          <w:rFonts w:ascii="宋体" w:hAnsi="宋体" w:cs="宋体" w:eastAsia="宋体" w:hint="default"/>
          <w:sz w:val="21"/>
          <w:szCs w:val="21"/>
        </w:rPr>
        <w:sectPr>
          <w:type w:val="continuous"/>
          <w:pgSz w:w="11910" w:h="16840"/>
          <w:pgMar w:top="108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08"/>
        <w:gridCol w:w="2208"/>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20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35,302,223.16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26,739,377.13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21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77,520,850.83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200,603,938.38</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1,835,570,811.20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1,334,426,524.61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6,608,118,573.04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5,707,364,544.06</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22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511,316,420.55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228,370,110.30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23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94,158,175.20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226,316,870.98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24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892,243,384.41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693,317,177.92</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25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384,086,573.53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281,688,516.42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26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72,203,138.88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65,333,130.58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27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109,538,109.46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141,846,807.17</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28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46,693,055.62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43,040,000.01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29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12,945.97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15,040.20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30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119,273,357.77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140,856,165.38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25,103,938.01</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31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293,043,134.50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159,184,460.03</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2,522,568,295.89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2,005,072,217.00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32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445,984,217.28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215,928,624.54</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33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894,302,344.25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892,796,246.45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34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3,350,412.86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1,551,347.91</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35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74,257,745.28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86,267,716.15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20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9,106,800.26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8,549,498.12</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36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57,972,861.00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1,427,001,519.93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1,263,066,294.17</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3,949,569,815.82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3,268,138,511.17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37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641,323,885.00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646,034,068.00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29"/>
          <w:pgSz w:w="11910" w:h="16840"/>
          <w:pgMar w:footer="1194" w:header="882" w:top="1100" w:bottom="1380" w:left="1580" w:right="1040"/>
          <w:pgNumType w:start="71"/>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08"/>
        <w:gridCol w:w="2208"/>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38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643,434,985.19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675,845,355.72</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39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27,555,953.85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57,972,861.00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40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-51,603,784.39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-51,846,189.90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41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176,199,430.83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168,056,152.34</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42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933,817,069.24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880,598,946.55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2,315,615,632.02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2,260,715,471.71</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342,933,125.20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178,510,561.18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2,658,548,757.22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2,439,226,032.89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6,608,118,573.04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5,707,364,544.06</w:t>
            </w:r>
          </w:p>
        </w:tc>
      </w:tr>
    </w:tbl>
    <w:p>
      <w:pPr>
        <w:spacing w:line="240" w:lineRule="auto" w:before="5"/>
        <w:rPr>
          <w:rFonts w:ascii="Times New Roman" w:hAnsi="Times New Roman" w:cs="Times New Roman" w:eastAsia="Times New Roman" w:hint="default"/>
          <w:sz w:val="28"/>
          <w:szCs w:val="28"/>
        </w:rPr>
      </w:pPr>
    </w:p>
    <w:p>
      <w:pPr>
        <w:pStyle w:val="BodyText"/>
        <w:tabs>
          <w:tab w:pos="1897" w:val="left" w:leader="none"/>
          <w:tab w:pos="3338" w:val="left" w:leader="none"/>
        </w:tabs>
        <w:spacing w:line="240" w:lineRule="auto" w:before="26"/>
        <w:ind w:left="218" w:right="101"/>
        <w:jc w:val="left"/>
      </w:pPr>
      <w:r>
        <w:rPr/>
        <w:t>法定代表人：</w:t>
        <w:tab/>
        <w:t>王维航</w:t>
        <w:tab/>
        <w:t>主管会计工作负责人：任学英 会计机构负责人：李晖</w:t>
      </w:r>
    </w:p>
    <w:p>
      <w:pPr>
        <w:spacing w:after="0" w:line="240" w:lineRule="auto"/>
        <w:jc w:val="left"/>
        <w:sectPr>
          <w:pgSz w:w="11910" w:h="16840"/>
          <w:pgMar w:header="882" w:footer="1194" w:top="1100" w:bottom="1380" w:left="1580" w:right="1040"/>
        </w:sectPr>
      </w:pPr>
    </w:p>
    <w:p>
      <w:pPr>
        <w:spacing w:line="240" w:lineRule="auto" w:before="0"/>
        <w:rPr>
          <w:rFonts w:ascii="宋体" w:hAnsi="宋体" w:cs="宋体" w:eastAsia="宋体" w:hint="default"/>
          <w:sz w:val="26"/>
          <w:szCs w:val="26"/>
        </w:rPr>
      </w:pPr>
    </w:p>
    <w:p>
      <w:pPr>
        <w:spacing w:line="328" w:lineRule="auto" w:before="26"/>
        <w:ind w:left="3644" w:right="3660" w:hanging="1"/>
        <w:jc w:val="center"/>
        <w:rPr>
          <w:rFonts w:ascii="宋体" w:hAnsi="宋体" w:cs="宋体" w:eastAsia="宋体" w:hint="default"/>
          <w:sz w:val="24"/>
          <w:szCs w:val="24"/>
        </w:rPr>
      </w:pPr>
      <w:r>
        <w:rPr>
          <w:rFonts w:ascii="宋体" w:hAnsi="宋体" w:cs="宋体" w:eastAsia="宋体" w:hint="default"/>
          <w:b/>
          <w:bCs/>
          <w:sz w:val="24"/>
          <w:szCs w:val="24"/>
        </w:rPr>
        <w:t>母公司资产负债表</w:t>
      </w:r>
      <w:r>
        <w:rPr>
          <w:rFonts w:ascii="宋体" w:hAnsi="宋体" w:cs="宋体" w:eastAsia="宋体" w:hint="default"/>
          <w:b/>
          <w:bCs/>
          <w:w w:val="99"/>
          <w:sz w:val="24"/>
          <w:szCs w:val="24"/>
        </w:rPr>
        <w:t> </w:t>
      </w: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p>
      <w:pPr>
        <w:tabs>
          <w:tab w:pos="6727" w:val="left" w:leader="none"/>
          <w:tab w:pos="7671" w:val="left" w:leader="none"/>
        </w:tabs>
        <w:spacing w:before="33"/>
        <w:ind w:left="218" w:right="101" w:firstLine="0"/>
        <w:jc w:val="left"/>
        <w:rPr>
          <w:rFonts w:ascii="宋体" w:hAnsi="宋体" w:cs="宋体" w:eastAsia="宋体" w:hint="default"/>
          <w:sz w:val="21"/>
          <w:szCs w:val="21"/>
        </w:rPr>
      </w:pPr>
      <w:r>
        <w:rPr>
          <w:rFonts w:ascii="宋体" w:hAnsi="宋体" w:cs="宋体" w:eastAsia="宋体" w:hint="default"/>
          <w:spacing w:val="-1"/>
          <w:sz w:val="21"/>
          <w:szCs w:val="21"/>
        </w:rPr>
        <w:t>编制单位</w:t>
      </w:r>
      <w:r>
        <w:rPr>
          <w:rFonts w:ascii="宋体" w:hAnsi="宋体" w:cs="宋体" w:eastAsia="宋体" w:hint="default"/>
          <w:spacing w:val="-1"/>
          <w:sz w:val="21"/>
          <w:szCs w:val="21"/>
        </w:rPr>
        <w:t>:</w:t>
      </w:r>
      <w:r>
        <w:rPr>
          <w:rFonts w:ascii="宋体" w:hAnsi="宋体" w:cs="宋体" w:eastAsia="宋体" w:hint="default"/>
          <w:spacing w:val="-1"/>
          <w:sz w:val="21"/>
          <w:szCs w:val="21"/>
        </w:rPr>
        <w:t>北京华胜天成科技股份有限公司</w:t>
        <w:tab/>
        <w:t>单位</w:t>
      </w:r>
      <w:r>
        <w:rPr>
          <w:rFonts w:ascii="宋体" w:hAnsi="宋体" w:cs="宋体" w:eastAsia="宋体" w:hint="default"/>
          <w:spacing w:val="-1"/>
          <w:sz w:val="21"/>
          <w:szCs w:val="21"/>
        </w:rPr>
        <w:t>:</w:t>
      </w:r>
      <w:r>
        <w:rPr>
          <w:rFonts w:ascii="宋体" w:hAnsi="宋体" w:cs="宋体" w:eastAsia="宋体" w:hint="default"/>
          <w:spacing w:val="-1"/>
          <w:sz w:val="21"/>
          <w:szCs w:val="21"/>
        </w:rPr>
        <w:t>元</w:t>
        <w:tab/>
        <w:t>币种</w:t>
      </w:r>
      <w:r>
        <w:rPr>
          <w:rFonts w:ascii="宋体" w:hAnsi="宋体" w:cs="宋体" w:eastAsia="宋体" w:hint="default"/>
          <w:spacing w:val="-1"/>
          <w:sz w:val="21"/>
          <w:szCs w:val="21"/>
        </w:rPr>
        <w:t>:</w:t>
      </w:r>
      <w:r>
        <w:rPr>
          <w:rFonts w:ascii="宋体" w:hAnsi="宋体" w:cs="宋体" w:eastAsia="宋体" w:hint="default"/>
          <w:spacing w:val="-1"/>
          <w:sz w:val="21"/>
          <w:szCs w:val="21"/>
        </w:rPr>
        <w:t>人民币</w:t>
      </w:r>
    </w:p>
    <w:p>
      <w:pPr>
        <w:spacing w:line="240" w:lineRule="auto" w:before="9"/>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3665"/>
        <w:gridCol w:w="956"/>
        <w:gridCol w:w="2193"/>
        <w:gridCol w:w="2236"/>
      </w:tblGrid>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65"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7"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977,141,500.31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894,302,548.49</w:t>
            </w: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38,746,795.02</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88,175,229.00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十五、</w:t>
            </w:r>
            <w:r>
              <w:rPr>
                <w:rFonts w:ascii="宋体" w:hAnsi="宋体" w:cs="宋体" w:eastAsia="宋体" w:hint="default"/>
                <w:sz w:val="21"/>
                <w:szCs w:val="21"/>
              </w:rPr>
              <w:t>1</w:t>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833,289,517.99</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1,018,070,499.44</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246,128,336.71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184,776,219.60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十五、</w:t>
            </w:r>
            <w:r>
              <w:rPr>
                <w:rFonts w:ascii="宋体" w:hAnsi="宋体" w:cs="宋体" w:eastAsia="宋体" w:hint="default"/>
                <w:sz w:val="21"/>
                <w:szCs w:val="21"/>
              </w:rPr>
              <w:t>2</w:t>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208,169,499.16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514,039,684.80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358,955,154.06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341,026,412.14</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50,003,735.15</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879,807.63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2,712,434,538.40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3,041,270,401.10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十五、</w:t>
            </w:r>
            <w:r>
              <w:rPr>
                <w:rFonts w:ascii="宋体" w:hAnsi="宋体" w:cs="宋体" w:eastAsia="宋体" w:hint="default"/>
                <w:sz w:val="21"/>
                <w:szCs w:val="21"/>
              </w:rPr>
              <w:t>3</w:t>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801,037,279.72</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631,037,279.72</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27,971,675.20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28,736,276.80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119,095,756.38</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80,772,359.57</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213,051,760.55</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54,835,999.49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230,530,004.97</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215,616,374.50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47,598,083.06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42,500,360.27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352,833.51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898,693.65</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20,617,667.14</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17,549,193.86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110,343,285.45</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15,000,000.00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1,570,598,345.98</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1,086,946,537.86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4,283,032,884.38</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4,128,216,938.96</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345,000,000.00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109,800,000.00</w:t>
            </w:r>
          </w:p>
        </w:tc>
      </w:tr>
      <w:tr>
        <w:trPr>
          <w:trHeight w:val="56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91,999,128.88</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223,219,645.78</w:t>
            </w:r>
          </w:p>
        </w:tc>
      </w:tr>
    </w:tbl>
    <w:p>
      <w:pPr>
        <w:spacing w:after="0" w:line="240" w:lineRule="exact"/>
        <w:jc w:val="right"/>
        <w:rPr>
          <w:rFonts w:ascii="宋体" w:hAnsi="宋体" w:cs="宋体" w:eastAsia="宋体" w:hint="default"/>
          <w:sz w:val="21"/>
          <w:szCs w:val="21"/>
        </w:rPr>
        <w:sectPr>
          <w:pgSz w:w="11910" w:h="16840"/>
          <w:pgMar w:header="882" w:footer="1194" w:top="110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65"/>
        <w:gridCol w:w="956"/>
        <w:gridCol w:w="2193"/>
        <w:gridCol w:w="2236"/>
      </w:tblGrid>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552,508,447.65</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414,528,476.85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225,637,301.50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163,395,287.61</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20,253,962.87</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18,345,985.05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80,409,092.93</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114,988,455.44</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41,757,390.00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41,760,000.00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32,173,214.48</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108,020,957.26</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67,555,953.85</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47,720,000.00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1,457,294,492.16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1,241,778,807.99</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39,480,000.00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79,000,000.00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894,302,344.25</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892,796,246.45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71,869,622.65</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79,434,566.04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57,972,861.00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1,005,651,966.90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1,109,203,673.49</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2,462,946,459.06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2,350,982,481.48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641,323,885.00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646,034,068.00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639,769,054.55</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668,697,186.37</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27,555,953.85</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57,972,861.00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176,199,430.83</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168,056,152.34</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390,350,008.79</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352,419,911.77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1,820,086,425.32</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1,777,234,457.48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4,283,032,884.38</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4,128,216,938.96</w:t>
            </w:r>
          </w:p>
        </w:tc>
      </w:tr>
    </w:tbl>
    <w:p>
      <w:pPr>
        <w:pStyle w:val="BodyText"/>
        <w:tabs>
          <w:tab w:pos="1897" w:val="left" w:leader="none"/>
          <w:tab w:pos="3338" w:val="left" w:leader="none"/>
        </w:tabs>
        <w:spacing w:line="240" w:lineRule="auto" w:before="81"/>
        <w:ind w:left="218" w:right="101"/>
        <w:jc w:val="left"/>
      </w:pPr>
      <w:r>
        <w:rPr/>
        <w:t>法定代表人：</w:t>
        <w:tab/>
        <w:t>王维航</w:t>
        <w:tab/>
        <w:t>主管会计工作负责人：任学英 会计机构负责人：李晖</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144.550pt;height:.550pt;mso-position-horizontal-relative:char;mso-position-vertical-relative:line" coordorigin="0,0" coordsize="2891,11">
            <v:group style="position:absolute;left:5;top:5;width:2880;height:2" coordorigin="5,5" coordsize="2880,2">
              <v:shape style="position:absolute;left:5;top:5;width:2880;height:2" coordorigin="5,5" coordsize="2880,0" path="m5,5l2885,5e" filled="false" stroked="true" strokeweight=".53998pt" strokecolor="#008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00" w:bottom="1380" w:left="1580" w:right="1040"/>
        </w:sect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4" w:top="1100" w:bottom="1380" w:left="1580" w:right="1040"/>
        </w:sectPr>
      </w:pPr>
    </w:p>
    <w:p>
      <w:pPr>
        <w:spacing w:line="328" w:lineRule="auto" w:before="26"/>
        <w:ind w:left="3764" w:right="-20" w:firstLine="267"/>
        <w:jc w:val="left"/>
        <w:rPr>
          <w:rFonts w:ascii="宋体" w:hAnsi="宋体" w:cs="宋体" w:eastAsia="宋体" w:hint="default"/>
          <w:sz w:val="24"/>
          <w:szCs w:val="24"/>
        </w:rPr>
      </w:pPr>
      <w:r>
        <w:rPr>
          <w:rFonts w:ascii="宋体" w:hAnsi="宋体" w:cs="宋体" w:eastAsia="宋体" w:hint="default"/>
          <w:b/>
          <w:bCs/>
          <w:sz w:val="24"/>
          <w:szCs w:val="24"/>
        </w:rPr>
        <w:t>合并利润表</w:t>
      </w:r>
      <w:r>
        <w:rPr>
          <w:rFonts w:ascii="宋体" w:hAnsi="宋体" w:cs="宋体" w:eastAsia="宋体" w:hint="default"/>
          <w:b/>
          <w:bCs/>
          <w:spacing w:val="1"/>
          <w:w w:val="99"/>
          <w:sz w:val="24"/>
          <w:szCs w:val="24"/>
        </w:rPr>
        <w:t> </w:t>
      </w: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tabs>
          <w:tab w:pos="2354" w:val="left" w:leader="none"/>
        </w:tabs>
        <w:spacing w:before="0"/>
        <w:ind w:left="1408"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w:t>
        <w:tab/>
        <w:t>币种</w:t>
      </w:r>
      <w:r>
        <w:rPr>
          <w:rFonts w:ascii="宋体" w:hAnsi="宋体" w:cs="宋体" w:eastAsia="宋体" w:hint="default"/>
          <w:sz w:val="21"/>
          <w:szCs w:val="21"/>
        </w:rPr>
        <w:t>:</w:t>
      </w:r>
      <w:r>
        <w:rPr>
          <w:rFonts w:ascii="宋体" w:hAnsi="宋体" w:cs="宋体" w:eastAsia="宋体" w:hint="default"/>
          <w:sz w:val="21"/>
          <w:szCs w:val="21"/>
        </w:rPr>
        <w:t>人民币</w:t>
      </w:r>
    </w:p>
    <w:p>
      <w:pPr>
        <w:spacing w:after="0"/>
        <w:jc w:val="left"/>
        <w:rPr>
          <w:rFonts w:ascii="宋体" w:hAnsi="宋体" w:cs="宋体" w:eastAsia="宋体" w:hint="default"/>
          <w:sz w:val="21"/>
          <w:szCs w:val="21"/>
        </w:rPr>
        <w:sectPr>
          <w:type w:val="continuous"/>
          <w:pgSz w:w="11910" w:h="16840"/>
          <w:pgMar w:top="1080" w:bottom="1380" w:left="1580" w:right="1040"/>
          <w:cols w:num="2" w:equalWidth="0">
            <w:col w:w="5505" w:space="40"/>
            <w:col w:w="3745"/>
          </w:cols>
        </w:sectPr>
      </w:pPr>
    </w:p>
    <w:p>
      <w:pPr>
        <w:spacing w:line="240" w:lineRule="auto" w:before="9"/>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4126"/>
        <w:gridCol w:w="966"/>
        <w:gridCol w:w="1974"/>
        <w:gridCol w:w="1984"/>
      </w:tblGrid>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6"/>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3"/>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4,278,544,505.57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4,816,016,513.55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7"/>
              <w:jc w:val="righ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43</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4,278,544,505.57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4,816,016,513.55</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4,224,410,904.29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4,781,089,194.27</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7"/>
              <w:jc w:val="righ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43</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3,475,786,730.14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4,050,240,697.64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7"/>
              <w:jc w:val="righ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44</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18,571,136.19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10,114,971.55</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7"/>
              <w:jc w:val="righ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45</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378,579,185.90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408,446,739.65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7"/>
              <w:jc w:val="righ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46</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257,756,262.81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229,564,952.30</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7"/>
              <w:jc w:val="righ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47</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70,582,040.47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51,500,817.25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7"/>
              <w:jc w:val="righ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48</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23,135,548.78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31,221,015.88</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pacing w:val="-5"/>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7"/>
              <w:jc w:val="righ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49</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39,855,871.90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1,833,487.29</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pacing w:val="-6"/>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-17,535,094.58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-189,449.53</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93,989,473.18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36,760,806.57</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7"/>
              <w:jc w:val="righ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50</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26,062,587.07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35,219,612.08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1,167,400.57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286,914.85</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7"/>
              <w:jc w:val="righ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51</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3,925,245.79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1,505,955.16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318,124.14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528,633.83</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116,126,814.46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70,474,463.49</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7"/>
              <w:jc w:val="righ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52</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10,658,479.17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19,863,273.98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105,468,335.29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50,611,189.51</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95,133,561.09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41,384,775.02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10,334,774.20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9,226,414.49</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-75,019.76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-16,617,592.94</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242,405.51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-12,461,206.49</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pacing w:val="-5"/>
                <w:sz w:val="21"/>
                <w:szCs w:val="21"/>
              </w:rPr>
              <w:t>（一）以后不能重分类进损益的其他综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净资产的变动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08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6"/>
        <w:gridCol w:w="1974"/>
        <w:gridCol w:w="1984"/>
      </w:tblGrid>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5"/>
                <w:sz w:val="21"/>
                <w:szCs w:val="21"/>
              </w:rPr>
              <w:t>（二）以后将重分类进损益的其他综合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242,405.51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-12,461,206.49</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firstLine="63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分类进损益的其他综合收益中享有的份额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-107,067.63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38"/>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现金流量套期损益的有效部分</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349,473.14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-12,461,206.49</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-317,425.27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-4,156,386.45</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105,393,315.53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33,993,596.57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38"/>
              <w:jc w:val="righ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95,375,966.60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28,923,568.53</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10,017,348.93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5,070,028.04</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0.1477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0.0639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5"/>
          <w:szCs w:val="25"/>
        </w:rPr>
      </w:pPr>
    </w:p>
    <w:p>
      <w:pPr>
        <w:pStyle w:val="BodyText"/>
        <w:tabs>
          <w:tab w:pos="4233" w:val="left" w:leader="none"/>
          <w:tab w:pos="8210" w:val="left" w:leader="none"/>
        </w:tabs>
        <w:spacing w:line="310" w:lineRule="exact" w:before="58"/>
        <w:ind w:left="218" w:right="288"/>
        <w:jc w:val="left"/>
      </w:pPr>
      <w:r>
        <w:rPr>
          <w:spacing w:val="-3"/>
        </w:rPr>
        <w:t>本期发生同一控制下企业合并的，被合并方在合并前实现的净利润为</w:t>
      </w:r>
      <w:r>
        <w:rPr>
          <w:spacing w:val="-3"/>
          <w:u w:val="single" w:color="333399"/>
        </w:rPr>
        <w:t>：</w:t>
        <w:tab/>
      </w:r>
      <w:r>
        <w:rPr>
          <w:spacing w:val="-3"/>
        </w:rPr>
      </w:r>
      <w:r>
        <w:rPr/>
        <w:t>元</w:t>
      </w:r>
      <w:r>
        <w:rPr>
          <w:rFonts w:ascii="宋体" w:hAnsi="宋体" w:cs="宋体" w:eastAsia="宋体" w:hint="default"/>
        </w:rPr>
        <w:t>, </w:t>
      </w:r>
      <w:r>
        <w:rPr/>
        <w:t>上 期被合并方实现的净利润为：</w:t>
      </w:r>
      <w:r>
        <w:rPr>
          <w:rFonts w:ascii="Times New Roman" w:hAnsi="Times New Roman" w:cs="Times New Roman" w:eastAsia="Times New Roman" w:hint="default"/>
        </w:rPr>
      </w:r>
      <w:r>
        <w:rPr>
          <w:rFonts w:ascii="Times New Roman" w:hAnsi="Times New Roman" w:cs="Times New Roman" w:eastAsia="Times New Roman" w:hint="default"/>
          <w:u w:val="single" w:color="333399"/>
        </w:rPr>
        <w:t> </w:t>
        <w:tab/>
      </w:r>
      <w:r>
        <w:rPr>
          <w:rFonts w:ascii="Times New Roman" w:hAnsi="Times New Roman" w:cs="Times New Roman" w:eastAsia="Times New Roman" w:hint="default"/>
        </w:rPr>
      </w:r>
      <w:r>
        <w:rPr/>
        <w:t>元。</w:t>
      </w:r>
    </w:p>
    <w:p>
      <w:pPr>
        <w:pStyle w:val="BodyText"/>
        <w:tabs>
          <w:tab w:pos="1897" w:val="left" w:leader="none"/>
          <w:tab w:pos="3338" w:val="left" w:leader="none"/>
        </w:tabs>
        <w:spacing w:line="240" w:lineRule="auto" w:before="90"/>
        <w:ind w:left="218" w:right="101"/>
        <w:jc w:val="left"/>
      </w:pPr>
      <w:r>
        <w:rPr/>
        <w:t>法定代表人：</w:t>
        <w:tab/>
        <w:t>王维航</w:t>
        <w:tab/>
        <w:t>主管会计工作负责人：任学英 会计机构负责人：李晖</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0"/>
          <w:szCs w:val="1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144.550pt;height:.550pt;mso-position-horizontal-relative:char;mso-position-vertical-relative:line" coordorigin="0,0" coordsize="2891,11">
            <v:group style="position:absolute;left:5;top:5;width:2880;height:2" coordorigin="5,5" coordsize="2880,2">
              <v:shape style="position:absolute;left:5;top:5;width:2880;height:2" coordorigin="5,5" coordsize="2880,0" path="m5,5l2885,5e" filled="false" stroked="true" strokeweight=".53998pt" strokecolor="#008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00" w:bottom="1380" w:left="1580" w:right="1040"/>
        </w:sect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4" w:top="1100" w:bottom="1380" w:left="1580" w:right="1040"/>
        </w:sectPr>
      </w:pPr>
    </w:p>
    <w:p>
      <w:pPr>
        <w:spacing w:line="328" w:lineRule="auto" w:before="26"/>
        <w:ind w:left="3764" w:right="-20" w:firstLine="147"/>
        <w:jc w:val="left"/>
        <w:rPr>
          <w:rFonts w:ascii="宋体" w:hAnsi="宋体" w:cs="宋体" w:eastAsia="宋体" w:hint="default"/>
          <w:sz w:val="24"/>
          <w:szCs w:val="24"/>
        </w:rPr>
      </w:pPr>
      <w:r>
        <w:rPr>
          <w:rFonts w:ascii="宋体" w:hAnsi="宋体" w:cs="宋体" w:eastAsia="宋体" w:hint="default"/>
          <w:b/>
          <w:bCs/>
          <w:sz w:val="24"/>
          <w:szCs w:val="24"/>
        </w:rPr>
        <w:t>母公司利润表</w:t>
      </w:r>
      <w:r>
        <w:rPr>
          <w:rFonts w:ascii="宋体" w:hAnsi="宋体" w:cs="宋体" w:eastAsia="宋体" w:hint="default"/>
          <w:b/>
          <w:bCs/>
          <w:w w:val="99"/>
          <w:sz w:val="24"/>
          <w:szCs w:val="24"/>
        </w:rPr>
        <w:t> </w:t>
      </w: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tabs>
          <w:tab w:pos="2354" w:val="left" w:leader="none"/>
        </w:tabs>
        <w:spacing w:before="0"/>
        <w:ind w:left="1408"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w:t>
        <w:tab/>
        <w:t>币种</w:t>
      </w:r>
      <w:r>
        <w:rPr>
          <w:rFonts w:ascii="宋体" w:hAnsi="宋体" w:cs="宋体" w:eastAsia="宋体" w:hint="default"/>
          <w:sz w:val="21"/>
          <w:szCs w:val="21"/>
        </w:rPr>
        <w:t>:</w:t>
      </w:r>
      <w:r>
        <w:rPr>
          <w:rFonts w:ascii="宋体" w:hAnsi="宋体" w:cs="宋体" w:eastAsia="宋体" w:hint="default"/>
          <w:sz w:val="21"/>
          <w:szCs w:val="21"/>
        </w:rPr>
        <w:t>人民币</w:t>
      </w:r>
    </w:p>
    <w:p>
      <w:pPr>
        <w:spacing w:after="0"/>
        <w:jc w:val="left"/>
        <w:rPr>
          <w:rFonts w:ascii="宋体" w:hAnsi="宋体" w:cs="宋体" w:eastAsia="宋体" w:hint="default"/>
          <w:sz w:val="21"/>
          <w:szCs w:val="21"/>
        </w:rPr>
        <w:sectPr>
          <w:type w:val="continuous"/>
          <w:pgSz w:w="11910" w:h="16840"/>
          <w:pgMar w:top="1080" w:bottom="1380" w:left="1580" w:right="1040"/>
          <w:cols w:num="2" w:equalWidth="0">
            <w:col w:w="5505" w:space="40"/>
            <w:col w:w="3745"/>
          </w:cols>
        </w:sectPr>
      </w:pPr>
    </w:p>
    <w:p>
      <w:pPr>
        <w:spacing w:line="240" w:lineRule="auto" w:before="9"/>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4126"/>
        <w:gridCol w:w="966"/>
        <w:gridCol w:w="1974"/>
        <w:gridCol w:w="1984"/>
      </w:tblGrid>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6"/>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
              <w:jc w:val="center"/>
              <w:rPr>
                <w:rFonts w:ascii="宋体" w:hAnsi="宋体" w:cs="宋体" w:eastAsia="宋体" w:hint="default"/>
                <w:sz w:val="21"/>
                <w:szCs w:val="21"/>
              </w:rPr>
            </w:pPr>
            <w:r>
              <w:rPr>
                <w:rFonts w:ascii="宋体" w:hAnsi="宋体" w:cs="宋体" w:eastAsia="宋体" w:hint="default"/>
                <w:sz w:val="21"/>
                <w:szCs w:val="21"/>
              </w:rPr>
              <w:t>十五、</w:t>
            </w:r>
            <w:r>
              <w:rPr>
                <w:rFonts w:ascii="宋体" w:hAnsi="宋体" w:cs="宋体" w:eastAsia="宋体" w:hint="default"/>
                <w:sz w:val="21"/>
                <w:szCs w:val="21"/>
              </w:rPr>
              <w:t>4</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2,375,693,729.94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2,687,018,678.42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
              <w:jc w:val="center"/>
              <w:rPr>
                <w:rFonts w:ascii="宋体" w:hAnsi="宋体" w:cs="宋体" w:eastAsia="宋体" w:hint="default"/>
                <w:sz w:val="21"/>
                <w:szCs w:val="21"/>
              </w:rPr>
            </w:pPr>
            <w:r>
              <w:rPr>
                <w:rFonts w:ascii="宋体" w:hAnsi="宋体" w:cs="宋体" w:eastAsia="宋体" w:hint="default"/>
                <w:sz w:val="21"/>
                <w:szCs w:val="21"/>
              </w:rPr>
              <w:t>十五、</w:t>
            </w:r>
            <w:r>
              <w:rPr>
                <w:rFonts w:ascii="宋体" w:hAnsi="宋体" w:cs="宋体" w:eastAsia="宋体" w:hint="default"/>
                <w:sz w:val="21"/>
                <w:szCs w:val="21"/>
              </w:rPr>
              <w:t>4</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1,919,916,893.34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2,255,937,639.00</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12,548,340.35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5,777,857.95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236,797,583.48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280,092,758.01</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83,436,958.69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85,465,890.46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62,885,482.37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36,155,524.31</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16,485,765.43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12,183,638.04</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pacing w:val="-5"/>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
              <w:jc w:val="center"/>
              <w:rPr>
                <w:rFonts w:ascii="宋体" w:hAnsi="宋体" w:cs="宋体" w:eastAsia="宋体" w:hint="default"/>
                <w:sz w:val="21"/>
                <w:szCs w:val="21"/>
              </w:rPr>
            </w:pPr>
            <w:r>
              <w:rPr>
                <w:rFonts w:ascii="宋体" w:hAnsi="宋体" w:cs="宋体" w:eastAsia="宋体" w:hint="default"/>
                <w:sz w:val="21"/>
                <w:szCs w:val="21"/>
              </w:rPr>
              <w:t>十五、</w:t>
            </w:r>
            <w:r>
              <w:rPr>
                <w:rFonts w:ascii="宋体" w:hAnsi="宋体" w:cs="宋体" w:eastAsia="宋体" w:hint="default"/>
                <w:sz w:val="21"/>
                <w:szCs w:val="21"/>
              </w:rPr>
              <w:t>5</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40,891,643.55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1,300,480.81</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0" w:right="0"/>
              <w:jc w:val="left"/>
              <w:rPr>
                <w:rFonts w:ascii="宋体" w:hAnsi="宋体" w:cs="宋体" w:eastAsia="宋体" w:hint="default"/>
                <w:sz w:val="21"/>
                <w:szCs w:val="21"/>
              </w:rPr>
            </w:pPr>
            <w:r>
              <w:rPr>
                <w:rFonts w:ascii="宋体" w:hAnsi="宋体" w:cs="宋体" w:eastAsia="宋体" w:hint="default"/>
                <w:spacing w:val="-6"/>
                <w:sz w:val="21"/>
                <w:szCs w:val="21"/>
              </w:rPr>
              <w:t>其中：对联营企业和合营企业的投资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44,577.49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84,514,349.83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12,705,851.46</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3,370,247.31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13,872,821.92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110,026.41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32,003.66</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850,752.53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179,391.22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151,302.26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127,491.85</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87,033,844.61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26,399,282.16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5,601,059.69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5,116,788.49</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81,432,784.92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21,282,493.67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pacing w:val="-5"/>
                <w:sz w:val="21"/>
                <w:szCs w:val="21"/>
              </w:rPr>
              <w:t>（一）以后不能重分类进损益的其他综合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权益法下在被投资单位不能重分类</w:t>
            </w:r>
          </w:p>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进损益的其他综合收益中享有的份额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pacing w:val="-5"/>
                <w:sz w:val="21"/>
                <w:szCs w:val="21"/>
              </w:rPr>
              <w:t>（二）以后将重分类进损益的其他综合收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81,432,784.92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21,282,493.67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bl>
    <w:p>
      <w:pPr>
        <w:tabs>
          <w:tab w:pos="1689" w:val="left" w:leader="none"/>
          <w:tab w:pos="2947" w:val="left" w:leader="none"/>
        </w:tabs>
        <w:spacing w:line="240" w:lineRule="exact" w:before="0"/>
        <w:ind w:left="218" w:right="101" w:firstLine="0"/>
        <w:jc w:val="left"/>
        <w:rPr>
          <w:rFonts w:ascii="宋体" w:hAnsi="宋体" w:cs="宋体" w:eastAsia="宋体" w:hint="default"/>
          <w:sz w:val="21"/>
          <w:szCs w:val="21"/>
        </w:rPr>
      </w:pPr>
      <w:r>
        <w:rPr>
          <w:rFonts w:ascii="宋体" w:hAnsi="宋体" w:cs="宋体" w:eastAsia="宋体" w:hint="default"/>
          <w:sz w:val="21"/>
          <w:szCs w:val="21"/>
        </w:rPr>
        <w:t>法定代表人：</w:t>
        <w:tab/>
        <w:t>王维航</w:t>
        <w:tab/>
        <w:t>主管会计工作负责人：任学英</w:t>
      </w:r>
      <w:r>
        <w:rPr>
          <w:rFonts w:ascii="宋体" w:hAnsi="宋体" w:cs="宋体" w:eastAsia="宋体" w:hint="default"/>
          <w:spacing w:val="-3"/>
          <w:sz w:val="21"/>
          <w:szCs w:val="21"/>
        </w:rPr>
        <w:t> </w:t>
      </w:r>
      <w:r>
        <w:rPr>
          <w:rFonts w:ascii="宋体" w:hAnsi="宋体" w:cs="宋体" w:eastAsia="宋体" w:hint="default"/>
          <w:sz w:val="21"/>
          <w:szCs w:val="21"/>
        </w:rPr>
        <w:t>会计机构负责人：李晖</w:t>
      </w:r>
    </w:p>
    <w:p>
      <w:pPr>
        <w:spacing w:after="0" w:line="240" w:lineRule="exact"/>
        <w:jc w:val="left"/>
        <w:rPr>
          <w:rFonts w:ascii="宋体" w:hAnsi="宋体" w:cs="宋体" w:eastAsia="宋体" w:hint="default"/>
          <w:sz w:val="21"/>
          <w:szCs w:val="21"/>
        </w:rPr>
        <w:sectPr>
          <w:type w:val="continuous"/>
          <w:pgSz w:w="11910" w:h="16840"/>
          <w:pgMar w:top="108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4" w:top="1100" w:bottom="1380" w:left="1580" w:right="1040"/>
        </w:sectPr>
      </w:pPr>
    </w:p>
    <w:p>
      <w:pPr>
        <w:spacing w:line="328" w:lineRule="auto" w:before="26"/>
        <w:ind w:left="3764" w:right="0" w:firstLine="26"/>
        <w:jc w:val="right"/>
        <w:rPr>
          <w:rFonts w:ascii="宋体" w:hAnsi="宋体" w:cs="宋体" w:eastAsia="宋体" w:hint="default"/>
          <w:sz w:val="24"/>
          <w:szCs w:val="24"/>
        </w:rPr>
      </w:pPr>
      <w:r>
        <w:rPr>
          <w:rFonts w:ascii="宋体" w:hAnsi="宋体" w:cs="宋体" w:eastAsia="宋体" w:hint="default"/>
          <w:b/>
          <w:bCs/>
          <w:w w:val="95"/>
          <w:sz w:val="24"/>
          <w:szCs w:val="24"/>
        </w:rPr>
        <w:t>合并现金流量表</w:t>
      </w:r>
      <w:r>
        <w:rPr>
          <w:rFonts w:ascii="宋体" w:hAnsi="宋体" w:cs="宋体" w:eastAsia="宋体" w:hint="default"/>
          <w:b/>
          <w:bCs/>
          <w:spacing w:val="-95"/>
          <w:w w:val="95"/>
          <w:sz w:val="24"/>
          <w:szCs w:val="24"/>
        </w:rPr>
        <w:t> </w:t>
      </w:r>
      <w:r>
        <w:rPr>
          <w:rFonts w:ascii="宋体" w:hAnsi="宋体" w:cs="宋体" w:eastAsia="宋体" w:hint="default"/>
          <w:b/>
          <w:bCs/>
          <w:spacing w:val="-95"/>
          <w:w w:val="95"/>
          <w:sz w:val="24"/>
          <w:szCs w:val="24"/>
        </w:rPr>
      </w: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tabs>
          <w:tab w:pos="2247" w:val="left" w:leader="none"/>
        </w:tabs>
        <w:spacing w:before="0"/>
        <w:ind w:left="119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580" w:right="1040"/>
          <w:cols w:num="2" w:equalWidth="0">
            <w:col w:w="5505" w:space="40"/>
            <w:col w:w="3745"/>
          </w:cols>
        </w:sectPr>
      </w:pPr>
    </w:p>
    <w:p>
      <w:pPr>
        <w:spacing w:line="240" w:lineRule="auto" w:before="8"/>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1"/>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5,279,713,501.42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5,452,556,326.12</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15,656,341.41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13,078,533.66</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5"/>
              <w:jc w:val="righ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53</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45,917,312.24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81,497,701.71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5,341,287,155.07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5,547,132,561.49</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3,911,458,162.12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3,993,430,044.56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788,620,241.05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853,788,371.30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119,295,774.12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126,935,177.62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5"/>
              <w:jc w:val="righ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53</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245,424,961.46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249,042,887.64</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5,064,799,138.75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5,223,196,481.12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276,488,016.32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323,936,080.37</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1,295,695,330.00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1,713,720,000.00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22,637,865.34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7,476,444.38</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240,050,643.90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147,803,566.02</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1,368,281.10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4,353,780.22</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5"/>
              <w:jc w:val="righ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53</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89,431,780.07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94,937,889.48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1,649,183,900.41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1,968,291,680.10</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0"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666,195,606.00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854,446,738.22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1,391,310,000.00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1,711,049,999.99</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22,677,749.42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48,894,046.89</w:t>
            </w:r>
          </w:p>
        </w:tc>
      </w:tr>
    </w:tbl>
    <w:p>
      <w:pPr>
        <w:spacing w:after="0" w:line="241" w:lineRule="exact"/>
        <w:jc w:val="right"/>
        <w:rPr>
          <w:rFonts w:ascii="宋体" w:hAnsi="宋体" w:cs="宋体" w:eastAsia="宋体" w:hint="default"/>
          <w:sz w:val="21"/>
          <w:szCs w:val="21"/>
        </w:rPr>
        <w:sectPr>
          <w:type w:val="continuous"/>
          <w:pgSz w:w="11910" w:h="16840"/>
          <w:pgMar w:top="108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16"/>
        <w:gridCol w:w="2201"/>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53</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56,671,112.73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40,773,615.07</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2,136,854,468.15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2,655,164,400.17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-487,670,567.74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-686,872,720.07</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156,897,309.38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150,000.00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156,897,309.38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150,000.00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1,482,430,744.08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1,295,615,786.99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891,900,000.00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1,639,328,053.46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2,187,665,786.99</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854,374,744.60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1,090,248,489.99</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119,358,124.43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91,345,872.91</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2,700,000.00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4,098,985.97</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53</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73,342,860.91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45,505,005.52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1,047,075,729.94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1,227,099,368.42</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592,252,323.52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960,566,418.57</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366,220.41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-4,812,980.92</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381,435,992.51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592,816,797.95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1,274,847,964.37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682,031,166.42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1,656,283,956.88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1,274,847,964.37</w:t>
            </w:r>
          </w:p>
        </w:tc>
      </w:tr>
    </w:tbl>
    <w:p>
      <w:pPr>
        <w:spacing w:line="240" w:lineRule="auto" w:before="0"/>
        <w:rPr>
          <w:rFonts w:ascii="宋体" w:hAnsi="宋体" w:cs="宋体" w:eastAsia="宋体" w:hint="default"/>
          <w:sz w:val="25"/>
          <w:szCs w:val="25"/>
        </w:rPr>
      </w:pPr>
    </w:p>
    <w:p>
      <w:pPr>
        <w:pStyle w:val="BodyText"/>
        <w:tabs>
          <w:tab w:pos="1897" w:val="left" w:leader="none"/>
          <w:tab w:pos="3338" w:val="left" w:leader="none"/>
        </w:tabs>
        <w:spacing w:line="240" w:lineRule="auto" w:before="26"/>
        <w:ind w:left="218" w:right="101"/>
        <w:jc w:val="left"/>
      </w:pPr>
      <w:r>
        <w:rPr/>
        <w:t>法定代表人：</w:t>
        <w:tab/>
        <w:t>王维航</w:t>
        <w:tab/>
        <w:t>主管会计工作负责人：任学英 会计机构负责人：李晖</w:t>
      </w:r>
    </w:p>
    <w:p>
      <w:pPr>
        <w:spacing w:after="0" w:line="240" w:lineRule="auto"/>
        <w:jc w:val="left"/>
        <w:sectPr>
          <w:pgSz w:w="11910" w:h="16840"/>
          <w:pgMar w:header="882" w:footer="1194" w:top="1100" w:bottom="1380" w:left="1580" w:right="1040"/>
        </w:sect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30"/>
          <w:pgSz w:w="11910" w:h="16840"/>
          <w:pgMar w:footer="1194" w:header="882" w:top="1100" w:bottom="1380" w:left="820" w:right="900"/>
        </w:sectPr>
      </w:pPr>
    </w:p>
    <w:p>
      <w:pPr>
        <w:spacing w:line="310" w:lineRule="exact" w:before="58"/>
        <w:ind w:left="4524" w:right="0" w:hanging="94"/>
        <w:jc w:val="left"/>
        <w:rPr>
          <w:rFonts w:ascii="宋体" w:hAnsi="宋体" w:cs="宋体" w:eastAsia="宋体" w:hint="default"/>
          <w:sz w:val="24"/>
          <w:szCs w:val="24"/>
        </w:rPr>
      </w:pPr>
      <w:r>
        <w:rPr>
          <w:rFonts w:ascii="宋体" w:hAnsi="宋体" w:cs="宋体" w:eastAsia="宋体" w:hint="default"/>
          <w:b/>
          <w:bCs/>
          <w:w w:val="95"/>
          <w:sz w:val="24"/>
          <w:szCs w:val="24"/>
        </w:rPr>
        <w:t>母公司现金流量表</w:t>
      </w:r>
      <w:r>
        <w:rPr>
          <w:rFonts w:ascii="宋体" w:hAnsi="宋体" w:cs="宋体" w:eastAsia="宋体" w:hint="default"/>
          <w:b/>
          <w:bCs/>
          <w:spacing w:val="-24"/>
          <w:w w:val="95"/>
          <w:sz w:val="24"/>
          <w:szCs w:val="24"/>
        </w:rPr>
        <w:t> </w:t>
      </w:r>
      <w:r>
        <w:rPr>
          <w:rFonts w:ascii="宋体" w:hAnsi="宋体" w:cs="宋体" w:eastAsia="宋体" w:hint="default"/>
          <w:b/>
          <w:bCs/>
          <w:spacing w:val="-24"/>
          <w:w w:val="95"/>
          <w:sz w:val="24"/>
          <w:szCs w:val="24"/>
        </w:rPr>
      </w: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9"/>
          <w:szCs w:val="29"/>
        </w:rPr>
      </w:pPr>
    </w:p>
    <w:p>
      <w:pPr>
        <w:tabs>
          <w:tab w:pos="2261" w:val="left" w:leader="none"/>
        </w:tabs>
        <w:spacing w:before="0"/>
        <w:ind w:left="1315"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w:t>
        <w:tab/>
        <w:t>币种</w:t>
      </w:r>
      <w:r>
        <w:rPr>
          <w:rFonts w:ascii="宋体" w:hAnsi="宋体" w:cs="宋体" w:eastAsia="宋体" w:hint="default"/>
          <w:sz w:val="21"/>
          <w:szCs w:val="21"/>
        </w:rPr>
        <w:t>:</w:t>
      </w:r>
      <w:r>
        <w:rPr>
          <w:rFonts w:ascii="宋体" w:hAnsi="宋体" w:cs="宋体" w:eastAsia="宋体" w:hint="default"/>
          <w:sz w:val="21"/>
          <w:szCs w:val="21"/>
        </w:rPr>
        <w:t>人民币</w:t>
      </w:r>
    </w:p>
    <w:p>
      <w:pPr>
        <w:spacing w:after="0"/>
        <w:jc w:val="left"/>
        <w:rPr>
          <w:rFonts w:ascii="宋体" w:hAnsi="宋体" w:cs="宋体" w:eastAsia="宋体" w:hint="default"/>
          <w:sz w:val="21"/>
          <w:szCs w:val="21"/>
        </w:rPr>
        <w:sectPr>
          <w:type w:val="continuous"/>
          <w:pgSz w:w="11910" w:h="16840"/>
          <w:pgMar w:top="1080" w:bottom="1380" w:left="820" w:right="900"/>
          <w:cols w:num="2" w:equalWidth="0">
            <w:col w:w="6358" w:space="40"/>
            <w:col w:w="3792"/>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539"/>
        <w:gridCol w:w="996"/>
        <w:gridCol w:w="2208"/>
        <w:gridCol w:w="2194"/>
      </w:tblGrid>
      <w:tr>
        <w:trPr>
          <w:trHeight w:val="287" w:hRule="exact"/>
        </w:trPr>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7" w:hRule="exact"/>
        </w:trPr>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3,364,514,672.76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3,413,756,806.55</w:t>
            </w:r>
          </w:p>
        </w:tc>
      </w:tr>
      <w:tr>
        <w:trPr>
          <w:trHeight w:val="287" w:hRule="exact"/>
        </w:trPr>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9"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1,963,354.24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3,350,682.01</w:t>
            </w:r>
          </w:p>
        </w:tc>
      </w:tr>
      <w:tr>
        <w:trPr>
          <w:trHeight w:val="288" w:hRule="exact"/>
        </w:trPr>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307,528,749.10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66,443,484.93</w:t>
            </w:r>
          </w:p>
        </w:tc>
      </w:tr>
      <w:tr>
        <w:trPr>
          <w:trHeight w:val="287" w:hRule="exact"/>
        </w:trPr>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9"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3,674,006,776.10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3,483,550,973.49</w:t>
            </w:r>
          </w:p>
        </w:tc>
      </w:tr>
      <w:tr>
        <w:trPr>
          <w:trHeight w:val="288" w:hRule="exact"/>
        </w:trPr>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2,694,275,298.21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2,731,379,610.46</w:t>
            </w:r>
          </w:p>
        </w:tc>
      </w:tr>
      <w:tr>
        <w:trPr>
          <w:trHeight w:val="287" w:hRule="exact"/>
        </w:trPr>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9"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177,640,000.71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227,696,368.07</w:t>
            </w:r>
          </w:p>
        </w:tc>
      </w:tr>
      <w:tr>
        <w:trPr>
          <w:trHeight w:val="288" w:hRule="exact"/>
        </w:trPr>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57,168,674.54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71,162,935.76</w:t>
            </w:r>
          </w:p>
        </w:tc>
      </w:tr>
      <w:tr>
        <w:trPr>
          <w:trHeight w:val="287" w:hRule="exact"/>
        </w:trPr>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9"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514,832,393.02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287,027,077.76</w:t>
            </w:r>
          </w:p>
        </w:tc>
      </w:tr>
      <w:tr>
        <w:trPr>
          <w:trHeight w:val="288" w:hRule="exact"/>
        </w:trPr>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9"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3,443,916,366.48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3,317,265,992.05</w:t>
            </w:r>
          </w:p>
        </w:tc>
      </w:tr>
      <w:tr>
        <w:trPr>
          <w:trHeight w:val="287" w:hRule="exact"/>
        </w:trPr>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9"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230,090,409.62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166,284,981.44</w:t>
            </w:r>
          </w:p>
        </w:tc>
      </w:tr>
      <w:tr>
        <w:trPr>
          <w:trHeight w:val="287" w:hRule="exact"/>
        </w:trPr>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910,000,000.00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1,257,900,000.00</w:t>
            </w:r>
          </w:p>
        </w:tc>
      </w:tr>
      <w:tr>
        <w:trPr>
          <w:trHeight w:val="287" w:hRule="exact"/>
        </w:trPr>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9"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40,891,643.55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5,801,209.27</w:t>
            </w:r>
          </w:p>
        </w:tc>
      </w:tr>
      <w:tr>
        <w:trPr>
          <w:trHeight w:val="560" w:hRule="exact"/>
        </w:trPr>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9" w:right="0"/>
              <w:jc w:val="left"/>
              <w:rPr>
                <w:rFonts w:ascii="宋体" w:hAnsi="宋体" w:cs="宋体" w:eastAsia="宋体" w:hint="default"/>
                <w:sz w:val="21"/>
                <w:szCs w:val="21"/>
              </w:rPr>
            </w:pPr>
            <w:r>
              <w:rPr>
                <w:rFonts w:ascii="宋体" w:hAnsi="宋体" w:cs="宋体" w:eastAsia="宋体" w:hint="default"/>
                <w:sz w:val="21"/>
                <w:szCs w:val="21"/>
              </w:rPr>
              <w:t>处置固定资产</w:t>
            </w:r>
            <w:r>
              <w:rPr>
                <w:rFonts w:ascii="宋体" w:hAnsi="宋体" w:cs="宋体" w:eastAsia="宋体" w:hint="default"/>
                <w:spacing w:val="-88"/>
                <w:sz w:val="21"/>
                <w:szCs w:val="21"/>
              </w:rPr>
              <w:t>、</w:t>
            </w:r>
            <w:r>
              <w:rPr>
                <w:rFonts w:ascii="宋体" w:hAnsi="宋体" w:cs="宋体" w:eastAsia="宋体" w:hint="default"/>
                <w:sz w:val="21"/>
                <w:szCs w:val="21"/>
              </w:rPr>
              <w:t>无形资产和其他长期资产收回</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的现金净额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825.00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14,750.00</w:t>
            </w:r>
          </w:p>
        </w:tc>
      </w:tr>
      <w:tr>
        <w:trPr>
          <w:trHeight w:val="287" w:hRule="exact"/>
        </w:trPr>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3"/>
              <w:jc w:val="righ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5,500,000.00</w:t>
            </w:r>
          </w:p>
        </w:tc>
      </w:tr>
      <w:tr>
        <w:trPr>
          <w:trHeight w:val="288" w:hRule="exact"/>
        </w:trPr>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765,857,892.85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68,113,758.63</w:t>
            </w:r>
          </w:p>
        </w:tc>
      </w:tr>
      <w:tr>
        <w:trPr>
          <w:trHeight w:val="287" w:hRule="exact"/>
        </w:trPr>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9"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1,716,750,361.40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1,337,329,717.90</w:t>
            </w:r>
          </w:p>
        </w:tc>
      </w:tr>
      <w:tr>
        <w:trPr>
          <w:trHeight w:val="561" w:hRule="exact"/>
        </w:trPr>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9" w:right="0"/>
              <w:jc w:val="left"/>
              <w:rPr>
                <w:rFonts w:ascii="宋体" w:hAnsi="宋体" w:cs="宋体" w:eastAsia="宋体" w:hint="default"/>
                <w:sz w:val="21"/>
                <w:szCs w:val="21"/>
              </w:rPr>
            </w:pPr>
            <w:r>
              <w:rPr>
                <w:rFonts w:ascii="宋体" w:hAnsi="宋体" w:cs="宋体" w:eastAsia="宋体" w:hint="default"/>
                <w:sz w:val="21"/>
                <w:szCs w:val="21"/>
              </w:rPr>
              <w:t>购建固定资产</w:t>
            </w:r>
            <w:r>
              <w:rPr>
                <w:rFonts w:ascii="宋体" w:hAnsi="宋体" w:cs="宋体" w:eastAsia="宋体" w:hint="default"/>
                <w:spacing w:val="-88"/>
                <w:sz w:val="21"/>
                <w:szCs w:val="21"/>
              </w:rPr>
              <w:t>、</w:t>
            </w:r>
            <w:r>
              <w:rPr>
                <w:rFonts w:ascii="宋体" w:hAnsi="宋体" w:cs="宋体" w:eastAsia="宋体" w:hint="default"/>
                <w:sz w:val="21"/>
                <w:szCs w:val="21"/>
              </w:rPr>
              <w:t>无形资产和其他长期资产支付</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328,008,324.42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79,735,104.40</w:t>
            </w:r>
          </w:p>
        </w:tc>
      </w:tr>
      <w:tr>
        <w:trPr>
          <w:trHeight w:val="287" w:hRule="exact"/>
        </w:trPr>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9"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1,115,000,000.00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1,280,000,000.00</w:t>
            </w:r>
          </w:p>
        </w:tc>
      </w:tr>
      <w:tr>
        <w:trPr>
          <w:trHeight w:val="287" w:hRule="exact"/>
        </w:trPr>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3"/>
              <w:jc w:val="righ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12,720,000.00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21,300,000.00</w:t>
            </w:r>
          </w:p>
        </w:tc>
      </w:tr>
      <w:tr>
        <w:trPr>
          <w:trHeight w:val="288" w:hRule="exact"/>
        </w:trPr>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442,800,000.00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430,000,000.00</w:t>
            </w:r>
          </w:p>
        </w:tc>
      </w:tr>
      <w:tr>
        <w:trPr>
          <w:trHeight w:val="287" w:hRule="exact"/>
        </w:trPr>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9"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1,898,528,324.42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1,811,035,104.40</w:t>
            </w:r>
          </w:p>
        </w:tc>
      </w:tr>
      <w:tr>
        <w:trPr>
          <w:trHeight w:val="288" w:hRule="exact"/>
        </w:trPr>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-181,777,963.02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-473,705,386.50</w:t>
            </w:r>
          </w:p>
        </w:tc>
      </w:tr>
      <w:tr>
        <w:trPr>
          <w:trHeight w:val="287" w:hRule="exact"/>
        </w:trPr>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r>
      <w:tr>
        <w:trPr>
          <w:trHeight w:val="287" w:hRule="exact"/>
        </w:trPr>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9"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383,424,816.08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369,800,000.00</w:t>
            </w:r>
          </w:p>
        </w:tc>
      </w:tr>
      <w:tr>
        <w:trPr>
          <w:trHeight w:val="288" w:hRule="exact"/>
        </w:trPr>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891,900,000</w:t>
            </w:r>
          </w:p>
        </w:tc>
      </w:tr>
      <w:tr>
        <w:trPr>
          <w:trHeight w:val="287" w:hRule="exact"/>
        </w:trPr>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9"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9"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383,424,816.08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1,261,700,000.00</w:t>
            </w:r>
          </w:p>
        </w:tc>
      </w:tr>
      <w:tr>
        <w:trPr>
          <w:trHeight w:val="288" w:hRule="exact"/>
        </w:trPr>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183,224,816.08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345,000,000.00</w:t>
            </w:r>
          </w:p>
        </w:tc>
      </w:tr>
      <w:tr>
        <w:trPr>
          <w:trHeight w:val="287" w:hRule="exact"/>
        </w:trPr>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9"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112,773,056.39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80,949,456.81</w:t>
            </w:r>
          </w:p>
        </w:tc>
      </w:tr>
      <w:tr>
        <w:trPr>
          <w:trHeight w:val="288" w:hRule="exact"/>
        </w:trPr>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38,373,583.12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21,968,725.02</w:t>
            </w:r>
          </w:p>
        </w:tc>
      </w:tr>
      <w:tr>
        <w:trPr>
          <w:trHeight w:val="287" w:hRule="exact"/>
        </w:trPr>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9"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334,371,455.59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447,918,181.83</w:t>
            </w:r>
          </w:p>
        </w:tc>
      </w:tr>
      <w:tr>
        <w:trPr>
          <w:trHeight w:val="288" w:hRule="exact"/>
        </w:trPr>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49,053,360.49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813,781,818.17</w:t>
            </w:r>
          </w:p>
        </w:tc>
      </w:tr>
      <w:tr>
        <w:trPr>
          <w:trHeight w:val="287" w:hRule="exact"/>
        </w:trPr>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r>
      <w:tr>
        <w:trPr>
          <w:trHeight w:val="288" w:hRule="exact"/>
        </w:trPr>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97,365,807.09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506,361,413.11</w:t>
            </w:r>
          </w:p>
        </w:tc>
      </w:tr>
      <w:tr>
        <w:trPr>
          <w:trHeight w:val="287" w:hRule="exact"/>
        </w:trPr>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9"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872,174,419.36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365,813,006.25</w:t>
            </w:r>
          </w:p>
        </w:tc>
      </w:tr>
      <w:tr>
        <w:trPr>
          <w:trHeight w:val="288" w:hRule="exact"/>
        </w:trPr>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969,540,226.45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872,174,419.36</w:t>
            </w:r>
          </w:p>
        </w:tc>
      </w:tr>
    </w:tbl>
    <w:p>
      <w:pPr>
        <w:tabs>
          <w:tab w:pos="2449" w:val="left" w:leader="none"/>
          <w:tab w:pos="3707" w:val="left" w:leader="none"/>
        </w:tabs>
        <w:spacing w:before="84"/>
        <w:ind w:left="978" w:right="0" w:firstLine="0"/>
        <w:jc w:val="left"/>
        <w:rPr>
          <w:rFonts w:ascii="宋体" w:hAnsi="宋体" w:cs="宋体" w:eastAsia="宋体" w:hint="default"/>
          <w:sz w:val="21"/>
          <w:szCs w:val="21"/>
        </w:rPr>
      </w:pPr>
      <w:r>
        <w:rPr>
          <w:rFonts w:ascii="宋体" w:hAnsi="宋体" w:cs="宋体" w:eastAsia="宋体" w:hint="default"/>
          <w:sz w:val="21"/>
          <w:szCs w:val="21"/>
        </w:rPr>
        <w:t>法定代表人：</w:t>
        <w:tab/>
        <w:t>王维航</w:t>
        <w:tab/>
        <w:t>主管会计工作负责人：任学英</w:t>
      </w:r>
      <w:r>
        <w:rPr>
          <w:rFonts w:ascii="宋体" w:hAnsi="宋体" w:cs="宋体" w:eastAsia="宋体" w:hint="default"/>
          <w:spacing w:val="-3"/>
          <w:sz w:val="21"/>
          <w:szCs w:val="21"/>
        </w:rPr>
        <w:t> </w:t>
      </w:r>
      <w:r>
        <w:rPr>
          <w:rFonts w:ascii="宋体" w:hAnsi="宋体" w:cs="宋体" w:eastAsia="宋体" w:hint="default"/>
          <w:sz w:val="21"/>
          <w:szCs w:val="21"/>
        </w:rPr>
        <w:t>会计机构负责人：李晖</w:t>
      </w:r>
    </w:p>
    <w:p>
      <w:pPr>
        <w:spacing w:after="0"/>
        <w:jc w:val="left"/>
        <w:rPr>
          <w:rFonts w:ascii="宋体" w:hAnsi="宋体" w:cs="宋体" w:eastAsia="宋体" w:hint="default"/>
          <w:sz w:val="21"/>
          <w:szCs w:val="21"/>
        </w:rPr>
        <w:sectPr>
          <w:type w:val="continuous"/>
          <w:pgSz w:w="11910" w:h="16840"/>
          <w:pgMar w:top="1080" w:bottom="1380" w:left="82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31"/>
          <w:footerReference w:type="default" r:id="rId32"/>
          <w:pgSz w:w="16840" w:h="11910" w:orient="landscape"/>
          <w:pgMar w:header="877" w:footer="1194" w:top="1100" w:bottom="1380" w:left="340" w:right="540"/>
          <w:pgNumType w:start="81"/>
        </w:sectPr>
      </w:pPr>
    </w:p>
    <w:p>
      <w:pPr>
        <w:spacing w:line="272" w:lineRule="exact" w:before="63"/>
        <w:ind w:left="7263" w:right="0" w:hanging="293"/>
        <w:jc w:val="left"/>
        <w:rPr>
          <w:rFonts w:ascii="宋体" w:hAnsi="宋体" w:cs="宋体" w:eastAsia="宋体" w:hint="default"/>
          <w:sz w:val="21"/>
          <w:szCs w:val="21"/>
        </w:rPr>
      </w:pPr>
      <w:r>
        <w:rPr>
          <w:rFonts w:ascii="宋体" w:hAnsi="宋体" w:cs="宋体" w:eastAsia="宋体" w:hint="default"/>
          <w:b/>
          <w:bCs/>
          <w:w w:val="95"/>
          <w:sz w:val="21"/>
          <w:szCs w:val="21"/>
        </w:rPr>
        <w:t>合并所有者权益变动表</w:t>
      </w:r>
      <w:r>
        <w:rPr>
          <w:rFonts w:ascii="宋体" w:hAnsi="宋体" w:cs="宋体" w:eastAsia="宋体" w:hint="default"/>
          <w:b/>
          <w:bCs/>
          <w:spacing w:val="2"/>
          <w:w w:val="95"/>
          <w:sz w:val="21"/>
          <w:szCs w:val="21"/>
        </w:rPr>
        <w:t> </w:t>
      </w:r>
      <w:r>
        <w:rPr>
          <w:rFonts w:ascii="宋体" w:hAnsi="宋体" w:cs="宋体" w:eastAsia="宋体" w:hint="default"/>
          <w:b/>
          <w:bCs/>
          <w:spacing w:val="2"/>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tabs>
          <w:tab w:pos="4703" w:val="left" w:leader="none"/>
        </w:tabs>
        <w:spacing w:before="0"/>
        <w:ind w:left="3757"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w:t>
        <w:tab/>
        <w:t>币种</w:t>
      </w:r>
      <w:r>
        <w:rPr>
          <w:rFonts w:ascii="宋体" w:hAnsi="宋体" w:cs="宋体" w:eastAsia="宋体" w:hint="default"/>
          <w:sz w:val="21"/>
          <w:szCs w:val="21"/>
        </w:rPr>
        <w:t>:</w:t>
      </w:r>
      <w:r>
        <w:rPr>
          <w:rFonts w:ascii="宋体" w:hAnsi="宋体" w:cs="宋体" w:eastAsia="宋体" w:hint="default"/>
          <w:sz w:val="21"/>
          <w:szCs w:val="21"/>
        </w:rPr>
        <w:t>人民币</w:t>
      </w:r>
    </w:p>
    <w:p>
      <w:pPr>
        <w:spacing w:after="0"/>
        <w:jc w:val="left"/>
        <w:rPr>
          <w:rFonts w:ascii="宋体" w:hAnsi="宋体" w:cs="宋体" w:eastAsia="宋体" w:hint="default"/>
          <w:sz w:val="21"/>
          <w:szCs w:val="21"/>
        </w:rPr>
        <w:sectPr>
          <w:type w:val="continuous"/>
          <w:pgSz w:w="16840" w:h="11910" w:orient="landscape"/>
          <w:pgMar w:top="1080" w:bottom="1380" w:left="340" w:right="540"/>
          <w:cols w:num="2" w:equalWidth="0">
            <w:col w:w="9078" w:space="40"/>
            <w:col w:w="6842"/>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128"/>
        <w:gridCol w:w="1276"/>
        <w:gridCol w:w="568"/>
        <w:gridCol w:w="566"/>
        <w:gridCol w:w="568"/>
        <w:gridCol w:w="1418"/>
        <w:gridCol w:w="1274"/>
        <w:gridCol w:w="1276"/>
        <w:gridCol w:w="568"/>
        <w:gridCol w:w="1274"/>
        <w:gridCol w:w="695"/>
        <w:gridCol w:w="1433"/>
        <w:gridCol w:w="1275"/>
        <w:gridCol w:w="1418"/>
      </w:tblGrid>
      <w:tr>
        <w:trPr>
          <w:trHeight w:val="251" w:hRule="exact"/>
        </w:trPr>
        <w:tc>
          <w:tcPr>
            <w:tcW w:w="2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3609"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593" w:right="0"/>
              <w:jc w:val="center"/>
              <w:rPr>
                <w:rFonts w:ascii="宋体" w:hAnsi="宋体" w:cs="宋体" w:eastAsia="宋体" w:hint="default"/>
                <w:sz w:val="15"/>
                <w:szCs w:val="15"/>
              </w:rPr>
            </w:pPr>
            <w:r>
              <w:rPr>
                <w:rFonts w:ascii="宋体" w:hAnsi="宋体" w:cs="宋体" w:eastAsia="宋体" w:hint="default"/>
                <w:sz w:val="15"/>
                <w:szCs w:val="15"/>
              </w:rPr>
              <w:t>本期</w:t>
            </w:r>
          </w:p>
        </w:tc>
      </w:tr>
      <w:tr>
        <w:trPr>
          <w:trHeight w:val="550" w:hRule="exact"/>
        </w:trPr>
        <w:tc>
          <w:tcPr>
            <w:tcW w:w="2128" w:type="dxa"/>
            <w:vMerge/>
            <w:tcBorders>
              <w:left w:val="single" w:sz="4" w:space="0" w:color="000000"/>
              <w:right w:val="single" w:sz="4" w:space="0" w:color="000000"/>
            </w:tcBorders>
          </w:tcPr>
          <w:p>
            <w:pPr/>
          </w:p>
        </w:tc>
        <w:tc>
          <w:tcPr>
            <w:tcW w:w="1091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592"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8"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362" w:hRule="exact"/>
        </w:trPr>
        <w:tc>
          <w:tcPr>
            <w:tcW w:w="2128" w:type="dxa"/>
            <w:vMerge/>
            <w:tcBorders>
              <w:left w:val="single" w:sz="4" w:space="0" w:color="000000"/>
              <w:right w:val="single" w:sz="4" w:space="0" w:color="000000"/>
            </w:tcBorders>
          </w:tcPr>
          <w:p>
            <w:pP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95"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404"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255"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56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92" w:lineRule="auto"/>
              <w:ind w:left="128" w:right="127"/>
              <w:jc w:val="left"/>
              <w:rPr>
                <w:rFonts w:ascii="宋体" w:hAnsi="宋体" w:cs="宋体" w:eastAsia="宋体" w:hint="default"/>
                <w:sz w:val="15"/>
                <w:szCs w:val="15"/>
              </w:rPr>
            </w:pPr>
            <w:r>
              <w:rPr>
                <w:rFonts w:ascii="宋体" w:hAnsi="宋体" w:cs="宋体" w:eastAsia="宋体" w:hint="default"/>
                <w:sz w:val="15"/>
                <w:szCs w:val="15"/>
              </w:rPr>
              <w:t>专项 储备</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332"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69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92" w:lineRule="auto"/>
              <w:ind w:left="116" w:right="116"/>
              <w:jc w:val="left"/>
              <w:rPr>
                <w:rFonts w:ascii="宋体" w:hAnsi="宋体" w:cs="宋体" w:eastAsia="宋体" w:hint="default"/>
                <w:sz w:val="15"/>
                <w:szCs w:val="15"/>
              </w:rPr>
            </w:pPr>
            <w:r>
              <w:rPr>
                <w:rFonts w:ascii="宋体" w:hAnsi="宋体" w:cs="宋体" w:eastAsia="宋体" w:hint="default"/>
                <w:sz w:val="15"/>
                <w:szCs w:val="15"/>
              </w:rPr>
              <w:t>一般风 险准备</w:t>
            </w:r>
          </w:p>
        </w:tc>
        <w:tc>
          <w:tcPr>
            <w:tcW w:w="14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336"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r>
      <w:tr>
        <w:trPr>
          <w:trHeight w:val="490" w:hRule="exact"/>
        </w:trPr>
        <w:tc>
          <w:tcPr>
            <w:tcW w:w="2128"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0"/>
              <w:ind w:left="203" w:right="127" w:hanging="76"/>
              <w:jc w:val="left"/>
              <w:rPr>
                <w:rFonts w:ascii="宋体" w:hAnsi="宋体" w:cs="宋体" w:eastAsia="宋体" w:hint="default"/>
                <w:sz w:val="15"/>
                <w:szCs w:val="15"/>
              </w:rPr>
            </w:pPr>
            <w:r>
              <w:rPr>
                <w:rFonts w:ascii="宋体" w:hAnsi="宋体" w:cs="宋体" w:eastAsia="宋体" w:hint="default"/>
                <w:sz w:val="15"/>
                <w:szCs w:val="15"/>
              </w:rPr>
              <w:t>优先 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0"/>
              <w:ind w:left="203" w:right="126" w:hanging="76"/>
              <w:jc w:val="left"/>
              <w:rPr>
                <w:rFonts w:ascii="宋体" w:hAnsi="宋体" w:cs="宋体" w:eastAsia="宋体" w:hint="default"/>
                <w:sz w:val="15"/>
                <w:szCs w:val="15"/>
              </w:rPr>
            </w:pPr>
            <w:r>
              <w:rPr>
                <w:rFonts w:ascii="宋体" w:hAnsi="宋体" w:cs="宋体" w:eastAsia="宋体" w:hint="default"/>
                <w:sz w:val="15"/>
                <w:szCs w:val="15"/>
              </w:rPr>
              <w:t>永续 债</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128"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18"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695" w:type="dxa"/>
            <w:vMerge/>
            <w:tcBorders>
              <w:left w:val="single" w:sz="4" w:space="0" w:color="000000"/>
              <w:bottom w:val="single" w:sz="4" w:space="0" w:color="000000"/>
              <w:right w:val="single" w:sz="4" w:space="0" w:color="000000"/>
            </w:tcBorders>
          </w:tcPr>
          <w:p>
            <w:pPr/>
          </w:p>
        </w:tc>
        <w:tc>
          <w:tcPr>
            <w:tcW w:w="1433"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r>
      <w:tr>
        <w:trPr>
          <w:trHeight w:val="20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4"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646,034,068.00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675,845,355.72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57,972,861.00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-51,846,189.90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168,056,152.34</w:t>
            </w:r>
          </w:p>
        </w:tc>
        <w:tc>
          <w:tcPr>
            <w:tcW w:w="69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880,598,946.55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178,510,561.18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2,439,226,032.89</w:t>
            </w:r>
          </w:p>
        </w:tc>
      </w:tr>
      <w:tr>
        <w:trPr>
          <w:trHeight w:val="20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4"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69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r>
      <w:tr>
        <w:trPr>
          <w:trHeight w:val="20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04"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69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r>
      <w:tr>
        <w:trPr>
          <w:trHeight w:val="20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4" w:right="0"/>
              <w:jc w:val="left"/>
              <w:rPr>
                <w:rFonts w:ascii="宋体" w:hAnsi="宋体" w:cs="宋体" w:eastAsia="宋体" w:hint="default"/>
                <w:sz w:val="15"/>
                <w:szCs w:val="15"/>
              </w:rPr>
            </w:pPr>
            <w:r>
              <w:rPr>
                <w:rFonts w:ascii="宋体" w:hAnsi="宋体" w:cs="宋体" w:eastAsia="宋体" w:hint="default"/>
                <w:sz w:val="15"/>
                <w:szCs w:val="15"/>
              </w:rPr>
              <w:t>同一控制下企业合并</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69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r>
      <w:tr>
        <w:trPr>
          <w:trHeight w:val="20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04"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69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r>
      <w:tr>
        <w:trPr>
          <w:trHeight w:val="20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4"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646,034,068.00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675,845,355.72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57,972,861.00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-51,846,189.90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168,056,152.34</w:t>
            </w:r>
          </w:p>
        </w:tc>
        <w:tc>
          <w:tcPr>
            <w:tcW w:w="69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880,598,946.55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178,510,561.18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2,439,226,032.89</w:t>
            </w:r>
          </w:p>
        </w:tc>
      </w:tr>
      <w:tr>
        <w:trPr>
          <w:trHeight w:val="398"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4" w:right="0"/>
              <w:jc w:val="left"/>
              <w:rPr>
                <w:rFonts w:ascii="宋体" w:hAnsi="宋体" w:cs="宋体" w:eastAsia="宋体" w:hint="default"/>
                <w:sz w:val="15"/>
                <w:szCs w:val="15"/>
              </w:rPr>
            </w:pPr>
            <w:r>
              <w:rPr>
                <w:rFonts w:ascii="宋体" w:hAnsi="宋体" w:cs="宋体" w:eastAsia="宋体" w:hint="default"/>
                <w:spacing w:val="-4"/>
                <w:sz w:val="15"/>
                <w:szCs w:val="15"/>
              </w:rPr>
              <w:t>三、本期增减变动金额（减少</w:t>
            </w:r>
          </w:p>
          <w:p>
            <w:pPr>
              <w:pStyle w:val="TableParagraph"/>
              <w:spacing w:line="195" w:lineRule="exact"/>
              <w:ind w:left="104" w:right="0"/>
              <w:jc w:val="left"/>
              <w:rPr>
                <w:rFonts w:ascii="宋体" w:hAnsi="宋体" w:cs="宋体" w:eastAsia="宋体" w:hint="default"/>
                <w:sz w:val="15"/>
                <w:szCs w:val="15"/>
              </w:rPr>
            </w:pPr>
            <w:r>
              <w:rPr>
                <w:rFonts w:ascii="宋体" w:hAnsi="宋体" w:cs="宋体" w:eastAsia="宋体" w:hint="default"/>
                <w:sz w:val="15"/>
                <w:szCs w:val="15"/>
              </w:rPr>
              <w:t>以“－”号填列）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-4,710,183.00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-32,410,370.53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-30,416,907.15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242,405.51</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8,143,278.49</w:t>
            </w:r>
          </w:p>
        </w:tc>
        <w:tc>
          <w:tcPr>
            <w:tcW w:w="69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53,218,122.69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164,422,564.02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219,322,724.33</w:t>
            </w:r>
          </w:p>
        </w:tc>
      </w:tr>
      <w:tr>
        <w:trPr>
          <w:trHeight w:val="20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4"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242,405.51</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69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95,133,561.09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10,017,348.93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105,393,315.53</w:t>
            </w:r>
          </w:p>
        </w:tc>
      </w:tr>
      <w:tr>
        <w:trPr>
          <w:trHeight w:val="20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4" w:right="0"/>
              <w:jc w:val="left"/>
              <w:rPr>
                <w:rFonts w:ascii="宋体" w:hAnsi="宋体" w:cs="宋体" w:eastAsia="宋体" w:hint="default"/>
                <w:sz w:val="15"/>
                <w:szCs w:val="15"/>
              </w:rPr>
            </w:pPr>
            <w:r>
              <w:rPr>
                <w:rFonts w:ascii="宋体" w:hAnsi="宋体" w:cs="宋体" w:eastAsia="宋体" w:hint="default"/>
                <w:spacing w:val="-4"/>
                <w:sz w:val="15"/>
                <w:szCs w:val="15"/>
              </w:rPr>
              <w:t>（二）所有者投入和减少资本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-4,710,183.00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-32,410,370.53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-30,416,907.15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69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1,587,249.50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157,104,504.94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151,988,108.06</w:t>
            </w:r>
          </w:p>
        </w:tc>
      </w:tr>
      <w:tr>
        <w:trPr>
          <w:trHeight w:val="20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4"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．股东投入的普通股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308,889.14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69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1,426,853.11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157,002,404.34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158,738,146.59</w:t>
            </w:r>
          </w:p>
        </w:tc>
      </w:tr>
      <w:tr>
        <w:trPr>
          <w:trHeight w:val="398"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4"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．其他权益工具持有者投入</w:t>
            </w:r>
          </w:p>
          <w:p>
            <w:pPr>
              <w:pStyle w:val="TableParagraph"/>
              <w:spacing w:line="195" w:lineRule="exact"/>
              <w:ind w:left="104" w:right="0"/>
              <w:jc w:val="left"/>
              <w:rPr>
                <w:rFonts w:ascii="宋体" w:hAnsi="宋体" w:cs="宋体" w:eastAsia="宋体" w:hint="default"/>
                <w:sz w:val="15"/>
                <w:szCs w:val="15"/>
              </w:rPr>
            </w:pPr>
            <w:r>
              <w:rPr>
                <w:rFonts w:ascii="宋体" w:hAnsi="宋体" w:cs="宋体" w:eastAsia="宋体" w:hint="default"/>
                <w:sz w:val="15"/>
                <w:szCs w:val="15"/>
              </w:rPr>
              <w:t>资本</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4"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．股份支付计入所有者权益</w:t>
            </w:r>
          </w:p>
          <w:p>
            <w:pPr>
              <w:pStyle w:val="TableParagraph"/>
              <w:spacing w:line="196" w:lineRule="exact"/>
              <w:ind w:left="104" w:right="0"/>
              <w:jc w:val="left"/>
              <w:rPr>
                <w:rFonts w:ascii="宋体" w:hAnsi="宋体" w:cs="宋体" w:eastAsia="宋体" w:hint="default"/>
                <w:sz w:val="15"/>
                <w:szCs w:val="15"/>
              </w:rPr>
            </w:pPr>
            <w:r>
              <w:rPr>
                <w:rFonts w:ascii="宋体" w:hAnsi="宋体" w:cs="宋体" w:eastAsia="宋体" w:hint="default"/>
                <w:sz w:val="15"/>
                <w:szCs w:val="15"/>
              </w:rPr>
              <w:t>的金额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742,452.17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69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160,396.39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102,100.60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1,004,949.16</w:t>
            </w:r>
          </w:p>
        </w:tc>
      </w:tr>
      <w:tr>
        <w:trPr>
          <w:trHeight w:val="20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4"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-4,710,183.00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-33,461,711.84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-30,416,907.15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69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-7,754,987.69</w:t>
            </w:r>
          </w:p>
        </w:tc>
      </w:tr>
      <w:tr>
        <w:trPr>
          <w:trHeight w:val="20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4"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8,143,278.49</w:t>
            </w:r>
          </w:p>
        </w:tc>
        <w:tc>
          <w:tcPr>
            <w:tcW w:w="69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-43,502,687.90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-2,699,289.85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-38,058,699.26</w:t>
            </w:r>
          </w:p>
        </w:tc>
      </w:tr>
      <w:tr>
        <w:trPr>
          <w:trHeight w:val="20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4"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8,143,278.49</w:t>
            </w:r>
          </w:p>
        </w:tc>
        <w:tc>
          <w:tcPr>
            <w:tcW w:w="69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-8,143,278.49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r>
      <w:tr>
        <w:trPr>
          <w:trHeight w:val="20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4"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．提取一般风险准备</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4"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．对所有者（或股东）的分</w:t>
            </w:r>
          </w:p>
          <w:p>
            <w:pPr>
              <w:pStyle w:val="TableParagraph"/>
              <w:spacing w:line="195" w:lineRule="exact"/>
              <w:ind w:left="104" w:right="0"/>
              <w:jc w:val="left"/>
              <w:rPr>
                <w:rFonts w:ascii="宋体" w:hAnsi="宋体" w:cs="宋体" w:eastAsia="宋体" w:hint="default"/>
                <w:sz w:val="15"/>
                <w:szCs w:val="15"/>
              </w:rPr>
            </w:pPr>
            <w:r>
              <w:rPr>
                <w:rFonts w:ascii="宋体" w:hAnsi="宋体" w:cs="宋体" w:eastAsia="宋体" w:hint="default"/>
                <w:sz w:val="15"/>
                <w:szCs w:val="15"/>
              </w:rPr>
              <w:t>配</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69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-35,359,409.41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-2,699,289.85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-38,058,699.26</w:t>
            </w:r>
          </w:p>
        </w:tc>
      </w:tr>
      <w:tr>
        <w:trPr>
          <w:trHeight w:val="20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4"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69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r>
      <w:tr>
        <w:trPr>
          <w:trHeight w:val="20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4"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69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r>
      <w:tr>
        <w:trPr>
          <w:trHeight w:val="398"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4"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．资本公积转增资本（或股</w:t>
            </w:r>
          </w:p>
          <w:p>
            <w:pPr>
              <w:pStyle w:val="TableParagraph"/>
              <w:spacing w:line="195" w:lineRule="exact"/>
              <w:ind w:left="104" w:right="0"/>
              <w:jc w:val="left"/>
              <w:rPr>
                <w:rFonts w:ascii="宋体" w:hAnsi="宋体" w:cs="宋体" w:eastAsia="宋体" w:hint="default"/>
                <w:sz w:val="15"/>
                <w:szCs w:val="15"/>
              </w:rPr>
            </w:pPr>
            <w:r>
              <w:rPr>
                <w:rFonts w:ascii="宋体" w:hAnsi="宋体" w:cs="宋体" w:eastAsia="宋体" w:hint="default"/>
                <w:sz w:val="15"/>
                <w:szCs w:val="15"/>
              </w:rPr>
              <w:t>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69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r>
      <w:tr>
        <w:trPr>
          <w:trHeight w:val="40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4"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．盈余公积转增资本（或股</w:t>
            </w:r>
          </w:p>
          <w:p>
            <w:pPr>
              <w:pStyle w:val="TableParagraph"/>
              <w:spacing w:line="195" w:lineRule="exact"/>
              <w:ind w:left="104" w:right="0"/>
              <w:jc w:val="left"/>
              <w:rPr>
                <w:rFonts w:ascii="宋体" w:hAnsi="宋体" w:cs="宋体" w:eastAsia="宋体" w:hint="default"/>
                <w:sz w:val="15"/>
                <w:szCs w:val="15"/>
              </w:rPr>
            </w:pPr>
            <w:r>
              <w:rPr>
                <w:rFonts w:ascii="宋体" w:hAnsi="宋体" w:cs="宋体" w:eastAsia="宋体" w:hint="default"/>
                <w:sz w:val="15"/>
                <w:szCs w:val="15"/>
              </w:rPr>
              <w:t>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69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r>
      <w:tr>
        <w:trPr>
          <w:trHeight w:val="20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4"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69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r>
      <w:tr>
        <w:trPr>
          <w:trHeight w:val="20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4"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69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r>
      <w:tr>
        <w:trPr>
          <w:trHeight w:val="20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4"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69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r>
    </w:tbl>
    <w:p>
      <w:pPr>
        <w:spacing w:after="0" w:line="171" w:lineRule="exact"/>
        <w:jc w:val="right"/>
        <w:rPr>
          <w:rFonts w:ascii="宋体" w:hAnsi="宋体" w:cs="宋体" w:eastAsia="宋体" w:hint="default"/>
          <w:sz w:val="15"/>
          <w:szCs w:val="15"/>
        </w:rPr>
        <w:sectPr>
          <w:type w:val="continuous"/>
          <w:pgSz w:w="16840" w:h="11910" w:orient="landscape"/>
          <w:pgMar w:top="1080" w:bottom="1380" w:left="340" w:right="5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2128"/>
        <w:gridCol w:w="1276"/>
        <w:gridCol w:w="568"/>
        <w:gridCol w:w="566"/>
        <w:gridCol w:w="568"/>
        <w:gridCol w:w="1418"/>
        <w:gridCol w:w="1274"/>
        <w:gridCol w:w="1276"/>
        <w:gridCol w:w="568"/>
        <w:gridCol w:w="1274"/>
        <w:gridCol w:w="695"/>
        <w:gridCol w:w="1433"/>
        <w:gridCol w:w="1275"/>
        <w:gridCol w:w="1418"/>
      </w:tblGrid>
      <w:tr>
        <w:trPr>
          <w:trHeight w:val="20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4"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69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r>
      <w:tr>
        <w:trPr>
          <w:trHeight w:val="20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4"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69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r>
      <w:tr>
        <w:trPr>
          <w:trHeight w:val="20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4"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69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r>
      <w:tr>
        <w:trPr>
          <w:trHeight w:val="20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4"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641,323,885.00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643,434,985.19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27,555,953.85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-51,603,784.39</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176,199,430.83</w:t>
            </w:r>
          </w:p>
        </w:tc>
        <w:tc>
          <w:tcPr>
            <w:tcW w:w="69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933,817,069.24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342,933,125.20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2,658,548,757.22</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2128"/>
        <w:gridCol w:w="1276"/>
        <w:gridCol w:w="568"/>
        <w:gridCol w:w="566"/>
        <w:gridCol w:w="568"/>
        <w:gridCol w:w="1418"/>
        <w:gridCol w:w="1274"/>
        <w:gridCol w:w="1276"/>
        <w:gridCol w:w="568"/>
        <w:gridCol w:w="1276"/>
        <w:gridCol w:w="709"/>
        <w:gridCol w:w="1417"/>
        <w:gridCol w:w="1276"/>
        <w:gridCol w:w="1417"/>
      </w:tblGrid>
      <w:tr>
        <w:trPr>
          <w:trHeight w:val="250" w:hRule="exact"/>
        </w:trPr>
        <w:tc>
          <w:tcPr>
            <w:tcW w:w="2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09"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3"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1" w:hRule="exact"/>
        </w:trPr>
        <w:tc>
          <w:tcPr>
            <w:tcW w:w="2128" w:type="dxa"/>
            <w:vMerge/>
            <w:tcBorders>
              <w:left w:val="single" w:sz="4" w:space="0" w:color="000000"/>
              <w:right w:val="single" w:sz="4" w:space="0" w:color="000000"/>
            </w:tcBorders>
          </w:tcPr>
          <w:p>
            <w:pPr/>
          </w:p>
        </w:tc>
        <w:tc>
          <w:tcPr>
            <w:tcW w:w="1091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93"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5"/>
              <w:ind w:left="542" w:right="183" w:hanging="361"/>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5"/>
              <w:ind w:left="613" w:right="162"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392" w:hRule="exact"/>
        </w:trPr>
        <w:tc>
          <w:tcPr>
            <w:tcW w:w="2128" w:type="dxa"/>
            <w:vMerge/>
            <w:tcBorders>
              <w:left w:val="single" w:sz="4" w:space="0" w:color="000000"/>
              <w:right w:val="single" w:sz="4" w:space="0" w:color="000000"/>
            </w:tcBorders>
          </w:tcPr>
          <w:p>
            <w:pP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4" w:lineRule="auto"/>
              <w:ind w:left="542" w:right="181"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68" w:type="dxa"/>
            <w:vMerge w:val="restart"/>
            <w:tcBorders>
              <w:top w:val="single" w:sz="4" w:space="0" w:color="000000"/>
              <w:left w:val="single" w:sz="4" w:space="0" w:color="000000"/>
              <w:right w:val="single" w:sz="4" w:space="0" w:color="000000"/>
            </w:tcBorders>
          </w:tcPr>
          <w:p>
            <w:pPr>
              <w:pStyle w:val="TableParagraph"/>
              <w:spacing w:line="244" w:lineRule="auto" w:before="44"/>
              <w:ind w:left="188" w:right="187"/>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4" w:lineRule="auto"/>
              <w:ind w:left="169" w:right="168"/>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6"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r>
      <w:tr>
        <w:trPr>
          <w:trHeight w:val="711" w:hRule="exact"/>
        </w:trPr>
        <w:tc>
          <w:tcPr>
            <w:tcW w:w="2128"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40" w:lineRule="auto"/>
              <w:ind w:left="188" w:right="187"/>
              <w:jc w:val="center"/>
              <w:rPr>
                <w:rFonts w:ascii="宋体" w:hAnsi="宋体" w:cs="宋体" w:eastAsia="宋体" w:hint="default"/>
                <w:sz w:val="18"/>
                <w:szCs w:val="18"/>
              </w:rPr>
            </w:pPr>
            <w:r>
              <w:rPr>
                <w:rFonts w:ascii="宋体" w:hAnsi="宋体" w:cs="宋体" w:eastAsia="宋体" w:hint="default"/>
                <w:sz w:val="18"/>
                <w:szCs w:val="18"/>
              </w:rPr>
              <w:t>先 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40" w:lineRule="auto"/>
              <w:ind w:left="188" w:right="186"/>
              <w:jc w:val="center"/>
              <w:rPr>
                <w:rFonts w:ascii="宋体" w:hAnsi="宋体" w:cs="宋体" w:eastAsia="宋体" w:hint="default"/>
                <w:sz w:val="18"/>
                <w:szCs w:val="18"/>
              </w:rPr>
            </w:pPr>
            <w:r>
              <w:rPr>
                <w:rFonts w:ascii="宋体" w:hAnsi="宋体" w:cs="宋体" w:eastAsia="宋体" w:hint="default"/>
                <w:sz w:val="18"/>
                <w:szCs w:val="18"/>
              </w:rPr>
              <w:t>续 债</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88" w:right="187"/>
              <w:jc w:val="center"/>
              <w:rPr>
                <w:rFonts w:ascii="宋体" w:hAnsi="宋体" w:cs="宋体" w:eastAsia="宋体" w:hint="default"/>
                <w:sz w:val="18"/>
                <w:szCs w:val="18"/>
              </w:rPr>
            </w:pPr>
            <w:r>
              <w:rPr>
                <w:rFonts w:ascii="宋体" w:hAnsi="宋体" w:cs="宋体" w:eastAsia="宋体" w:hint="default"/>
                <w:sz w:val="18"/>
                <w:szCs w:val="18"/>
              </w:rPr>
              <w:t>其 他</w:t>
            </w:r>
          </w:p>
        </w:tc>
        <w:tc>
          <w:tcPr>
            <w:tcW w:w="1418"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r>
      <w:tr>
        <w:trPr>
          <w:trHeight w:val="20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4"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648,279,106.00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689,420,184.20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-39,384,983.41</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165,927,902.97</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905,310,437.18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165,936,861.82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2,535,489,508.76</w:t>
            </w:r>
          </w:p>
        </w:tc>
      </w:tr>
      <w:tr>
        <w:trPr>
          <w:trHeight w:val="20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4"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78,652,008.60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635,390.52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-635,390.52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-78,652,008.60</w:t>
            </w:r>
          </w:p>
        </w:tc>
      </w:tr>
      <w:tr>
        <w:trPr>
          <w:trHeight w:val="20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04"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r>
      <w:tr>
        <w:trPr>
          <w:trHeight w:val="20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4" w:right="0"/>
              <w:jc w:val="left"/>
              <w:rPr>
                <w:rFonts w:ascii="宋体" w:hAnsi="宋体" w:cs="宋体" w:eastAsia="宋体" w:hint="default"/>
                <w:sz w:val="15"/>
                <w:szCs w:val="15"/>
              </w:rPr>
            </w:pPr>
            <w:r>
              <w:rPr>
                <w:rFonts w:ascii="宋体" w:hAnsi="宋体" w:cs="宋体" w:eastAsia="宋体" w:hint="default"/>
                <w:sz w:val="15"/>
                <w:szCs w:val="15"/>
              </w:rPr>
              <w:t>同一控制下企业合并</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r>
      <w:tr>
        <w:trPr>
          <w:trHeight w:val="20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04"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r>
      <w:tr>
        <w:trPr>
          <w:trHeight w:val="20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4"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648,279,106.00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689,420,184.20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78,652,008.60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-39,384,983.41</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165,927,902.97</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905,945,827.70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165,301,471.30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2,456,837,500.16</w:t>
            </w:r>
          </w:p>
        </w:tc>
      </w:tr>
      <w:tr>
        <w:trPr>
          <w:trHeight w:val="398"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4" w:right="0"/>
              <w:jc w:val="left"/>
              <w:rPr>
                <w:rFonts w:ascii="宋体" w:hAnsi="宋体" w:cs="宋体" w:eastAsia="宋体" w:hint="default"/>
                <w:sz w:val="15"/>
                <w:szCs w:val="15"/>
              </w:rPr>
            </w:pPr>
            <w:r>
              <w:rPr>
                <w:rFonts w:ascii="宋体" w:hAnsi="宋体" w:cs="宋体" w:eastAsia="宋体" w:hint="default"/>
                <w:spacing w:val="-4"/>
                <w:sz w:val="15"/>
                <w:szCs w:val="15"/>
              </w:rPr>
              <w:t>三、本期增减变动金额（减少</w:t>
            </w:r>
          </w:p>
          <w:p>
            <w:pPr>
              <w:pStyle w:val="TableParagraph"/>
              <w:spacing w:line="195" w:lineRule="exact"/>
              <w:ind w:left="104" w:right="0"/>
              <w:jc w:val="left"/>
              <w:rPr>
                <w:rFonts w:ascii="宋体" w:hAnsi="宋体" w:cs="宋体" w:eastAsia="宋体" w:hint="default"/>
                <w:sz w:val="15"/>
                <w:szCs w:val="15"/>
              </w:rPr>
            </w:pPr>
            <w:r>
              <w:rPr>
                <w:rFonts w:ascii="宋体" w:hAnsi="宋体" w:cs="宋体" w:eastAsia="宋体" w:hint="default"/>
                <w:sz w:val="15"/>
                <w:szCs w:val="15"/>
              </w:rPr>
              <w:t>以“－”号填列）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-2,245,038.00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-13,574,828.48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-20,679,147.60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-12,461,206.49</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2,128,249.37</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-25,346,881.15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13,209,089.88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-17,611,467.27</w:t>
            </w:r>
          </w:p>
        </w:tc>
      </w:tr>
      <w:tr>
        <w:trPr>
          <w:trHeight w:val="20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4"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-12,461,206.49</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41,384,775.02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5,070,028.04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33,993,596.57</w:t>
            </w:r>
          </w:p>
        </w:tc>
      </w:tr>
      <w:tr>
        <w:trPr>
          <w:trHeight w:val="20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4" w:right="0"/>
              <w:jc w:val="left"/>
              <w:rPr>
                <w:rFonts w:ascii="宋体" w:hAnsi="宋体" w:cs="宋体" w:eastAsia="宋体" w:hint="default"/>
                <w:sz w:val="15"/>
                <w:szCs w:val="15"/>
              </w:rPr>
            </w:pPr>
            <w:r>
              <w:rPr>
                <w:rFonts w:ascii="宋体" w:hAnsi="宋体" w:cs="宋体" w:eastAsia="宋体" w:hint="default"/>
                <w:spacing w:val="-4"/>
                <w:sz w:val="15"/>
                <w:szCs w:val="15"/>
              </w:rPr>
              <w:t>（二）所有者投入和减少资本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-2,245,038.00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-13,574,828.48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-20,679,147.60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12,213,116.22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17,072,397.34</w:t>
            </w:r>
          </w:p>
        </w:tc>
      </w:tr>
      <w:tr>
        <w:trPr>
          <w:trHeight w:val="20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4"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．股东投入的普通股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14,557,842.55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14,557,842.55</w:t>
            </w:r>
          </w:p>
        </w:tc>
      </w:tr>
      <w:tr>
        <w:trPr>
          <w:trHeight w:val="398"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4"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．其他权益工具持有者投入</w:t>
            </w:r>
          </w:p>
          <w:p>
            <w:pPr>
              <w:pStyle w:val="TableParagraph"/>
              <w:spacing w:line="195" w:lineRule="exact"/>
              <w:ind w:left="104" w:right="0"/>
              <w:jc w:val="left"/>
              <w:rPr>
                <w:rFonts w:ascii="宋体" w:hAnsi="宋体" w:cs="宋体" w:eastAsia="宋体" w:hint="default"/>
                <w:sz w:val="15"/>
                <w:szCs w:val="15"/>
              </w:rPr>
            </w:pPr>
            <w:r>
              <w:rPr>
                <w:rFonts w:ascii="宋体" w:hAnsi="宋体" w:cs="宋体" w:eastAsia="宋体" w:hint="default"/>
                <w:sz w:val="15"/>
                <w:szCs w:val="15"/>
              </w:rPr>
              <w:t>资本</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4"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．股份支付计入所有者权益</w:t>
            </w:r>
          </w:p>
          <w:p>
            <w:pPr>
              <w:pStyle w:val="TableParagraph"/>
              <w:spacing w:line="195" w:lineRule="exact"/>
              <w:ind w:left="104" w:right="0"/>
              <w:jc w:val="left"/>
              <w:rPr>
                <w:rFonts w:ascii="宋体" w:hAnsi="宋体" w:cs="宋体" w:eastAsia="宋体" w:hint="default"/>
                <w:sz w:val="15"/>
                <w:szCs w:val="15"/>
              </w:rPr>
            </w:pPr>
            <w:r>
              <w:rPr>
                <w:rFonts w:ascii="宋体" w:hAnsi="宋体" w:cs="宋体" w:eastAsia="宋体" w:hint="default"/>
                <w:sz w:val="15"/>
                <w:szCs w:val="15"/>
              </w:rPr>
              <w:t>的金额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-1,631,226.32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-275.76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-1,631,502.08</w:t>
            </w:r>
          </w:p>
        </w:tc>
      </w:tr>
      <w:tr>
        <w:trPr>
          <w:trHeight w:val="20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4"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-2,245,038.00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-11,943,602.16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-20,679,147.60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-2,344,450.57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4,146,056.87</w:t>
            </w:r>
          </w:p>
        </w:tc>
      </w:tr>
      <w:tr>
        <w:trPr>
          <w:trHeight w:val="20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4"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2,128,249.37</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-66,731,656.17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-4,098,985.97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-68,702,392.77</w:t>
            </w:r>
          </w:p>
        </w:tc>
      </w:tr>
      <w:tr>
        <w:trPr>
          <w:trHeight w:val="20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4"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2,128,249.37</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-2,128,249.37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r>
      <w:tr>
        <w:trPr>
          <w:trHeight w:val="20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4"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．提取一般风险准备</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4"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．对所有者（或股东）的分</w:t>
            </w:r>
          </w:p>
          <w:p>
            <w:pPr>
              <w:pStyle w:val="TableParagraph"/>
              <w:spacing w:line="195" w:lineRule="exact"/>
              <w:ind w:left="104" w:right="0"/>
              <w:jc w:val="left"/>
              <w:rPr>
                <w:rFonts w:ascii="宋体" w:hAnsi="宋体" w:cs="宋体" w:eastAsia="宋体" w:hint="default"/>
                <w:sz w:val="15"/>
                <w:szCs w:val="15"/>
              </w:rPr>
            </w:pPr>
            <w:r>
              <w:rPr>
                <w:rFonts w:ascii="宋体" w:hAnsi="宋体" w:cs="宋体" w:eastAsia="宋体" w:hint="default"/>
                <w:sz w:val="15"/>
                <w:szCs w:val="15"/>
              </w:rPr>
              <w:t>配</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-64,603,406.80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-4,098,985.97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-68,702,392.77</w:t>
            </w:r>
          </w:p>
        </w:tc>
      </w:tr>
      <w:tr>
        <w:trPr>
          <w:trHeight w:val="20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4"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r>
      <w:tr>
        <w:trPr>
          <w:trHeight w:val="20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4"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24,931.59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24,931.59</w:t>
            </w:r>
          </w:p>
        </w:tc>
      </w:tr>
      <w:tr>
        <w:trPr>
          <w:trHeight w:val="40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4"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．资本公积转增资本（或股</w:t>
            </w:r>
          </w:p>
          <w:p>
            <w:pPr>
              <w:pStyle w:val="TableParagraph"/>
              <w:spacing w:line="195" w:lineRule="exact"/>
              <w:ind w:left="104" w:right="0"/>
              <w:jc w:val="left"/>
              <w:rPr>
                <w:rFonts w:ascii="宋体" w:hAnsi="宋体" w:cs="宋体" w:eastAsia="宋体" w:hint="default"/>
                <w:sz w:val="15"/>
                <w:szCs w:val="15"/>
              </w:rPr>
            </w:pPr>
            <w:r>
              <w:rPr>
                <w:rFonts w:ascii="宋体" w:hAnsi="宋体" w:cs="宋体" w:eastAsia="宋体" w:hint="default"/>
                <w:sz w:val="15"/>
                <w:szCs w:val="15"/>
              </w:rPr>
              <w:t>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24,931.59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24,931.59</w:t>
            </w:r>
          </w:p>
        </w:tc>
      </w:tr>
      <w:tr>
        <w:trPr>
          <w:trHeight w:val="20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4"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．盈余公积转增资本（或股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r>
    </w:tbl>
    <w:p>
      <w:pPr>
        <w:spacing w:after="0" w:line="171" w:lineRule="exact"/>
        <w:jc w:val="right"/>
        <w:rPr>
          <w:rFonts w:ascii="宋体" w:hAnsi="宋体" w:cs="宋体" w:eastAsia="宋体" w:hint="default"/>
          <w:sz w:val="15"/>
          <w:szCs w:val="15"/>
        </w:rPr>
        <w:sectPr>
          <w:pgSz w:w="16840" w:h="11910" w:orient="landscape"/>
          <w:pgMar w:header="877" w:footer="1194" w:top="1100" w:bottom="1380" w:left="340" w:right="5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2128"/>
        <w:gridCol w:w="1276"/>
        <w:gridCol w:w="568"/>
        <w:gridCol w:w="566"/>
        <w:gridCol w:w="568"/>
        <w:gridCol w:w="1418"/>
        <w:gridCol w:w="1274"/>
        <w:gridCol w:w="1276"/>
        <w:gridCol w:w="568"/>
        <w:gridCol w:w="1276"/>
        <w:gridCol w:w="709"/>
        <w:gridCol w:w="1417"/>
        <w:gridCol w:w="1276"/>
        <w:gridCol w:w="1417"/>
      </w:tblGrid>
      <w:tr>
        <w:trPr>
          <w:trHeight w:val="20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4" w:right="0"/>
              <w:jc w:val="left"/>
              <w:rPr>
                <w:rFonts w:ascii="宋体" w:hAnsi="宋体" w:cs="宋体" w:eastAsia="宋体" w:hint="default"/>
                <w:sz w:val="15"/>
                <w:szCs w:val="15"/>
              </w:rPr>
            </w:pPr>
            <w:r>
              <w:rPr>
                <w:rFonts w:ascii="宋体" w:hAnsi="宋体" w:cs="宋体" w:eastAsia="宋体" w:hint="default"/>
                <w:sz w:val="15"/>
                <w:szCs w:val="15"/>
              </w:rPr>
              <w:t>本）</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4"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r>
      <w:tr>
        <w:trPr>
          <w:trHeight w:val="20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4"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r>
      <w:tr>
        <w:trPr>
          <w:trHeight w:val="20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4"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r>
      <w:tr>
        <w:trPr>
          <w:trHeight w:val="20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4"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r>
      <w:tr>
        <w:trPr>
          <w:trHeight w:val="20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4"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r>
      <w:tr>
        <w:trPr>
          <w:trHeight w:val="20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4"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r>
      <w:tr>
        <w:trPr>
          <w:trHeight w:val="20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4"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646,034,068.00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675,845,355.72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57,972,861.00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-51,846,189.90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168,056,152.34</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880,598,946.55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178,510,561.18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2,439,226,032.89</w:t>
            </w:r>
          </w:p>
        </w:tc>
      </w:tr>
    </w:tbl>
    <w:p>
      <w:pPr>
        <w:spacing w:line="240" w:lineRule="auto" w:before="5"/>
        <w:rPr>
          <w:rFonts w:ascii="Times New Roman" w:hAnsi="Times New Roman" w:cs="Times New Roman" w:eastAsia="Times New Roman" w:hint="default"/>
          <w:sz w:val="28"/>
          <w:szCs w:val="28"/>
        </w:rPr>
      </w:pPr>
    </w:p>
    <w:p>
      <w:pPr>
        <w:pStyle w:val="BodyText"/>
        <w:tabs>
          <w:tab w:pos="2780" w:val="left" w:leader="none"/>
          <w:tab w:pos="4220" w:val="left" w:leader="none"/>
        </w:tabs>
        <w:spacing w:line="240" w:lineRule="auto" w:before="26"/>
        <w:ind w:left="1100" w:right="0"/>
        <w:jc w:val="left"/>
      </w:pPr>
      <w:r>
        <w:rPr/>
        <w:t>法定代表人：</w:t>
        <w:tab/>
        <w:t>王维航</w:t>
        <w:tab/>
        <w:t>主管会计工作负责人：任学英 会计机构负责人：李晖</w:t>
      </w:r>
    </w:p>
    <w:p>
      <w:pPr>
        <w:spacing w:after="0" w:line="240" w:lineRule="auto"/>
        <w:jc w:val="left"/>
        <w:sectPr>
          <w:pgSz w:w="16840" w:h="11910" w:orient="landscape"/>
          <w:pgMar w:header="877" w:footer="1194" w:top="1100" w:bottom="1380" w:left="340" w:right="5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6840" w:h="11910" w:orient="landscape"/>
          <w:pgMar w:header="877" w:footer="1194" w:top="1100" w:bottom="1380" w:left="620" w:right="800"/>
        </w:sectPr>
      </w:pPr>
    </w:p>
    <w:p>
      <w:pPr>
        <w:spacing w:line="272" w:lineRule="exact" w:before="63"/>
        <w:ind w:left="6983" w:right="0" w:hanging="399"/>
        <w:jc w:val="left"/>
        <w:rPr>
          <w:rFonts w:ascii="宋体" w:hAnsi="宋体" w:cs="宋体" w:eastAsia="宋体" w:hint="default"/>
          <w:sz w:val="21"/>
          <w:szCs w:val="21"/>
        </w:rPr>
      </w:pPr>
      <w:r>
        <w:rPr>
          <w:rFonts w:ascii="宋体" w:hAnsi="宋体" w:cs="宋体" w:eastAsia="宋体" w:hint="default"/>
          <w:b/>
          <w:bCs/>
          <w:w w:val="95"/>
          <w:sz w:val="21"/>
          <w:szCs w:val="21"/>
        </w:rPr>
        <w:t>母公司所有者权益变动表</w:t>
      </w:r>
      <w:r>
        <w:rPr>
          <w:rFonts w:ascii="宋体" w:hAnsi="宋体" w:cs="宋体" w:eastAsia="宋体" w:hint="default"/>
          <w:b/>
          <w:bCs/>
          <w:spacing w:val="12"/>
          <w:w w:val="95"/>
          <w:sz w:val="21"/>
          <w:szCs w:val="21"/>
        </w:rPr>
        <w:t> </w:t>
      </w:r>
      <w:r>
        <w:rPr>
          <w:rFonts w:ascii="宋体" w:hAnsi="宋体" w:cs="宋体" w:eastAsia="宋体" w:hint="default"/>
          <w:b/>
          <w:bCs/>
          <w:spacing w:val="12"/>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tabs>
          <w:tab w:pos="4599" w:val="left" w:leader="none"/>
        </w:tabs>
        <w:spacing w:before="0"/>
        <w:ind w:left="3653"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w:t>
        <w:tab/>
        <w:t>币种</w:t>
      </w:r>
      <w:r>
        <w:rPr>
          <w:rFonts w:ascii="宋体" w:hAnsi="宋体" w:cs="宋体" w:eastAsia="宋体" w:hint="default"/>
          <w:sz w:val="21"/>
          <w:szCs w:val="21"/>
        </w:rPr>
        <w:t>:</w:t>
      </w:r>
      <w:r>
        <w:rPr>
          <w:rFonts w:ascii="宋体" w:hAnsi="宋体" w:cs="宋体" w:eastAsia="宋体" w:hint="default"/>
          <w:sz w:val="21"/>
          <w:szCs w:val="21"/>
        </w:rPr>
        <w:t>人民币</w:t>
      </w:r>
    </w:p>
    <w:p>
      <w:pPr>
        <w:spacing w:after="0"/>
        <w:jc w:val="left"/>
        <w:rPr>
          <w:rFonts w:ascii="宋体" w:hAnsi="宋体" w:cs="宋体" w:eastAsia="宋体" w:hint="default"/>
          <w:sz w:val="21"/>
          <w:szCs w:val="21"/>
        </w:rPr>
        <w:sectPr>
          <w:type w:val="continuous"/>
          <w:pgSz w:w="16840" w:h="11910" w:orient="landscape"/>
          <w:pgMar w:top="1080" w:bottom="1380" w:left="620" w:right="800"/>
          <w:cols w:num="2" w:equalWidth="0">
            <w:col w:w="8902" w:space="40"/>
            <w:col w:w="647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28"/>
        <w:gridCol w:w="1417"/>
        <w:gridCol w:w="708"/>
        <w:gridCol w:w="709"/>
        <w:gridCol w:w="568"/>
        <w:gridCol w:w="1276"/>
        <w:gridCol w:w="1276"/>
        <w:gridCol w:w="1276"/>
        <w:gridCol w:w="1276"/>
        <w:gridCol w:w="1702"/>
        <w:gridCol w:w="1276"/>
        <w:gridCol w:w="1571"/>
      </w:tblGrid>
      <w:tr>
        <w:trPr>
          <w:trHeight w:val="248" w:hRule="exact"/>
        </w:trPr>
        <w:tc>
          <w:tcPr>
            <w:tcW w:w="212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9"/>
                <w:szCs w:val="19"/>
              </w:rPr>
            </w:pPr>
            <w:r>
              <w:rPr>
                <w:rFonts w:ascii="宋体" w:hAnsi="宋体" w:cs="宋体" w:eastAsia="宋体" w:hint="default"/>
                <w:i/>
                <w:sz w:val="19"/>
                <w:szCs w:val="19"/>
              </w:rPr>
              <w:t>项目</w:t>
            </w:r>
            <w:r>
              <w:rPr>
                <w:rFonts w:ascii="宋体" w:hAnsi="宋体" w:cs="宋体" w:eastAsia="宋体" w:hint="default"/>
                <w:sz w:val="19"/>
                <w:szCs w:val="19"/>
              </w:rPr>
            </w:r>
          </w:p>
        </w:tc>
        <w:tc>
          <w:tcPr>
            <w:tcW w:w="13053"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 w:right="0"/>
              <w:jc w:val="center"/>
              <w:rPr>
                <w:rFonts w:ascii="宋体" w:hAnsi="宋体" w:cs="宋体" w:eastAsia="宋体" w:hint="default"/>
                <w:sz w:val="19"/>
                <w:szCs w:val="19"/>
              </w:rPr>
            </w:pPr>
            <w:r>
              <w:rPr>
                <w:rFonts w:ascii="宋体" w:hAnsi="宋体" w:cs="宋体" w:eastAsia="宋体" w:hint="default"/>
                <w:i/>
                <w:sz w:val="19"/>
                <w:szCs w:val="19"/>
              </w:rPr>
              <w:t>本期</w:t>
            </w:r>
            <w:r>
              <w:rPr>
                <w:rFonts w:ascii="宋体" w:hAnsi="宋体" w:cs="宋体" w:eastAsia="宋体" w:hint="default"/>
                <w:sz w:val="19"/>
                <w:szCs w:val="19"/>
              </w:rPr>
            </w:r>
          </w:p>
        </w:tc>
      </w:tr>
      <w:tr>
        <w:trPr>
          <w:trHeight w:val="328" w:hRule="exact"/>
        </w:trPr>
        <w:tc>
          <w:tcPr>
            <w:tcW w:w="2128" w:type="dxa"/>
            <w:vMerge/>
            <w:tcBorders>
              <w:left w:val="single" w:sz="6" w:space="0" w:color="000000"/>
              <w:right w:val="single" w:sz="6" w:space="0" w:color="000000"/>
            </w:tcBorders>
          </w:tcPr>
          <w:p>
            <w:pPr/>
          </w:p>
        </w:tc>
        <w:tc>
          <w:tcPr>
            <w:tcW w:w="1417" w:type="dxa"/>
            <w:vMerge w:val="restart"/>
            <w:tcBorders>
              <w:top w:val="single" w:sz="6" w:space="0" w:color="000000"/>
              <w:left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985"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1"/>
              <w:ind w:left="44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135"/>
              <w:ind w:left="540" w:right="179"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71"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85" w:hRule="exact"/>
        </w:trPr>
        <w:tc>
          <w:tcPr>
            <w:tcW w:w="2128" w:type="dxa"/>
            <w:vMerge/>
            <w:tcBorders>
              <w:left w:val="single" w:sz="6" w:space="0" w:color="000000"/>
              <w:bottom w:val="single" w:sz="6" w:space="0" w:color="000000"/>
              <w:right w:val="single" w:sz="6" w:space="0" w:color="000000"/>
            </w:tcBorders>
          </w:tcPr>
          <w:p>
            <w:pPr/>
          </w:p>
        </w:tc>
        <w:tc>
          <w:tcPr>
            <w:tcW w:w="1417" w:type="dxa"/>
            <w:vMerge/>
            <w:tcBorders>
              <w:left w:val="single" w:sz="6" w:space="0" w:color="000000"/>
              <w:bottom w:val="single" w:sz="6" w:space="0" w:color="000000"/>
              <w:right w:val="single" w:sz="4" w:space="0" w:color="000000"/>
            </w:tcBorders>
          </w:tcPr>
          <w:p>
            <w:pPr/>
          </w:p>
        </w:tc>
        <w:tc>
          <w:tcPr>
            <w:tcW w:w="708" w:type="dxa"/>
            <w:tcBorders>
              <w:top w:val="single" w:sz="4" w:space="0" w:color="000000"/>
              <w:left w:val="single" w:sz="4" w:space="0" w:color="000000"/>
              <w:bottom w:val="single" w:sz="6" w:space="0" w:color="000000"/>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优先</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09" w:type="dxa"/>
            <w:tcBorders>
              <w:top w:val="single" w:sz="4" w:space="0" w:color="000000"/>
              <w:left w:val="single" w:sz="4" w:space="0" w:color="000000"/>
              <w:bottom w:val="single" w:sz="6" w:space="0" w:color="000000"/>
              <w:right w:val="single" w:sz="4" w:space="0" w:color="000000"/>
            </w:tcBorders>
          </w:tcPr>
          <w:p>
            <w:pPr>
              <w:pStyle w:val="TableParagraph"/>
              <w:spacing w:line="210" w:lineRule="exact"/>
              <w:ind w:right="1"/>
              <w:jc w:val="center"/>
              <w:rPr>
                <w:rFonts w:ascii="宋体" w:hAnsi="宋体" w:cs="宋体" w:eastAsia="宋体" w:hint="default"/>
                <w:sz w:val="18"/>
                <w:szCs w:val="18"/>
              </w:rPr>
            </w:pPr>
            <w:r>
              <w:rPr>
                <w:rFonts w:ascii="宋体" w:hAnsi="宋体" w:cs="宋体" w:eastAsia="宋体" w:hint="default"/>
                <w:sz w:val="18"/>
                <w:szCs w:val="18"/>
              </w:rPr>
              <w:t>永续</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债</w:t>
            </w:r>
          </w:p>
        </w:tc>
        <w:tc>
          <w:tcPr>
            <w:tcW w:w="568" w:type="dxa"/>
            <w:tcBorders>
              <w:top w:val="single" w:sz="4" w:space="0" w:color="000000"/>
              <w:left w:val="single" w:sz="4" w:space="0" w:color="000000"/>
              <w:bottom w:val="single" w:sz="6" w:space="0" w:color="000000"/>
              <w:right w:val="single" w:sz="6" w:space="0" w:color="000000"/>
            </w:tcBorders>
          </w:tcPr>
          <w:p>
            <w:pPr>
              <w:pStyle w:val="TableParagraph"/>
              <w:spacing w:line="210" w:lineRule="exact"/>
              <w:ind w:left="1" w:right="0"/>
              <w:jc w:val="center"/>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他</w:t>
            </w:r>
          </w:p>
        </w:tc>
        <w:tc>
          <w:tcPr>
            <w:tcW w:w="1276"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571" w:type="dxa"/>
            <w:vMerge/>
            <w:tcBorders>
              <w:left w:val="single" w:sz="6" w:space="0" w:color="000000"/>
              <w:bottom w:val="single" w:sz="6" w:space="0" w:color="000000"/>
              <w:right w:val="single" w:sz="6" w:space="0" w:color="000000"/>
            </w:tcBorders>
          </w:tcPr>
          <w:p>
            <w:pPr/>
          </w:p>
        </w:tc>
      </w:tr>
      <w:tr>
        <w:trPr>
          <w:trHeight w:val="210"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646,034,068.00</w:t>
            </w:r>
          </w:p>
        </w:tc>
        <w:tc>
          <w:tcPr>
            <w:tcW w:w="708"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1276" w:type="dxa"/>
            <w:tcBorders>
              <w:top w:val="single" w:sz="6" w:space="0" w:color="000000"/>
              <w:left w:val="single" w:sz="4"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668,697,186.37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168,056,152.34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352,419,911.77</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1,835,207,318.48</w:t>
            </w:r>
          </w:p>
        </w:tc>
      </w:tr>
      <w:tr>
        <w:trPr>
          <w:trHeight w:val="209"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1276" w:type="dxa"/>
            <w:tcBorders>
              <w:top w:val="single" w:sz="6" w:space="0" w:color="000000"/>
              <w:left w:val="single" w:sz="4"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57,972,861.00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r>
      <w:tr>
        <w:trPr>
          <w:trHeight w:val="210"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400"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1276"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r>
      <w:tr>
        <w:trPr>
          <w:trHeight w:val="209"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400"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1276" w:type="dxa"/>
            <w:tcBorders>
              <w:top w:val="single" w:sz="6" w:space="0" w:color="000000"/>
              <w:left w:val="single" w:sz="4"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r>
      <w:tr>
        <w:trPr>
          <w:trHeight w:val="210"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646,034,068.00</w:t>
            </w:r>
          </w:p>
        </w:tc>
        <w:tc>
          <w:tcPr>
            <w:tcW w:w="708"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1276"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668,697,186.37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57,972,861.00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168,056,152.34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352,419,911.77</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1,835,207,318.48</w:t>
            </w:r>
          </w:p>
        </w:tc>
      </w:tr>
      <w:tr>
        <w:trPr>
          <w:trHeight w:val="405"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pacing w:val="-4"/>
                <w:sz w:val="15"/>
                <w:szCs w:val="15"/>
              </w:rPr>
              <w:t>三、本期增减变动金额（减少</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以“－”号填列）</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173" w:lineRule="exact"/>
              <w:ind w:right="101"/>
              <w:jc w:val="right"/>
              <w:rPr>
                <w:rFonts w:ascii="宋体" w:hAnsi="宋体" w:cs="宋体" w:eastAsia="宋体" w:hint="default"/>
                <w:sz w:val="15"/>
                <w:szCs w:val="15"/>
              </w:rPr>
            </w:pPr>
            <w:r>
              <w:rPr>
                <w:rFonts w:ascii="宋体"/>
                <w:spacing w:val="-1"/>
                <w:sz w:val="15"/>
              </w:rPr>
              <w:t>-4,710,183.00</w:t>
            </w:r>
          </w:p>
        </w:tc>
        <w:tc>
          <w:tcPr>
            <w:tcW w:w="708"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9"/>
              <w:jc w:val="right"/>
              <w:rPr>
                <w:rFonts w:ascii="宋体" w:hAnsi="宋体" w:cs="宋体" w:eastAsia="宋体" w:hint="default"/>
                <w:sz w:val="15"/>
                <w:szCs w:val="15"/>
              </w:rPr>
            </w:pPr>
            <w:r>
              <w:rPr>
                <w:rFonts w:ascii="宋体"/>
                <w:spacing w:val="-1"/>
                <w:sz w:val="15"/>
              </w:rPr>
              <w:t>-28,928,131.82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-30,416,907.15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8"/>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9"/>
              <w:jc w:val="right"/>
              <w:rPr>
                <w:rFonts w:ascii="宋体" w:hAnsi="宋体" w:cs="宋体" w:eastAsia="宋体" w:hint="default"/>
                <w:sz w:val="15"/>
                <w:szCs w:val="15"/>
              </w:rPr>
            </w:pPr>
            <w:r>
              <w:rPr>
                <w:rFonts w:ascii="宋体"/>
                <w:spacing w:val="-1"/>
                <w:sz w:val="15"/>
              </w:rPr>
              <w:t>8,451,981.80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9"/>
              <w:jc w:val="right"/>
              <w:rPr>
                <w:rFonts w:ascii="宋体" w:hAnsi="宋体" w:cs="宋体" w:eastAsia="宋体" w:hint="default"/>
                <w:sz w:val="15"/>
                <w:szCs w:val="15"/>
              </w:rPr>
            </w:pPr>
            <w:r>
              <w:rPr>
                <w:rFonts w:ascii="宋体"/>
                <w:spacing w:val="-1"/>
                <w:sz w:val="15"/>
              </w:rPr>
              <w:t>40,708,426.83</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9"/>
              <w:jc w:val="right"/>
              <w:rPr>
                <w:rFonts w:ascii="宋体" w:hAnsi="宋体" w:cs="宋体" w:eastAsia="宋体" w:hint="default"/>
                <w:sz w:val="15"/>
                <w:szCs w:val="15"/>
              </w:rPr>
            </w:pPr>
            <w:r>
              <w:rPr>
                <w:rFonts w:ascii="宋体"/>
                <w:spacing w:val="-1"/>
                <w:sz w:val="15"/>
              </w:rPr>
              <w:t>45,939,000.96</w:t>
            </w:r>
          </w:p>
        </w:tc>
      </w:tr>
      <w:tr>
        <w:trPr>
          <w:trHeight w:val="209"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84,519,818.04</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84,519,818.04</w:t>
            </w:r>
          </w:p>
        </w:tc>
      </w:tr>
      <w:tr>
        <w:trPr>
          <w:trHeight w:val="210"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pacing w:val="-4"/>
                <w:sz w:val="15"/>
                <w:szCs w:val="15"/>
              </w:rPr>
              <w:t>（二）所有者投入和减少资本</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-4,710,183.00</w:t>
            </w:r>
          </w:p>
        </w:tc>
        <w:tc>
          <w:tcPr>
            <w:tcW w:w="708"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-28,928,131.82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-30,416,907.15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-3,221,407.67</w:t>
            </w:r>
          </w:p>
        </w:tc>
      </w:tr>
      <w:tr>
        <w:trPr>
          <w:trHeight w:val="210"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．股东投入的普通股</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r>
      <w:tr>
        <w:trPr>
          <w:trHeight w:val="403"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．其他权益工具持有者投入</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资本</w:t>
            </w:r>
          </w:p>
        </w:tc>
        <w:tc>
          <w:tcPr>
            <w:tcW w:w="1417"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．股份支付计入所有者权益</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的金额</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z w:val="15"/>
              </w:rPr>
              <w:t>0</w:t>
            </w:r>
          </w:p>
        </w:tc>
        <w:tc>
          <w:tcPr>
            <w:tcW w:w="708"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0</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0</w:t>
            </w:r>
          </w:p>
        </w:tc>
      </w:tr>
      <w:tr>
        <w:trPr>
          <w:trHeight w:val="210"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-4,710,183.00</w:t>
            </w:r>
          </w:p>
        </w:tc>
        <w:tc>
          <w:tcPr>
            <w:tcW w:w="708"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-28,928,131.82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-30,416,907.15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z w:val="15"/>
              </w:rPr>
              <w:t>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z w:val="15"/>
              </w:rPr>
              <w:t>0</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-3,221,407.67</w:t>
            </w:r>
          </w:p>
        </w:tc>
      </w:tr>
      <w:tr>
        <w:trPr>
          <w:trHeight w:val="209"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z w:val="15"/>
              </w:rPr>
              <w:t>0</w:t>
            </w:r>
          </w:p>
        </w:tc>
        <w:tc>
          <w:tcPr>
            <w:tcW w:w="708"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z w:val="15"/>
              </w:rPr>
              <w:t>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8,451,981.80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-43,811,391.21</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-35,359,409.41</w:t>
            </w:r>
          </w:p>
        </w:tc>
      </w:tr>
      <w:tr>
        <w:trPr>
          <w:trHeight w:val="210"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z w:val="15"/>
              </w:rPr>
              <w:t>0</w:t>
            </w:r>
          </w:p>
        </w:tc>
        <w:tc>
          <w:tcPr>
            <w:tcW w:w="708"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8,451,981.80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-8,451,981.80</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0</w:t>
            </w:r>
          </w:p>
        </w:tc>
      </w:tr>
      <w:tr>
        <w:trPr>
          <w:trHeight w:val="404"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．对所有者（或股东）的分</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配</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z w:val="15"/>
              </w:rPr>
              <w:t>0</w:t>
            </w:r>
          </w:p>
        </w:tc>
        <w:tc>
          <w:tcPr>
            <w:tcW w:w="708"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z w:val="15"/>
              </w:rPr>
              <w:t>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z w:val="15"/>
              </w:rPr>
              <w:t>0</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z w:val="15"/>
              </w:rPr>
              <w:t>0</w:t>
            </w:r>
          </w:p>
        </w:tc>
      </w:tr>
      <w:tr>
        <w:trPr>
          <w:trHeight w:val="209"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z w:val="15"/>
              </w:rPr>
              <w:t>0</w:t>
            </w:r>
          </w:p>
        </w:tc>
        <w:tc>
          <w:tcPr>
            <w:tcW w:w="708"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z w:val="15"/>
              </w:rPr>
              <w:t>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-35,359,409.41</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-35,359,409.41</w:t>
            </w:r>
          </w:p>
        </w:tc>
      </w:tr>
      <w:tr>
        <w:trPr>
          <w:trHeight w:val="210"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z w:val="15"/>
              </w:rPr>
              <w:t>0</w:t>
            </w:r>
          </w:p>
        </w:tc>
        <w:tc>
          <w:tcPr>
            <w:tcW w:w="708"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0</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0</w:t>
            </w:r>
          </w:p>
        </w:tc>
      </w:tr>
      <w:tr>
        <w:trPr>
          <w:trHeight w:val="404"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．资本公积转增资本（或股</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本）</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z w:val="15"/>
              </w:rPr>
              <w:t>0</w:t>
            </w:r>
          </w:p>
        </w:tc>
        <w:tc>
          <w:tcPr>
            <w:tcW w:w="708"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z w:val="15"/>
              </w:rPr>
              <w:t>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z w:val="15"/>
              </w:rPr>
              <w:t>0</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z w:val="15"/>
              </w:rPr>
              <w:t>0</w:t>
            </w:r>
          </w:p>
        </w:tc>
      </w:tr>
      <w:tr>
        <w:trPr>
          <w:trHeight w:val="404"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．盈余公积转增资本（或股</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本）</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z w:val="15"/>
              </w:rPr>
              <w:t>0</w:t>
            </w:r>
          </w:p>
        </w:tc>
        <w:tc>
          <w:tcPr>
            <w:tcW w:w="708"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0</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0</w:t>
            </w:r>
          </w:p>
        </w:tc>
      </w:tr>
      <w:tr>
        <w:trPr>
          <w:trHeight w:val="210"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z w:val="15"/>
              </w:rPr>
              <w:t>0</w:t>
            </w:r>
          </w:p>
        </w:tc>
        <w:tc>
          <w:tcPr>
            <w:tcW w:w="708"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0</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0</w:t>
            </w:r>
          </w:p>
        </w:tc>
      </w:tr>
      <w:tr>
        <w:trPr>
          <w:trHeight w:val="209"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z w:val="15"/>
              </w:rPr>
              <w:t>0</w:t>
            </w:r>
          </w:p>
        </w:tc>
        <w:tc>
          <w:tcPr>
            <w:tcW w:w="708"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z w:val="15"/>
              </w:rPr>
              <w:t>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z w:val="15"/>
              </w:rPr>
              <w:t>0</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z w:val="15"/>
              </w:rPr>
              <w:t>0</w:t>
            </w:r>
          </w:p>
        </w:tc>
      </w:tr>
      <w:tr>
        <w:trPr>
          <w:trHeight w:val="210"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76"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z w:val="15"/>
              </w:rPr>
              <w:t>0</w:t>
            </w:r>
          </w:p>
        </w:tc>
        <w:tc>
          <w:tcPr>
            <w:tcW w:w="708"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0</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0</w:t>
            </w:r>
          </w:p>
        </w:tc>
      </w:tr>
      <w:tr>
        <w:trPr>
          <w:trHeight w:val="210"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z w:val="15"/>
              </w:rPr>
              <w:t>0</w:t>
            </w:r>
          </w:p>
        </w:tc>
        <w:tc>
          <w:tcPr>
            <w:tcW w:w="708"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0</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0</w:t>
            </w:r>
          </w:p>
        </w:tc>
      </w:tr>
      <w:tr>
        <w:trPr>
          <w:trHeight w:val="209"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z w:val="15"/>
              </w:rPr>
              <w:t>0</w:t>
            </w:r>
          </w:p>
        </w:tc>
        <w:tc>
          <w:tcPr>
            <w:tcW w:w="708"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z w:val="15"/>
              </w:rPr>
              <w:t>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z w:val="15"/>
              </w:rPr>
              <w:t>0</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z w:val="15"/>
              </w:rPr>
              <w:t>0</w:t>
            </w:r>
          </w:p>
        </w:tc>
      </w:tr>
      <w:tr>
        <w:trPr>
          <w:trHeight w:val="210"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z w:val="15"/>
              </w:rPr>
              <w:t>0</w:t>
            </w:r>
          </w:p>
        </w:tc>
        <w:tc>
          <w:tcPr>
            <w:tcW w:w="708"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0</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0</w:t>
            </w:r>
          </w:p>
        </w:tc>
      </w:tr>
      <w:tr>
        <w:trPr>
          <w:trHeight w:val="210"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646,034,068.00</w:t>
            </w:r>
          </w:p>
        </w:tc>
        <w:tc>
          <w:tcPr>
            <w:tcW w:w="708"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668,697,186.37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168,056,152.34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352,419,911.77</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1,835,207,318.48</w:t>
            </w:r>
          </w:p>
        </w:tc>
      </w:tr>
    </w:tbl>
    <w:p>
      <w:pPr>
        <w:spacing w:after="0" w:line="171" w:lineRule="exact"/>
        <w:jc w:val="right"/>
        <w:rPr>
          <w:rFonts w:ascii="宋体" w:hAnsi="宋体" w:cs="宋体" w:eastAsia="宋体" w:hint="default"/>
          <w:sz w:val="15"/>
          <w:szCs w:val="15"/>
        </w:rPr>
        <w:sectPr>
          <w:type w:val="continuous"/>
          <w:pgSz w:w="16840" w:h="11910" w:orient="landscape"/>
          <w:pgMar w:top="1080" w:bottom="1380" w:left="620" w:right="8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270"/>
        <w:gridCol w:w="1276"/>
        <w:gridCol w:w="566"/>
        <w:gridCol w:w="709"/>
        <w:gridCol w:w="568"/>
        <w:gridCol w:w="1276"/>
        <w:gridCol w:w="1276"/>
        <w:gridCol w:w="1276"/>
        <w:gridCol w:w="1276"/>
        <w:gridCol w:w="1702"/>
        <w:gridCol w:w="1418"/>
        <w:gridCol w:w="1417"/>
      </w:tblGrid>
      <w:tr>
        <w:trPr>
          <w:trHeight w:val="210" w:hRule="exact"/>
        </w:trPr>
        <w:tc>
          <w:tcPr>
            <w:tcW w:w="227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2758" w:type="dxa"/>
            <w:gridSpan w:val="11"/>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上期</w:t>
            </w:r>
          </w:p>
        </w:tc>
      </w:tr>
      <w:tr>
        <w:trPr>
          <w:trHeight w:val="328" w:hRule="exact"/>
        </w:trPr>
        <w:tc>
          <w:tcPr>
            <w:tcW w:w="2270" w:type="dxa"/>
            <w:vMerge/>
            <w:tcBorders>
              <w:left w:val="single" w:sz="6" w:space="0" w:color="000000"/>
              <w:right w:val="single" w:sz="6" w:space="0" w:color="000000"/>
            </w:tcBorders>
          </w:tcPr>
          <w:p>
            <w:pPr/>
          </w:p>
        </w:tc>
        <w:tc>
          <w:tcPr>
            <w:tcW w:w="1276" w:type="dxa"/>
            <w:vMerge w:val="restart"/>
            <w:tcBorders>
              <w:top w:val="single" w:sz="6" w:space="0" w:color="000000"/>
              <w:left w:val="single" w:sz="6"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股本</w:t>
            </w:r>
          </w:p>
        </w:tc>
        <w:tc>
          <w:tcPr>
            <w:tcW w:w="1843"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36"/>
              <w:ind w:left="466"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29"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4"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80"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29"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43"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26"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417"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6"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407" w:hRule="exact"/>
        </w:trPr>
        <w:tc>
          <w:tcPr>
            <w:tcW w:w="2270"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4" w:space="0" w:color="000000"/>
            </w:tcBorders>
          </w:tcPr>
          <w:p>
            <w:pPr/>
          </w:p>
        </w:tc>
        <w:tc>
          <w:tcPr>
            <w:tcW w:w="566" w:type="dxa"/>
            <w:tcBorders>
              <w:top w:val="single" w:sz="4" w:space="0" w:color="000000"/>
              <w:left w:val="single" w:sz="4" w:space="0" w:color="000000"/>
              <w:bottom w:val="single" w:sz="6" w:space="0" w:color="000000"/>
              <w:right w:val="single" w:sz="4" w:space="0" w:color="000000"/>
            </w:tcBorders>
          </w:tcPr>
          <w:p>
            <w:pPr>
              <w:pStyle w:val="TableParagraph"/>
              <w:spacing w:line="194" w:lineRule="exact" w:before="1"/>
              <w:ind w:left="203" w:right="126" w:hanging="76"/>
              <w:jc w:val="left"/>
              <w:rPr>
                <w:rFonts w:ascii="宋体" w:hAnsi="宋体" w:cs="宋体" w:eastAsia="宋体" w:hint="default"/>
                <w:sz w:val="15"/>
                <w:szCs w:val="15"/>
              </w:rPr>
            </w:pPr>
            <w:r>
              <w:rPr>
                <w:rFonts w:ascii="宋体" w:hAnsi="宋体" w:cs="宋体" w:eastAsia="宋体" w:hint="default"/>
                <w:sz w:val="15"/>
                <w:szCs w:val="15"/>
              </w:rPr>
              <w:t>优先 股</w:t>
            </w:r>
          </w:p>
        </w:tc>
        <w:tc>
          <w:tcPr>
            <w:tcW w:w="70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78"/>
              <w:ind w:left="124"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56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78"/>
              <w:ind w:left="128"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76"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1417" w:type="dxa"/>
            <w:vMerge/>
            <w:tcBorders>
              <w:left w:val="single" w:sz="6" w:space="0" w:color="000000"/>
              <w:bottom w:val="single" w:sz="6" w:space="0" w:color="000000"/>
              <w:right w:val="single" w:sz="6" w:space="0" w:color="000000"/>
            </w:tcBorders>
          </w:tcPr>
          <w:p>
            <w:pPr/>
          </w:p>
        </w:tc>
      </w:tr>
      <w:tr>
        <w:trPr>
          <w:trHeight w:val="209"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2"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276" w:type="dxa"/>
            <w:tcBorders>
              <w:top w:val="single" w:sz="6" w:space="0" w:color="000000"/>
              <w:left w:val="single" w:sz="6" w:space="0" w:color="000000"/>
              <w:bottom w:val="single" w:sz="6"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648,279,106.00</w:t>
            </w:r>
          </w:p>
        </w:tc>
        <w:tc>
          <w:tcPr>
            <w:tcW w:w="566"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1276" w:type="dxa"/>
            <w:tcBorders>
              <w:top w:val="single" w:sz="6" w:space="0" w:color="000000"/>
              <w:left w:val="single" w:sz="4"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683,145,396.87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165,927,902.97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397,869,074.27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1,895,221,480.11</w:t>
            </w:r>
          </w:p>
        </w:tc>
      </w:tr>
      <w:tr>
        <w:trPr>
          <w:trHeight w:val="210"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2"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276"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1276"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78,652,008.60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-78,652,008.60</w:t>
            </w:r>
          </w:p>
        </w:tc>
      </w:tr>
      <w:tr>
        <w:trPr>
          <w:trHeight w:val="210"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402"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276" w:type="dxa"/>
            <w:tcBorders>
              <w:top w:val="single" w:sz="6" w:space="0" w:color="000000"/>
              <w:left w:val="single" w:sz="6" w:space="0" w:color="000000"/>
              <w:bottom w:val="single" w:sz="6"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1276" w:type="dxa"/>
            <w:tcBorders>
              <w:top w:val="single" w:sz="6" w:space="0" w:color="000000"/>
              <w:left w:val="single" w:sz="4"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7"/>
              <w:jc w:val="right"/>
              <w:rPr>
                <w:rFonts w:ascii="宋体" w:hAnsi="宋体" w:cs="宋体" w:eastAsia="宋体" w:hint="default"/>
                <w:sz w:val="15"/>
                <w:szCs w:val="15"/>
              </w:rPr>
            </w:pPr>
            <w:r>
              <w:rPr>
                <w:rFonts w:ascii="宋体"/>
                <w:spacing w:val="-1"/>
                <w:sz w:val="15"/>
              </w:rPr>
              <w:t>0.00</w:t>
            </w:r>
          </w:p>
        </w:tc>
      </w:tr>
      <w:tr>
        <w:trPr>
          <w:trHeight w:val="209"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40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76" w:type="dxa"/>
            <w:tcBorders>
              <w:top w:val="single" w:sz="6" w:space="0" w:color="000000"/>
              <w:left w:val="single" w:sz="6" w:space="0" w:color="000000"/>
              <w:bottom w:val="single" w:sz="6"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1276" w:type="dxa"/>
            <w:tcBorders>
              <w:top w:val="single" w:sz="6" w:space="0" w:color="000000"/>
              <w:left w:val="single" w:sz="4"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7"/>
              <w:jc w:val="right"/>
              <w:rPr>
                <w:rFonts w:ascii="宋体" w:hAnsi="宋体" w:cs="宋体" w:eastAsia="宋体" w:hint="default"/>
                <w:sz w:val="15"/>
                <w:szCs w:val="15"/>
              </w:rPr>
            </w:pPr>
            <w:r>
              <w:rPr>
                <w:rFonts w:ascii="宋体"/>
                <w:spacing w:val="-1"/>
                <w:sz w:val="15"/>
              </w:rPr>
              <w:t>0.00</w:t>
            </w:r>
          </w:p>
        </w:tc>
      </w:tr>
      <w:tr>
        <w:trPr>
          <w:trHeight w:val="210"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2"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276"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648,279,106.00</w:t>
            </w:r>
          </w:p>
        </w:tc>
        <w:tc>
          <w:tcPr>
            <w:tcW w:w="566"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1276"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683,145,396.87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78,652,008.60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165,927,902.97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397,869,074.27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1,816,569,471.51</w:t>
            </w:r>
          </w:p>
        </w:tc>
      </w:tr>
      <w:tr>
        <w:trPr>
          <w:trHeight w:val="404"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102" w:right="0"/>
              <w:jc w:val="left"/>
              <w:rPr>
                <w:rFonts w:ascii="宋体" w:hAnsi="宋体" w:cs="宋体" w:eastAsia="宋体" w:hint="default"/>
                <w:sz w:val="15"/>
                <w:szCs w:val="15"/>
              </w:rPr>
            </w:pPr>
            <w:r>
              <w:rPr>
                <w:rFonts w:ascii="宋体" w:hAnsi="宋体" w:cs="宋体" w:eastAsia="宋体" w:hint="default"/>
                <w:spacing w:val="-4"/>
                <w:sz w:val="15"/>
                <w:szCs w:val="15"/>
              </w:rPr>
              <w:t>三、本期增减变动金额（减少以</w:t>
            </w:r>
          </w:p>
          <w:p>
            <w:pPr>
              <w:pStyle w:val="TableParagraph"/>
              <w:spacing w:line="195" w:lineRule="exact"/>
              <w:ind w:left="102" w:right="0"/>
              <w:jc w:val="left"/>
              <w:rPr>
                <w:rFonts w:ascii="宋体" w:hAnsi="宋体" w:cs="宋体" w:eastAsia="宋体" w:hint="default"/>
                <w:sz w:val="15"/>
                <w:szCs w:val="15"/>
              </w:rPr>
            </w:pPr>
            <w:r>
              <w:rPr>
                <w:rFonts w:ascii="宋体" w:hAnsi="宋体" w:cs="宋体" w:eastAsia="宋体" w:hint="default"/>
                <w:sz w:val="15"/>
                <w:szCs w:val="15"/>
              </w:rPr>
              <w:t>“－”号填列）</w:t>
            </w:r>
          </w:p>
        </w:tc>
        <w:tc>
          <w:tcPr>
            <w:tcW w:w="1276" w:type="dxa"/>
            <w:tcBorders>
              <w:top w:val="single" w:sz="6" w:space="0" w:color="000000"/>
              <w:left w:val="single" w:sz="6" w:space="0" w:color="000000"/>
              <w:bottom w:val="single" w:sz="6"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-2,245,038.00</w:t>
            </w:r>
          </w:p>
        </w:tc>
        <w:tc>
          <w:tcPr>
            <w:tcW w:w="566"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-14,448,210.50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-20,679,147.60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2,128,249.37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-45,449,162.50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7"/>
              <w:jc w:val="right"/>
              <w:rPr>
                <w:rFonts w:ascii="宋体" w:hAnsi="宋体" w:cs="宋体" w:eastAsia="宋体" w:hint="default"/>
                <w:sz w:val="15"/>
                <w:szCs w:val="15"/>
              </w:rPr>
            </w:pPr>
            <w:r>
              <w:rPr>
                <w:rFonts w:ascii="宋体"/>
                <w:spacing w:val="-1"/>
                <w:sz w:val="15"/>
              </w:rPr>
              <w:t>-39,335,014.03</w:t>
            </w:r>
          </w:p>
        </w:tc>
      </w:tr>
      <w:tr>
        <w:trPr>
          <w:trHeight w:val="209"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2"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276" w:type="dxa"/>
            <w:tcBorders>
              <w:top w:val="single" w:sz="6" w:space="0" w:color="000000"/>
              <w:left w:val="single" w:sz="6" w:space="0" w:color="000000"/>
              <w:bottom w:val="single" w:sz="6"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21,282,493.67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7"/>
              <w:jc w:val="right"/>
              <w:rPr>
                <w:rFonts w:ascii="宋体" w:hAnsi="宋体" w:cs="宋体" w:eastAsia="宋体" w:hint="default"/>
                <w:sz w:val="15"/>
                <w:szCs w:val="15"/>
              </w:rPr>
            </w:pPr>
            <w:r>
              <w:rPr>
                <w:rFonts w:ascii="宋体"/>
                <w:spacing w:val="-1"/>
                <w:sz w:val="15"/>
              </w:rPr>
              <w:t>21,282,493.67</w:t>
            </w:r>
          </w:p>
        </w:tc>
      </w:tr>
      <w:tr>
        <w:trPr>
          <w:trHeight w:val="210"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2"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276"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-2,245,038.00</w:t>
            </w:r>
          </w:p>
        </w:tc>
        <w:tc>
          <w:tcPr>
            <w:tcW w:w="566"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-14,448,210.50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-20,679,147.60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3,985,899.10</w:t>
            </w:r>
          </w:p>
        </w:tc>
      </w:tr>
      <w:tr>
        <w:trPr>
          <w:trHeight w:val="209"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2"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．股东投入的普通股</w:t>
            </w:r>
          </w:p>
        </w:tc>
        <w:tc>
          <w:tcPr>
            <w:tcW w:w="1276" w:type="dxa"/>
            <w:tcBorders>
              <w:top w:val="single" w:sz="6" w:space="0" w:color="000000"/>
              <w:left w:val="single" w:sz="6" w:space="0" w:color="000000"/>
              <w:bottom w:val="single" w:sz="6"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7"/>
              <w:jc w:val="right"/>
              <w:rPr>
                <w:rFonts w:ascii="宋体" w:hAnsi="宋体" w:cs="宋体" w:eastAsia="宋体" w:hint="default"/>
                <w:sz w:val="15"/>
                <w:szCs w:val="15"/>
              </w:rPr>
            </w:pPr>
            <w:r>
              <w:rPr>
                <w:rFonts w:ascii="宋体"/>
                <w:spacing w:val="-1"/>
                <w:sz w:val="15"/>
              </w:rPr>
              <w:t>0.00</w:t>
            </w:r>
          </w:p>
        </w:tc>
      </w:tr>
      <w:tr>
        <w:trPr>
          <w:trHeight w:val="404"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2"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．其他权益工具持有者投入资</w:t>
            </w:r>
          </w:p>
          <w:p>
            <w:pPr>
              <w:pStyle w:val="TableParagraph"/>
              <w:spacing w:line="195" w:lineRule="exact"/>
              <w:ind w:left="102" w:right="0"/>
              <w:jc w:val="left"/>
              <w:rPr>
                <w:rFonts w:ascii="宋体" w:hAnsi="宋体" w:cs="宋体" w:eastAsia="宋体" w:hint="default"/>
                <w:sz w:val="15"/>
                <w:szCs w:val="15"/>
              </w:rPr>
            </w:pPr>
            <w:r>
              <w:rPr>
                <w:rFonts w:ascii="宋体" w:hAnsi="宋体" w:cs="宋体" w:eastAsia="宋体" w:hint="default"/>
                <w:sz w:val="15"/>
                <w:szCs w:val="15"/>
              </w:rPr>
              <w:t>本</w:t>
            </w:r>
          </w:p>
        </w:tc>
        <w:tc>
          <w:tcPr>
            <w:tcW w:w="1276"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2"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．股份支付计入所有者权益的</w:t>
            </w:r>
          </w:p>
          <w:p>
            <w:pPr>
              <w:pStyle w:val="TableParagraph"/>
              <w:spacing w:line="195" w:lineRule="exact"/>
              <w:ind w:left="102"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1276"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-2,504,608.34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-2,504,608.34</w:t>
            </w:r>
          </w:p>
        </w:tc>
      </w:tr>
      <w:tr>
        <w:trPr>
          <w:trHeight w:val="209"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2"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276" w:type="dxa"/>
            <w:tcBorders>
              <w:top w:val="single" w:sz="6" w:space="0" w:color="000000"/>
              <w:left w:val="single" w:sz="6" w:space="0" w:color="000000"/>
              <w:bottom w:val="single" w:sz="6"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-2,245,038.00</w:t>
            </w:r>
          </w:p>
        </w:tc>
        <w:tc>
          <w:tcPr>
            <w:tcW w:w="566"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-11,943,602.16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-20,679,147.60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7"/>
              <w:jc w:val="right"/>
              <w:rPr>
                <w:rFonts w:ascii="宋体" w:hAnsi="宋体" w:cs="宋体" w:eastAsia="宋体" w:hint="default"/>
                <w:sz w:val="15"/>
                <w:szCs w:val="15"/>
              </w:rPr>
            </w:pPr>
            <w:r>
              <w:rPr>
                <w:rFonts w:ascii="宋体"/>
                <w:spacing w:val="-1"/>
                <w:sz w:val="15"/>
              </w:rPr>
              <w:t>6,490,507.44</w:t>
            </w:r>
          </w:p>
        </w:tc>
      </w:tr>
      <w:tr>
        <w:trPr>
          <w:trHeight w:val="210"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2"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276"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2,128,249.37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-66,731,656.17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-64,603,406.80</w:t>
            </w:r>
          </w:p>
        </w:tc>
      </w:tr>
      <w:tr>
        <w:trPr>
          <w:trHeight w:val="210"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2"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276" w:type="dxa"/>
            <w:tcBorders>
              <w:top w:val="single" w:sz="6" w:space="0" w:color="000000"/>
              <w:left w:val="single" w:sz="6" w:space="0" w:color="000000"/>
              <w:bottom w:val="single" w:sz="6"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2,128,249.37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-2,128,249.37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7"/>
              <w:jc w:val="right"/>
              <w:rPr>
                <w:rFonts w:ascii="宋体" w:hAnsi="宋体" w:cs="宋体" w:eastAsia="宋体" w:hint="default"/>
                <w:sz w:val="15"/>
                <w:szCs w:val="15"/>
              </w:rPr>
            </w:pPr>
            <w:r>
              <w:rPr>
                <w:rFonts w:ascii="宋体"/>
                <w:spacing w:val="-1"/>
                <w:sz w:val="15"/>
              </w:rPr>
              <w:t>0.00</w:t>
            </w:r>
          </w:p>
        </w:tc>
      </w:tr>
      <w:tr>
        <w:trPr>
          <w:trHeight w:val="209"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2"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．对所有者（或股东）的分配</w:t>
            </w:r>
          </w:p>
        </w:tc>
        <w:tc>
          <w:tcPr>
            <w:tcW w:w="1276" w:type="dxa"/>
            <w:tcBorders>
              <w:top w:val="single" w:sz="6" w:space="0" w:color="000000"/>
              <w:left w:val="single" w:sz="6" w:space="0" w:color="000000"/>
              <w:bottom w:val="single" w:sz="6"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-64,603,406.80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7"/>
              <w:jc w:val="right"/>
              <w:rPr>
                <w:rFonts w:ascii="宋体" w:hAnsi="宋体" w:cs="宋体" w:eastAsia="宋体" w:hint="default"/>
                <w:sz w:val="15"/>
                <w:szCs w:val="15"/>
              </w:rPr>
            </w:pPr>
            <w:r>
              <w:rPr>
                <w:rFonts w:ascii="宋体"/>
                <w:spacing w:val="-1"/>
                <w:sz w:val="15"/>
              </w:rPr>
              <w:t>-64,603,406.80</w:t>
            </w:r>
          </w:p>
        </w:tc>
      </w:tr>
      <w:tr>
        <w:trPr>
          <w:trHeight w:val="210"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2"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p>
        </w:tc>
        <w:tc>
          <w:tcPr>
            <w:tcW w:w="1276"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r>
      <w:tr>
        <w:trPr>
          <w:trHeight w:val="209"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2"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276" w:type="dxa"/>
            <w:tcBorders>
              <w:top w:val="single" w:sz="6" w:space="0" w:color="000000"/>
              <w:left w:val="single" w:sz="6" w:space="0" w:color="000000"/>
              <w:bottom w:val="single" w:sz="6"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7"/>
              <w:jc w:val="right"/>
              <w:rPr>
                <w:rFonts w:ascii="宋体" w:hAnsi="宋体" w:cs="宋体" w:eastAsia="宋体" w:hint="default"/>
                <w:sz w:val="15"/>
                <w:szCs w:val="15"/>
              </w:rPr>
            </w:pPr>
            <w:r>
              <w:rPr>
                <w:rFonts w:ascii="宋体"/>
                <w:spacing w:val="-1"/>
                <w:sz w:val="15"/>
              </w:rPr>
              <w:t>0.00</w:t>
            </w:r>
          </w:p>
        </w:tc>
      </w:tr>
      <w:tr>
        <w:trPr>
          <w:trHeight w:val="210"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2" w:right="0"/>
              <w:jc w:val="left"/>
              <w:rPr>
                <w:rFonts w:ascii="宋体" w:hAnsi="宋体" w:cs="宋体" w:eastAsia="宋体" w:hint="default"/>
                <w:sz w:val="15"/>
                <w:szCs w:val="15"/>
              </w:rPr>
            </w:pPr>
            <w:r>
              <w:rPr>
                <w:rFonts w:ascii="宋体" w:hAnsi="宋体" w:cs="宋体" w:eastAsia="宋体" w:hint="default"/>
                <w:spacing w:val="-4"/>
                <w:sz w:val="15"/>
                <w:szCs w:val="15"/>
              </w:rPr>
              <w:t>1</w:t>
            </w:r>
            <w:r>
              <w:rPr>
                <w:rFonts w:ascii="宋体" w:hAnsi="宋体" w:cs="宋体" w:eastAsia="宋体" w:hint="default"/>
                <w:spacing w:val="-4"/>
                <w:sz w:val="15"/>
                <w:szCs w:val="15"/>
              </w:rPr>
              <w:t>．资本公积转增资本（或股本）</w:t>
            </w:r>
          </w:p>
        </w:tc>
        <w:tc>
          <w:tcPr>
            <w:tcW w:w="1276"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r>
      <w:tr>
        <w:trPr>
          <w:trHeight w:val="210"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2" w:right="0"/>
              <w:jc w:val="left"/>
              <w:rPr>
                <w:rFonts w:ascii="宋体" w:hAnsi="宋体" w:cs="宋体" w:eastAsia="宋体" w:hint="default"/>
                <w:sz w:val="15"/>
                <w:szCs w:val="15"/>
              </w:rPr>
            </w:pPr>
            <w:r>
              <w:rPr>
                <w:rFonts w:ascii="宋体" w:hAnsi="宋体" w:cs="宋体" w:eastAsia="宋体" w:hint="default"/>
                <w:spacing w:val="-4"/>
                <w:sz w:val="15"/>
                <w:szCs w:val="15"/>
              </w:rPr>
              <w:t>2</w:t>
            </w:r>
            <w:r>
              <w:rPr>
                <w:rFonts w:ascii="宋体" w:hAnsi="宋体" w:cs="宋体" w:eastAsia="宋体" w:hint="default"/>
                <w:spacing w:val="-4"/>
                <w:sz w:val="15"/>
                <w:szCs w:val="15"/>
              </w:rPr>
              <w:t>．盈余公积转增资本（或股本）</w:t>
            </w:r>
          </w:p>
        </w:tc>
        <w:tc>
          <w:tcPr>
            <w:tcW w:w="1276"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r>
      <w:tr>
        <w:trPr>
          <w:trHeight w:val="209"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2"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p>
        </w:tc>
        <w:tc>
          <w:tcPr>
            <w:tcW w:w="1276" w:type="dxa"/>
            <w:tcBorders>
              <w:top w:val="single" w:sz="6" w:space="0" w:color="000000"/>
              <w:left w:val="single" w:sz="6" w:space="0" w:color="000000"/>
              <w:bottom w:val="single" w:sz="6"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7"/>
              <w:jc w:val="right"/>
              <w:rPr>
                <w:rFonts w:ascii="宋体" w:hAnsi="宋体" w:cs="宋体" w:eastAsia="宋体" w:hint="default"/>
                <w:sz w:val="15"/>
                <w:szCs w:val="15"/>
              </w:rPr>
            </w:pPr>
            <w:r>
              <w:rPr>
                <w:rFonts w:ascii="宋体"/>
                <w:spacing w:val="-1"/>
                <w:sz w:val="15"/>
              </w:rPr>
              <w:t>0.00</w:t>
            </w:r>
          </w:p>
        </w:tc>
      </w:tr>
      <w:tr>
        <w:trPr>
          <w:trHeight w:val="210"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2"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276" w:type="dxa"/>
            <w:tcBorders>
              <w:top w:val="single" w:sz="6" w:space="0" w:color="000000"/>
              <w:left w:val="single" w:sz="6" w:space="0" w:color="000000"/>
              <w:bottom w:val="single" w:sz="6"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8"/>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8"/>
              <w:jc w:val="right"/>
              <w:rPr>
                <w:rFonts w:ascii="宋体" w:hAnsi="宋体" w:cs="宋体" w:eastAsia="宋体" w:hint="default"/>
                <w:sz w:val="15"/>
                <w:szCs w:val="15"/>
              </w:rPr>
            </w:pPr>
            <w:r>
              <w:rPr>
                <w:rFonts w:ascii="宋体"/>
                <w:spacing w:val="-1"/>
                <w:sz w:val="15"/>
              </w:rPr>
              <w:t>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8"/>
              <w:jc w:val="right"/>
              <w:rPr>
                <w:rFonts w:ascii="宋体" w:hAnsi="宋体" w:cs="宋体" w:eastAsia="宋体" w:hint="default"/>
                <w:sz w:val="15"/>
                <w:szCs w:val="15"/>
              </w:rPr>
            </w:pPr>
            <w:r>
              <w:rPr>
                <w:rFonts w:ascii="宋体"/>
                <w:spacing w:val="-1"/>
                <w:sz w:val="15"/>
              </w:rPr>
              <w:t>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7"/>
              <w:jc w:val="right"/>
              <w:rPr>
                <w:rFonts w:ascii="宋体" w:hAnsi="宋体" w:cs="宋体" w:eastAsia="宋体" w:hint="default"/>
                <w:sz w:val="15"/>
                <w:szCs w:val="15"/>
              </w:rPr>
            </w:pPr>
            <w:r>
              <w:rPr>
                <w:rFonts w:ascii="宋体"/>
                <w:spacing w:val="-1"/>
                <w:sz w:val="15"/>
              </w:rPr>
              <w:t>0.00</w:t>
            </w:r>
          </w:p>
        </w:tc>
      </w:tr>
      <w:tr>
        <w:trPr>
          <w:trHeight w:val="209"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77"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276" w:type="dxa"/>
            <w:tcBorders>
              <w:top w:val="single" w:sz="6" w:space="0" w:color="000000"/>
              <w:left w:val="single" w:sz="6" w:space="0" w:color="000000"/>
              <w:bottom w:val="single" w:sz="6"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7"/>
              <w:jc w:val="right"/>
              <w:rPr>
                <w:rFonts w:ascii="宋体" w:hAnsi="宋体" w:cs="宋体" w:eastAsia="宋体" w:hint="default"/>
                <w:sz w:val="15"/>
                <w:szCs w:val="15"/>
              </w:rPr>
            </w:pPr>
            <w:r>
              <w:rPr>
                <w:rFonts w:ascii="宋体"/>
                <w:spacing w:val="-1"/>
                <w:sz w:val="15"/>
              </w:rPr>
              <w:t>0.00</w:t>
            </w:r>
          </w:p>
        </w:tc>
      </w:tr>
      <w:tr>
        <w:trPr>
          <w:trHeight w:val="210"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2"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276"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r>
      <w:tr>
        <w:trPr>
          <w:trHeight w:val="210"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2"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276"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r>
      <w:tr>
        <w:trPr>
          <w:trHeight w:val="209"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2"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276" w:type="dxa"/>
            <w:tcBorders>
              <w:top w:val="single" w:sz="6" w:space="0" w:color="000000"/>
              <w:left w:val="single" w:sz="6" w:space="0" w:color="000000"/>
              <w:bottom w:val="single" w:sz="6"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7"/>
              <w:jc w:val="right"/>
              <w:rPr>
                <w:rFonts w:ascii="宋体" w:hAnsi="宋体" w:cs="宋体" w:eastAsia="宋体" w:hint="default"/>
                <w:sz w:val="15"/>
                <w:szCs w:val="15"/>
              </w:rPr>
            </w:pPr>
            <w:r>
              <w:rPr>
                <w:rFonts w:ascii="宋体"/>
                <w:spacing w:val="-1"/>
                <w:sz w:val="15"/>
              </w:rPr>
              <w:t>0.00</w:t>
            </w:r>
          </w:p>
        </w:tc>
      </w:tr>
      <w:tr>
        <w:trPr>
          <w:trHeight w:val="210"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2"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276"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646,034,068.00</w:t>
            </w:r>
          </w:p>
        </w:tc>
        <w:tc>
          <w:tcPr>
            <w:tcW w:w="566"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668,697,186.37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57,972,861.00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168,056,152.34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352,419,911.77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1,777,234,457.48</w:t>
            </w:r>
          </w:p>
        </w:tc>
      </w:tr>
    </w:tbl>
    <w:p>
      <w:pPr>
        <w:spacing w:line="240" w:lineRule="auto" w:before="0"/>
        <w:rPr>
          <w:rFonts w:ascii="宋体" w:hAnsi="宋体" w:cs="宋体" w:eastAsia="宋体" w:hint="default"/>
          <w:sz w:val="25"/>
          <w:szCs w:val="25"/>
        </w:rPr>
      </w:pPr>
    </w:p>
    <w:p>
      <w:pPr>
        <w:pStyle w:val="BodyText"/>
        <w:tabs>
          <w:tab w:pos="2360" w:val="left" w:leader="none"/>
          <w:tab w:pos="3800" w:val="left" w:leader="none"/>
          <w:tab w:pos="8120" w:val="left" w:leader="none"/>
        </w:tabs>
        <w:spacing w:line="240" w:lineRule="auto" w:before="26"/>
        <w:ind w:left="680" w:right="0"/>
        <w:jc w:val="left"/>
      </w:pPr>
      <w:r>
        <w:rPr/>
        <w:t>法定代表人：</w:t>
        <w:tab/>
        <w:t>王维航</w:t>
        <w:tab/>
        <w:t>主管会计工作负责人：任学英</w:t>
        <w:tab/>
        <w:t>会计机构负责人：李晖</w:t>
      </w:r>
    </w:p>
    <w:p>
      <w:pPr>
        <w:spacing w:after="0" w:line="240" w:lineRule="auto"/>
        <w:jc w:val="left"/>
        <w:sectPr>
          <w:pgSz w:w="16840" w:h="11910" w:orient="landscape"/>
          <w:pgMar w:header="877" w:footer="1194" w:top="1100" w:bottom="1380" w:left="760" w:right="8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2"/>
        <w:tabs>
          <w:tab w:pos="977" w:val="left" w:leader="none"/>
        </w:tabs>
        <w:spacing w:line="240" w:lineRule="auto"/>
        <w:ind w:left="138" w:right="128"/>
        <w:jc w:val="left"/>
        <w:rPr>
          <w:b w:val="0"/>
          <w:bCs w:val="0"/>
        </w:rPr>
      </w:pPr>
      <w:r>
        <w:rPr>
          <w:w w:val="95"/>
        </w:rPr>
        <w:t>三、</w:t>
        <w:tab/>
      </w:r>
      <w:r>
        <w:rPr/>
        <w:t>公司基本情况</w:t>
      </w:r>
      <w:r>
        <w:rPr>
          <w:b w:val="0"/>
          <w:bCs w:val="0"/>
        </w:rPr>
      </w:r>
    </w:p>
    <w:p>
      <w:pPr>
        <w:spacing w:after="0" w:line="240" w:lineRule="auto"/>
        <w:jc w:val="left"/>
        <w:sectPr>
          <w:headerReference w:type="default" r:id="rId33"/>
          <w:footerReference w:type="default" r:id="rId34"/>
          <w:pgSz w:w="11910" w:h="16840"/>
          <w:pgMar w:header="882" w:footer="1194" w:top="1120" w:bottom="1380" w:left="1660" w:right="1140"/>
          <w:pgNumType w:start="86"/>
        </w:sectPr>
      </w:pPr>
    </w:p>
    <w:p>
      <w:pPr>
        <w:spacing w:line="240" w:lineRule="auto" w:before="6"/>
        <w:rPr>
          <w:rFonts w:ascii="宋体" w:hAnsi="宋体" w:cs="宋体" w:eastAsia="宋体" w:hint="default"/>
          <w:b/>
          <w:bCs/>
          <w:sz w:val="26"/>
          <w:szCs w:val="26"/>
        </w:rPr>
      </w:pPr>
    </w:p>
    <w:p>
      <w:pPr>
        <w:spacing w:before="1"/>
        <w:ind w:left="4085" w:right="3052" w:firstLine="0"/>
        <w:jc w:val="center"/>
        <w:rPr>
          <w:rFonts w:ascii="宋体" w:hAnsi="宋体" w:cs="宋体" w:eastAsia="宋体" w:hint="default"/>
          <w:sz w:val="32"/>
          <w:szCs w:val="32"/>
        </w:rPr>
      </w:pPr>
      <w:r>
        <w:rPr>
          <w:rFonts w:ascii="宋体" w:hAnsi="宋体" w:cs="宋体" w:eastAsia="宋体" w:hint="default"/>
          <w:b/>
          <w:bCs/>
          <w:sz w:val="32"/>
          <w:szCs w:val="32"/>
        </w:rPr>
        <w:t>财务报表附注</w:t>
      </w:r>
      <w:r>
        <w:rPr>
          <w:rFonts w:ascii="宋体" w:hAnsi="宋体" w:cs="宋体" w:eastAsia="宋体" w:hint="default"/>
          <w:sz w:val="32"/>
          <w:szCs w:val="32"/>
        </w:rPr>
      </w:r>
    </w:p>
    <w:p>
      <w:pPr>
        <w:pStyle w:val="Heading2"/>
        <w:spacing w:line="240" w:lineRule="auto" w:before="226"/>
        <w:ind w:left="138" w:right="128"/>
        <w:jc w:val="left"/>
        <w:rPr>
          <w:b w:val="0"/>
          <w:bCs w:val="0"/>
        </w:rPr>
      </w:pPr>
      <w:r>
        <w:rPr/>
        <w:t>一、公司基本情况</w:t>
      </w:r>
      <w:r>
        <w:rPr>
          <w:b w:val="0"/>
          <w:bCs w:val="0"/>
        </w:rPr>
      </w:r>
    </w:p>
    <w:p>
      <w:pPr>
        <w:pStyle w:val="Heading2"/>
        <w:tabs>
          <w:tab w:pos="557" w:val="left" w:leader="none"/>
        </w:tabs>
        <w:spacing w:line="240" w:lineRule="auto" w:before="117"/>
        <w:ind w:left="138" w:right="128"/>
        <w:jc w:val="left"/>
        <w:rPr>
          <w:b w:val="0"/>
          <w:bCs w:val="0"/>
        </w:rPr>
      </w:pPr>
      <w:r>
        <w:rPr>
          <w:rFonts w:ascii="Calibri" w:hAnsi="Calibri" w:cs="Calibri" w:eastAsia="Calibri" w:hint="default"/>
          <w:spacing w:val="-1"/>
        </w:rPr>
        <w:t>1.</w:t>
        <w:tab/>
      </w:r>
      <w:r>
        <w:rPr>
          <w:spacing w:val="1"/>
        </w:rPr>
        <w:t>公司概况</w:t>
      </w:r>
      <w:r>
        <w:rPr>
          <w:b w:val="0"/>
          <w:bCs w:val="0"/>
        </w:rPr>
      </w:r>
    </w:p>
    <w:p>
      <w:pPr>
        <w:pStyle w:val="BodyText"/>
        <w:spacing w:line="312" w:lineRule="exact" w:before="116"/>
        <w:ind w:left="135" w:right="122" w:firstLine="420"/>
        <w:jc w:val="left"/>
      </w:pPr>
      <w:r>
        <w:rPr/>
        <w:t>北京华胜天成科技股份有限公司（以下简称“本公司”）系经北京市人民政府批 </w:t>
      </w:r>
      <w:r>
        <w:rPr>
          <w:spacing w:val="-9"/>
        </w:rPr>
        <w:t>准，</w:t>
      </w:r>
      <w:r>
        <w:rPr>
          <w:rFonts w:ascii="宋体" w:hAnsi="宋体" w:cs="宋体" w:eastAsia="宋体" w:hint="default"/>
          <w:spacing w:val="-9"/>
        </w:rPr>
        <w:t>2001</w:t>
      </w:r>
      <w:r>
        <w:rPr>
          <w:rFonts w:ascii="宋体" w:hAnsi="宋体" w:cs="宋体" w:eastAsia="宋体" w:hint="default"/>
          <w:spacing w:val="-59"/>
        </w:rPr>
        <w:t> </w:t>
      </w:r>
      <w:r>
        <w:rPr/>
        <w:t>年</w:t>
      </w:r>
      <w:r>
        <w:rPr>
          <w:spacing w:val="-59"/>
        </w:rPr>
        <w:t> </w:t>
      </w:r>
      <w:r>
        <w:rPr>
          <w:rFonts w:ascii="宋体" w:hAnsi="宋体" w:cs="宋体" w:eastAsia="宋体" w:hint="default"/>
        </w:rPr>
        <w:t>3</w:t>
      </w:r>
      <w:r>
        <w:rPr>
          <w:rFonts w:ascii="宋体" w:hAnsi="宋体" w:cs="宋体" w:eastAsia="宋体" w:hint="default"/>
          <w:spacing w:val="-59"/>
        </w:rPr>
        <w:t> </w:t>
      </w:r>
      <w:r>
        <w:rPr/>
        <w:t>月</w:t>
      </w:r>
      <w:r>
        <w:rPr>
          <w:spacing w:val="-59"/>
        </w:rPr>
        <w:t> </w:t>
      </w:r>
      <w:r>
        <w:rPr>
          <w:rFonts w:ascii="宋体" w:hAnsi="宋体" w:cs="宋体" w:eastAsia="宋体" w:hint="default"/>
        </w:rPr>
        <w:t>15</w:t>
      </w:r>
      <w:r>
        <w:rPr>
          <w:rFonts w:ascii="宋体" w:hAnsi="宋体" w:cs="宋体" w:eastAsia="宋体" w:hint="default"/>
          <w:spacing w:val="-59"/>
        </w:rPr>
        <w:t> </w:t>
      </w:r>
      <w:r>
        <w:rPr>
          <w:spacing w:val="-4"/>
        </w:rPr>
        <w:t>日，由北京华胜天成科技有限公司以</w:t>
      </w:r>
      <w:r>
        <w:rPr>
          <w:spacing w:val="-59"/>
        </w:rPr>
        <w:t> </w:t>
      </w:r>
      <w:r>
        <w:rPr>
          <w:rFonts w:ascii="宋体" w:hAnsi="宋体" w:cs="宋体" w:eastAsia="宋体" w:hint="default"/>
        </w:rPr>
        <w:t>2000</w:t>
      </w:r>
      <w:r>
        <w:rPr>
          <w:rFonts w:ascii="宋体" w:hAnsi="宋体" w:cs="宋体" w:eastAsia="宋体" w:hint="default"/>
          <w:spacing w:val="-59"/>
        </w:rPr>
        <w:t> </w:t>
      </w:r>
      <w:r>
        <w:rPr/>
        <w:t>年末净资产为基数按照</w:t>
      </w:r>
    </w:p>
    <w:p>
      <w:pPr>
        <w:pStyle w:val="BodyText"/>
        <w:spacing w:line="281" w:lineRule="exact"/>
        <w:ind w:left="135" w:right="128"/>
        <w:jc w:val="left"/>
      </w:pPr>
      <w:r>
        <w:rPr>
          <w:rFonts w:ascii="宋体" w:hAnsi="宋体" w:cs="宋体" w:eastAsia="宋体" w:hint="default"/>
        </w:rPr>
        <w:t>1:1</w:t>
      </w:r>
      <w:r>
        <w:rPr>
          <w:rFonts w:ascii="宋体" w:hAnsi="宋体" w:cs="宋体" w:eastAsia="宋体" w:hint="default"/>
          <w:spacing w:val="-60"/>
        </w:rPr>
        <w:t> </w:t>
      </w:r>
      <w:r>
        <w:rPr/>
        <w:t>的折股比例整体改制的股份有限公司。经中国证券监督管理委员会证监发行字</w:t>
      </w:r>
    </w:p>
    <w:p>
      <w:pPr>
        <w:pStyle w:val="BodyText"/>
        <w:spacing w:line="311" w:lineRule="exact"/>
        <w:ind w:left="135" w:right="0"/>
        <w:jc w:val="left"/>
      </w:pPr>
      <w:r>
        <w:rPr>
          <w:rFonts w:ascii="宋体" w:hAnsi="宋体" w:cs="宋体" w:eastAsia="宋体" w:hint="default"/>
        </w:rPr>
        <w:t>[2004]38</w:t>
      </w:r>
      <w:r>
        <w:rPr>
          <w:rFonts w:ascii="宋体" w:hAnsi="宋体" w:cs="宋体" w:eastAsia="宋体" w:hint="default"/>
          <w:spacing w:val="-60"/>
        </w:rPr>
        <w:t> </w:t>
      </w:r>
      <w:r>
        <w:rPr/>
        <w:t>号文批准</w:t>
      </w:r>
      <w:r>
        <w:rPr>
          <w:spacing w:val="-106"/>
        </w:rPr>
        <w:t>，</w:t>
      </w:r>
      <w:r>
        <w:rPr/>
        <w:t>本公司采用向二级市场投资者定价配售的方式发行人民币普通股</w:t>
      </w:r>
    </w:p>
    <w:p>
      <w:pPr>
        <w:pStyle w:val="BodyText"/>
        <w:spacing w:line="312" w:lineRule="exact"/>
        <w:ind w:left="135" w:right="128"/>
        <w:jc w:val="left"/>
      </w:pPr>
      <w:r>
        <w:rPr/>
        <w:t>股票</w:t>
      </w:r>
      <w:r>
        <w:rPr>
          <w:spacing w:val="-60"/>
        </w:rPr>
        <w:t> </w:t>
      </w:r>
      <w:r>
        <w:rPr>
          <w:rFonts w:ascii="宋体" w:hAnsi="宋体" w:cs="宋体" w:eastAsia="宋体" w:hint="default"/>
        </w:rPr>
        <w:t>2400</w:t>
      </w:r>
      <w:r>
        <w:rPr>
          <w:rFonts w:ascii="宋体" w:hAnsi="宋体" w:cs="宋体" w:eastAsia="宋体" w:hint="default"/>
          <w:spacing w:val="-60"/>
        </w:rPr>
        <w:t> </w:t>
      </w:r>
      <w:r>
        <w:rPr/>
        <w:t>万股，并于</w:t>
      </w:r>
      <w:r>
        <w:rPr>
          <w:spacing w:val="-60"/>
        </w:rPr>
        <w:t> </w:t>
      </w:r>
      <w:r>
        <w:rPr>
          <w:rFonts w:ascii="宋体" w:hAnsi="宋体" w:cs="宋体" w:eastAsia="宋体" w:hint="default"/>
        </w:rPr>
        <w:t>2004</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27</w:t>
      </w:r>
      <w:r>
        <w:rPr>
          <w:rFonts w:ascii="宋体" w:hAnsi="宋体" w:cs="宋体" w:eastAsia="宋体" w:hint="default"/>
          <w:spacing w:val="-60"/>
        </w:rPr>
        <w:t> </w:t>
      </w:r>
      <w:r>
        <w:rPr/>
        <w:t>日在上海证券交易所上市流通。</w:t>
      </w:r>
    </w:p>
    <w:p>
      <w:pPr>
        <w:pStyle w:val="BodyText"/>
        <w:spacing w:line="313" w:lineRule="exact" w:before="116"/>
        <w:ind w:left="615" w:right="0"/>
        <w:jc w:val="left"/>
      </w:pPr>
      <w:r>
        <w:rPr/>
        <w:t>根据本公司</w:t>
      </w:r>
      <w:r>
        <w:rPr>
          <w:spacing w:val="-59"/>
        </w:rPr>
        <w:t> </w:t>
      </w:r>
      <w:r>
        <w:rPr>
          <w:rFonts w:ascii="宋体" w:hAnsi="宋体" w:cs="宋体" w:eastAsia="宋体" w:hint="default"/>
        </w:rPr>
        <w:t>2004</w:t>
      </w:r>
      <w:r>
        <w:rPr>
          <w:rFonts w:ascii="宋体" w:hAnsi="宋体" w:cs="宋体" w:eastAsia="宋体" w:hint="default"/>
          <w:spacing w:val="-59"/>
        </w:rPr>
        <w:t> </w:t>
      </w:r>
      <w:r>
        <w:rPr>
          <w:spacing w:val="-4"/>
        </w:rPr>
        <w:t>年年度股东大会决议，本公司以</w:t>
      </w:r>
      <w:r>
        <w:rPr>
          <w:spacing w:val="-59"/>
        </w:rPr>
        <w:t> </w:t>
      </w:r>
      <w:r>
        <w:rPr>
          <w:rFonts w:ascii="宋体" w:hAnsi="宋体" w:cs="宋体" w:eastAsia="宋体" w:hint="default"/>
        </w:rPr>
        <w:t>2004</w:t>
      </w:r>
      <w:r>
        <w:rPr>
          <w:rFonts w:ascii="宋体" w:hAnsi="宋体" w:cs="宋体" w:eastAsia="宋体" w:hint="default"/>
          <w:spacing w:val="-59"/>
        </w:rPr>
        <w:t> </w:t>
      </w:r>
      <w:r>
        <w:rPr/>
        <w:t>年末总股本</w:t>
      </w:r>
      <w:r>
        <w:rPr>
          <w:spacing w:val="-59"/>
        </w:rPr>
        <w:t> </w:t>
      </w:r>
      <w:r>
        <w:rPr>
          <w:rFonts w:ascii="宋体" w:hAnsi="宋体" w:cs="宋体" w:eastAsia="宋体" w:hint="default"/>
        </w:rPr>
        <w:t>9,400</w:t>
      </w:r>
      <w:r>
        <w:rPr>
          <w:rFonts w:ascii="宋体" w:hAnsi="宋体" w:cs="宋体" w:eastAsia="宋体" w:hint="default"/>
          <w:spacing w:val="-59"/>
        </w:rPr>
        <w:t> </w:t>
      </w:r>
      <w:r>
        <w:rPr/>
        <w:t>万股为</w:t>
      </w:r>
    </w:p>
    <w:p>
      <w:pPr>
        <w:pStyle w:val="BodyText"/>
        <w:spacing w:line="311" w:lineRule="exact"/>
        <w:ind w:left="135" w:right="0"/>
        <w:jc w:val="left"/>
        <w:rPr>
          <w:rFonts w:ascii="宋体" w:hAnsi="宋体" w:cs="宋体" w:eastAsia="宋体" w:hint="default"/>
        </w:rPr>
      </w:pPr>
      <w:r>
        <w:rPr/>
        <w:t>基数</w:t>
      </w:r>
      <w:r>
        <w:rPr>
          <w:spacing w:val="-120"/>
        </w:rPr>
        <w:t>，</w:t>
      </w:r>
      <w:r>
        <w:rPr/>
        <w:t>用上市溢价发行股票产生的资本公积向全体股东每</w:t>
      </w:r>
      <w:r>
        <w:rPr>
          <w:spacing w:val="-82"/>
        </w:rPr>
        <w:t> </w:t>
      </w:r>
      <w:r>
        <w:rPr>
          <w:rFonts w:ascii="宋体" w:hAnsi="宋体" w:cs="宋体" w:eastAsia="宋体" w:hint="default"/>
        </w:rPr>
        <w:t>10</w:t>
      </w:r>
      <w:r>
        <w:rPr>
          <w:rFonts w:ascii="宋体" w:hAnsi="宋体" w:cs="宋体" w:eastAsia="宋体" w:hint="default"/>
          <w:spacing w:val="-82"/>
        </w:rPr>
        <w:t> </w:t>
      </w:r>
      <w:r>
        <w:rPr/>
        <w:t>股</w:t>
      </w:r>
      <w:r>
        <w:rPr>
          <w:spacing w:val="1"/>
        </w:rPr>
        <w:t>转</w:t>
      </w:r>
      <w:r>
        <w:rPr/>
        <w:t>增</w:t>
      </w:r>
      <w:r>
        <w:rPr>
          <w:spacing w:val="-82"/>
        </w:rPr>
        <w:t> </w:t>
      </w:r>
      <w:r>
        <w:rPr>
          <w:rFonts w:ascii="宋体" w:hAnsi="宋体" w:cs="宋体" w:eastAsia="宋体" w:hint="default"/>
        </w:rPr>
        <w:t>3</w:t>
      </w:r>
      <w:r>
        <w:rPr>
          <w:rFonts w:ascii="宋体" w:hAnsi="宋体" w:cs="宋体" w:eastAsia="宋体" w:hint="default"/>
          <w:spacing w:val="-82"/>
        </w:rPr>
        <w:t> </w:t>
      </w:r>
      <w:r>
        <w:rPr/>
        <w:t>股</w:t>
      </w:r>
      <w:r>
        <w:rPr>
          <w:spacing w:val="-120"/>
        </w:rPr>
        <w:t>，</w:t>
      </w:r>
      <w:r>
        <w:rPr/>
        <w:t>共转增</w:t>
      </w:r>
      <w:r>
        <w:rPr>
          <w:spacing w:val="-81"/>
        </w:rPr>
        <w:t> </w:t>
      </w:r>
      <w:r>
        <w:rPr>
          <w:rFonts w:ascii="宋体" w:hAnsi="宋体" w:cs="宋体" w:eastAsia="宋体" w:hint="default"/>
        </w:rPr>
        <w:t>2,820</w:t>
      </w:r>
    </w:p>
    <w:p>
      <w:pPr>
        <w:pStyle w:val="BodyText"/>
        <w:spacing w:line="312" w:lineRule="exact"/>
        <w:ind w:left="135" w:right="128"/>
        <w:jc w:val="left"/>
      </w:pPr>
      <w:r>
        <w:rPr/>
        <w:t>万股，转增后的股本总额为</w:t>
      </w:r>
      <w:r>
        <w:rPr>
          <w:spacing w:val="-60"/>
        </w:rPr>
        <w:t> </w:t>
      </w:r>
      <w:r>
        <w:rPr>
          <w:rFonts w:ascii="宋体" w:hAnsi="宋体" w:cs="宋体" w:eastAsia="宋体" w:hint="default"/>
        </w:rPr>
        <w:t>12,220</w:t>
      </w:r>
      <w:r>
        <w:rPr>
          <w:rFonts w:ascii="宋体" w:hAnsi="宋体" w:cs="宋体" w:eastAsia="宋体" w:hint="default"/>
          <w:spacing w:val="-60"/>
        </w:rPr>
        <w:t> </w:t>
      </w:r>
      <w:r>
        <w:rPr/>
        <w:t>万股，注册资本变更为人民币</w:t>
      </w:r>
      <w:r>
        <w:rPr>
          <w:spacing w:val="-60"/>
        </w:rPr>
        <w:t> </w:t>
      </w:r>
      <w:r>
        <w:rPr>
          <w:rFonts w:ascii="宋体" w:hAnsi="宋体" w:cs="宋体" w:eastAsia="宋体" w:hint="default"/>
        </w:rPr>
        <w:t>12,220</w:t>
      </w:r>
      <w:r>
        <w:rPr>
          <w:rFonts w:ascii="宋体" w:hAnsi="宋体" w:cs="宋体" w:eastAsia="宋体" w:hint="default"/>
          <w:spacing w:val="-60"/>
        </w:rPr>
        <w:t> </w:t>
      </w:r>
      <w:r>
        <w:rPr/>
        <w:t>万元。</w:t>
      </w:r>
    </w:p>
    <w:p>
      <w:pPr>
        <w:pStyle w:val="BodyText"/>
        <w:spacing w:line="313" w:lineRule="exact" w:before="116"/>
        <w:ind w:left="615" w:right="128"/>
        <w:jc w:val="left"/>
      </w:pPr>
      <w:r>
        <w:rPr/>
        <w:t>根据本公司</w:t>
      </w:r>
      <w:r>
        <w:rPr>
          <w:spacing w:val="-60"/>
        </w:rPr>
        <w:t> </w:t>
      </w:r>
      <w:r>
        <w:rPr>
          <w:rFonts w:ascii="宋体" w:hAnsi="宋体" w:cs="宋体" w:eastAsia="宋体" w:hint="default"/>
        </w:rPr>
        <w:t>2005</w:t>
      </w:r>
      <w:r>
        <w:rPr>
          <w:rFonts w:ascii="宋体" w:hAnsi="宋体" w:cs="宋体" w:eastAsia="宋体" w:hint="default"/>
          <w:spacing w:val="-60"/>
        </w:rPr>
        <w:t> </w:t>
      </w:r>
      <w:r>
        <w:rPr/>
        <w:t>年年度股东大会决议，本公司以</w:t>
      </w:r>
      <w:r>
        <w:rPr>
          <w:spacing w:val="-60"/>
        </w:rPr>
        <w:t> </w:t>
      </w:r>
      <w:r>
        <w:rPr>
          <w:rFonts w:ascii="宋体" w:hAnsi="宋体" w:cs="宋体" w:eastAsia="宋体" w:hint="default"/>
        </w:rPr>
        <w:t>2005</w:t>
      </w:r>
      <w:r>
        <w:rPr>
          <w:rFonts w:ascii="宋体" w:hAnsi="宋体" w:cs="宋体" w:eastAsia="宋体" w:hint="default"/>
          <w:spacing w:val="-60"/>
        </w:rPr>
        <w:t> </w:t>
      </w:r>
      <w:r>
        <w:rPr/>
        <w:t>年末总股本</w:t>
      </w:r>
      <w:r>
        <w:rPr>
          <w:spacing w:val="-60"/>
        </w:rPr>
        <w:t> </w:t>
      </w:r>
      <w:r>
        <w:rPr>
          <w:rFonts w:ascii="宋体" w:hAnsi="宋体" w:cs="宋体" w:eastAsia="宋体" w:hint="default"/>
        </w:rPr>
        <w:t>12,220</w:t>
      </w:r>
      <w:r>
        <w:rPr>
          <w:rFonts w:ascii="宋体" w:hAnsi="宋体" w:cs="宋体" w:eastAsia="宋体" w:hint="default"/>
          <w:spacing w:val="-60"/>
        </w:rPr>
        <w:t> </w:t>
      </w:r>
      <w:r>
        <w:rPr/>
        <w:t>万股</w:t>
      </w:r>
    </w:p>
    <w:p>
      <w:pPr>
        <w:pStyle w:val="BodyText"/>
        <w:spacing w:line="311" w:lineRule="exact"/>
        <w:ind w:left="135" w:right="128"/>
        <w:jc w:val="left"/>
      </w:pPr>
      <w:r>
        <w:rPr/>
        <w:t>为基数，用上市溢价发行股票产生的资本公积向全体股东每</w:t>
      </w:r>
      <w:r>
        <w:rPr>
          <w:spacing w:val="-60"/>
        </w:rPr>
        <w:t> </w:t>
      </w:r>
      <w:r>
        <w:rPr>
          <w:rFonts w:ascii="宋体" w:hAnsi="宋体" w:cs="宋体" w:eastAsia="宋体" w:hint="default"/>
        </w:rPr>
        <w:t>10</w:t>
      </w:r>
      <w:r>
        <w:rPr>
          <w:rFonts w:ascii="宋体" w:hAnsi="宋体" w:cs="宋体" w:eastAsia="宋体" w:hint="default"/>
          <w:spacing w:val="-60"/>
        </w:rPr>
        <w:t> </w:t>
      </w:r>
      <w:r>
        <w:rPr/>
        <w:t>股转增</w:t>
      </w:r>
      <w:r>
        <w:rPr>
          <w:spacing w:val="-60"/>
        </w:rPr>
        <w:t> </w:t>
      </w:r>
      <w:r>
        <w:rPr>
          <w:rFonts w:ascii="宋体" w:hAnsi="宋体" w:cs="宋体" w:eastAsia="宋体" w:hint="default"/>
        </w:rPr>
        <w:t>5</w:t>
      </w:r>
      <w:r>
        <w:rPr>
          <w:rFonts w:ascii="宋体" w:hAnsi="宋体" w:cs="宋体" w:eastAsia="宋体" w:hint="default"/>
          <w:spacing w:val="-60"/>
        </w:rPr>
        <w:t> </w:t>
      </w:r>
      <w:r>
        <w:rPr/>
        <w:t>股，共转增</w:t>
      </w:r>
    </w:p>
    <w:p>
      <w:pPr>
        <w:pStyle w:val="BodyText"/>
        <w:spacing w:line="312" w:lineRule="exact"/>
        <w:ind w:left="135" w:right="0"/>
        <w:jc w:val="left"/>
      </w:pPr>
      <w:r>
        <w:rPr>
          <w:rFonts w:ascii="宋体" w:hAnsi="宋体" w:cs="宋体" w:eastAsia="宋体" w:hint="default"/>
        </w:rPr>
        <w:t>6,110</w:t>
      </w:r>
      <w:r>
        <w:rPr>
          <w:rFonts w:ascii="宋体" w:hAnsi="宋体" w:cs="宋体" w:eastAsia="宋体" w:hint="default"/>
          <w:spacing w:val="-60"/>
        </w:rPr>
        <w:t> </w:t>
      </w:r>
      <w:r>
        <w:rPr/>
        <w:t>万股</w:t>
      </w:r>
      <w:r>
        <w:rPr>
          <w:spacing w:val="-113"/>
        </w:rPr>
        <w:t>，</w:t>
      </w:r>
      <w:r>
        <w:rPr/>
        <w:t>转增后的股本总额为</w:t>
      </w:r>
      <w:r>
        <w:rPr>
          <w:spacing w:val="-60"/>
        </w:rPr>
        <w:t> </w:t>
      </w:r>
      <w:r>
        <w:rPr>
          <w:rFonts w:ascii="宋体" w:hAnsi="宋体" w:cs="宋体" w:eastAsia="宋体" w:hint="default"/>
        </w:rPr>
        <w:t>18,330</w:t>
      </w:r>
      <w:r>
        <w:rPr>
          <w:rFonts w:ascii="宋体" w:hAnsi="宋体" w:cs="宋体" w:eastAsia="宋体" w:hint="default"/>
          <w:spacing w:val="-60"/>
        </w:rPr>
        <w:t> </w:t>
      </w:r>
      <w:r>
        <w:rPr/>
        <w:t>万股</w:t>
      </w:r>
      <w:r>
        <w:rPr>
          <w:spacing w:val="-113"/>
        </w:rPr>
        <w:t>，</w:t>
      </w:r>
      <w:r>
        <w:rPr/>
        <w:t>注册资本变更为人民币</w:t>
      </w:r>
      <w:r>
        <w:rPr>
          <w:spacing w:val="-60"/>
        </w:rPr>
        <w:t> </w:t>
      </w:r>
      <w:r>
        <w:rPr>
          <w:rFonts w:ascii="宋体" w:hAnsi="宋体" w:cs="宋体" w:eastAsia="宋体" w:hint="default"/>
        </w:rPr>
        <w:t>18,330</w:t>
      </w:r>
      <w:r>
        <w:rPr>
          <w:rFonts w:ascii="宋体" w:hAnsi="宋体" w:cs="宋体" w:eastAsia="宋体" w:hint="default"/>
          <w:spacing w:val="-60"/>
        </w:rPr>
        <w:t> </w:t>
      </w:r>
      <w:r>
        <w:rPr/>
        <w:t>万元。</w:t>
      </w:r>
    </w:p>
    <w:p>
      <w:pPr>
        <w:pStyle w:val="BodyText"/>
        <w:spacing w:line="312" w:lineRule="exact" w:before="118"/>
        <w:ind w:left="615" w:right="0"/>
        <w:jc w:val="left"/>
      </w:pPr>
      <w:r>
        <w:rPr/>
        <w:t>根据本公司</w:t>
      </w:r>
      <w:r>
        <w:rPr>
          <w:spacing w:val="-69"/>
        </w:rPr>
        <w:t> </w:t>
      </w:r>
      <w:r>
        <w:rPr>
          <w:rFonts w:ascii="宋体" w:hAnsi="宋体" w:cs="宋体" w:eastAsia="宋体" w:hint="default"/>
        </w:rPr>
        <w:t>2006</w:t>
      </w:r>
      <w:r>
        <w:rPr>
          <w:rFonts w:ascii="宋体" w:hAnsi="宋体" w:cs="宋体" w:eastAsia="宋体" w:hint="default"/>
          <w:spacing w:val="-69"/>
        </w:rPr>
        <w:t> </w:t>
      </w:r>
      <w:r>
        <w:rPr/>
        <w:t>年</w:t>
      </w:r>
      <w:r>
        <w:rPr>
          <w:spacing w:val="-70"/>
        </w:rPr>
        <w:t> </w:t>
      </w:r>
      <w:r>
        <w:rPr>
          <w:rFonts w:ascii="宋体" w:hAnsi="宋体" w:cs="宋体" w:eastAsia="宋体" w:hint="default"/>
        </w:rPr>
        <w:t>5</w:t>
      </w:r>
      <w:r>
        <w:rPr>
          <w:rFonts w:ascii="宋体" w:hAnsi="宋体" w:cs="宋体" w:eastAsia="宋体" w:hint="default"/>
          <w:spacing w:val="-69"/>
        </w:rPr>
        <w:t> </w:t>
      </w:r>
      <w:r>
        <w:rPr/>
        <w:t>月</w:t>
      </w:r>
      <w:r>
        <w:rPr>
          <w:spacing w:val="-69"/>
        </w:rPr>
        <w:t> </w:t>
      </w:r>
      <w:r>
        <w:rPr>
          <w:rFonts w:ascii="宋体" w:hAnsi="宋体" w:cs="宋体" w:eastAsia="宋体" w:hint="default"/>
        </w:rPr>
        <w:t>11</w:t>
      </w:r>
      <w:r>
        <w:rPr>
          <w:rFonts w:ascii="宋体" w:hAnsi="宋体" w:cs="宋体" w:eastAsia="宋体" w:hint="default"/>
          <w:spacing w:val="-68"/>
        </w:rPr>
        <w:t> </w:t>
      </w:r>
      <w:r>
        <w:rPr/>
        <w:t>日召开的北京华胜天成科技股份有限公司股权分置改</w:t>
      </w:r>
    </w:p>
    <w:p>
      <w:pPr>
        <w:pStyle w:val="BodyText"/>
        <w:spacing w:line="311" w:lineRule="exact"/>
        <w:ind w:left="135" w:right="0"/>
        <w:jc w:val="left"/>
      </w:pPr>
      <w:r>
        <w:rPr/>
        <w:t>革相关股东会审议通过并于</w:t>
      </w:r>
      <w:r>
        <w:rPr>
          <w:spacing w:val="-59"/>
        </w:rPr>
        <w:t> </w:t>
      </w:r>
      <w:r>
        <w:rPr>
          <w:rFonts w:ascii="宋体" w:hAnsi="宋体" w:cs="宋体" w:eastAsia="宋体" w:hint="default"/>
        </w:rPr>
        <w:t>2006</w:t>
      </w:r>
      <w:r>
        <w:rPr>
          <w:rFonts w:ascii="宋体" w:hAnsi="宋体" w:cs="宋体" w:eastAsia="宋体" w:hint="default"/>
          <w:spacing w:val="-59"/>
        </w:rPr>
        <w:t> </w:t>
      </w:r>
      <w:r>
        <w:rPr/>
        <w:t>年</w:t>
      </w:r>
      <w:r>
        <w:rPr>
          <w:spacing w:val="-59"/>
        </w:rPr>
        <w:t> </w:t>
      </w:r>
      <w:r>
        <w:rPr>
          <w:rFonts w:ascii="宋体" w:hAnsi="宋体" w:cs="宋体" w:eastAsia="宋体" w:hint="default"/>
        </w:rPr>
        <w:t>5</w:t>
      </w:r>
      <w:r>
        <w:rPr>
          <w:rFonts w:ascii="宋体" w:hAnsi="宋体" w:cs="宋体" w:eastAsia="宋体" w:hint="default"/>
          <w:spacing w:val="-59"/>
        </w:rPr>
        <w:t> </w:t>
      </w:r>
      <w:r>
        <w:rPr/>
        <w:t>月</w:t>
      </w:r>
      <w:r>
        <w:rPr>
          <w:spacing w:val="-59"/>
        </w:rPr>
        <w:t> </w:t>
      </w:r>
      <w:r>
        <w:rPr>
          <w:rFonts w:ascii="宋体" w:hAnsi="宋体" w:cs="宋体" w:eastAsia="宋体" w:hint="default"/>
        </w:rPr>
        <w:t>17</w:t>
      </w:r>
      <w:r>
        <w:rPr>
          <w:rFonts w:ascii="宋体" w:hAnsi="宋体" w:cs="宋体" w:eastAsia="宋体" w:hint="default"/>
          <w:spacing w:val="-59"/>
        </w:rPr>
        <w:t> </w:t>
      </w:r>
      <w:r>
        <w:rPr>
          <w:spacing w:val="-3"/>
        </w:rPr>
        <w:t>日实施的《股权分置改革方案》，本公司</w:t>
      </w:r>
    </w:p>
    <w:p>
      <w:pPr>
        <w:pStyle w:val="BodyText"/>
        <w:spacing w:line="237" w:lineRule="auto" w:before="1"/>
        <w:ind w:left="135" w:right="118"/>
        <w:jc w:val="left"/>
      </w:pPr>
      <w:r>
        <w:rPr/>
        <w:t>非流通股股东按每</w:t>
      </w:r>
      <w:r>
        <w:rPr>
          <w:spacing w:val="-60"/>
        </w:rPr>
        <w:t> </w:t>
      </w:r>
      <w:r>
        <w:rPr>
          <w:rFonts w:ascii="宋体" w:hAnsi="宋体" w:cs="宋体" w:eastAsia="宋体" w:hint="default"/>
        </w:rPr>
        <w:t>10</w:t>
      </w:r>
      <w:r>
        <w:rPr>
          <w:rFonts w:ascii="宋体" w:hAnsi="宋体" w:cs="宋体" w:eastAsia="宋体" w:hint="default"/>
          <w:spacing w:val="-60"/>
        </w:rPr>
        <w:t> </w:t>
      </w:r>
      <w:r>
        <w:rPr/>
        <w:t>股支付</w:t>
      </w:r>
      <w:r>
        <w:rPr>
          <w:spacing w:val="-60"/>
        </w:rPr>
        <w:t> </w:t>
      </w:r>
      <w:r>
        <w:rPr>
          <w:rFonts w:ascii="宋体" w:hAnsi="宋体" w:cs="宋体" w:eastAsia="宋体" w:hint="default"/>
        </w:rPr>
        <w:t>2.8</w:t>
      </w:r>
      <w:r>
        <w:rPr>
          <w:rFonts w:ascii="宋体" w:hAnsi="宋体" w:cs="宋体" w:eastAsia="宋体" w:hint="default"/>
          <w:spacing w:val="-60"/>
        </w:rPr>
        <w:t> </w:t>
      </w:r>
      <w:r>
        <w:rPr/>
        <w:t>股对价股份给流通股股东，以换取其所持有的其余 </w:t>
      </w:r>
      <w:r>
        <w:rPr>
          <w:spacing w:val="-2"/>
        </w:rPr>
        <w:t>非流通股股份获得上市流通权。本次股权分置方案实施后，本公司总股本不变，仍为</w:t>
      </w:r>
      <w:r>
        <w:rPr>
          <w:spacing w:val="-95"/>
        </w:rPr>
        <w:t> </w:t>
      </w:r>
      <w:r>
        <w:rPr>
          <w:spacing w:val="-95"/>
        </w:rPr>
      </w:r>
      <w:r>
        <w:rPr>
          <w:rFonts w:ascii="宋体" w:hAnsi="宋体" w:cs="宋体" w:eastAsia="宋体" w:hint="default"/>
        </w:rPr>
        <w:t>18,330</w:t>
      </w:r>
      <w:r>
        <w:rPr>
          <w:rFonts w:ascii="宋体" w:hAnsi="宋体" w:cs="宋体" w:eastAsia="宋体" w:hint="default"/>
          <w:spacing w:val="-59"/>
        </w:rPr>
        <w:t> </w:t>
      </w:r>
      <w:r>
        <w:rPr>
          <w:spacing w:val="-3"/>
        </w:rPr>
        <w:t>万股，所有股份均为流通股，其中无限售条件的流通股为</w:t>
      </w:r>
      <w:r>
        <w:rPr>
          <w:spacing w:val="-59"/>
        </w:rPr>
        <w:t> </w:t>
      </w:r>
      <w:r>
        <w:rPr>
          <w:rFonts w:ascii="宋体" w:hAnsi="宋体" w:cs="宋体" w:eastAsia="宋体" w:hint="default"/>
        </w:rPr>
        <w:t>5,990.4</w:t>
      </w:r>
      <w:r>
        <w:rPr>
          <w:rFonts w:ascii="宋体" w:hAnsi="宋体" w:cs="宋体" w:eastAsia="宋体" w:hint="default"/>
          <w:spacing w:val="-59"/>
        </w:rPr>
        <w:t> </w:t>
      </w:r>
      <w:r>
        <w:rPr>
          <w:spacing w:val="-7"/>
        </w:rPr>
        <w:t>万股，占本</w:t>
      </w:r>
      <w:r>
        <w:rPr/>
        <w:t> 公司总股本的</w:t>
      </w:r>
      <w:r>
        <w:rPr>
          <w:spacing w:val="-60"/>
        </w:rPr>
        <w:t> </w:t>
      </w:r>
      <w:r>
        <w:rPr>
          <w:rFonts w:ascii="宋体" w:hAnsi="宋体" w:cs="宋体" w:eastAsia="宋体" w:hint="default"/>
        </w:rPr>
        <w:t>32.68%</w:t>
      </w:r>
      <w:r>
        <w:rPr/>
        <w:t>；有限售条件的流通股为</w:t>
      </w:r>
      <w:r>
        <w:rPr>
          <w:spacing w:val="-60"/>
        </w:rPr>
        <w:t> </w:t>
      </w:r>
      <w:r>
        <w:rPr>
          <w:rFonts w:ascii="宋体" w:hAnsi="宋体" w:cs="宋体" w:eastAsia="宋体" w:hint="default"/>
        </w:rPr>
        <w:t>12,339.6</w:t>
      </w:r>
      <w:r>
        <w:rPr>
          <w:rFonts w:ascii="宋体" w:hAnsi="宋体" w:cs="宋体" w:eastAsia="宋体" w:hint="default"/>
          <w:spacing w:val="-60"/>
        </w:rPr>
        <w:t> </w:t>
      </w:r>
      <w:r>
        <w:rPr/>
        <w:t>万股，占本公司总股本的 </w:t>
      </w:r>
      <w:r>
        <w:rPr>
          <w:rFonts w:ascii="宋体" w:hAnsi="宋体" w:cs="宋体" w:eastAsia="宋体" w:hint="default"/>
        </w:rPr>
        <w:t>67.32%</w:t>
      </w:r>
      <w:r>
        <w:rPr/>
        <w:t>。</w:t>
      </w:r>
    </w:p>
    <w:p>
      <w:pPr>
        <w:pStyle w:val="BodyText"/>
        <w:spacing w:line="313" w:lineRule="exact" w:before="117"/>
        <w:ind w:left="615" w:right="128"/>
        <w:jc w:val="left"/>
      </w:pPr>
      <w:r>
        <w:rPr/>
        <w:t>根据本公司</w:t>
      </w:r>
      <w:r>
        <w:rPr>
          <w:spacing w:val="-60"/>
        </w:rPr>
        <w:t> </w:t>
      </w:r>
      <w:r>
        <w:rPr>
          <w:rFonts w:ascii="宋体" w:hAnsi="宋体" w:cs="宋体" w:eastAsia="宋体" w:hint="default"/>
        </w:rPr>
        <w:t>2006</w:t>
      </w:r>
      <w:r>
        <w:rPr>
          <w:rFonts w:ascii="宋体" w:hAnsi="宋体" w:cs="宋体" w:eastAsia="宋体" w:hint="default"/>
          <w:spacing w:val="-60"/>
        </w:rPr>
        <w:t> </w:t>
      </w:r>
      <w:r>
        <w:rPr/>
        <w:t>年年度股东大会决议，本公司以</w:t>
      </w:r>
      <w:r>
        <w:rPr>
          <w:spacing w:val="-60"/>
        </w:rPr>
        <w:t> </w:t>
      </w:r>
      <w:r>
        <w:rPr>
          <w:rFonts w:ascii="宋体" w:hAnsi="宋体" w:cs="宋体" w:eastAsia="宋体" w:hint="default"/>
        </w:rPr>
        <w:t>2006</w:t>
      </w:r>
      <w:r>
        <w:rPr>
          <w:rFonts w:ascii="宋体" w:hAnsi="宋体" w:cs="宋体" w:eastAsia="宋体" w:hint="default"/>
          <w:spacing w:val="-60"/>
        </w:rPr>
        <w:t> </w:t>
      </w:r>
      <w:r>
        <w:rPr/>
        <w:t>年末总股本</w:t>
      </w:r>
      <w:r>
        <w:rPr>
          <w:spacing w:val="-60"/>
        </w:rPr>
        <w:t> </w:t>
      </w:r>
      <w:r>
        <w:rPr>
          <w:rFonts w:ascii="宋体" w:hAnsi="宋体" w:cs="宋体" w:eastAsia="宋体" w:hint="default"/>
        </w:rPr>
        <w:t>18,330</w:t>
      </w:r>
      <w:r>
        <w:rPr>
          <w:rFonts w:ascii="宋体" w:hAnsi="宋体" w:cs="宋体" w:eastAsia="宋体" w:hint="default"/>
          <w:spacing w:val="-60"/>
        </w:rPr>
        <w:t> </w:t>
      </w:r>
      <w:r>
        <w:rPr/>
        <w:t>万股</w:t>
      </w:r>
    </w:p>
    <w:p>
      <w:pPr>
        <w:pStyle w:val="BodyText"/>
        <w:spacing w:line="311" w:lineRule="exact"/>
        <w:ind w:left="135" w:right="128"/>
        <w:jc w:val="left"/>
      </w:pPr>
      <w:r>
        <w:rPr/>
        <w:t>为基数，用上市溢价发行股票产生的资本公积向全体股东每</w:t>
      </w:r>
      <w:r>
        <w:rPr>
          <w:spacing w:val="-60"/>
        </w:rPr>
        <w:t> </w:t>
      </w:r>
      <w:r>
        <w:rPr>
          <w:rFonts w:ascii="宋体" w:hAnsi="宋体" w:cs="宋体" w:eastAsia="宋体" w:hint="default"/>
        </w:rPr>
        <w:t>10</w:t>
      </w:r>
      <w:r>
        <w:rPr>
          <w:rFonts w:ascii="宋体" w:hAnsi="宋体" w:cs="宋体" w:eastAsia="宋体" w:hint="default"/>
          <w:spacing w:val="-60"/>
        </w:rPr>
        <w:t> </w:t>
      </w:r>
      <w:r>
        <w:rPr/>
        <w:t>股转增</w:t>
      </w:r>
      <w:r>
        <w:rPr>
          <w:spacing w:val="-60"/>
        </w:rPr>
        <w:t> </w:t>
      </w:r>
      <w:r>
        <w:rPr>
          <w:rFonts w:ascii="宋体" w:hAnsi="宋体" w:cs="宋体" w:eastAsia="宋体" w:hint="default"/>
        </w:rPr>
        <w:t>8</w:t>
      </w:r>
      <w:r>
        <w:rPr>
          <w:rFonts w:ascii="宋体" w:hAnsi="宋体" w:cs="宋体" w:eastAsia="宋体" w:hint="default"/>
          <w:spacing w:val="-60"/>
        </w:rPr>
        <w:t> </w:t>
      </w:r>
      <w:r>
        <w:rPr/>
        <w:t>股，共转增</w:t>
      </w:r>
    </w:p>
    <w:p>
      <w:pPr>
        <w:pStyle w:val="BodyText"/>
        <w:spacing w:line="311" w:lineRule="exact"/>
        <w:ind w:left="135" w:right="0"/>
        <w:jc w:val="left"/>
      </w:pPr>
      <w:r>
        <w:rPr>
          <w:rFonts w:ascii="宋体" w:hAnsi="宋体" w:cs="宋体" w:eastAsia="宋体" w:hint="default"/>
        </w:rPr>
        <w:t>14,664</w:t>
      </w:r>
      <w:r>
        <w:rPr>
          <w:rFonts w:ascii="宋体" w:hAnsi="宋体" w:cs="宋体" w:eastAsia="宋体" w:hint="default"/>
          <w:spacing w:val="-82"/>
        </w:rPr>
        <w:t> </w:t>
      </w:r>
      <w:r>
        <w:rPr/>
        <w:t>万股</w:t>
      </w:r>
      <w:r>
        <w:rPr>
          <w:spacing w:val="-120"/>
        </w:rPr>
        <w:t>，</w:t>
      </w:r>
      <w:r>
        <w:rPr/>
        <w:t>转增后的股本总额为</w:t>
      </w:r>
      <w:r>
        <w:rPr>
          <w:spacing w:val="-82"/>
        </w:rPr>
        <w:t> </w:t>
      </w:r>
      <w:r>
        <w:rPr>
          <w:rFonts w:ascii="宋体" w:hAnsi="宋体" w:cs="宋体" w:eastAsia="宋体" w:hint="default"/>
        </w:rPr>
        <w:t>32,994</w:t>
      </w:r>
      <w:r>
        <w:rPr>
          <w:rFonts w:ascii="宋体" w:hAnsi="宋体" w:cs="宋体" w:eastAsia="宋体" w:hint="default"/>
          <w:spacing w:val="-81"/>
        </w:rPr>
        <w:t> </w:t>
      </w:r>
      <w:r>
        <w:rPr/>
        <w:t>万股</w:t>
      </w:r>
      <w:r>
        <w:rPr>
          <w:spacing w:val="-120"/>
        </w:rPr>
        <w:t>，</w:t>
      </w:r>
      <w:r>
        <w:rPr/>
        <w:t>注册资本变更为人民币</w:t>
      </w:r>
      <w:r>
        <w:rPr>
          <w:spacing w:val="-82"/>
        </w:rPr>
        <w:t> </w:t>
      </w:r>
      <w:r>
        <w:rPr>
          <w:rFonts w:ascii="宋体" w:hAnsi="宋体" w:cs="宋体" w:eastAsia="宋体" w:hint="default"/>
        </w:rPr>
        <w:t>32,994</w:t>
      </w:r>
      <w:r>
        <w:rPr>
          <w:rFonts w:ascii="宋体" w:hAnsi="宋体" w:cs="宋体" w:eastAsia="宋体" w:hint="default"/>
          <w:spacing w:val="-81"/>
        </w:rPr>
        <w:t> </w:t>
      </w:r>
      <w:r>
        <w:rPr/>
        <w:t>万元。</w:t>
      </w:r>
    </w:p>
    <w:p>
      <w:pPr>
        <w:pStyle w:val="BodyText"/>
        <w:spacing w:line="237" w:lineRule="auto" w:before="1"/>
        <w:ind w:left="135" w:right="134"/>
        <w:jc w:val="both"/>
      </w:pPr>
      <w:r>
        <w:rPr/>
        <w:t>本次增资后，本公司总股本变更为</w:t>
      </w:r>
      <w:r>
        <w:rPr>
          <w:spacing w:val="-60"/>
        </w:rPr>
        <w:t> </w:t>
      </w:r>
      <w:r>
        <w:rPr>
          <w:rFonts w:ascii="宋体" w:hAnsi="宋体" w:cs="宋体" w:eastAsia="宋体" w:hint="default"/>
        </w:rPr>
        <w:t>32,994</w:t>
      </w:r>
      <w:r>
        <w:rPr>
          <w:rFonts w:ascii="宋体" w:hAnsi="宋体" w:cs="宋体" w:eastAsia="宋体" w:hint="default"/>
          <w:spacing w:val="-60"/>
        </w:rPr>
        <w:t> </w:t>
      </w:r>
      <w:r>
        <w:rPr/>
        <w:t>万股，所有股份均为流通股，其中无限售 条件的流通股为</w:t>
      </w:r>
      <w:r>
        <w:rPr>
          <w:spacing w:val="-55"/>
        </w:rPr>
        <w:t> </w:t>
      </w:r>
      <w:r>
        <w:rPr>
          <w:rFonts w:ascii="宋体" w:hAnsi="宋体" w:cs="宋体" w:eastAsia="宋体" w:hint="default"/>
        </w:rPr>
        <w:t>10,782.72</w:t>
      </w:r>
      <w:r>
        <w:rPr>
          <w:rFonts w:ascii="宋体" w:hAnsi="宋体" w:cs="宋体" w:eastAsia="宋体" w:hint="default"/>
          <w:spacing w:val="-55"/>
        </w:rPr>
        <w:t> </w:t>
      </w:r>
      <w:r>
        <w:rPr>
          <w:spacing w:val="-5"/>
        </w:rPr>
        <w:t>万股，占本公司总股本的</w:t>
      </w:r>
      <w:r>
        <w:rPr>
          <w:spacing w:val="-55"/>
        </w:rPr>
        <w:t> </w:t>
      </w:r>
      <w:r>
        <w:rPr>
          <w:rFonts w:ascii="宋体" w:hAnsi="宋体" w:cs="宋体" w:eastAsia="宋体" w:hint="default"/>
          <w:spacing w:val="-4"/>
        </w:rPr>
        <w:t>32.68%</w:t>
      </w:r>
      <w:r>
        <w:rPr>
          <w:spacing w:val="-4"/>
        </w:rPr>
        <w:t>；有限售条件的流通股为</w:t>
      </w:r>
      <w:r>
        <w:rPr/>
        <w:t> </w:t>
      </w:r>
      <w:r>
        <w:rPr>
          <w:rFonts w:ascii="宋体" w:hAnsi="宋体" w:cs="宋体" w:eastAsia="宋体" w:hint="default"/>
        </w:rPr>
        <w:t>22,211.28</w:t>
      </w:r>
      <w:r>
        <w:rPr>
          <w:rFonts w:ascii="宋体" w:hAnsi="宋体" w:cs="宋体" w:eastAsia="宋体" w:hint="default"/>
          <w:spacing w:val="-60"/>
        </w:rPr>
        <w:t> </w:t>
      </w:r>
      <w:r>
        <w:rPr/>
        <w:t>万股，占本公司总股本的</w:t>
      </w:r>
      <w:r>
        <w:rPr>
          <w:spacing w:val="-60"/>
        </w:rPr>
        <w:t> </w:t>
      </w:r>
      <w:r>
        <w:rPr>
          <w:rFonts w:ascii="宋体" w:hAnsi="宋体" w:cs="宋体" w:eastAsia="宋体" w:hint="default"/>
        </w:rPr>
        <w:t>67.32%</w:t>
      </w:r>
      <w:r>
        <w:rPr/>
        <w:t>。</w:t>
      </w:r>
    </w:p>
    <w:p>
      <w:pPr>
        <w:pStyle w:val="BodyText"/>
        <w:spacing w:line="237" w:lineRule="auto" w:before="120"/>
        <w:ind w:left="135" w:right="148" w:firstLine="480"/>
        <w:jc w:val="both"/>
      </w:pPr>
      <w:r>
        <w:rPr/>
        <w:t>根据本公司</w:t>
      </w:r>
      <w:r>
        <w:rPr>
          <w:spacing w:val="-60"/>
        </w:rPr>
        <w:t> </w:t>
      </w:r>
      <w:r>
        <w:rPr>
          <w:rFonts w:ascii="宋体" w:hAnsi="宋体" w:cs="宋体" w:eastAsia="宋体" w:hint="default"/>
        </w:rPr>
        <w:t>2007</w:t>
      </w:r>
      <w:r>
        <w:rPr>
          <w:rFonts w:ascii="宋体" w:hAnsi="宋体" w:cs="宋体" w:eastAsia="宋体" w:hint="default"/>
          <w:spacing w:val="-60"/>
        </w:rPr>
        <w:t> </w:t>
      </w:r>
      <w:r>
        <w:rPr/>
        <w:t>年第一次临时股东大会决议，并经中国证券监督管理委员会下 发的证监发行字</w:t>
      </w:r>
      <w:r>
        <w:rPr>
          <w:rFonts w:ascii="宋体" w:hAnsi="宋体" w:cs="宋体" w:eastAsia="宋体" w:hint="default"/>
        </w:rPr>
        <w:t>[2007]218</w:t>
      </w:r>
      <w:r>
        <w:rPr>
          <w:rFonts w:ascii="宋体" w:hAnsi="宋体" w:cs="宋体" w:eastAsia="宋体" w:hint="default"/>
          <w:spacing w:val="-60"/>
        </w:rPr>
        <w:t> </w:t>
      </w:r>
      <w:r>
        <w:rPr/>
        <w:t>号《关于核准北京华胜天成科技股份有限公司非公开发行 股票的通知》的批准，本公司非公开发行股票</w:t>
      </w:r>
      <w:r>
        <w:rPr>
          <w:spacing w:val="-60"/>
        </w:rPr>
        <w:t> </w:t>
      </w:r>
      <w:r>
        <w:rPr>
          <w:rFonts w:ascii="宋体" w:hAnsi="宋体" w:cs="宋体" w:eastAsia="宋体" w:hint="default"/>
        </w:rPr>
        <w:t>1,931.43</w:t>
      </w:r>
      <w:r>
        <w:rPr>
          <w:rFonts w:ascii="宋体" w:hAnsi="宋体" w:cs="宋体" w:eastAsia="宋体" w:hint="default"/>
          <w:spacing w:val="-60"/>
        </w:rPr>
        <w:t> </w:t>
      </w:r>
      <w:r>
        <w:rPr/>
        <w:t>万股，增发后的股本总额为</w:t>
      </w:r>
    </w:p>
    <w:p>
      <w:pPr>
        <w:pStyle w:val="BodyText"/>
        <w:spacing w:line="311" w:lineRule="exact"/>
        <w:ind w:left="135" w:right="0"/>
        <w:jc w:val="left"/>
      </w:pPr>
      <w:r>
        <w:rPr>
          <w:rFonts w:ascii="宋体" w:hAnsi="宋体" w:cs="宋体" w:eastAsia="宋体" w:hint="default"/>
        </w:rPr>
        <w:t>34,925.43</w:t>
      </w:r>
      <w:r>
        <w:rPr>
          <w:rFonts w:ascii="宋体" w:hAnsi="宋体" w:cs="宋体" w:eastAsia="宋体" w:hint="default"/>
          <w:spacing w:val="-60"/>
        </w:rPr>
        <w:t> </w:t>
      </w:r>
      <w:r>
        <w:rPr/>
        <w:t>万股，注册资本变更为人民币</w:t>
      </w:r>
      <w:r>
        <w:rPr>
          <w:spacing w:val="-60"/>
        </w:rPr>
        <w:t> </w:t>
      </w:r>
      <w:r>
        <w:rPr>
          <w:rFonts w:ascii="宋体" w:hAnsi="宋体" w:cs="宋体" w:eastAsia="宋体" w:hint="default"/>
        </w:rPr>
        <w:t>34,925.43</w:t>
      </w:r>
      <w:r>
        <w:rPr>
          <w:rFonts w:ascii="宋体" w:hAnsi="宋体" w:cs="宋体" w:eastAsia="宋体" w:hint="default"/>
          <w:spacing w:val="-60"/>
        </w:rPr>
        <w:t> </w:t>
      </w:r>
      <w:r>
        <w:rPr/>
        <w:t>万元。本次增资后，本公司总股</w:t>
      </w:r>
    </w:p>
    <w:p>
      <w:pPr>
        <w:pStyle w:val="BodyText"/>
        <w:spacing w:line="311" w:lineRule="exact"/>
        <w:ind w:left="135" w:right="128"/>
        <w:jc w:val="left"/>
      </w:pPr>
      <w:r>
        <w:rPr/>
        <w:t>本变更为</w:t>
      </w:r>
      <w:r>
        <w:rPr>
          <w:spacing w:val="-60"/>
        </w:rPr>
        <w:t> </w:t>
      </w:r>
      <w:r>
        <w:rPr>
          <w:rFonts w:ascii="宋体" w:hAnsi="宋体" w:cs="宋体" w:eastAsia="宋体" w:hint="default"/>
        </w:rPr>
        <w:t>34,925.43</w:t>
      </w:r>
      <w:r>
        <w:rPr>
          <w:rFonts w:ascii="宋体" w:hAnsi="宋体" w:cs="宋体" w:eastAsia="宋体" w:hint="default"/>
          <w:spacing w:val="-60"/>
        </w:rPr>
        <w:t> </w:t>
      </w:r>
      <w:r>
        <w:rPr/>
        <w:t>万股，所有股份均为流通股，其中无限集条件的流通股为</w:t>
      </w:r>
    </w:p>
    <w:p>
      <w:pPr>
        <w:pStyle w:val="BodyText"/>
        <w:spacing w:line="312" w:lineRule="exact" w:before="29"/>
        <w:ind w:left="135" w:right="116"/>
        <w:jc w:val="left"/>
      </w:pPr>
      <w:r>
        <w:rPr>
          <w:rFonts w:ascii="宋体" w:hAnsi="宋体" w:cs="宋体" w:eastAsia="宋体" w:hint="default"/>
        </w:rPr>
        <w:t>10,782.72</w:t>
      </w:r>
      <w:r>
        <w:rPr>
          <w:rFonts w:ascii="宋体" w:hAnsi="宋体" w:cs="宋体" w:eastAsia="宋体" w:hint="default"/>
          <w:spacing w:val="-67"/>
        </w:rPr>
        <w:t> </w:t>
      </w:r>
      <w:r>
        <w:rPr>
          <w:spacing w:val="-11"/>
        </w:rPr>
        <w:t>万股，占本公司总股本的</w:t>
      </w:r>
      <w:r>
        <w:rPr>
          <w:spacing w:val="-67"/>
        </w:rPr>
        <w:t> </w:t>
      </w:r>
      <w:r>
        <w:rPr>
          <w:rFonts w:ascii="宋体" w:hAnsi="宋体" w:cs="宋体" w:eastAsia="宋体" w:hint="default"/>
          <w:spacing w:val="-8"/>
        </w:rPr>
        <w:t>30.87%</w:t>
      </w:r>
      <w:r>
        <w:rPr>
          <w:spacing w:val="-8"/>
        </w:rPr>
        <w:t>；有限售条件的流通股为</w:t>
      </w:r>
      <w:r>
        <w:rPr>
          <w:spacing w:val="-67"/>
        </w:rPr>
        <w:t> </w:t>
      </w:r>
      <w:r>
        <w:rPr>
          <w:rFonts w:ascii="宋体" w:hAnsi="宋体" w:cs="宋体" w:eastAsia="宋体" w:hint="default"/>
        </w:rPr>
        <w:t>24,142.71</w:t>
      </w:r>
      <w:r>
        <w:rPr>
          <w:rFonts w:ascii="宋体" w:hAnsi="宋体" w:cs="宋体" w:eastAsia="宋体" w:hint="default"/>
          <w:spacing w:val="-67"/>
        </w:rPr>
        <w:t> </w:t>
      </w:r>
      <w:r>
        <w:rPr/>
        <w:t>万股， 占本公司总股本的</w:t>
      </w:r>
      <w:r>
        <w:rPr>
          <w:spacing w:val="-60"/>
        </w:rPr>
        <w:t> </w:t>
      </w:r>
      <w:r>
        <w:rPr>
          <w:rFonts w:ascii="宋体" w:hAnsi="宋体" w:cs="宋体" w:eastAsia="宋体" w:hint="default"/>
        </w:rPr>
        <w:t>69.13%</w:t>
      </w:r>
      <w:r>
        <w:rPr/>
        <w:t>。</w:t>
      </w:r>
    </w:p>
    <w:p>
      <w:pPr>
        <w:pStyle w:val="BodyText"/>
        <w:spacing w:line="312" w:lineRule="exact" w:before="88"/>
        <w:ind w:left="618" w:right="0"/>
        <w:jc w:val="left"/>
      </w:pPr>
      <w:r>
        <w:rPr/>
        <w:t>根据本公司</w:t>
      </w:r>
      <w:r>
        <w:rPr>
          <w:spacing w:val="-59"/>
        </w:rPr>
        <w:t> </w:t>
      </w:r>
      <w:r>
        <w:rPr>
          <w:rFonts w:ascii="宋体" w:hAnsi="宋体" w:cs="宋体" w:eastAsia="宋体" w:hint="default"/>
        </w:rPr>
        <w:t>2007</w:t>
      </w:r>
      <w:r>
        <w:rPr>
          <w:rFonts w:ascii="宋体" w:hAnsi="宋体" w:cs="宋体" w:eastAsia="宋体" w:hint="default"/>
          <w:spacing w:val="-59"/>
        </w:rPr>
        <w:t> </w:t>
      </w:r>
      <w:r>
        <w:rPr>
          <w:spacing w:val="-4"/>
        </w:rPr>
        <w:t>年年度股东大会决议，本公司以</w:t>
      </w:r>
      <w:r>
        <w:rPr>
          <w:spacing w:val="-59"/>
        </w:rPr>
        <w:t> </w:t>
      </w:r>
      <w:r>
        <w:rPr>
          <w:rFonts w:ascii="宋体" w:hAnsi="宋体" w:cs="宋体" w:eastAsia="宋体" w:hint="default"/>
        </w:rPr>
        <w:t>2007</w:t>
      </w:r>
      <w:r>
        <w:rPr>
          <w:rFonts w:ascii="宋体" w:hAnsi="宋体" w:cs="宋体" w:eastAsia="宋体" w:hint="default"/>
          <w:spacing w:val="-59"/>
        </w:rPr>
        <w:t> </w:t>
      </w:r>
      <w:r>
        <w:rPr/>
        <w:t>年末总股本</w:t>
      </w:r>
      <w:r>
        <w:rPr>
          <w:spacing w:val="-59"/>
        </w:rPr>
        <w:t> </w:t>
      </w:r>
      <w:r>
        <w:rPr>
          <w:rFonts w:ascii="宋体" w:hAnsi="宋体" w:cs="宋体" w:eastAsia="宋体" w:hint="default"/>
        </w:rPr>
        <w:t>34,925.43</w:t>
      </w:r>
      <w:r>
        <w:rPr>
          <w:rFonts w:ascii="宋体" w:hAnsi="宋体" w:cs="宋体" w:eastAsia="宋体" w:hint="default"/>
          <w:spacing w:val="-59"/>
        </w:rPr>
        <w:t> </w:t>
      </w:r>
      <w:r>
        <w:rPr/>
        <w:t>万</w:t>
      </w:r>
    </w:p>
    <w:p>
      <w:pPr>
        <w:pStyle w:val="BodyText"/>
        <w:spacing w:line="312" w:lineRule="exact"/>
        <w:ind w:right="128"/>
        <w:jc w:val="left"/>
      </w:pPr>
      <w:r>
        <w:rPr/>
        <w:t>股为基数，用溢价发行股票产生的资本公积向全体股东每</w:t>
      </w:r>
      <w:r>
        <w:rPr>
          <w:spacing w:val="-60"/>
        </w:rPr>
        <w:t> </w:t>
      </w:r>
      <w:r>
        <w:rPr>
          <w:rFonts w:ascii="宋体" w:hAnsi="宋体" w:cs="宋体" w:eastAsia="宋体" w:hint="default"/>
        </w:rPr>
        <w:t>10</w:t>
      </w:r>
      <w:r>
        <w:rPr>
          <w:rFonts w:ascii="宋体" w:hAnsi="宋体" w:cs="宋体" w:eastAsia="宋体" w:hint="default"/>
          <w:spacing w:val="-60"/>
        </w:rPr>
        <w:t> </w:t>
      </w:r>
      <w:r>
        <w:rPr/>
        <w:t>股转增</w:t>
      </w:r>
      <w:r>
        <w:rPr>
          <w:spacing w:val="-60"/>
        </w:rPr>
        <w:t> </w:t>
      </w:r>
      <w:r>
        <w:rPr>
          <w:rFonts w:ascii="宋体" w:hAnsi="宋体" w:cs="宋体" w:eastAsia="宋体" w:hint="default"/>
        </w:rPr>
        <w:t>2</w:t>
      </w:r>
      <w:r>
        <w:rPr>
          <w:rFonts w:ascii="宋体" w:hAnsi="宋体" w:cs="宋体" w:eastAsia="宋体" w:hint="default"/>
          <w:spacing w:val="-60"/>
        </w:rPr>
        <w:t> </w:t>
      </w:r>
      <w:r>
        <w:rPr/>
        <w:t>股，共转增</w:t>
      </w:r>
    </w:p>
    <w:p>
      <w:pPr>
        <w:pStyle w:val="BodyText"/>
        <w:spacing w:line="312" w:lineRule="exact"/>
        <w:ind w:right="128"/>
        <w:jc w:val="left"/>
      </w:pPr>
      <w:r>
        <w:rPr>
          <w:rFonts w:ascii="宋体" w:hAnsi="宋体" w:cs="宋体" w:eastAsia="宋体" w:hint="default"/>
        </w:rPr>
        <w:t>6,985.086</w:t>
      </w:r>
      <w:r>
        <w:rPr>
          <w:rFonts w:ascii="宋体" w:hAnsi="宋体" w:cs="宋体" w:eastAsia="宋体" w:hint="default"/>
          <w:spacing w:val="-60"/>
        </w:rPr>
        <w:t> </w:t>
      </w:r>
      <w:r>
        <w:rPr/>
        <w:t>万股，转增后的股本总额为</w:t>
      </w:r>
      <w:r>
        <w:rPr>
          <w:spacing w:val="-60"/>
        </w:rPr>
        <w:t> </w:t>
      </w:r>
      <w:r>
        <w:rPr>
          <w:rFonts w:ascii="宋体" w:hAnsi="宋体" w:cs="宋体" w:eastAsia="宋体" w:hint="default"/>
        </w:rPr>
        <w:t>41,910.516</w:t>
      </w:r>
      <w:r>
        <w:rPr>
          <w:rFonts w:ascii="宋体" w:hAnsi="宋体" w:cs="宋体" w:eastAsia="宋体" w:hint="default"/>
          <w:spacing w:val="-60"/>
        </w:rPr>
        <w:t> </w:t>
      </w:r>
      <w:r>
        <w:rPr/>
        <w:t>万股，注册资本变更为人民币</w:t>
      </w:r>
    </w:p>
    <w:p>
      <w:pPr>
        <w:pStyle w:val="BodyText"/>
        <w:spacing w:line="312" w:lineRule="exact"/>
        <w:ind w:right="128"/>
        <w:jc w:val="left"/>
      </w:pPr>
      <w:r>
        <w:rPr>
          <w:rFonts w:ascii="宋体" w:hAnsi="宋体" w:cs="宋体" w:eastAsia="宋体" w:hint="default"/>
        </w:rPr>
        <w:t>41,910.516</w:t>
      </w:r>
      <w:r>
        <w:rPr>
          <w:rFonts w:ascii="宋体" w:hAnsi="宋体" w:cs="宋体" w:eastAsia="宋体" w:hint="default"/>
          <w:spacing w:val="-60"/>
        </w:rPr>
        <w:t> </w:t>
      </w:r>
      <w:r>
        <w:rPr/>
        <w:t>万元。</w:t>
      </w:r>
    </w:p>
    <w:p>
      <w:pPr>
        <w:pStyle w:val="BodyText"/>
        <w:spacing w:line="312" w:lineRule="exact" w:before="118"/>
        <w:ind w:left="618" w:right="0"/>
        <w:jc w:val="left"/>
      </w:pPr>
      <w:r>
        <w:rPr>
          <w:rFonts w:ascii="宋体" w:hAnsi="宋体" w:cs="宋体" w:eastAsia="宋体" w:hint="default"/>
        </w:rPr>
        <w:t>2008</w:t>
      </w:r>
      <w:r>
        <w:rPr>
          <w:rFonts w:ascii="宋体" w:hAnsi="宋体" w:cs="宋体" w:eastAsia="宋体" w:hint="default"/>
          <w:spacing w:val="-56"/>
        </w:rPr>
        <w:t> </w:t>
      </w:r>
      <w:r>
        <w:rPr>
          <w:spacing w:val="-4"/>
        </w:rPr>
        <w:t>年度，</w:t>
      </w:r>
      <w:r>
        <w:rPr>
          <w:rFonts w:ascii="宋体" w:hAnsi="宋体" w:cs="宋体" w:eastAsia="宋体" w:hint="default"/>
          <w:spacing w:val="-4"/>
        </w:rPr>
        <w:t>10,627.5708</w:t>
      </w:r>
      <w:r>
        <w:rPr>
          <w:rFonts w:ascii="宋体" w:hAnsi="宋体" w:cs="宋体" w:eastAsia="宋体" w:hint="default"/>
          <w:spacing w:val="-56"/>
        </w:rPr>
        <w:t> </w:t>
      </w:r>
      <w:r>
        <w:rPr/>
        <w:t>万股符合条件的有限售条件流通股转为无限售条件流通</w:t>
      </w:r>
    </w:p>
    <w:p>
      <w:pPr>
        <w:pStyle w:val="BodyText"/>
        <w:spacing w:line="312" w:lineRule="exact"/>
        <w:ind w:right="0"/>
        <w:jc w:val="left"/>
      </w:pPr>
      <w:r>
        <w:rPr>
          <w:spacing w:val="-4"/>
        </w:rPr>
        <w:t>股，截至</w:t>
      </w:r>
      <w:r>
        <w:rPr>
          <w:spacing w:val="-60"/>
        </w:rPr>
        <w:t> </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日本公司股本总额为</w:t>
      </w:r>
      <w:r>
        <w:rPr>
          <w:spacing w:val="-60"/>
        </w:rPr>
        <w:t> </w:t>
      </w:r>
      <w:r>
        <w:rPr>
          <w:rFonts w:ascii="宋体" w:hAnsi="宋体" w:cs="宋体" w:eastAsia="宋体" w:hint="default"/>
        </w:rPr>
        <w:t>41,910.516</w:t>
      </w:r>
      <w:r>
        <w:rPr>
          <w:rFonts w:ascii="宋体" w:hAnsi="宋体" w:cs="宋体" w:eastAsia="宋体" w:hint="default"/>
          <w:spacing w:val="-60"/>
        </w:rPr>
        <w:t> </w:t>
      </w:r>
      <w:r>
        <w:rPr>
          <w:spacing w:val="-3"/>
        </w:rPr>
        <w:t>万股，其中：无限售条件</w:t>
      </w:r>
    </w:p>
    <w:p>
      <w:pPr>
        <w:spacing w:after="0" w:line="312" w:lineRule="exact"/>
        <w:jc w:val="left"/>
        <w:sectPr>
          <w:pgSz w:w="11910" w:h="16840"/>
          <w:pgMar w:header="882" w:footer="1194" w:top="1120" w:bottom="1380" w:left="1660" w:right="1140"/>
        </w:sectPr>
      </w:pPr>
    </w:p>
    <w:p>
      <w:pPr>
        <w:spacing w:line="240" w:lineRule="auto" w:before="9"/>
        <w:rPr>
          <w:rFonts w:ascii="宋体" w:hAnsi="宋体" w:cs="宋体" w:eastAsia="宋体" w:hint="default"/>
          <w:sz w:val="25"/>
          <w:szCs w:val="25"/>
        </w:rPr>
      </w:pPr>
    </w:p>
    <w:p>
      <w:pPr>
        <w:pStyle w:val="BodyText"/>
        <w:spacing w:line="310" w:lineRule="exact" w:before="58"/>
        <w:ind w:right="828"/>
        <w:jc w:val="left"/>
      </w:pPr>
      <w:r>
        <w:rPr/>
        <w:t>流通股为</w:t>
      </w:r>
      <w:r>
        <w:rPr>
          <w:spacing w:val="-60"/>
        </w:rPr>
        <w:t> </w:t>
      </w:r>
      <w:r>
        <w:rPr>
          <w:rFonts w:ascii="宋体" w:hAnsi="宋体" w:cs="宋体" w:eastAsia="宋体" w:hint="default"/>
        </w:rPr>
        <w:t>23,566.8348</w:t>
      </w:r>
      <w:r>
        <w:rPr>
          <w:rFonts w:ascii="宋体" w:hAnsi="宋体" w:cs="宋体" w:eastAsia="宋体" w:hint="default"/>
          <w:spacing w:val="-60"/>
        </w:rPr>
        <w:t> </w:t>
      </w:r>
      <w:r>
        <w:rPr/>
        <w:t>万股，占本公司总股本的</w:t>
      </w:r>
      <w:r>
        <w:rPr>
          <w:spacing w:val="-60"/>
        </w:rPr>
        <w:t> </w:t>
      </w:r>
      <w:r>
        <w:rPr>
          <w:rFonts w:ascii="宋体" w:hAnsi="宋体" w:cs="宋体" w:eastAsia="宋体" w:hint="default"/>
        </w:rPr>
        <w:t>56.23%</w:t>
      </w:r>
      <w:r>
        <w:rPr/>
        <w:t>；有限售条件流通股为 </w:t>
      </w:r>
      <w:r>
        <w:rPr>
          <w:rFonts w:ascii="宋体" w:hAnsi="宋体" w:cs="宋体" w:eastAsia="宋体" w:hint="default"/>
        </w:rPr>
        <w:t>18,343.6812</w:t>
      </w:r>
      <w:r>
        <w:rPr>
          <w:rFonts w:ascii="宋体" w:hAnsi="宋体" w:cs="宋体" w:eastAsia="宋体" w:hint="default"/>
          <w:spacing w:val="-60"/>
        </w:rPr>
        <w:t> </w:t>
      </w:r>
      <w:r>
        <w:rPr/>
        <w:t>万股，占本公司总股本的</w:t>
      </w:r>
      <w:r>
        <w:rPr>
          <w:spacing w:val="-60"/>
        </w:rPr>
        <w:t> </w:t>
      </w:r>
      <w:r>
        <w:rPr>
          <w:rFonts w:ascii="宋体" w:hAnsi="宋体" w:cs="宋体" w:eastAsia="宋体" w:hint="default"/>
        </w:rPr>
        <w:t>43.77%</w:t>
      </w:r>
      <w:r>
        <w:rPr/>
        <w:t>。</w:t>
      </w:r>
    </w:p>
    <w:p>
      <w:pPr>
        <w:pStyle w:val="BodyText"/>
        <w:spacing w:line="313" w:lineRule="exact" w:before="89"/>
        <w:ind w:left="618" w:right="0"/>
        <w:jc w:val="left"/>
        <w:rPr>
          <w:rFonts w:ascii="宋体" w:hAnsi="宋体" w:cs="宋体" w:eastAsia="宋体" w:hint="default"/>
        </w:rPr>
      </w:pPr>
      <w:r>
        <w:rPr/>
        <w:t>根据本公司</w:t>
      </w:r>
      <w:r>
        <w:rPr>
          <w:spacing w:val="-60"/>
        </w:rPr>
        <w:t> </w:t>
      </w:r>
      <w:r>
        <w:rPr>
          <w:rFonts w:ascii="宋体" w:hAnsi="宋体" w:cs="宋体" w:eastAsia="宋体" w:hint="default"/>
        </w:rPr>
        <w:t>2008</w:t>
      </w:r>
      <w:r>
        <w:rPr>
          <w:rFonts w:ascii="宋体" w:hAnsi="宋体" w:cs="宋体" w:eastAsia="宋体" w:hint="default"/>
          <w:spacing w:val="-60"/>
        </w:rPr>
        <w:t> </w:t>
      </w:r>
      <w:r>
        <w:rPr/>
        <w:t>年年度股东大会决议，本公司以</w:t>
      </w:r>
      <w:r>
        <w:rPr>
          <w:spacing w:val="-60"/>
        </w:rPr>
        <w:t> </w:t>
      </w:r>
      <w:r>
        <w:rPr>
          <w:rFonts w:ascii="宋体" w:hAnsi="宋体" w:cs="宋体" w:eastAsia="宋体" w:hint="default"/>
        </w:rPr>
        <w:t>2008</w:t>
      </w:r>
      <w:r>
        <w:rPr>
          <w:rFonts w:ascii="宋体" w:hAnsi="宋体" w:cs="宋体" w:eastAsia="宋体" w:hint="default"/>
          <w:spacing w:val="-60"/>
        </w:rPr>
        <w:t> </w:t>
      </w:r>
      <w:r>
        <w:rPr/>
        <w:t>年末总股本</w:t>
      </w:r>
      <w:r>
        <w:rPr>
          <w:spacing w:val="-60"/>
        </w:rPr>
        <w:t> </w:t>
      </w:r>
      <w:r>
        <w:rPr>
          <w:rFonts w:ascii="宋体" w:hAnsi="宋体" w:cs="宋体" w:eastAsia="宋体" w:hint="default"/>
        </w:rPr>
        <w:t>419,105,160</w:t>
      </w:r>
    </w:p>
    <w:p>
      <w:pPr>
        <w:pStyle w:val="BodyText"/>
        <w:spacing w:line="311" w:lineRule="exact"/>
        <w:ind w:right="0"/>
        <w:jc w:val="left"/>
      </w:pPr>
      <w:r>
        <w:rPr/>
        <w:t>股为基数，向全体股东每</w:t>
      </w:r>
      <w:r>
        <w:rPr>
          <w:spacing w:val="-65"/>
        </w:rPr>
        <w:t> </w:t>
      </w:r>
      <w:r>
        <w:rPr>
          <w:rFonts w:ascii="宋体" w:hAnsi="宋体" w:cs="宋体" w:eastAsia="宋体" w:hint="default"/>
        </w:rPr>
        <w:t>10</w:t>
      </w:r>
      <w:r>
        <w:rPr>
          <w:rFonts w:ascii="宋体" w:hAnsi="宋体" w:cs="宋体" w:eastAsia="宋体" w:hint="default"/>
          <w:spacing w:val="-65"/>
        </w:rPr>
        <w:t> </w:t>
      </w:r>
      <w:r>
        <w:rPr/>
        <w:t>股转增</w:t>
      </w:r>
      <w:r>
        <w:rPr>
          <w:spacing w:val="-65"/>
        </w:rPr>
        <w:t> </w:t>
      </w:r>
      <w:r>
        <w:rPr>
          <w:rFonts w:ascii="宋体" w:hAnsi="宋体" w:cs="宋体" w:eastAsia="宋体" w:hint="default"/>
        </w:rPr>
        <w:t>1</w:t>
      </w:r>
      <w:r>
        <w:rPr>
          <w:rFonts w:ascii="宋体" w:hAnsi="宋体" w:cs="宋体" w:eastAsia="宋体" w:hint="default"/>
          <w:spacing w:val="-65"/>
        </w:rPr>
        <w:t> </w:t>
      </w:r>
      <w:r>
        <w:rPr>
          <w:spacing w:val="-4"/>
        </w:rPr>
        <w:t>股，共转增</w:t>
      </w:r>
      <w:r>
        <w:rPr>
          <w:spacing w:val="-65"/>
        </w:rPr>
        <w:t> </w:t>
      </w:r>
      <w:r>
        <w:rPr>
          <w:rFonts w:ascii="宋体" w:hAnsi="宋体" w:cs="宋体" w:eastAsia="宋体" w:hint="default"/>
        </w:rPr>
        <w:t>41,910,516</w:t>
      </w:r>
      <w:r>
        <w:rPr>
          <w:rFonts w:ascii="宋体" w:hAnsi="宋体" w:cs="宋体" w:eastAsia="宋体" w:hint="default"/>
          <w:spacing w:val="-65"/>
        </w:rPr>
        <w:t> </w:t>
      </w:r>
      <w:r>
        <w:rPr/>
        <w:t>股，转增后的股本总额</w:t>
      </w:r>
    </w:p>
    <w:p>
      <w:pPr>
        <w:pStyle w:val="BodyText"/>
        <w:spacing w:line="312" w:lineRule="exact"/>
        <w:ind w:right="0"/>
        <w:jc w:val="left"/>
      </w:pPr>
      <w:r>
        <w:rPr/>
        <w:t>为</w:t>
      </w:r>
      <w:r>
        <w:rPr>
          <w:spacing w:val="-60"/>
        </w:rPr>
        <w:t> </w:t>
      </w:r>
      <w:r>
        <w:rPr>
          <w:rFonts w:ascii="宋体" w:hAnsi="宋体" w:cs="宋体" w:eastAsia="宋体" w:hint="default"/>
        </w:rPr>
        <w:t>461,015,676</w:t>
      </w:r>
      <w:r>
        <w:rPr>
          <w:rFonts w:ascii="宋体" w:hAnsi="宋体" w:cs="宋体" w:eastAsia="宋体" w:hint="default"/>
          <w:spacing w:val="-60"/>
        </w:rPr>
        <w:t> </w:t>
      </w:r>
      <w:r>
        <w:rPr/>
        <w:t>股。</w:t>
      </w:r>
    </w:p>
    <w:p>
      <w:pPr>
        <w:pStyle w:val="BodyText"/>
        <w:spacing w:line="312" w:lineRule="exact" w:before="118"/>
        <w:ind w:left="618" w:right="0"/>
        <w:jc w:val="left"/>
      </w:pPr>
      <w:r>
        <w:rPr>
          <w:rFonts w:ascii="宋体" w:hAnsi="宋体" w:cs="宋体" w:eastAsia="宋体" w:hint="default"/>
        </w:rPr>
        <w:t>2009</w:t>
      </w:r>
      <w:r>
        <w:rPr>
          <w:rFonts w:ascii="宋体" w:hAnsi="宋体" w:cs="宋体" w:eastAsia="宋体" w:hint="default"/>
          <w:spacing w:val="-84"/>
        </w:rPr>
        <w:t> </w:t>
      </w:r>
      <w:r>
        <w:rPr/>
        <w:t>年度</w:t>
      </w:r>
      <w:r>
        <w:rPr>
          <w:spacing w:val="-120"/>
        </w:rPr>
        <w:t>，</w:t>
      </w:r>
      <w:r>
        <w:rPr>
          <w:rFonts w:ascii="宋体" w:hAnsi="宋体" w:cs="宋体" w:eastAsia="宋体" w:hint="default"/>
        </w:rPr>
        <w:t>156,097,141</w:t>
      </w:r>
      <w:r>
        <w:rPr>
          <w:rFonts w:ascii="宋体" w:hAnsi="宋体" w:cs="宋体" w:eastAsia="宋体" w:hint="default"/>
          <w:spacing w:val="-84"/>
        </w:rPr>
        <w:t> </w:t>
      </w:r>
      <w:r>
        <w:rPr/>
        <w:t>股符合条件的有限售条件流通股转为无限售条件流通股，</w:t>
      </w:r>
    </w:p>
    <w:p>
      <w:pPr>
        <w:pStyle w:val="BodyText"/>
        <w:spacing w:line="311" w:lineRule="exact"/>
        <w:ind w:right="0"/>
        <w:jc w:val="left"/>
      </w:pPr>
      <w:r>
        <w:rPr/>
        <w:t>截至</w:t>
      </w:r>
      <w:r>
        <w:rPr>
          <w:spacing w:val="-60"/>
        </w:rPr>
        <w:t> </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日，本公司股本总额为</w:t>
      </w:r>
      <w:r>
        <w:rPr>
          <w:spacing w:val="-60"/>
        </w:rPr>
        <w:t> </w:t>
      </w:r>
      <w:r>
        <w:rPr>
          <w:rFonts w:ascii="宋体" w:hAnsi="宋体" w:cs="宋体" w:eastAsia="宋体" w:hint="default"/>
        </w:rPr>
        <w:t>461,015,676</w:t>
      </w:r>
      <w:r>
        <w:rPr>
          <w:rFonts w:ascii="宋体" w:hAnsi="宋体" w:cs="宋体" w:eastAsia="宋体" w:hint="default"/>
          <w:spacing w:val="-60"/>
        </w:rPr>
        <w:t> </w:t>
      </w:r>
      <w:r>
        <w:rPr/>
        <w:t>股，其中无限售条件流通</w:t>
      </w:r>
    </w:p>
    <w:p>
      <w:pPr>
        <w:pStyle w:val="BodyText"/>
        <w:spacing w:line="312" w:lineRule="exact" w:before="29"/>
        <w:ind w:right="288"/>
        <w:jc w:val="left"/>
      </w:pPr>
      <w:r>
        <w:rPr/>
        <w:t>股为</w:t>
      </w:r>
      <w:r>
        <w:rPr>
          <w:spacing w:val="-60"/>
        </w:rPr>
        <w:t> </w:t>
      </w:r>
      <w:r>
        <w:rPr>
          <w:rFonts w:ascii="宋体" w:hAnsi="宋体" w:cs="宋体" w:eastAsia="宋体" w:hint="default"/>
        </w:rPr>
        <w:t>415,332,324</w:t>
      </w:r>
      <w:r>
        <w:rPr>
          <w:rFonts w:ascii="宋体" w:hAnsi="宋体" w:cs="宋体" w:eastAsia="宋体" w:hint="default"/>
          <w:spacing w:val="-60"/>
        </w:rPr>
        <w:t> </w:t>
      </w:r>
      <w:r>
        <w:rPr/>
        <w:t>股，占本公司总股本的</w:t>
      </w:r>
      <w:r>
        <w:rPr>
          <w:spacing w:val="-60"/>
        </w:rPr>
        <w:t> </w:t>
      </w:r>
      <w:r>
        <w:rPr>
          <w:rFonts w:ascii="宋体" w:hAnsi="宋体" w:cs="宋体" w:eastAsia="宋体" w:hint="default"/>
        </w:rPr>
        <w:t>90.09%</w:t>
      </w:r>
      <w:r>
        <w:rPr/>
        <w:t>；有限售条件流通股为</w:t>
      </w:r>
      <w:r>
        <w:rPr>
          <w:spacing w:val="-60"/>
        </w:rPr>
        <w:t> </w:t>
      </w:r>
      <w:r>
        <w:rPr>
          <w:rFonts w:ascii="宋体" w:hAnsi="宋体" w:cs="宋体" w:eastAsia="宋体" w:hint="default"/>
        </w:rPr>
        <w:t>45,683,352 </w:t>
      </w:r>
      <w:r>
        <w:rPr/>
        <w:t>股，占本公司总股本的</w:t>
      </w:r>
      <w:r>
        <w:rPr>
          <w:spacing w:val="-60"/>
        </w:rPr>
        <w:t> </w:t>
      </w:r>
      <w:r>
        <w:rPr>
          <w:rFonts w:ascii="宋体" w:hAnsi="宋体" w:cs="宋体" w:eastAsia="宋体" w:hint="default"/>
        </w:rPr>
        <w:t>9.91%</w:t>
      </w:r>
      <w:r>
        <w:rPr/>
        <w:t>。</w:t>
      </w:r>
    </w:p>
    <w:p>
      <w:pPr>
        <w:pStyle w:val="BodyText"/>
        <w:spacing w:line="313" w:lineRule="exact" w:before="88"/>
        <w:ind w:left="618" w:right="0"/>
        <w:jc w:val="left"/>
      </w:pPr>
      <w:r>
        <w:rPr/>
        <w:t>根据本公司</w:t>
      </w:r>
      <w:r>
        <w:rPr>
          <w:spacing w:val="-60"/>
        </w:rPr>
        <w:t> </w:t>
      </w:r>
      <w:r>
        <w:rPr>
          <w:rFonts w:ascii="宋体" w:hAnsi="宋体" w:cs="宋体" w:eastAsia="宋体" w:hint="default"/>
        </w:rPr>
        <w:t>2009</w:t>
      </w:r>
      <w:r>
        <w:rPr>
          <w:rFonts w:ascii="宋体" w:hAnsi="宋体" w:cs="宋体" w:eastAsia="宋体" w:hint="default"/>
          <w:spacing w:val="-60"/>
        </w:rPr>
        <w:t> </w:t>
      </w:r>
      <w:r>
        <w:rPr>
          <w:spacing w:val="-4"/>
        </w:rPr>
        <w:t>年度股东大会决议，本公司以</w:t>
      </w:r>
      <w:r>
        <w:rPr>
          <w:spacing w:val="-60"/>
        </w:rPr>
        <w:t> </w:t>
      </w:r>
      <w:r>
        <w:rPr>
          <w:rFonts w:ascii="宋体" w:hAnsi="宋体" w:cs="宋体" w:eastAsia="宋体" w:hint="default"/>
        </w:rPr>
        <w:t>2009</w:t>
      </w:r>
      <w:r>
        <w:rPr>
          <w:rFonts w:ascii="宋体" w:hAnsi="宋体" w:cs="宋体" w:eastAsia="宋体" w:hint="default"/>
          <w:spacing w:val="-60"/>
        </w:rPr>
        <w:t> </w:t>
      </w:r>
      <w:r>
        <w:rPr/>
        <w:t>年末总股本</w:t>
      </w:r>
      <w:r>
        <w:rPr>
          <w:spacing w:val="-60"/>
        </w:rPr>
        <w:t> </w:t>
      </w:r>
      <w:r>
        <w:rPr>
          <w:rFonts w:ascii="宋体" w:hAnsi="宋体" w:cs="宋体" w:eastAsia="宋体" w:hint="default"/>
        </w:rPr>
        <w:t>461,015,676</w:t>
      </w:r>
      <w:r>
        <w:rPr>
          <w:rFonts w:ascii="宋体" w:hAnsi="宋体" w:cs="宋体" w:eastAsia="宋体" w:hint="default"/>
          <w:spacing w:val="-60"/>
        </w:rPr>
        <w:t> </w:t>
      </w:r>
      <w:r>
        <w:rPr/>
        <w:t>股</w:t>
      </w:r>
    </w:p>
    <w:p>
      <w:pPr>
        <w:pStyle w:val="BodyText"/>
        <w:spacing w:line="311" w:lineRule="exact"/>
        <w:ind w:right="0"/>
        <w:jc w:val="left"/>
      </w:pPr>
      <w:r>
        <w:rPr/>
        <w:t>为基数，向全体股东每</w:t>
      </w:r>
      <w:r>
        <w:rPr>
          <w:spacing w:val="-68"/>
        </w:rPr>
        <w:t> </w:t>
      </w:r>
      <w:r>
        <w:rPr>
          <w:rFonts w:ascii="宋体" w:hAnsi="宋体" w:cs="宋体" w:eastAsia="宋体" w:hint="default"/>
        </w:rPr>
        <w:t>10</w:t>
      </w:r>
      <w:r>
        <w:rPr>
          <w:rFonts w:ascii="宋体" w:hAnsi="宋体" w:cs="宋体" w:eastAsia="宋体" w:hint="default"/>
          <w:spacing w:val="-68"/>
        </w:rPr>
        <w:t> </w:t>
      </w:r>
      <w:r>
        <w:rPr/>
        <w:t>股转增</w:t>
      </w:r>
      <w:r>
        <w:rPr>
          <w:spacing w:val="-68"/>
        </w:rPr>
        <w:t> </w:t>
      </w:r>
      <w:r>
        <w:rPr>
          <w:rFonts w:ascii="宋体" w:hAnsi="宋体" w:cs="宋体" w:eastAsia="宋体" w:hint="default"/>
        </w:rPr>
        <w:t>1</w:t>
      </w:r>
      <w:r>
        <w:rPr>
          <w:rFonts w:ascii="宋体" w:hAnsi="宋体" w:cs="宋体" w:eastAsia="宋体" w:hint="default"/>
          <w:spacing w:val="-68"/>
        </w:rPr>
        <w:t> </w:t>
      </w:r>
      <w:r>
        <w:rPr/>
        <w:t>股，共计转增股本</w:t>
      </w:r>
      <w:r>
        <w:rPr>
          <w:spacing w:val="-68"/>
        </w:rPr>
        <w:t> </w:t>
      </w:r>
      <w:r>
        <w:rPr>
          <w:rFonts w:ascii="宋体" w:hAnsi="宋体" w:cs="宋体" w:eastAsia="宋体" w:hint="default"/>
        </w:rPr>
        <w:t>46,101,567</w:t>
      </w:r>
      <w:r>
        <w:rPr>
          <w:rFonts w:ascii="宋体" w:hAnsi="宋体" w:cs="宋体" w:eastAsia="宋体" w:hint="default"/>
          <w:spacing w:val="-68"/>
        </w:rPr>
        <w:t> </w:t>
      </w:r>
      <w:r>
        <w:rPr/>
        <w:t>股，转增后的股本</w:t>
      </w:r>
    </w:p>
    <w:p>
      <w:pPr>
        <w:pStyle w:val="BodyText"/>
        <w:spacing w:line="328" w:lineRule="auto"/>
        <w:ind w:left="618" w:right="216" w:hanging="480"/>
        <w:jc w:val="left"/>
      </w:pPr>
      <w:r>
        <w:rPr/>
        <w:t>总额为</w:t>
      </w:r>
      <w:r>
        <w:rPr>
          <w:spacing w:val="-60"/>
        </w:rPr>
        <w:t> </w:t>
      </w:r>
      <w:r>
        <w:rPr>
          <w:rFonts w:ascii="宋体" w:hAnsi="宋体" w:cs="宋体" w:eastAsia="宋体" w:hint="default"/>
        </w:rPr>
        <w:t>507,117,243</w:t>
      </w:r>
      <w:r>
        <w:rPr>
          <w:rFonts w:ascii="宋体" w:hAnsi="宋体" w:cs="宋体" w:eastAsia="宋体" w:hint="default"/>
          <w:spacing w:val="-60"/>
        </w:rPr>
        <w:t> </w:t>
      </w:r>
      <w:r>
        <w:rPr/>
        <w:t>股。 </w:t>
      </w:r>
      <w:r>
        <w:rPr>
          <w:spacing w:val="-8"/>
        </w:rPr>
        <w:t>本公司根据《北京华胜天成科技股份有限公司首期股权激励计划（草案修订稿）》</w:t>
      </w:r>
    </w:p>
    <w:p>
      <w:pPr>
        <w:pStyle w:val="BodyText"/>
        <w:spacing w:line="222" w:lineRule="exact"/>
        <w:ind w:right="0"/>
        <w:jc w:val="left"/>
      </w:pPr>
      <w:r>
        <w:rPr/>
        <w:t>有关条款和股东大会授权，于</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4</w:t>
      </w:r>
      <w:r>
        <w:rPr>
          <w:rFonts w:ascii="宋体" w:hAnsi="宋体" w:cs="宋体" w:eastAsia="宋体" w:hint="default"/>
          <w:spacing w:val="-60"/>
        </w:rPr>
        <w:t> </w:t>
      </w:r>
      <w:r>
        <w:rPr/>
        <w:t>日回购了华胜天成股权分置改革前原非</w:t>
      </w:r>
    </w:p>
    <w:p>
      <w:pPr>
        <w:pStyle w:val="BodyText"/>
        <w:spacing w:line="311" w:lineRule="exact"/>
        <w:ind w:right="0"/>
        <w:jc w:val="left"/>
      </w:pPr>
      <w:r>
        <w:rPr/>
        <w:t>流通股股东中的自然人股东提供的</w:t>
      </w:r>
      <w:r>
        <w:rPr>
          <w:spacing w:val="-60"/>
        </w:rPr>
        <w:t> </w:t>
      </w:r>
      <w:r>
        <w:rPr>
          <w:rFonts w:ascii="宋体" w:hAnsi="宋体" w:cs="宋体" w:eastAsia="宋体" w:hint="default"/>
        </w:rPr>
        <w:t>25,355,880</w:t>
      </w:r>
      <w:r>
        <w:rPr>
          <w:rFonts w:ascii="宋体" w:hAnsi="宋体" w:cs="宋体" w:eastAsia="宋体" w:hint="default"/>
          <w:spacing w:val="-60"/>
        </w:rPr>
        <w:t> </w:t>
      </w:r>
      <w:r>
        <w:rPr/>
        <w:t>股股票用于实施股权激励计划。本次</w:t>
      </w:r>
    </w:p>
    <w:p>
      <w:pPr>
        <w:pStyle w:val="BodyText"/>
        <w:spacing w:line="311" w:lineRule="exact"/>
        <w:ind w:right="0"/>
        <w:jc w:val="left"/>
      </w:pPr>
      <w:r>
        <w:rPr/>
        <w:t>股权激励计划实际授予限制性股票的数量为</w:t>
      </w:r>
      <w:r>
        <w:rPr>
          <w:spacing w:val="-47"/>
        </w:rPr>
        <w:t> </w:t>
      </w:r>
      <w:r>
        <w:rPr>
          <w:rFonts w:ascii="宋体" w:hAnsi="宋体" w:cs="宋体" w:eastAsia="宋体" w:hint="default"/>
        </w:rPr>
        <w:t>23,100,880</w:t>
      </w:r>
      <w:r>
        <w:rPr>
          <w:rFonts w:ascii="宋体" w:hAnsi="宋体" w:cs="宋体" w:eastAsia="宋体" w:hint="default"/>
          <w:spacing w:val="-44"/>
        </w:rPr>
        <w:t> </w:t>
      </w:r>
      <w:r>
        <w:rPr/>
        <w:t>股，实际授予人数为</w:t>
      </w:r>
      <w:r>
        <w:rPr>
          <w:spacing w:val="-46"/>
        </w:rPr>
        <w:t> </w:t>
      </w:r>
      <w:r>
        <w:rPr>
          <w:rFonts w:ascii="宋体" w:hAnsi="宋体" w:cs="宋体" w:eastAsia="宋体" w:hint="default"/>
        </w:rPr>
        <w:t>71</w:t>
      </w:r>
      <w:r>
        <w:rPr>
          <w:rFonts w:ascii="宋体" w:hAnsi="宋体" w:cs="宋体" w:eastAsia="宋体" w:hint="default"/>
          <w:spacing w:val="-46"/>
        </w:rPr>
        <w:t> </w:t>
      </w:r>
      <w:r>
        <w:rPr/>
        <w:t>人，</w:t>
      </w:r>
    </w:p>
    <w:p>
      <w:pPr>
        <w:pStyle w:val="BodyText"/>
        <w:spacing w:line="311" w:lineRule="exact"/>
        <w:ind w:right="0"/>
        <w:jc w:val="left"/>
      </w:pPr>
      <w:r>
        <w:rPr/>
        <w:t>认购价格每股</w:t>
      </w:r>
      <w:r>
        <w:rPr>
          <w:spacing w:val="-66"/>
        </w:rPr>
        <w:t> </w:t>
      </w:r>
      <w:r>
        <w:rPr>
          <w:rFonts w:ascii="宋体" w:hAnsi="宋体" w:cs="宋体" w:eastAsia="宋体" w:hint="default"/>
        </w:rPr>
        <w:t>8.96</w:t>
      </w:r>
      <w:r>
        <w:rPr>
          <w:rFonts w:ascii="宋体" w:hAnsi="宋体" w:cs="宋体" w:eastAsia="宋体" w:hint="default"/>
          <w:spacing w:val="-66"/>
        </w:rPr>
        <w:t> </w:t>
      </w:r>
      <w:r>
        <w:rPr>
          <w:spacing w:val="-3"/>
        </w:rPr>
        <w:t>元，认购金额合计</w:t>
      </w:r>
      <w:r>
        <w:rPr>
          <w:spacing w:val="-66"/>
        </w:rPr>
        <w:t> </w:t>
      </w:r>
      <w:r>
        <w:rPr>
          <w:rFonts w:ascii="宋体" w:hAnsi="宋体" w:cs="宋体" w:eastAsia="宋体" w:hint="default"/>
        </w:rPr>
        <w:t>206,983,884.80</w:t>
      </w:r>
      <w:r>
        <w:rPr>
          <w:rFonts w:ascii="宋体" w:hAnsi="宋体" w:cs="宋体" w:eastAsia="宋体" w:hint="default"/>
          <w:spacing w:val="-66"/>
        </w:rPr>
        <w:t> </w:t>
      </w:r>
      <w:r>
        <w:rPr/>
        <w:t>元，业经京都天华会计师事务</w:t>
      </w:r>
    </w:p>
    <w:p>
      <w:pPr>
        <w:pStyle w:val="BodyText"/>
        <w:spacing w:line="311" w:lineRule="exact"/>
        <w:ind w:right="0"/>
        <w:jc w:val="left"/>
      </w:pPr>
      <w:r>
        <w:rPr/>
        <w:t>所有限公司出具的京都天华验字（</w:t>
      </w:r>
      <w:r>
        <w:rPr>
          <w:rFonts w:ascii="宋体" w:hAnsi="宋体" w:cs="宋体" w:eastAsia="宋体" w:hint="default"/>
        </w:rPr>
        <w:t>2010</w:t>
      </w:r>
      <w:r>
        <w:rPr/>
        <w:t>）第</w:t>
      </w:r>
      <w:r>
        <w:rPr>
          <w:spacing w:val="-84"/>
        </w:rPr>
        <w:t> </w:t>
      </w:r>
      <w:r>
        <w:rPr>
          <w:rFonts w:ascii="宋体" w:hAnsi="宋体" w:cs="宋体" w:eastAsia="宋体" w:hint="default"/>
        </w:rPr>
        <w:t>139</w:t>
      </w:r>
      <w:r>
        <w:rPr>
          <w:rFonts w:ascii="宋体" w:hAnsi="宋体" w:cs="宋体" w:eastAsia="宋体" w:hint="default"/>
          <w:spacing w:val="-84"/>
        </w:rPr>
        <w:t> </w:t>
      </w:r>
      <w:r>
        <w:rPr/>
        <w:t>号验资报告验证，被授予的限制性股</w:t>
      </w:r>
    </w:p>
    <w:p>
      <w:pPr>
        <w:pStyle w:val="BodyText"/>
        <w:spacing w:line="311" w:lineRule="exact"/>
        <w:ind w:right="0"/>
        <w:jc w:val="left"/>
      </w:pPr>
      <w:r>
        <w:rPr/>
        <w:t>票</w:t>
      </w:r>
      <w:r>
        <w:rPr>
          <w:spacing w:val="-59"/>
        </w:rPr>
        <w:t> </w:t>
      </w:r>
      <w:r>
        <w:rPr>
          <w:rFonts w:ascii="宋体" w:hAnsi="宋体" w:cs="宋体" w:eastAsia="宋体" w:hint="default"/>
        </w:rPr>
        <w:t>23,100,880</w:t>
      </w:r>
      <w:r>
        <w:rPr>
          <w:rFonts w:ascii="宋体" w:hAnsi="宋体" w:cs="宋体" w:eastAsia="宋体" w:hint="default"/>
          <w:spacing w:val="-59"/>
        </w:rPr>
        <w:t> </w:t>
      </w:r>
      <w:r>
        <w:rPr/>
        <w:t>股已于</w:t>
      </w:r>
      <w:r>
        <w:rPr>
          <w:spacing w:val="-59"/>
        </w:rPr>
        <w:t> </w:t>
      </w:r>
      <w:r>
        <w:rPr>
          <w:rFonts w:ascii="宋体" w:hAnsi="宋体" w:cs="宋体" w:eastAsia="宋体" w:hint="default"/>
        </w:rPr>
        <w:t>2010</w:t>
      </w:r>
      <w:r>
        <w:rPr>
          <w:rFonts w:ascii="宋体" w:hAnsi="宋体" w:cs="宋体" w:eastAsia="宋体" w:hint="default"/>
          <w:spacing w:val="-59"/>
        </w:rPr>
        <w:t> </w:t>
      </w:r>
      <w:r>
        <w:rPr/>
        <w:t>年</w:t>
      </w:r>
      <w:r>
        <w:rPr>
          <w:spacing w:val="-59"/>
        </w:rPr>
        <w:t> </w:t>
      </w:r>
      <w:r>
        <w:rPr>
          <w:rFonts w:ascii="宋体" w:hAnsi="宋体" w:cs="宋体" w:eastAsia="宋体" w:hint="default"/>
        </w:rPr>
        <w:t>10</w:t>
      </w:r>
      <w:r>
        <w:rPr>
          <w:rFonts w:ascii="宋体" w:hAnsi="宋体" w:cs="宋体" w:eastAsia="宋体" w:hint="default"/>
          <w:spacing w:val="-59"/>
        </w:rPr>
        <w:t> </w:t>
      </w:r>
      <w:r>
        <w:rPr/>
        <w:t>月</w:t>
      </w:r>
      <w:r>
        <w:rPr>
          <w:spacing w:val="-59"/>
        </w:rPr>
        <w:t> </w:t>
      </w:r>
      <w:r>
        <w:rPr>
          <w:rFonts w:ascii="宋体" w:hAnsi="宋体" w:cs="宋体" w:eastAsia="宋体" w:hint="default"/>
        </w:rPr>
        <w:t>25</w:t>
      </w:r>
      <w:r>
        <w:rPr>
          <w:rFonts w:ascii="宋体" w:hAnsi="宋体" w:cs="宋体" w:eastAsia="宋体" w:hint="default"/>
          <w:spacing w:val="-59"/>
        </w:rPr>
        <w:t> </w:t>
      </w:r>
      <w:r>
        <w:rPr>
          <w:spacing w:val="-3"/>
        </w:rPr>
        <w:t>日转让给激励对象。对于尚未授予的股权激励</w:t>
      </w:r>
    </w:p>
    <w:p>
      <w:pPr>
        <w:pStyle w:val="BodyText"/>
        <w:spacing w:line="311" w:lineRule="exact"/>
        <w:ind w:right="0"/>
        <w:jc w:val="left"/>
        <w:rPr>
          <w:rFonts w:ascii="宋体" w:hAnsi="宋体" w:cs="宋体" w:eastAsia="宋体" w:hint="default"/>
        </w:rPr>
      </w:pPr>
      <w:r>
        <w:rPr/>
        <w:t>计划限制性股票</w:t>
      </w:r>
      <w:r>
        <w:rPr>
          <w:spacing w:val="-60"/>
        </w:rPr>
        <w:t> </w:t>
      </w:r>
      <w:r>
        <w:rPr>
          <w:rFonts w:ascii="宋体" w:hAnsi="宋体" w:cs="宋体" w:eastAsia="宋体" w:hint="default"/>
        </w:rPr>
        <w:t>2,255,000</w:t>
      </w:r>
      <w:r>
        <w:rPr>
          <w:rFonts w:ascii="宋体" w:hAnsi="宋体" w:cs="宋体" w:eastAsia="宋体" w:hint="default"/>
          <w:spacing w:val="-60"/>
        </w:rPr>
        <w:t> </w:t>
      </w:r>
      <w:r>
        <w:rPr/>
        <w:t>股</w:t>
      </w:r>
      <w:r>
        <w:rPr>
          <w:spacing w:val="-114"/>
        </w:rPr>
        <w:t>，</w:t>
      </w:r>
      <w:r>
        <w:rPr/>
        <w:t>根据本公司</w:t>
      </w:r>
      <w:r>
        <w:rPr>
          <w:spacing w:val="-60"/>
        </w:rPr>
        <w:t> </w:t>
      </w:r>
      <w:r>
        <w:rPr>
          <w:rFonts w:ascii="宋体" w:hAnsi="宋体" w:cs="宋体" w:eastAsia="宋体" w:hint="default"/>
        </w:rPr>
        <w:t>2010</w:t>
      </w:r>
      <w:r>
        <w:rPr>
          <w:rFonts w:ascii="宋体" w:hAnsi="宋体" w:cs="宋体" w:eastAsia="宋体" w:hint="default"/>
          <w:spacing w:val="-60"/>
        </w:rPr>
        <w:t> </w:t>
      </w:r>
      <w:r>
        <w:rPr/>
        <w:t>年第八次临时董事会议决议</w:t>
      </w:r>
      <w:r>
        <w:rPr>
          <w:spacing w:val="-114"/>
        </w:rPr>
        <w:t>，</w:t>
      </w:r>
      <w:r>
        <w:rPr/>
        <w:t>于</w:t>
      </w:r>
      <w:r>
        <w:rPr>
          <w:spacing w:val="-60"/>
        </w:rPr>
        <w:t> </w:t>
      </w:r>
      <w:r>
        <w:rPr>
          <w:rFonts w:ascii="宋体" w:hAnsi="宋体" w:cs="宋体" w:eastAsia="宋体" w:hint="default"/>
        </w:rPr>
        <w:t>2010</w:t>
      </w:r>
    </w:p>
    <w:p>
      <w:pPr>
        <w:pStyle w:val="BodyText"/>
        <w:spacing w:line="313" w:lineRule="exact"/>
        <w:ind w:right="0"/>
        <w:jc w:val="left"/>
      </w:pP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29</w:t>
      </w:r>
      <w:r>
        <w:rPr>
          <w:rFonts w:ascii="宋体" w:hAnsi="宋体" w:cs="宋体" w:eastAsia="宋体" w:hint="default"/>
          <w:spacing w:val="-60"/>
        </w:rPr>
        <w:t> </w:t>
      </w:r>
      <w:r>
        <w:rPr/>
        <w:t>日予以注销。</w:t>
      </w:r>
    </w:p>
    <w:p>
      <w:pPr>
        <w:pStyle w:val="BodyText"/>
        <w:spacing w:line="237" w:lineRule="auto" w:before="120"/>
        <w:ind w:right="245" w:firstLine="480"/>
        <w:jc w:val="both"/>
      </w:pPr>
      <w:r>
        <w:rPr/>
        <w:t>根据本公司</w:t>
      </w:r>
      <w:r>
        <w:rPr>
          <w:spacing w:val="-60"/>
        </w:rPr>
        <w:t> </w:t>
      </w:r>
      <w:r>
        <w:rPr>
          <w:rFonts w:ascii="宋体" w:hAnsi="宋体" w:cs="宋体" w:eastAsia="宋体" w:hint="default"/>
        </w:rPr>
        <w:t>2010</w:t>
      </w:r>
      <w:r>
        <w:rPr>
          <w:rFonts w:ascii="宋体" w:hAnsi="宋体" w:cs="宋体" w:eastAsia="宋体" w:hint="default"/>
          <w:spacing w:val="-60"/>
        </w:rPr>
        <w:t> </w:t>
      </w:r>
      <w:r>
        <w:rPr/>
        <w:t>年第七次临时董事会决议、</w:t>
      </w:r>
      <w:r>
        <w:rPr>
          <w:rFonts w:ascii="宋体" w:hAnsi="宋体" w:cs="宋体" w:eastAsia="宋体" w:hint="default"/>
        </w:rPr>
        <w:t>2010</w:t>
      </w:r>
      <w:r>
        <w:rPr>
          <w:rFonts w:ascii="宋体" w:hAnsi="宋体" w:cs="宋体" w:eastAsia="宋体" w:hint="default"/>
          <w:spacing w:val="-60"/>
        </w:rPr>
        <w:t> </w:t>
      </w:r>
      <w:r>
        <w:rPr/>
        <w:t>年第四次临时股东大会决议、 </w:t>
      </w:r>
      <w:r>
        <w:rPr>
          <w:rFonts w:ascii="宋体" w:hAnsi="宋体" w:cs="宋体" w:eastAsia="宋体" w:hint="default"/>
        </w:rPr>
        <w:t>2011</w:t>
      </w:r>
      <w:r>
        <w:rPr>
          <w:rFonts w:ascii="宋体" w:hAnsi="宋体" w:cs="宋体" w:eastAsia="宋体" w:hint="default"/>
          <w:spacing w:val="-60"/>
        </w:rPr>
        <w:t> </w:t>
      </w:r>
      <w:r>
        <w:rPr/>
        <w:t>年第二次临时董事会决议、</w:t>
      </w:r>
      <w:r>
        <w:rPr>
          <w:rFonts w:ascii="宋体" w:hAnsi="宋体" w:cs="宋体" w:eastAsia="宋体" w:hint="default"/>
        </w:rPr>
        <w:t>2011</w:t>
      </w:r>
      <w:r>
        <w:rPr>
          <w:rFonts w:ascii="宋体" w:hAnsi="宋体" w:cs="宋体" w:eastAsia="宋体" w:hint="default"/>
          <w:spacing w:val="-60"/>
        </w:rPr>
        <w:t> </w:t>
      </w:r>
      <w:r>
        <w:rPr/>
        <w:t>年第一次临时股东大会决议、</w:t>
      </w:r>
      <w:r>
        <w:rPr>
          <w:rFonts w:ascii="宋体" w:hAnsi="宋体" w:cs="宋体" w:eastAsia="宋体" w:hint="default"/>
        </w:rPr>
        <w:t>2011</w:t>
      </w:r>
      <w:r>
        <w:rPr>
          <w:rFonts w:ascii="宋体" w:hAnsi="宋体" w:cs="宋体" w:eastAsia="宋体" w:hint="default"/>
          <w:spacing w:val="-60"/>
        </w:rPr>
        <w:t> </w:t>
      </w:r>
      <w:r>
        <w:rPr/>
        <w:t>年第三次临 时董事会决议以及</w:t>
      </w:r>
      <w:r>
        <w:rPr>
          <w:spacing w:val="-60"/>
        </w:rPr>
        <w:t> </w:t>
      </w:r>
      <w:r>
        <w:rPr>
          <w:rFonts w:ascii="宋体" w:hAnsi="宋体" w:cs="宋体" w:eastAsia="宋体" w:hint="default"/>
        </w:rPr>
        <w:t>2011</w:t>
      </w:r>
      <w:r>
        <w:rPr>
          <w:rFonts w:ascii="宋体" w:hAnsi="宋体" w:cs="宋体" w:eastAsia="宋体" w:hint="default"/>
          <w:spacing w:val="-60"/>
        </w:rPr>
        <w:t> </w:t>
      </w:r>
      <w:r>
        <w:rPr/>
        <w:t>年第二次临时股东大会决议，并经中国证券监督管理委员会 证监许可</w:t>
      </w:r>
      <w:r>
        <w:rPr>
          <w:rFonts w:ascii="宋体" w:hAnsi="宋体" w:cs="宋体" w:eastAsia="宋体" w:hint="default"/>
        </w:rPr>
        <w:t>[2011]1077</w:t>
      </w:r>
      <w:r>
        <w:rPr>
          <w:rFonts w:ascii="宋体" w:hAnsi="宋体" w:cs="宋体" w:eastAsia="宋体" w:hint="default"/>
          <w:spacing w:val="-60"/>
        </w:rPr>
        <w:t> </w:t>
      </w:r>
      <w:r>
        <w:rPr/>
        <w:t>号文核准，本公司非公开发行股票</w:t>
      </w:r>
      <w:r>
        <w:rPr>
          <w:spacing w:val="-60"/>
        </w:rPr>
        <w:t> </w:t>
      </w:r>
      <w:r>
        <w:rPr>
          <w:rFonts w:ascii="宋体" w:hAnsi="宋体" w:cs="宋体" w:eastAsia="宋体" w:hint="default"/>
        </w:rPr>
        <w:t>39,034,003</w:t>
      </w:r>
      <w:r>
        <w:rPr>
          <w:rFonts w:ascii="宋体" w:hAnsi="宋体" w:cs="宋体" w:eastAsia="宋体" w:hint="default"/>
          <w:spacing w:val="-60"/>
        </w:rPr>
        <w:t> </w:t>
      </w:r>
      <w:r>
        <w:rPr/>
        <w:t>股，增发后的股 本总额为</w:t>
      </w:r>
      <w:r>
        <w:rPr>
          <w:spacing w:val="-60"/>
        </w:rPr>
        <w:t> </w:t>
      </w:r>
      <w:r>
        <w:rPr>
          <w:rFonts w:ascii="宋体" w:hAnsi="宋体" w:cs="宋体" w:eastAsia="宋体" w:hint="default"/>
        </w:rPr>
        <w:t>543,896,246</w:t>
      </w:r>
      <w:r>
        <w:rPr>
          <w:rFonts w:ascii="宋体" w:hAnsi="宋体" w:cs="宋体" w:eastAsia="宋体" w:hint="default"/>
          <w:spacing w:val="-60"/>
        </w:rPr>
        <w:t> </w:t>
      </w:r>
      <w:r>
        <w:rPr/>
        <w:t>股。</w:t>
      </w:r>
    </w:p>
    <w:p>
      <w:pPr>
        <w:pStyle w:val="BodyText"/>
        <w:spacing w:line="310" w:lineRule="exact" w:before="150"/>
        <w:ind w:right="233" w:firstLine="480"/>
        <w:jc w:val="both"/>
      </w:pPr>
      <w:r>
        <w:rPr>
          <w:rFonts w:ascii="宋体" w:hAnsi="宋体" w:cs="宋体" w:eastAsia="宋体" w:hint="default"/>
          <w:spacing w:val="-2"/>
        </w:rPr>
        <w:t>2011</w:t>
      </w:r>
      <w:r>
        <w:rPr>
          <w:spacing w:val="-2"/>
        </w:rPr>
        <w:t>年</w:t>
      </w:r>
      <w:r>
        <w:rPr>
          <w:rFonts w:ascii="宋体" w:hAnsi="宋体" w:cs="宋体" w:eastAsia="宋体" w:hint="default"/>
          <w:spacing w:val="-2"/>
        </w:rPr>
        <w:t>12</w:t>
      </w:r>
      <w:r>
        <w:rPr>
          <w:spacing w:val="-2"/>
        </w:rPr>
        <w:t>月，因股权激励计划中被激励对象离职，经本公司</w:t>
      </w:r>
      <w:r>
        <w:rPr>
          <w:rFonts w:ascii="宋体" w:hAnsi="宋体" w:cs="宋体" w:eastAsia="宋体" w:hint="default"/>
          <w:spacing w:val="-2"/>
        </w:rPr>
        <w:t>2012</w:t>
      </w:r>
      <w:r>
        <w:rPr>
          <w:spacing w:val="-2"/>
        </w:rPr>
        <w:t>年第一次临时股</w:t>
      </w:r>
      <w:r>
        <w:rPr/>
        <w:t> 东大会决议和修改后的公司章程规定，回购并注销股权激励股票</w:t>
      </w:r>
      <w:r>
        <w:rPr>
          <w:rFonts w:ascii="宋体" w:hAnsi="宋体" w:cs="宋体" w:eastAsia="宋体" w:hint="default"/>
        </w:rPr>
        <w:t>156,750</w:t>
      </w:r>
      <w:r>
        <w:rPr/>
        <w:t>股，减资后 股本总额为</w:t>
      </w:r>
      <w:r>
        <w:rPr>
          <w:rFonts w:ascii="宋体" w:hAnsi="宋体" w:cs="宋体" w:eastAsia="宋体" w:hint="default"/>
        </w:rPr>
        <w:t>543,739,496</w:t>
      </w:r>
      <w:r>
        <w:rPr/>
        <w:t>股。</w:t>
      </w:r>
    </w:p>
    <w:p>
      <w:pPr>
        <w:pStyle w:val="BodyText"/>
        <w:spacing w:line="310" w:lineRule="exact" w:before="122"/>
        <w:ind w:right="305" w:firstLine="480"/>
        <w:jc w:val="both"/>
      </w:pPr>
      <w:r>
        <w:rPr>
          <w:rFonts w:ascii="宋体" w:hAnsi="宋体" w:cs="宋体" w:eastAsia="宋体" w:hint="default"/>
        </w:rPr>
        <w:t>2012</w:t>
      </w:r>
      <w:r>
        <w:rPr/>
        <w:t>年</w:t>
      </w:r>
      <w:r>
        <w:rPr>
          <w:rFonts w:ascii="宋体" w:hAnsi="宋体" w:cs="宋体" w:eastAsia="宋体" w:hint="default"/>
        </w:rPr>
        <w:t>2</w:t>
      </w:r>
      <w:r>
        <w:rPr/>
        <w:t>月，因股权激励计划中被激励对象离职，经本公司</w:t>
      </w:r>
      <w:r>
        <w:rPr>
          <w:rFonts w:ascii="宋体" w:hAnsi="宋体" w:cs="宋体" w:eastAsia="宋体" w:hint="default"/>
        </w:rPr>
        <w:t>2012</w:t>
      </w:r>
      <w:r>
        <w:rPr/>
        <w:t>年第二次临时股 东大会决议和修改后的公司章程规定，回购并注销股权激励股票</w:t>
      </w:r>
      <w:r>
        <w:rPr>
          <w:rFonts w:ascii="宋体" w:hAnsi="宋体" w:cs="宋体" w:eastAsia="宋体" w:hint="default"/>
        </w:rPr>
        <w:t>742,500</w:t>
      </w:r>
      <w:r>
        <w:rPr/>
        <w:t>股。减资后 股本总额为</w:t>
      </w:r>
      <w:r>
        <w:rPr>
          <w:rFonts w:ascii="宋体" w:hAnsi="宋体" w:cs="宋体" w:eastAsia="宋体" w:hint="default"/>
        </w:rPr>
        <w:t>542,996,996</w:t>
      </w:r>
      <w:r>
        <w:rPr/>
        <w:t>股。</w:t>
      </w:r>
    </w:p>
    <w:p>
      <w:pPr>
        <w:pStyle w:val="BodyText"/>
        <w:spacing w:line="312" w:lineRule="exact" w:before="89"/>
        <w:ind w:left="618" w:right="0"/>
        <w:jc w:val="left"/>
      </w:pPr>
      <w:r>
        <w:rPr/>
        <w:t>根据本公司</w:t>
      </w:r>
      <w:r>
        <w:rPr>
          <w:spacing w:val="-60"/>
        </w:rPr>
        <w:t> </w:t>
      </w:r>
      <w:r>
        <w:rPr>
          <w:rFonts w:ascii="宋体" w:hAnsi="宋体" w:cs="宋体" w:eastAsia="宋体" w:hint="default"/>
        </w:rPr>
        <w:t>2011</w:t>
      </w:r>
      <w:r>
        <w:rPr>
          <w:rFonts w:ascii="宋体" w:hAnsi="宋体" w:cs="宋体" w:eastAsia="宋体" w:hint="default"/>
          <w:spacing w:val="-60"/>
        </w:rPr>
        <w:t> </w:t>
      </w:r>
      <w:r>
        <w:rPr>
          <w:spacing w:val="-4"/>
        </w:rPr>
        <w:t>年度股东大会决议，本公司以</w:t>
      </w:r>
      <w:r>
        <w:rPr>
          <w:spacing w:val="-60"/>
        </w:rPr>
        <w:t> </w:t>
      </w:r>
      <w:r>
        <w:rPr>
          <w:rFonts w:ascii="宋体" w:hAnsi="宋体" w:cs="宋体" w:eastAsia="宋体" w:hint="default"/>
        </w:rPr>
        <w:t>2011</w:t>
      </w:r>
      <w:r>
        <w:rPr>
          <w:rFonts w:ascii="宋体" w:hAnsi="宋体" w:cs="宋体" w:eastAsia="宋体" w:hint="default"/>
          <w:spacing w:val="-60"/>
        </w:rPr>
        <w:t> </w:t>
      </w:r>
      <w:r>
        <w:rPr/>
        <w:t>年总股本</w:t>
      </w:r>
      <w:r>
        <w:rPr>
          <w:spacing w:val="-60"/>
        </w:rPr>
        <w:t> </w:t>
      </w:r>
      <w:r>
        <w:rPr>
          <w:rFonts w:ascii="宋体" w:hAnsi="宋体" w:cs="宋体" w:eastAsia="宋体" w:hint="default"/>
        </w:rPr>
        <w:t>543,739,496</w:t>
      </w:r>
      <w:r>
        <w:rPr>
          <w:rFonts w:ascii="宋体" w:hAnsi="宋体" w:cs="宋体" w:eastAsia="宋体" w:hint="default"/>
          <w:spacing w:val="-60"/>
        </w:rPr>
        <w:t> </w:t>
      </w:r>
      <w:r>
        <w:rPr/>
        <w:t>股扣</w:t>
      </w:r>
    </w:p>
    <w:p>
      <w:pPr>
        <w:pStyle w:val="BodyText"/>
        <w:spacing w:line="311" w:lineRule="exact"/>
        <w:ind w:right="0"/>
        <w:jc w:val="left"/>
      </w:pPr>
      <w:r>
        <w:rPr/>
        <w:t>除回购并注销股权激励股票</w:t>
      </w:r>
      <w:r>
        <w:rPr>
          <w:spacing w:val="-59"/>
        </w:rPr>
        <w:t> </w:t>
      </w:r>
      <w:r>
        <w:rPr>
          <w:rFonts w:ascii="宋体" w:hAnsi="宋体" w:cs="宋体" w:eastAsia="宋体" w:hint="default"/>
        </w:rPr>
        <w:t>742,500</w:t>
      </w:r>
      <w:r>
        <w:rPr>
          <w:rFonts w:ascii="宋体" w:hAnsi="宋体" w:cs="宋体" w:eastAsia="宋体" w:hint="default"/>
          <w:spacing w:val="-59"/>
        </w:rPr>
        <w:t> </w:t>
      </w:r>
      <w:r>
        <w:rPr/>
        <w:t>股后的总股本</w:t>
      </w:r>
      <w:r>
        <w:rPr>
          <w:spacing w:val="-59"/>
        </w:rPr>
        <w:t> </w:t>
      </w:r>
      <w:r>
        <w:rPr>
          <w:rFonts w:ascii="宋体" w:hAnsi="宋体" w:cs="宋体" w:eastAsia="宋体" w:hint="default"/>
        </w:rPr>
        <w:t>542,996,996</w:t>
      </w:r>
      <w:r>
        <w:rPr>
          <w:rFonts w:ascii="宋体" w:hAnsi="宋体" w:cs="宋体" w:eastAsia="宋体" w:hint="default"/>
          <w:spacing w:val="-59"/>
        </w:rPr>
        <w:t> </w:t>
      </w:r>
      <w:r>
        <w:rPr>
          <w:spacing w:val="-6"/>
        </w:rPr>
        <w:t>股为基数，向全体股</w:t>
      </w:r>
    </w:p>
    <w:p>
      <w:pPr>
        <w:pStyle w:val="BodyText"/>
        <w:spacing w:line="310" w:lineRule="exact" w:before="31"/>
        <w:ind w:right="221"/>
        <w:jc w:val="left"/>
      </w:pPr>
      <w:r>
        <w:rPr/>
        <w:t>东每</w:t>
      </w:r>
      <w:r>
        <w:rPr>
          <w:spacing w:val="-76"/>
        </w:rPr>
        <w:t> </w:t>
      </w:r>
      <w:r>
        <w:rPr>
          <w:rFonts w:ascii="宋体" w:hAnsi="宋体" w:cs="宋体" w:eastAsia="宋体" w:hint="default"/>
        </w:rPr>
        <w:t>10</w:t>
      </w:r>
      <w:r>
        <w:rPr>
          <w:rFonts w:ascii="宋体" w:hAnsi="宋体" w:cs="宋体" w:eastAsia="宋体" w:hint="default"/>
          <w:spacing w:val="-76"/>
        </w:rPr>
        <w:t> </w:t>
      </w:r>
      <w:r>
        <w:rPr/>
        <w:t>股转增</w:t>
      </w:r>
      <w:r>
        <w:rPr>
          <w:spacing w:val="-76"/>
        </w:rPr>
        <w:t> </w:t>
      </w:r>
      <w:r>
        <w:rPr>
          <w:rFonts w:ascii="宋体" w:hAnsi="宋体" w:cs="宋体" w:eastAsia="宋体" w:hint="default"/>
        </w:rPr>
        <w:t>2.00273</w:t>
      </w:r>
      <w:r>
        <w:rPr>
          <w:rFonts w:ascii="宋体" w:hAnsi="宋体" w:cs="宋体" w:eastAsia="宋体" w:hint="default"/>
          <w:spacing w:val="-76"/>
        </w:rPr>
        <w:t> </w:t>
      </w:r>
      <w:r>
        <w:rPr>
          <w:spacing w:val="-24"/>
        </w:rPr>
        <w:t>股，共转增</w:t>
      </w:r>
      <w:r>
        <w:rPr>
          <w:spacing w:val="-76"/>
        </w:rPr>
        <w:t> </w:t>
      </w:r>
      <w:r>
        <w:rPr>
          <w:rFonts w:ascii="宋体" w:hAnsi="宋体" w:cs="宋体" w:eastAsia="宋体" w:hint="default"/>
        </w:rPr>
        <w:t>108,747,899</w:t>
      </w:r>
      <w:r>
        <w:rPr>
          <w:rFonts w:ascii="宋体" w:hAnsi="宋体" w:cs="宋体" w:eastAsia="宋体" w:hint="default"/>
          <w:spacing w:val="-76"/>
        </w:rPr>
        <w:t> </w:t>
      </w:r>
      <w:r>
        <w:rPr>
          <w:spacing w:val="-11"/>
        </w:rPr>
        <w:t>股，转增后的股本总额为</w:t>
      </w:r>
      <w:r>
        <w:rPr>
          <w:spacing w:val="-76"/>
        </w:rPr>
        <w:t> </w:t>
      </w:r>
      <w:r>
        <w:rPr>
          <w:rFonts w:ascii="宋体" w:hAnsi="宋体" w:cs="宋体" w:eastAsia="宋体" w:hint="default"/>
        </w:rPr>
        <w:t>651,744,895 </w:t>
      </w:r>
      <w:r>
        <w:rPr/>
        <w:t>股。</w:t>
      </w:r>
    </w:p>
    <w:p>
      <w:pPr>
        <w:pStyle w:val="BodyText"/>
        <w:spacing w:line="237" w:lineRule="auto" w:before="91"/>
        <w:ind w:right="305" w:firstLine="480"/>
        <w:jc w:val="both"/>
      </w:pPr>
      <w:r>
        <w:rPr>
          <w:rFonts w:ascii="宋体" w:hAnsi="宋体" w:cs="宋体" w:eastAsia="宋体" w:hint="default"/>
        </w:rPr>
        <w:t>2012</w:t>
      </w:r>
      <w:r>
        <w:rPr/>
        <w:t>年</w:t>
      </w:r>
      <w:r>
        <w:rPr>
          <w:rFonts w:ascii="宋体" w:hAnsi="宋体" w:cs="宋体" w:eastAsia="宋体" w:hint="default"/>
        </w:rPr>
        <w:t>7</w:t>
      </w:r>
      <w:r>
        <w:rPr/>
        <w:t>月，因股权激励计划中被激励对象离职，经本公司</w:t>
      </w:r>
      <w:r>
        <w:rPr>
          <w:rFonts w:ascii="宋体" w:hAnsi="宋体" w:cs="宋体" w:eastAsia="宋体" w:hint="default"/>
        </w:rPr>
        <w:t>2012</w:t>
      </w:r>
      <w:r>
        <w:rPr/>
        <w:t>年第二次临时股 东大会决议和修改后的公司章程规定，回购并注销股权激励股票</w:t>
      </w:r>
      <w:r>
        <w:rPr>
          <w:rFonts w:ascii="宋体" w:hAnsi="宋体" w:cs="宋体" w:eastAsia="宋体" w:hint="default"/>
        </w:rPr>
        <w:t>3,465,789</w:t>
      </w:r>
      <w:r>
        <w:rPr/>
        <w:t>股，减资 后股本总额为</w:t>
      </w:r>
      <w:r>
        <w:rPr>
          <w:rFonts w:ascii="宋体" w:hAnsi="宋体" w:cs="宋体" w:eastAsia="宋体" w:hint="default"/>
        </w:rPr>
        <w:t>648,279,106</w:t>
      </w:r>
      <w:r>
        <w:rPr/>
        <w:t>股。</w:t>
      </w:r>
    </w:p>
    <w:p>
      <w:pPr>
        <w:spacing w:after="0" w:line="237" w:lineRule="auto"/>
        <w:jc w:val="both"/>
        <w:sectPr>
          <w:pgSz w:w="11910" w:h="16840"/>
          <w:pgMar w:header="882" w:footer="1194" w:top="1120" w:bottom="1380" w:left="1660" w:right="1040"/>
        </w:sectPr>
      </w:pPr>
    </w:p>
    <w:p>
      <w:pPr>
        <w:spacing w:line="240" w:lineRule="auto" w:before="9"/>
        <w:rPr>
          <w:rFonts w:ascii="宋体" w:hAnsi="宋体" w:cs="宋体" w:eastAsia="宋体" w:hint="default"/>
          <w:sz w:val="25"/>
          <w:szCs w:val="25"/>
        </w:rPr>
      </w:pPr>
    </w:p>
    <w:p>
      <w:pPr>
        <w:pStyle w:val="BodyText"/>
        <w:spacing w:line="237" w:lineRule="auto" w:before="28"/>
        <w:ind w:right="0" w:firstLine="480"/>
        <w:jc w:val="left"/>
      </w:pPr>
      <w:r>
        <w:rPr>
          <w:rFonts w:ascii="宋体" w:hAnsi="宋体" w:cs="宋体" w:eastAsia="宋体" w:hint="default"/>
        </w:rPr>
        <w:t>2013</w:t>
      </w:r>
      <w:r>
        <w:rPr/>
        <w:t>年</w:t>
      </w:r>
      <w:r>
        <w:rPr>
          <w:rFonts w:ascii="宋体" w:hAnsi="宋体" w:cs="宋体" w:eastAsia="宋体" w:hint="default"/>
        </w:rPr>
        <w:t>7</w:t>
      </w:r>
      <w:r>
        <w:rPr/>
        <w:t>月，因股权激励计划中被激励对象离职，经本公司</w:t>
      </w:r>
      <w:r>
        <w:rPr>
          <w:rFonts w:ascii="宋体" w:hAnsi="宋体" w:cs="宋体" w:eastAsia="宋体" w:hint="default"/>
        </w:rPr>
        <w:t>2012</w:t>
      </w:r>
      <w:r>
        <w:rPr/>
        <w:t>年第十次临时董 事会审议通过了回购并注销上述激励对象已获授但尚未解锁的股权激励股票的相关 </w:t>
      </w:r>
      <w:r>
        <w:rPr>
          <w:spacing w:val="-4"/>
        </w:rPr>
        <w:t>议案，回购并注销股票</w:t>
      </w:r>
      <w:r>
        <w:rPr>
          <w:rFonts w:ascii="宋体" w:hAnsi="宋体" w:cs="宋体" w:eastAsia="宋体" w:hint="default"/>
          <w:spacing w:val="-4"/>
        </w:rPr>
        <w:t>2,245,038</w:t>
      </w:r>
      <w:r>
        <w:rPr>
          <w:spacing w:val="-4"/>
        </w:rPr>
        <w:t>元。减资后股本总额为</w:t>
      </w:r>
      <w:r>
        <w:rPr>
          <w:rFonts w:ascii="宋体" w:hAnsi="宋体" w:cs="宋体" w:eastAsia="宋体" w:hint="default"/>
          <w:spacing w:val="-4"/>
        </w:rPr>
        <w:t>646,034,068.00</w:t>
      </w:r>
      <w:r>
        <w:rPr>
          <w:spacing w:val="-4"/>
        </w:rPr>
        <w:t>股。截止</w:t>
      </w:r>
      <w:r>
        <w:rPr>
          <w:rFonts w:ascii="宋体" w:hAnsi="宋体" w:cs="宋体" w:eastAsia="宋体" w:hint="default"/>
          <w:spacing w:val="-4"/>
        </w:rPr>
        <w:t>2013</w:t>
      </w:r>
      <w:r>
        <w:rPr>
          <w:rFonts w:ascii="宋体" w:hAnsi="宋体" w:cs="宋体" w:eastAsia="宋体" w:hint="default"/>
          <w:spacing w:val="-84"/>
        </w:rPr>
        <w:t> </w:t>
      </w:r>
      <w:r>
        <w:rPr/>
        <w:t>年</w:t>
      </w:r>
      <w:r>
        <w:rPr>
          <w:rFonts w:ascii="宋体" w:hAnsi="宋体" w:cs="宋体" w:eastAsia="宋体" w:hint="default"/>
        </w:rPr>
        <w:t>12</w:t>
      </w:r>
      <w:r>
        <w:rPr/>
        <w:t>月</w:t>
      </w:r>
      <w:r>
        <w:rPr>
          <w:rFonts w:ascii="宋体" w:hAnsi="宋体" w:cs="宋体" w:eastAsia="宋体" w:hint="default"/>
        </w:rPr>
        <w:t>31</w:t>
      </w:r>
      <w:r>
        <w:rPr/>
        <w:t>日，上述变更未进行工商变更登记。</w:t>
      </w:r>
    </w:p>
    <w:p>
      <w:pPr>
        <w:pStyle w:val="BodyText"/>
        <w:spacing w:line="237" w:lineRule="auto" w:before="120"/>
        <w:ind w:right="232" w:firstLine="480"/>
        <w:jc w:val="both"/>
      </w:pPr>
      <w:r>
        <w:rPr>
          <w:rFonts w:ascii="宋体" w:hAnsi="宋体" w:cs="宋体" w:eastAsia="宋体" w:hint="default"/>
        </w:rPr>
        <w:t>2014</w:t>
      </w:r>
      <w:r>
        <w:rPr/>
        <w:t>年</w:t>
      </w:r>
      <w:r>
        <w:rPr>
          <w:rFonts w:ascii="宋体" w:hAnsi="宋体" w:cs="宋体" w:eastAsia="宋体" w:hint="default"/>
        </w:rPr>
        <w:t>6</w:t>
      </w:r>
      <w:r>
        <w:rPr/>
        <w:t>月，因公司</w:t>
      </w:r>
      <w:r>
        <w:rPr>
          <w:rFonts w:ascii="宋体" w:hAnsi="宋体" w:cs="宋体" w:eastAsia="宋体" w:hint="default"/>
        </w:rPr>
        <w:t>2013</w:t>
      </w:r>
      <w:r>
        <w:rPr/>
        <w:t>年的业绩未达到股权激励股票解锁的条件以及股权激励 计划中被激励对象离职，经本公司</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22</w:t>
      </w:r>
      <w:r>
        <w:rPr/>
        <w:t>日第二次临时董事会审议通过了回购 </w:t>
      </w:r>
      <w:r>
        <w:rPr>
          <w:spacing w:val="-2"/>
        </w:rPr>
        <w:t>并注销上述激励对象已获授但尚未解锁的股权激励股票的相关议案，并于</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spacing w:val="-87"/>
        </w:rPr>
        <w:t> </w:t>
      </w:r>
      <w:r>
        <w:rPr>
          <w:spacing w:val="-2"/>
        </w:rPr>
        <w:t>完成回购并注销股票</w:t>
      </w:r>
      <w:r>
        <w:rPr>
          <w:rFonts w:ascii="宋体" w:hAnsi="宋体" w:cs="宋体" w:eastAsia="宋体" w:hint="default"/>
          <w:spacing w:val="-2"/>
        </w:rPr>
        <w:t>4,178,761</w:t>
      </w:r>
      <w:r>
        <w:rPr>
          <w:spacing w:val="-2"/>
        </w:rPr>
        <w:t>股。</w:t>
      </w:r>
      <w:r>
        <w:rPr>
          <w:rFonts w:ascii="宋体" w:hAnsi="宋体" w:cs="宋体" w:eastAsia="宋体" w:hint="default"/>
          <w:spacing w:val="-2"/>
        </w:rPr>
        <w:t>2014</w:t>
      </w:r>
      <w:r>
        <w:rPr>
          <w:spacing w:val="-2"/>
        </w:rPr>
        <w:t>年</w:t>
      </w:r>
      <w:r>
        <w:rPr>
          <w:rFonts w:ascii="宋体" w:hAnsi="宋体" w:cs="宋体" w:eastAsia="宋体" w:hint="default"/>
          <w:spacing w:val="-2"/>
        </w:rPr>
        <w:t>9</w:t>
      </w:r>
      <w:r>
        <w:rPr>
          <w:spacing w:val="-2"/>
        </w:rPr>
        <w:t>月，公司</w:t>
      </w:r>
      <w:r>
        <w:rPr>
          <w:rFonts w:ascii="宋体" w:hAnsi="宋体" w:cs="宋体" w:eastAsia="宋体" w:hint="default"/>
          <w:spacing w:val="-2"/>
        </w:rPr>
        <w:t>2012</w:t>
      </w:r>
      <w:r>
        <w:rPr>
          <w:spacing w:val="-2"/>
        </w:rPr>
        <w:t>年第十次临时董事会审批通</w:t>
      </w:r>
      <w:r>
        <w:rPr>
          <w:spacing w:val="-76"/>
        </w:rPr>
        <w:t> </w:t>
      </w:r>
      <w:r>
        <w:rPr>
          <w:spacing w:val="-2"/>
        </w:rPr>
        <w:t>过的</w:t>
      </w:r>
      <w:r>
        <w:rPr>
          <w:rFonts w:ascii="宋体" w:hAnsi="宋体" w:cs="宋体" w:eastAsia="宋体" w:hint="default"/>
          <w:spacing w:val="-2"/>
        </w:rPr>
        <w:t>481,910</w:t>
      </w:r>
      <w:r>
        <w:rPr>
          <w:spacing w:val="-2"/>
        </w:rPr>
        <w:t>股也于本次完成回购并注销。</w:t>
      </w:r>
      <w:r>
        <w:rPr>
          <w:rFonts w:ascii="宋体" w:hAnsi="宋体" w:cs="宋体" w:eastAsia="宋体" w:hint="default"/>
          <w:spacing w:val="-2"/>
        </w:rPr>
        <w:t>2014</w:t>
      </w:r>
      <w:r>
        <w:rPr>
          <w:spacing w:val="-2"/>
        </w:rPr>
        <w:t>年</w:t>
      </w:r>
      <w:r>
        <w:rPr>
          <w:rFonts w:ascii="宋体" w:hAnsi="宋体" w:cs="宋体" w:eastAsia="宋体" w:hint="default"/>
          <w:spacing w:val="-2"/>
        </w:rPr>
        <w:t>8</w:t>
      </w:r>
      <w:r>
        <w:rPr>
          <w:spacing w:val="-2"/>
        </w:rPr>
        <w:t>月，因股权激励计划中被激励对象</w:t>
      </w:r>
      <w:r>
        <w:rPr>
          <w:spacing w:val="-82"/>
        </w:rPr>
        <w:t> </w:t>
      </w:r>
      <w:r>
        <w:rPr>
          <w:spacing w:val="-82"/>
        </w:rPr>
      </w:r>
      <w:r>
        <w:rPr/>
        <w:t>离职，经本公司</w:t>
      </w:r>
      <w:r>
        <w:rPr>
          <w:rFonts w:ascii="宋体" w:hAnsi="宋体" w:cs="宋体" w:eastAsia="宋体" w:hint="default"/>
        </w:rPr>
        <w:t>2014</w:t>
      </w:r>
      <w:r>
        <w:rPr/>
        <w:t>年</w:t>
      </w:r>
      <w:r>
        <w:rPr>
          <w:rFonts w:ascii="宋体" w:hAnsi="宋体" w:cs="宋体" w:eastAsia="宋体" w:hint="default"/>
        </w:rPr>
        <w:t>8</w:t>
      </w:r>
      <w:r>
        <w:rPr/>
        <w:t>月</w:t>
      </w:r>
      <w:r>
        <w:rPr>
          <w:rFonts w:ascii="宋体" w:hAnsi="宋体" w:cs="宋体" w:eastAsia="宋体" w:hint="default"/>
        </w:rPr>
        <w:t>25</w:t>
      </w:r>
      <w:r>
        <w:rPr/>
        <w:t>日第五届董事会第三次会议审议通过了回购并注销上述</w:t>
      </w:r>
    </w:p>
    <w:p>
      <w:pPr>
        <w:pStyle w:val="BodyText"/>
        <w:spacing w:line="310" w:lineRule="exact" w:before="30"/>
        <w:ind w:right="0"/>
        <w:jc w:val="left"/>
      </w:pPr>
      <w:r>
        <w:rPr/>
        <w:t>激励对象已获授但尚未解锁的股权激励股票的相关议案，回购并注销股票</w:t>
      </w:r>
      <w:r>
        <w:rPr>
          <w:rFonts w:ascii="宋体" w:hAnsi="宋体" w:cs="宋体" w:eastAsia="宋体" w:hint="default"/>
        </w:rPr>
        <w:t>49,512</w:t>
      </w:r>
      <w:r>
        <w:rPr/>
        <w:t>股。</w:t>
      </w:r>
      <w:r>
        <w:rPr>
          <w:spacing w:val="-56"/>
        </w:rPr>
        <w:t> </w:t>
      </w:r>
      <w:r>
        <w:rPr/>
        <w:t>减资后股本总额为</w:t>
      </w:r>
      <w:r>
        <w:rPr>
          <w:rFonts w:ascii="宋体" w:hAnsi="宋体" w:cs="宋体" w:eastAsia="宋体" w:hint="default"/>
        </w:rPr>
        <w:t>641,323,885.00</w:t>
      </w:r>
      <w:r>
        <w:rPr/>
        <w:t>股。</w:t>
      </w:r>
    </w:p>
    <w:p>
      <w:pPr>
        <w:pStyle w:val="BodyText"/>
        <w:spacing w:line="328" w:lineRule="auto" w:before="88"/>
        <w:ind w:left="618" w:right="0"/>
        <w:jc w:val="left"/>
      </w:pPr>
      <w:r>
        <w:rPr/>
        <w:t>本公司企业法人营业执照注册号：</w:t>
      </w:r>
      <w:r>
        <w:rPr>
          <w:rFonts w:ascii="宋体" w:hAnsi="宋体" w:cs="宋体" w:eastAsia="宋体" w:hint="default"/>
        </w:rPr>
        <w:t>110000005143778</w:t>
      </w:r>
      <w:r>
        <w:rPr/>
        <w:t>。 本公司注册地址：北京市海淀区学清路</w:t>
      </w:r>
      <w:r>
        <w:rPr>
          <w:spacing w:val="-60"/>
        </w:rPr>
        <w:t> </w:t>
      </w:r>
      <w:r>
        <w:rPr>
          <w:rFonts w:ascii="宋体" w:hAnsi="宋体" w:cs="宋体" w:eastAsia="宋体" w:hint="default"/>
        </w:rPr>
        <w:t>8</w:t>
      </w:r>
      <w:r>
        <w:rPr>
          <w:rFonts w:ascii="宋体" w:hAnsi="宋体" w:cs="宋体" w:eastAsia="宋体" w:hint="default"/>
          <w:spacing w:val="-60"/>
        </w:rPr>
        <w:t> </w:t>
      </w:r>
      <w:r>
        <w:rPr/>
        <w:t>号科技财富中心</w:t>
      </w:r>
      <w:r>
        <w:rPr>
          <w:spacing w:val="-60"/>
        </w:rPr>
        <w:t> </w:t>
      </w:r>
      <w:r>
        <w:rPr>
          <w:rFonts w:ascii="宋体" w:hAnsi="宋体" w:cs="宋体" w:eastAsia="宋体" w:hint="default"/>
        </w:rPr>
        <w:t>A</w:t>
      </w:r>
      <w:r>
        <w:rPr>
          <w:rFonts w:ascii="宋体" w:hAnsi="宋体" w:cs="宋体" w:eastAsia="宋体" w:hint="default"/>
          <w:spacing w:val="-60"/>
        </w:rPr>
        <w:t> </w:t>
      </w:r>
      <w:r>
        <w:rPr/>
        <w:t>座</w:t>
      </w:r>
      <w:r>
        <w:rPr>
          <w:spacing w:val="-60"/>
        </w:rPr>
        <w:t> </w:t>
      </w:r>
      <w:r>
        <w:rPr>
          <w:rFonts w:ascii="宋体" w:hAnsi="宋体" w:cs="宋体" w:eastAsia="宋体" w:hint="default"/>
        </w:rPr>
        <w:t>11</w:t>
      </w:r>
      <w:r>
        <w:rPr>
          <w:rFonts w:ascii="宋体" w:hAnsi="宋体" w:cs="宋体" w:eastAsia="宋体" w:hint="default"/>
          <w:spacing w:val="-60"/>
        </w:rPr>
        <w:t> </w:t>
      </w:r>
      <w:r>
        <w:rPr/>
        <w:t>层。 </w:t>
      </w:r>
      <w:r>
        <w:rPr>
          <w:spacing w:val="-2"/>
        </w:rPr>
        <w:t>本公司经营范围：技术开发、技术咨询、技术服务、技术培训；承接计算机信息</w:t>
      </w:r>
    </w:p>
    <w:p>
      <w:pPr>
        <w:pStyle w:val="BodyText"/>
        <w:spacing w:line="221" w:lineRule="exact"/>
        <w:ind w:right="0"/>
        <w:jc w:val="left"/>
      </w:pPr>
      <w:r>
        <w:rPr>
          <w:spacing w:val="-8"/>
        </w:rPr>
        <w:t>系统集成；销售计算机软、硬件及外围设备、通信设备；电子商务服务；货物进出口；</w:t>
      </w:r>
    </w:p>
    <w:p>
      <w:pPr>
        <w:pStyle w:val="BodyText"/>
        <w:spacing w:line="328" w:lineRule="auto"/>
        <w:ind w:left="618" w:right="217" w:hanging="480"/>
        <w:jc w:val="left"/>
        <w:rPr>
          <w:rFonts w:ascii="宋体" w:hAnsi="宋体" w:cs="宋体" w:eastAsia="宋体" w:hint="default"/>
        </w:rPr>
      </w:pPr>
      <w:r>
        <w:rPr/>
        <w:t>技术进出口；代理进出口。 本财务报表及财务报表附注业经本公司第五届董事会第四次会议于</w:t>
      </w:r>
      <w:r>
        <w:rPr>
          <w:spacing w:val="-82"/>
        </w:rPr>
        <w:t> </w:t>
      </w:r>
      <w:r>
        <w:rPr>
          <w:rFonts w:ascii="宋体" w:hAnsi="宋体" w:cs="宋体" w:eastAsia="宋体" w:hint="default"/>
        </w:rPr>
        <w:t>2015</w:t>
      </w:r>
      <w:r>
        <w:rPr>
          <w:rFonts w:ascii="宋体" w:hAnsi="宋体" w:cs="宋体" w:eastAsia="宋体" w:hint="default"/>
          <w:spacing w:val="-82"/>
        </w:rPr>
        <w:t> </w:t>
      </w:r>
      <w:r>
        <w:rPr/>
        <w:t>年</w:t>
      </w:r>
      <w:r>
        <w:rPr>
          <w:spacing w:val="-82"/>
        </w:rPr>
        <w:t> </w:t>
      </w:r>
      <w:r>
        <w:rPr>
          <w:rFonts w:ascii="宋体" w:hAnsi="宋体" w:cs="宋体" w:eastAsia="宋体" w:hint="default"/>
        </w:rPr>
        <w:t>4</w:t>
      </w:r>
      <w:r>
        <w:rPr>
          <w:rFonts w:ascii="宋体" w:hAnsi="宋体" w:cs="宋体" w:eastAsia="宋体" w:hint="default"/>
          <w:spacing w:val="-82"/>
        </w:rPr>
        <w:t> </w:t>
      </w:r>
      <w:r>
        <w:rPr/>
        <w:t>月</w:t>
      </w:r>
      <w:r>
        <w:rPr>
          <w:spacing w:val="-81"/>
        </w:rPr>
        <w:t> </w:t>
      </w:r>
      <w:r>
        <w:rPr>
          <w:rFonts w:ascii="宋体" w:hAnsi="宋体" w:cs="宋体" w:eastAsia="宋体" w:hint="default"/>
        </w:rPr>
        <w:t>8</w:t>
      </w:r>
    </w:p>
    <w:p>
      <w:pPr>
        <w:pStyle w:val="BodyText"/>
        <w:spacing w:line="223" w:lineRule="exact"/>
        <w:ind w:right="0"/>
        <w:jc w:val="left"/>
      </w:pPr>
      <w:r>
        <w:rPr/>
        <w:t>日批准。</w:t>
      </w:r>
    </w:p>
    <w:p>
      <w:pPr>
        <w:pStyle w:val="BodyText"/>
        <w:spacing w:line="240" w:lineRule="auto" w:before="116"/>
        <w:ind w:left="618" w:right="0"/>
        <w:jc w:val="left"/>
      </w:pPr>
      <w:r>
        <w:rPr>
          <w:rFonts w:ascii="宋体" w:hAnsi="宋体" w:cs="宋体" w:eastAsia="宋体" w:hint="default"/>
        </w:rPr>
        <w:t>2014</w:t>
      </w:r>
      <w:r>
        <w:rPr/>
        <w:t>年度（除特别注明外，金额单位为人民币元）</w:t>
      </w:r>
    </w:p>
    <w:p>
      <w:pPr>
        <w:spacing w:line="240" w:lineRule="auto" w:before="0"/>
        <w:rPr>
          <w:rFonts w:ascii="宋体" w:hAnsi="宋体" w:cs="宋体" w:eastAsia="宋体" w:hint="default"/>
          <w:sz w:val="24"/>
          <w:szCs w:val="24"/>
        </w:rPr>
      </w:pPr>
    </w:p>
    <w:p>
      <w:pPr>
        <w:tabs>
          <w:tab w:pos="557" w:val="left" w:leader="none"/>
        </w:tabs>
        <w:spacing w:line="259" w:lineRule="auto" w:before="195"/>
        <w:ind w:left="558" w:right="245" w:hanging="420"/>
        <w:jc w:val="left"/>
        <w:rPr>
          <w:rFonts w:ascii="宋体" w:hAnsi="宋体" w:cs="宋体" w:eastAsia="宋体" w:hint="default"/>
          <w:sz w:val="24"/>
          <w:szCs w:val="24"/>
        </w:rPr>
      </w:pPr>
      <w:r>
        <w:rPr>
          <w:rFonts w:ascii="Calibri" w:hAnsi="Calibri" w:cs="Calibri" w:eastAsia="Calibri" w:hint="default"/>
          <w:b/>
          <w:bCs/>
          <w:spacing w:val="-1"/>
          <w:sz w:val="24"/>
          <w:szCs w:val="24"/>
        </w:rPr>
        <w:t>2.</w:t>
        <w:tab/>
      </w:r>
      <w:r>
        <w:rPr>
          <w:rFonts w:ascii="宋体" w:hAnsi="宋体" w:cs="宋体" w:eastAsia="宋体" w:hint="default"/>
          <w:b/>
          <w:bCs/>
          <w:sz w:val="24"/>
          <w:szCs w:val="24"/>
        </w:rPr>
        <w:t>合并财务报表范围</w:t>
      </w:r>
      <w:r>
        <w:rPr>
          <w:rFonts w:ascii="宋体" w:hAnsi="宋体" w:cs="宋体" w:eastAsia="宋体" w:hint="default"/>
          <w:b/>
          <w:bCs/>
          <w:w w:val="99"/>
          <w:sz w:val="24"/>
          <w:szCs w:val="24"/>
        </w:rPr>
        <w:t> </w:t>
      </w:r>
      <w:r>
        <w:rPr>
          <w:rFonts w:ascii="宋体" w:hAnsi="宋体" w:cs="宋体" w:eastAsia="宋体" w:hint="default"/>
          <w:sz w:val="24"/>
          <w:szCs w:val="24"/>
        </w:rPr>
        <w:t>本报告期合并财务报表的合并范围包括本公司及全部子公司，本年新设立五家子</w:t>
      </w:r>
    </w:p>
    <w:p>
      <w:pPr>
        <w:pStyle w:val="BodyText"/>
        <w:spacing w:line="310" w:lineRule="exact" w:before="10"/>
        <w:ind w:right="0"/>
        <w:jc w:val="left"/>
      </w:pPr>
      <w:r>
        <w:rPr>
          <w:spacing w:val="-8"/>
        </w:rPr>
        <w:t>公司包括华胜蓝泰科技（天津）有限责任公司、北京新云东方系统科技有限责任公司、</w:t>
      </w:r>
      <w:r>
        <w:rPr>
          <w:spacing w:val="-104"/>
        </w:rPr>
        <w:t> </w:t>
      </w:r>
      <w:r>
        <w:rPr>
          <w:spacing w:val="-104"/>
        </w:rPr>
      </w:r>
      <w:r>
        <w:rPr>
          <w:spacing w:val="-8"/>
        </w:rPr>
        <w:t>北京华胜天成低碳产业创业投资中心（有限合伙）、天津兰德纵横网络技术有限公司、</w:t>
      </w:r>
    </w:p>
    <w:p>
      <w:pPr>
        <w:pStyle w:val="BodyText"/>
        <w:spacing w:line="310" w:lineRule="exact" w:before="2"/>
        <w:ind w:right="0"/>
        <w:jc w:val="left"/>
      </w:pPr>
      <w:r>
        <w:rPr>
          <w:spacing w:val="-2"/>
        </w:rPr>
        <w:t>华胜信泰科技有限公司，新纳入合并范围两家子公司包括石家庄华胜正明软件技术有</w:t>
      </w:r>
      <w:r>
        <w:rPr>
          <w:spacing w:val="-93"/>
        </w:rPr>
        <w:t> </w:t>
      </w:r>
      <w:r>
        <w:rPr>
          <w:spacing w:val="-93"/>
        </w:rPr>
      </w:r>
      <w:r>
        <w:rPr>
          <w:spacing w:val="-8"/>
        </w:rPr>
        <w:t>限公司、北京中域绿色智能城市系统研究院（有限合伙），变动情况详见本“附注六、</w:t>
      </w:r>
    </w:p>
    <w:p>
      <w:pPr>
        <w:pStyle w:val="BodyText"/>
        <w:spacing w:line="310" w:lineRule="exact" w:before="2"/>
        <w:ind w:right="0"/>
        <w:jc w:val="left"/>
      </w:pPr>
      <w:r>
        <w:rPr>
          <w:spacing w:val="-2"/>
        </w:rPr>
        <w:t>合并范围的变动”，本公司在其他主体中的权益情况详见本“附注七、在其他主体中</w:t>
      </w:r>
      <w:r>
        <w:rPr>
          <w:spacing w:val="-94"/>
        </w:rPr>
        <w:t> </w:t>
      </w:r>
      <w:r>
        <w:rPr>
          <w:spacing w:val="-94"/>
        </w:rPr>
      </w:r>
      <w:r>
        <w:rPr/>
        <w:t>的权益”。</w:t>
      </w:r>
    </w:p>
    <w:p>
      <w:pPr>
        <w:spacing w:line="240" w:lineRule="auto" w:before="0"/>
        <w:rPr>
          <w:rFonts w:ascii="宋体" w:hAnsi="宋体" w:cs="宋体" w:eastAsia="宋体" w:hint="default"/>
          <w:sz w:val="24"/>
          <w:szCs w:val="24"/>
        </w:rPr>
      </w:pPr>
    </w:p>
    <w:p>
      <w:pPr>
        <w:pStyle w:val="Heading2"/>
        <w:tabs>
          <w:tab w:pos="977" w:val="left" w:leader="none"/>
        </w:tabs>
        <w:spacing w:line="240" w:lineRule="auto" w:before="167"/>
        <w:ind w:left="138" w:right="0"/>
        <w:jc w:val="left"/>
        <w:rPr>
          <w:b w:val="0"/>
          <w:bCs w:val="0"/>
        </w:rPr>
      </w:pPr>
      <w:r>
        <w:rPr>
          <w:w w:val="95"/>
        </w:rPr>
        <w:t>四、</w:t>
        <w:tab/>
      </w:r>
      <w:r>
        <w:rPr/>
        <w:t>财务报表的编制基础</w:t>
      </w:r>
      <w:r>
        <w:rPr>
          <w:b w:val="0"/>
          <w:bCs w:val="0"/>
        </w:rPr>
      </w:r>
    </w:p>
    <w:p>
      <w:pPr>
        <w:pStyle w:val="Heading2"/>
        <w:tabs>
          <w:tab w:pos="562" w:val="left" w:leader="none"/>
        </w:tabs>
        <w:spacing w:line="240" w:lineRule="auto" w:before="118"/>
        <w:ind w:left="138" w:right="0"/>
        <w:jc w:val="left"/>
        <w:rPr>
          <w:b w:val="0"/>
          <w:bCs w:val="0"/>
        </w:rPr>
      </w:pPr>
      <w:r>
        <w:rPr>
          <w:rFonts w:ascii="Calibri" w:hAnsi="Calibri" w:cs="Calibri" w:eastAsia="Calibri" w:hint="default"/>
          <w:spacing w:val="-1"/>
        </w:rPr>
        <w:t>1.</w:t>
        <w:tab/>
      </w:r>
      <w:r>
        <w:rPr>
          <w:spacing w:val="1"/>
        </w:rPr>
        <w:t>编制基础</w:t>
      </w:r>
      <w:r>
        <w:rPr>
          <w:b w:val="0"/>
          <w:bCs w:val="0"/>
        </w:rPr>
      </w:r>
    </w:p>
    <w:p>
      <w:pPr>
        <w:pStyle w:val="BodyText"/>
        <w:spacing w:line="312" w:lineRule="exact" w:before="86"/>
        <w:ind w:left="618" w:right="0"/>
        <w:jc w:val="left"/>
      </w:pPr>
      <w:r>
        <w:rPr/>
        <w:t>本财务报表按照财政部颁布的企业会计准则及其应用指南、解释及其他有关规定</w:t>
      </w:r>
    </w:p>
    <w:p>
      <w:pPr>
        <w:pStyle w:val="BodyText"/>
        <w:spacing w:line="237" w:lineRule="auto" w:before="1"/>
        <w:ind w:right="234"/>
        <w:jc w:val="both"/>
      </w:pPr>
      <w:r>
        <w:rPr>
          <w:spacing w:val="-2"/>
        </w:rPr>
        <w:t>（统称“企业会计准则”）编制。此外，本集团还按照中国证监会《公开发行证券的</w:t>
      </w:r>
      <w:r>
        <w:rPr>
          <w:spacing w:val="-94"/>
        </w:rPr>
        <w:t> </w:t>
      </w:r>
      <w:r>
        <w:rPr>
          <w:spacing w:val="-94"/>
        </w:rPr>
      </w:r>
      <w:r>
        <w:rPr/>
        <w:t>公司信息披露编报规则第</w:t>
      </w:r>
      <w:r>
        <w:rPr>
          <w:spacing w:val="-60"/>
        </w:rPr>
        <w:t> </w:t>
      </w:r>
      <w:r>
        <w:rPr>
          <w:rFonts w:ascii="宋体" w:hAnsi="宋体" w:cs="宋体" w:eastAsia="宋体" w:hint="default"/>
        </w:rPr>
        <w:t>15</w:t>
      </w:r>
      <w:r>
        <w:rPr>
          <w:rFonts w:ascii="宋体" w:hAnsi="宋体" w:cs="宋体" w:eastAsia="宋体" w:hint="default"/>
          <w:spacing w:val="-60"/>
        </w:rPr>
        <w:t> </w:t>
      </w:r>
      <w:r>
        <w:rPr/>
        <w:t>号—财务报告的一般规定》（</w:t>
      </w:r>
      <w:r>
        <w:rPr>
          <w:rFonts w:ascii="宋体" w:hAnsi="宋体" w:cs="宋体" w:eastAsia="宋体" w:hint="default"/>
        </w:rPr>
        <w:t>2014</w:t>
      </w:r>
      <w:r>
        <w:rPr>
          <w:rFonts w:ascii="宋体" w:hAnsi="宋体" w:cs="宋体" w:eastAsia="宋体" w:hint="default"/>
          <w:spacing w:val="-60"/>
        </w:rPr>
        <w:t> </w:t>
      </w:r>
      <w:r>
        <w:rPr/>
        <w:t>年修订）披露有关财 务信息。</w:t>
      </w:r>
    </w:p>
    <w:p>
      <w:pPr>
        <w:pStyle w:val="BodyText"/>
        <w:spacing w:line="331" w:lineRule="auto" w:before="117"/>
        <w:ind w:left="618" w:right="0"/>
        <w:jc w:val="left"/>
      </w:pPr>
      <w:r>
        <w:rPr/>
        <w:t>本财务报表以持续经营为基础列报。 </w:t>
      </w:r>
      <w:r>
        <w:rPr>
          <w:spacing w:val="-2"/>
        </w:rPr>
        <w:t>本集团会计核算以权责发生制为基础。除某些金融工具外，本财务报表均以历史</w:t>
      </w:r>
    </w:p>
    <w:p>
      <w:pPr>
        <w:pStyle w:val="BodyText"/>
        <w:spacing w:line="220" w:lineRule="exact"/>
        <w:ind w:right="0"/>
        <w:jc w:val="left"/>
      </w:pPr>
      <w:r>
        <w:rPr/>
        <w:t>成本为计量基础。持有待售的非流动资产，按公允价值减去预计费用后的金额，以及</w:t>
      </w:r>
    </w:p>
    <w:p>
      <w:pPr>
        <w:spacing w:after="0" w:line="220" w:lineRule="exact"/>
        <w:jc w:val="left"/>
        <w:sectPr>
          <w:pgSz w:w="11910" w:h="16840"/>
          <w:pgMar w:header="882" w:footer="1194" w:top="1120" w:bottom="1380" w:left="1660" w:right="1040"/>
        </w:sectPr>
      </w:pPr>
    </w:p>
    <w:p>
      <w:pPr>
        <w:spacing w:line="240" w:lineRule="auto" w:before="9"/>
        <w:rPr>
          <w:rFonts w:ascii="宋体" w:hAnsi="宋体" w:cs="宋体" w:eastAsia="宋体" w:hint="default"/>
          <w:sz w:val="25"/>
          <w:szCs w:val="25"/>
        </w:rPr>
      </w:pPr>
    </w:p>
    <w:p>
      <w:pPr>
        <w:pStyle w:val="BodyText"/>
        <w:spacing w:line="310" w:lineRule="exact" w:before="58"/>
        <w:ind w:right="0"/>
        <w:jc w:val="left"/>
      </w:pPr>
      <w:r>
        <w:rPr>
          <w:spacing w:val="-2"/>
        </w:rPr>
        <w:t>符合持有待售条件时的原账面价值，取两者孰低计价。资产如果发生减值，则按照相</w:t>
      </w:r>
      <w:r>
        <w:rPr>
          <w:spacing w:val="-94"/>
        </w:rPr>
        <w:t> </w:t>
      </w:r>
      <w:r>
        <w:rPr>
          <w:spacing w:val="-94"/>
        </w:rPr>
      </w:r>
      <w:r>
        <w:rPr/>
        <w:t>关规定计提相应的减值准备。</w:t>
      </w:r>
    </w:p>
    <w:p>
      <w:pPr>
        <w:spacing w:line="240" w:lineRule="auto" w:before="0"/>
        <w:rPr>
          <w:rFonts w:ascii="宋体" w:hAnsi="宋体" w:cs="宋体" w:eastAsia="宋体" w:hint="default"/>
          <w:sz w:val="24"/>
          <w:szCs w:val="24"/>
        </w:rPr>
      </w:pPr>
    </w:p>
    <w:p>
      <w:pPr>
        <w:pStyle w:val="Heading2"/>
        <w:tabs>
          <w:tab w:pos="562" w:val="left" w:leader="none"/>
        </w:tabs>
        <w:spacing w:line="240" w:lineRule="auto" w:before="207"/>
        <w:ind w:left="138" w:right="0"/>
        <w:jc w:val="left"/>
        <w:rPr>
          <w:b w:val="0"/>
          <w:bCs w:val="0"/>
        </w:rPr>
      </w:pPr>
      <w:r>
        <w:rPr>
          <w:rFonts w:ascii="Calibri" w:hAnsi="Calibri" w:cs="Calibri" w:eastAsia="Calibri" w:hint="default"/>
          <w:spacing w:val="-1"/>
        </w:rPr>
        <w:t>2.</w:t>
        <w:tab/>
      </w:r>
      <w:r>
        <w:rPr>
          <w:spacing w:val="1"/>
        </w:rPr>
        <w:t>持续经营</w:t>
      </w:r>
      <w:r>
        <w:rPr>
          <w:b w:val="0"/>
          <w:bCs w:val="0"/>
        </w:rPr>
      </w:r>
    </w:p>
    <w:p>
      <w:pPr>
        <w:pStyle w:val="BodyText"/>
        <w:spacing w:line="240" w:lineRule="auto" w:before="86"/>
        <w:ind w:left="618" w:right="0"/>
        <w:jc w:val="left"/>
      </w:pPr>
      <w:r>
        <w:rPr/>
        <w:t>本财务报表以持续经营为基础列报。</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tabs>
          <w:tab w:pos="977" w:val="left" w:leader="none"/>
        </w:tabs>
        <w:spacing w:line="328" w:lineRule="auto" w:before="0"/>
        <w:ind w:left="138" w:right="5577" w:firstLine="0"/>
        <w:jc w:val="left"/>
        <w:rPr>
          <w:rFonts w:ascii="宋体" w:hAnsi="宋体" w:cs="宋体" w:eastAsia="宋体" w:hint="default"/>
          <w:sz w:val="24"/>
          <w:szCs w:val="24"/>
        </w:rPr>
      </w:pPr>
      <w:r>
        <w:rPr>
          <w:rFonts w:ascii="宋体" w:hAnsi="宋体" w:cs="宋体" w:eastAsia="宋体" w:hint="default"/>
          <w:b/>
          <w:bCs/>
          <w:w w:val="95"/>
          <w:sz w:val="24"/>
          <w:szCs w:val="24"/>
        </w:rPr>
        <w:t>五、</w:t>
        <w:tab/>
      </w:r>
      <w:r>
        <w:rPr>
          <w:rFonts w:ascii="宋体" w:hAnsi="宋体" w:cs="宋体" w:eastAsia="宋体" w:hint="default"/>
          <w:b/>
          <w:bCs/>
          <w:sz w:val="24"/>
          <w:szCs w:val="24"/>
        </w:rPr>
        <w:t>重要会计政策及会计估计</w:t>
      </w:r>
      <w:r>
        <w:rPr>
          <w:rFonts w:ascii="宋体" w:hAnsi="宋体" w:cs="宋体" w:eastAsia="宋体" w:hint="default"/>
          <w:b/>
          <w:bCs/>
          <w:w w:val="99"/>
          <w:sz w:val="24"/>
          <w:szCs w:val="24"/>
        </w:rPr>
        <w:t> </w:t>
      </w:r>
      <w:r>
        <w:rPr>
          <w:rFonts w:ascii="宋体" w:hAnsi="宋体" w:cs="宋体" w:eastAsia="宋体" w:hint="default"/>
          <w:sz w:val="24"/>
          <w:szCs w:val="24"/>
        </w:rPr>
        <w:t>具体会计政策和会计估计提示：</w:t>
      </w:r>
    </w:p>
    <w:p>
      <w:pPr>
        <w:pStyle w:val="BodyText"/>
        <w:spacing w:line="312" w:lineRule="exact" w:before="29"/>
        <w:ind w:left="618" w:right="0"/>
        <w:jc w:val="left"/>
      </w:pPr>
      <w:r>
        <w:rPr/>
        <w:t>本集团根据自身生产经营特点，确定固定资产折旧、无形资产摊销、研发费用资</w:t>
      </w:r>
    </w:p>
    <w:p>
      <w:pPr>
        <w:pStyle w:val="BodyText"/>
        <w:spacing w:line="312" w:lineRule="exact" w:before="29"/>
        <w:ind w:right="0"/>
        <w:jc w:val="left"/>
      </w:pPr>
      <w:r>
        <w:rPr/>
        <w:t>本化条件以及收入确认政策，具体会计政策参见附注三、</w:t>
      </w:r>
      <w:r>
        <w:rPr>
          <w:rFonts w:ascii="宋体" w:hAnsi="宋体" w:cs="宋体" w:eastAsia="宋体" w:hint="default"/>
        </w:rPr>
        <w:t>16</w:t>
      </w:r>
      <w:r>
        <w:rPr/>
        <w:t>、附注三、</w:t>
      </w:r>
      <w:r>
        <w:rPr>
          <w:rFonts w:ascii="宋体" w:hAnsi="宋体" w:cs="宋体" w:eastAsia="宋体" w:hint="default"/>
        </w:rPr>
        <w:t>19</w:t>
      </w:r>
      <w:r>
        <w:rPr/>
        <w:t>、附注三、</w:t>
      </w:r>
      <w:r>
        <w:rPr>
          <w:spacing w:val="-58"/>
        </w:rPr>
        <w:t> </w:t>
      </w:r>
      <w:r>
        <w:rPr>
          <w:rFonts w:ascii="宋体" w:hAnsi="宋体" w:cs="宋体" w:eastAsia="宋体" w:hint="default"/>
        </w:rPr>
        <w:t>20</w:t>
      </w:r>
      <w:r>
        <w:rPr>
          <w:rFonts w:ascii="宋体" w:hAnsi="宋体" w:cs="宋体" w:eastAsia="宋体" w:hint="default"/>
          <w:spacing w:val="-60"/>
        </w:rPr>
        <w:t> </w:t>
      </w:r>
      <w:r>
        <w:rPr/>
        <w:t>和附注三、</w:t>
      </w:r>
      <w:r>
        <w:rPr>
          <w:rFonts w:ascii="宋体" w:hAnsi="宋体" w:cs="宋体" w:eastAsia="宋体" w:hint="default"/>
        </w:rPr>
        <w:t>26</w:t>
      </w:r>
      <w:r>
        <w:rPr/>
        <w:t>。</w:t>
      </w:r>
    </w:p>
    <w:p>
      <w:pPr>
        <w:pStyle w:val="Heading2"/>
        <w:tabs>
          <w:tab w:pos="562" w:val="left" w:leader="none"/>
        </w:tabs>
        <w:spacing w:line="240" w:lineRule="auto" w:before="88"/>
        <w:ind w:left="138" w:right="0"/>
        <w:jc w:val="left"/>
        <w:rPr>
          <w:b w:val="0"/>
          <w:bCs w:val="0"/>
        </w:rPr>
      </w:pPr>
      <w:r>
        <w:rPr>
          <w:rFonts w:ascii="Calibri" w:hAnsi="Calibri" w:cs="Calibri" w:eastAsia="Calibri" w:hint="default"/>
          <w:spacing w:val="-1"/>
        </w:rPr>
        <w:t>1.</w:t>
        <w:tab/>
      </w:r>
      <w:r>
        <w:rPr/>
        <w:t>遵循企业会计准则的声明</w:t>
      </w:r>
      <w:r>
        <w:rPr>
          <w:b w:val="0"/>
          <w:bCs w:val="0"/>
        </w:rPr>
      </w:r>
    </w:p>
    <w:p>
      <w:pPr>
        <w:pStyle w:val="BodyText"/>
        <w:spacing w:line="313" w:lineRule="exact" w:before="86"/>
        <w:ind w:left="618" w:right="0"/>
        <w:jc w:val="left"/>
      </w:pPr>
      <w:r>
        <w:rPr/>
        <w:t>本财务报表符合企业会计准则的要求，真实、完整地反映了本公司</w:t>
      </w:r>
      <w:r>
        <w:rPr>
          <w:spacing w:val="-72"/>
        </w:rPr>
        <w:t> </w:t>
      </w:r>
      <w:r>
        <w:rPr>
          <w:rFonts w:ascii="宋体" w:hAnsi="宋体" w:cs="宋体" w:eastAsia="宋体" w:hint="default"/>
        </w:rPr>
        <w:t>2014</w:t>
      </w:r>
      <w:r>
        <w:rPr>
          <w:rFonts w:ascii="宋体" w:hAnsi="宋体" w:cs="宋体" w:eastAsia="宋体" w:hint="default"/>
          <w:spacing w:val="-72"/>
        </w:rPr>
        <w:t> </w:t>
      </w:r>
      <w:r>
        <w:rPr/>
        <w:t>年</w:t>
      </w:r>
      <w:r>
        <w:rPr>
          <w:spacing w:val="-72"/>
        </w:rPr>
        <w:t> </w:t>
      </w:r>
      <w:r>
        <w:rPr>
          <w:rFonts w:ascii="宋体" w:hAnsi="宋体" w:cs="宋体" w:eastAsia="宋体" w:hint="default"/>
        </w:rPr>
        <w:t>12</w:t>
      </w:r>
      <w:r>
        <w:rPr>
          <w:rFonts w:ascii="宋体" w:hAnsi="宋体" w:cs="宋体" w:eastAsia="宋体" w:hint="default"/>
          <w:spacing w:val="-72"/>
        </w:rPr>
        <w:t> </w:t>
      </w:r>
      <w:r>
        <w:rPr/>
        <w:t>月</w:t>
      </w:r>
    </w:p>
    <w:p>
      <w:pPr>
        <w:pStyle w:val="BodyText"/>
        <w:spacing w:line="310" w:lineRule="exact" w:before="31"/>
        <w:ind w:right="228"/>
        <w:jc w:val="left"/>
      </w:pPr>
      <w:r>
        <w:rPr>
          <w:rFonts w:ascii="宋体" w:hAnsi="宋体" w:cs="宋体" w:eastAsia="宋体" w:hint="default"/>
        </w:rPr>
        <w:t>31</w:t>
      </w:r>
      <w:r>
        <w:rPr>
          <w:rFonts w:ascii="宋体" w:hAnsi="宋体" w:cs="宋体" w:eastAsia="宋体" w:hint="default"/>
          <w:spacing w:val="-60"/>
        </w:rPr>
        <w:t> </w:t>
      </w:r>
      <w:r>
        <w:rPr/>
        <w:t>日的合并及公司财务状况以及</w:t>
      </w:r>
      <w:r>
        <w:rPr>
          <w:spacing w:val="-60"/>
        </w:rPr>
        <w:t> </w:t>
      </w:r>
      <w:r>
        <w:rPr>
          <w:rFonts w:ascii="宋体" w:hAnsi="宋体" w:cs="宋体" w:eastAsia="宋体" w:hint="default"/>
        </w:rPr>
        <w:t>2014</w:t>
      </w:r>
      <w:r>
        <w:rPr>
          <w:rFonts w:ascii="宋体" w:hAnsi="宋体" w:cs="宋体" w:eastAsia="宋体" w:hint="default"/>
          <w:spacing w:val="-60"/>
        </w:rPr>
        <w:t> </w:t>
      </w:r>
      <w:r>
        <w:rPr/>
        <w:t>年度的合并及公司经营成果和合并及公司现金 流量等有关信息。</w:t>
      </w:r>
    </w:p>
    <w:p>
      <w:pPr>
        <w:spacing w:line="240" w:lineRule="auto" w:before="0"/>
        <w:rPr>
          <w:rFonts w:ascii="宋体" w:hAnsi="宋体" w:cs="宋体" w:eastAsia="宋体" w:hint="default"/>
          <w:sz w:val="24"/>
          <w:szCs w:val="24"/>
        </w:rPr>
      </w:pPr>
    </w:p>
    <w:p>
      <w:pPr>
        <w:pStyle w:val="Heading2"/>
        <w:tabs>
          <w:tab w:pos="562" w:val="left" w:leader="none"/>
        </w:tabs>
        <w:spacing w:line="240" w:lineRule="auto" w:before="206"/>
        <w:ind w:left="138" w:right="0"/>
        <w:jc w:val="left"/>
        <w:rPr>
          <w:b w:val="0"/>
          <w:bCs w:val="0"/>
        </w:rPr>
      </w:pPr>
      <w:r>
        <w:rPr>
          <w:rFonts w:ascii="Calibri" w:hAnsi="Calibri" w:cs="Calibri" w:eastAsia="Calibri" w:hint="default"/>
          <w:spacing w:val="-1"/>
        </w:rPr>
        <w:t>2.</w:t>
        <w:tab/>
      </w:r>
      <w:r>
        <w:rPr>
          <w:spacing w:val="1"/>
        </w:rPr>
        <w:t>会计期间</w:t>
      </w:r>
      <w:r>
        <w:rPr>
          <w:b w:val="0"/>
          <w:bCs w:val="0"/>
        </w:rPr>
      </w:r>
    </w:p>
    <w:p>
      <w:pPr>
        <w:pStyle w:val="BodyText"/>
        <w:spacing w:line="240" w:lineRule="auto" w:before="86"/>
        <w:ind w:left="618" w:right="0"/>
        <w:jc w:val="left"/>
      </w:pPr>
      <w:r>
        <w:rPr/>
        <w:t>本集团会计期间采用公历年度，即每年自</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日起至</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日止。</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Heading2"/>
        <w:tabs>
          <w:tab w:pos="562" w:val="left" w:leader="none"/>
        </w:tabs>
        <w:spacing w:line="240" w:lineRule="auto" w:before="0"/>
        <w:ind w:left="138" w:right="0"/>
        <w:jc w:val="left"/>
        <w:rPr>
          <w:b w:val="0"/>
          <w:bCs w:val="0"/>
        </w:rPr>
      </w:pPr>
      <w:r>
        <w:rPr>
          <w:rFonts w:ascii="Calibri" w:hAnsi="Calibri" w:cs="Calibri" w:eastAsia="Calibri" w:hint="default"/>
          <w:spacing w:val="-1"/>
        </w:rPr>
        <w:t>3.</w:t>
        <w:tab/>
      </w:r>
      <w:r>
        <w:rPr>
          <w:spacing w:val="1"/>
        </w:rPr>
        <w:t>营业周期</w:t>
      </w:r>
      <w:r>
        <w:rPr>
          <w:b w:val="0"/>
          <w:bCs w:val="0"/>
        </w:rPr>
      </w:r>
    </w:p>
    <w:p>
      <w:pPr>
        <w:pStyle w:val="BodyText"/>
        <w:spacing w:line="240" w:lineRule="auto" w:before="86"/>
        <w:ind w:left="618" w:right="0"/>
        <w:jc w:val="left"/>
      </w:pPr>
      <w:r>
        <w:rPr/>
        <w:t>本集团的营业周期为</w:t>
      </w:r>
      <w:r>
        <w:rPr>
          <w:spacing w:val="-60"/>
        </w:rPr>
        <w:t> </w:t>
      </w:r>
      <w:r>
        <w:rPr>
          <w:rFonts w:ascii="宋体" w:hAnsi="宋体" w:cs="宋体" w:eastAsia="宋体" w:hint="default"/>
        </w:rPr>
        <w:t>12</w:t>
      </w:r>
      <w:r>
        <w:rPr>
          <w:rFonts w:ascii="宋体" w:hAnsi="宋体" w:cs="宋体" w:eastAsia="宋体" w:hint="default"/>
          <w:spacing w:val="-60"/>
        </w:rPr>
        <w:t> </w:t>
      </w:r>
      <w:r>
        <w:rPr/>
        <w:t>个月。</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tabs>
          <w:tab w:pos="562" w:val="left" w:leader="none"/>
        </w:tabs>
        <w:spacing w:line="300" w:lineRule="auto" w:before="0"/>
        <w:ind w:left="618" w:right="233" w:hanging="480"/>
        <w:jc w:val="left"/>
        <w:rPr>
          <w:rFonts w:ascii="宋体" w:hAnsi="宋体" w:cs="宋体" w:eastAsia="宋体" w:hint="default"/>
          <w:sz w:val="24"/>
          <w:szCs w:val="24"/>
        </w:rPr>
      </w:pPr>
      <w:r>
        <w:rPr>
          <w:rFonts w:ascii="Calibri" w:hAnsi="Calibri" w:cs="Calibri" w:eastAsia="Calibri" w:hint="default"/>
          <w:b/>
          <w:bCs/>
          <w:spacing w:val="-1"/>
          <w:sz w:val="24"/>
          <w:szCs w:val="24"/>
        </w:rPr>
        <w:t>4.</w:t>
        <w:tab/>
      </w:r>
      <w:r>
        <w:rPr>
          <w:rFonts w:ascii="宋体" w:hAnsi="宋体" w:cs="宋体" w:eastAsia="宋体" w:hint="default"/>
          <w:b/>
          <w:bCs/>
          <w:spacing w:val="1"/>
          <w:sz w:val="24"/>
          <w:szCs w:val="24"/>
        </w:rPr>
        <w:t>记账本位币</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本公司及境内子公司以人民币为记账本位币。本公司之境外子公司根据其经营所</w:t>
      </w:r>
    </w:p>
    <w:p>
      <w:pPr>
        <w:pStyle w:val="BodyText"/>
        <w:spacing w:line="250" w:lineRule="exact"/>
        <w:ind w:right="0"/>
        <w:jc w:val="left"/>
      </w:pPr>
      <w:r>
        <w:rPr/>
        <w:t>处的主要经济环境中的货币确定其记账本位币。本集团编制本财务报表时所采用的货</w:t>
      </w:r>
    </w:p>
    <w:p>
      <w:pPr>
        <w:pStyle w:val="BodyText"/>
        <w:spacing w:line="312" w:lineRule="exact"/>
        <w:ind w:right="0"/>
        <w:jc w:val="left"/>
      </w:pPr>
      <w:r>
        <w:rPr/>
        <w:t>币为人民币。</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Heading2"/>
        <w:tabs>
          <w:tab w:pos="562" w:val="left" w:leader="none"/>
        </w:tabs>
        <w:spacing w:line="240" w:lineRule="auto" w:before="0"/>
        <w:ind w:left="138" w:right="0"/>
        <w:jc w:val="left"/>
        <w:rPr>
          <w:b w:val="0"/>
          <w:bCs w:val="0"/>
        </w:rPr>
      </w:pPr>
      <w:r>
        <w:rPr>
          <w:rFonts w:ascii="Calibri" w:hAnsi="Calibri" w:cs="Calibri" w:eastAsia="Calibri" w:hint="default"/>
          <w:spacing w:val="-1"/>
        </w:rPr>
        <w:t>5.</w:t>
        <w:tab/>
      </w:r>
      <w:r>
        <w:rPr/>
        <w:t>同一控制下和非同一控制下企业合并的会计处理方法</w:t>
      </w:r>
      <w:r>
        <w:rPr>
          <w:b w:val="0"/>
          <w:bCs w:val="0"/>
        </w:rPr>
      </w:r>
    </w:p>
    <w:p>
      <w:pPr>
        <w:pStyle w:val="BodyText"/>
        <w:spacing w:line="331" w:lineRule="auto" w:before="86"/>
        <w:ind w:left="618" w:right="0" w:hanging="420"/>
        <w:jc w:val="left"/>
      </w:pPr>
      <w:r>
        <w:rPr/>
        <w:t>（</w:t>
      </w:r>
      <w:r>
        <w:rPr>
          <w:rFonts w:ascii="宋体" w:hAnsi="宋体" w:cs="宋体" w:eastAsia="宋体" w:hint="default"/>
        </w:rPr>
        <w:t>1</w:t>
      </w:r>
      <w:r>
        <w:rPr/>
        <w:t>）同一控制下的企业合并 </w:t>
      </w:r>
      <w:r>
        <w:rPr>
          <w:spacing w:val="-2"/>
        </w:rPr>
        <w:t>对于同一控制下的企业合并，合并方在合并中取得的被合并方的资产、负债，除</w:t>
      </w:r>
    </w:p>
    <w:p>
      <w:pPr>
        <w:pStyle w:val="BodyText"/>
        <w:spacing w:line="218" w:lineRule="exact"/>
        <w:ind w:right="0"/>
        <w:jc w:val="left"/>
      </w:pPr>
      <w:r>
        <w:rPr/>
        <w:t>因会计政策不同而进行的调整以外，按合并日被合并方在最终控制方合并财务报表中</w:t>
      </w:r>
    </w:p>
    <w:p>
      <w:pPr>
        <w:pStyle w:val="BodyText"/>
        <w:spacing w:line="312" w:lineRule="exact"/>
        <w:ind w:right="0"/>
        <w:jc w:val="left"/>
      </w:pPr>
      <w:r>
        <w:rPr/>
        <w:t>的账面价值计量。合并对价的账面价值（或发行股份面值总额）与合并中取得的净资</w:t>
      </w:r>
    </w:p>
    <w:p>
      <w:pPr>
        <w:pStyle w:val="BodyText"/>
        <w:spacing w:line="310" w:lineRule="exact" w:before="31"/>
        <w:ind w:right="0"/>
        <w:jc w:val="left"/>
      </w:pPr>
      <w:r>
        <w:rPr/>
        <w:t>产账面价值的差额调整资本公积（股本溢价），资本公积（股本溢价）不足冲减的，</w:t>
      </w:r>
      <w:r>
        <w:rPr>
          <w:spacing w:val="-62"/>
        </w:rPr>
        <w:t> </w:t>
      </w:r>
      <w:r>
        <w:rPr>
          <w:spacing w:val="-62"/>
        </w:rPr>
      </w:r>
      <w:r>
        <w:rPr/>
        <w:t>调整留存收益。</w:t>
      </w:r>
    </w:p>
    <w:p>
      <w:pPr>
        <w:pStyle w:val="BodyText"/>
        <w:spacing w:line="240" w:lineRule="auto" w:before="89"/>
        <w:ind w:left="618" w:right="0"/>
        <w:jc w:val="left"/>
      </w:pPr>
      <w:r>
        <w:rPr/>
        <w:t>通过多次交易分步实现同一控制下的企业合并</w:t>
      </w:r>
    </w:p>
    <w:p>
      <w:pPr>
        <w:spacing w:after="0" w:line="240" w:lineRule="auto"/>
        <w:jc w:val="left"/>
        <w:sectPr>
          <w:footerReference w:type="default" r:id="rId35"/>
          <w:pgSz w:w="11910" w:h="16840"/>
          <w:pgMar w:footer="1194" w:header="882" w:top="1120" w:bottom="1380" w:left="1660" w:right="1040"/>
        </w:sectPr>
      </w:pPr>
    </w:p>
    <w:p>
      <w:pPr>
        <w:spacing w:line="240" w:lineRule="auto" w:before="9"/>
        <w:rPr>
          <w:rFonts w:ascii="宋体" w:hAnsi="宋体" w:cs="宋体" w:eastAsia="宋体" w:hint="default"/>
          <w:sz w:val="25"/>
          <w:szCs w:val="25"/>
        </w:rPr>
      </w:pPr>
    </w:p>
    <w:p>
      <w:pPr>
        <w:pStyle w:val="BodyText"/>
        <w:spacing w:line="237" w:lineRule="auto" w:before="28"/>
        <w:ind w:right="212" w:firstLine="480"/>
        <w:jc w:val="both"/>
      </w:pPr>
      <w:r>
        <w:rPr>
          <w:spacing w:val="-2"/>
        </w:rPr>
        <w:t>在个别财务报表中，以合并日持股比例计算的合并日应享有被合并方净资产在最</w:t>
      </w:r>
      <w:r>
        <w:rPr/>
        <w:t> </w:t>
      </w:r>
      <w:r>
        <w:rPr>
          <w:spacing w:val="-2"/>
        </w:rPr>
        <w:t>终控制方合并财务报表中的账面价值的份额作为该项投资的初始投资成本；初始投资</w:t>
      </w:r>
      <w:r>
        <w:rPr>
          <w:spacing w:val="-93"/>
        </w:rPr>
        <w:t> </w:t>
      </w:r>
      <w:r>
        <w:rPr>
          <w:spacing w:val="-93"/>
        </w:rPr>
      </w:r>
      <w:r>
        <w:rPr>
          <w:spacing w:val="-2"/>
        </w:rPr>
        <w:t>成本与原持有投资的账面价值加上合并日新支付对价的账面价值之和的差额，调整资</w:t>
      </w:r>
      <w:r>
        <w:rPr>
          <w:spacing w:val="-93"/>
        </w:rPr>
        <w:t> </w:t>
      </w:r>
      <w:r>
        <w:rPr>
          <w:spacing w:val="-93"/>
        </w:rPr>
      </w:r>
      <w:r>
        <w:rPr/>
        <w:t>本公积（股本溢价），资本公积不足冲减的，调整留存收益。</w:t>
      </w:r>
    </w:p>
    <w:p>
      <w:pPr>
        <w:pStyle w:val="BodyText"/>
        <w:spacing w:line="313" w:lineRule="exact" w:before="117"/>
        <w:ind w:left="618" w:right="101"/>
        <w:jc w:val="left"/>
      </w:pPr>
      <w:r>
        <w:rPr/>
        <w:t>在合并财务报表中，合并方在合并中取得的被合并方的资产、负债，除因会计政</w:t>
      </w:r>
    </w:p>
    <w:p>
      <w:pPr>
        <w:pStyle w:val="BodyText"/>
        <w:spacing w:line="237" w:lineRule="auto" w:before="1"/>
        <w:ind w:right="101"/>
        <w:jc w:val="left"/>
      </w:pPr>
      <w:r>
        <w:rPr/>
        <w:t>策不同而进行的调整以外，按合并日在最终控制方合并财务报表中的账面价值计量；</w:t>
      </w:r>
      <w:r>
        <w:rPr>
          <w:spacing w:val="-62"/>
        </w:rPr>
        <w:t> </w:t>
      </w:r>
      <w:r>
        <w:rPr>
          <w:spacing w:val="-62"/>
        </w:rPr>
      </w:r>
      <w:r>
        <w:rPr/>
        <w:t>合并前持有投资的账面价值加上合并日新支付对价的账面价值之和，与合并中取得的</w:t>
      </w:r>
      <w:r>
        <w:rPr/>
        <w:t> 净资产账面价值的差额，调整资本公积（股本溢价），资本公积不足冲减的，调整留 存收益。合并方在达到合并之前持有的长期股权投资，在取得日与合并方与被合并方 同处于同一方最终控制之日孰晚日与合并日之间已确认有关损益、其他综合收益和其 他所有者权益变动，应分别冲减比较报表期间的期初留存收益或当期损益。</w:t>
      </w:r>
    </w:p>
    <w:p>
      <w:pPr>
        <w:pStyle w:val="BodyText"/>
        <w:spacing w:line="328" w:lineRule="auto" w:before="117"/>
        <w:ind w:left="618" w:right="101" w:hanging="420"/>
        <w:jc w:val="left"/>
      </w:pPr>
      <w:r>
        <w:rPr/>
        <w:t>（</w:t>
      </w:r>
      <w:r>
        <w:rPr>
          <w:rFonts w:ascii="宋体" w:hAnsi="宋体" w:cs="宋体" w:eastAsia="宋体" w:hint="default"/>
        </w:rPr>
        <w:t>2</w:t>
      </w:r>
      <w:r>
        <w:rPr/>
        <w:t>）非同一控制下的企业合并 </w:t>
      </w:r>
      <w:r>
        <w:rPr>
          <w:spacing w:val="-2"/>
        </w:rPr>
        <w:t>对于非同一控制下的企业合并，合并成本为购买日为取得对被购买方的控制权而</w:t>
      </w:r>
    </w:p>
    <w:p>
      <w:pPr>
        <w:pStyle w:val="BodyText"/>
        <w:spacing w:line="222" w:lineRule="exact"/>
        <w:ind w:right="101"/>
        <w:jc w:val="left"/>
      </w:pPr>
      <w:r>
        <w:rPr/>
        <w:t>付出的资产、发生或承担的负债以及发行的权益性证券的公允价值。在购买日，取得</w:t>
      </w:r>
    </w:p>
    <w:p>
      <w:pPr>
        <w:pStyle w:val="BodyText"/>
        <w:spacing w:line="328" w:lineRule="auto"/>
        <w:ind w:left="618" w:right="101" w:hanging="480"/>
        <w:jc w:val="left"/>
      </w:pPr>
      <w:r>
        <w:rPr/>
        <w:t>的被购买方的资产、负债及或有负债按公允价值确认。 </w:t>
      </w:r>
      <w:r>
        <w:rPr>
          <w:spacing w:val="-2"/>
        </w:rPr>
        <w:t>对合并成本大于合并中取得的被购买方可辨认净资产公允价值份额的差额，确认</w:t>
      </w:r>
    </w:p>
    <w:p>
      <w:pPr>
        <w:pStyle w:val="BodyText"/>
        <w:spacing w:line="222" w:lineRule="exact"/>
        <w:ind w:right="101"/>
        <w:jc w:val="left"/>
      </w:pPr>
      <w:r>
        <w:rPr/>
        <w:t>为商誉，按成本扣除累计减值准备进行后续计量；对合并成本小于合并中取得的被购</w:t>
      </w:r>
    </w:p>
    <w:p>
      <w:pPr>
        <w:pStyle w:val="BodyText"/>
        <w:spacing w:line="331" w:lineRule="auto"/>
        <w:ind w:left="618" w:right="268" w:hanging="480"/>
        <w:jc w:val="left"/>
      </w:pPr>
      <w:r>
        <w:rPr/>
        <w:t>买方可辨认净资产公允价值份额的差额，经复核后计入当期损益。 所涉及的或有对价按其在购买日的公允价值计入合并成本，购买日后</w:t>
      </w:r>
      <w:r>
        <w:rPr>
          <w:spacing w:val="-60"/>
        </w:rPr>
        <w:t> </w:t>
      </w:r>
      <w:r>
        <w:rPr>
          <w:rFonts w:ascii="宋体" w:hAnsi="宋体" w:cs="宋体" w:eastAsia="宋体" w:hint="default"/>
        </w:rPr>
        <w:t>12</w:t>
      </w:r>
      <w:r>
        <w:rPr>
          <w:rFonts w:ascii="宋体" w:hAnsi="宋体" w:cs="宋体" w:eastAsia="宋体" w:hint="default"/>
          <w:spacing w:val="-60"/>
        </w:rPr>
        <w:t> </w:t>
      </w:r>
      <w:r>
        <w:rPr/>
        <w:t>个月内</w:t>
      </w:r>
    </w:p>
    <w:p>
      <w:pPr>
        <w:pStyle w:val="BodyText"/>
        <w:spacing w:line="218" w:lineRule="exact"/>
        <w:ind w:right="101"/>
        <w:jc w:val="left"/>
      </w:pPr>
      <w:r>
        <w:rPr/>
        <w:t>出现对购买日已存在情况的新的或进一步证据而需要调整或有对价的，相应调整合并</w:t>
      </w:r>
    </w:p>
    <w:p>
      <w:pPr>
        <w:pStyle w:val="BodyText"/>
        <w:spacing w:line="313" w:lineRule="exact"/>
        <w:ind w:right="214"/>
        <w:jc w:val="left"/>
      </w:pPr>
      <w:r>
        <w:rPr/>
        <w:t>商誉。</w:t>
      </w:r>
    </w:p>
    <w:p>
      <w:pPr>
        <w:pStyle w:val="BodyText"/>
        <w:spacing w:line="328" w:lineRule="auto" w:before="118"/>
        <w:ind w:left="618" w:right="101"/>
        <w:jc w:val="left"/>
      </w:pPr>
      <w:r>
        <w:rPr/>
        <w:t>通过多次交易分步实现非同一控制下的企业合并 </w:t>
      </w:r>
      <w:r>
        <w:rPr>
          <w:spacing w:val="-2"/>
        </w:rPr>
        <w:t>在个别财务报表中，以购买日之前所持被购买方的股权投资的账面价值与购买日</w:t>
      </w:r>
    </w:p>
    <w:p>
      <w:pPr>
        <w:pStyle w:val="BodyText"/>
        <w:spacing w:line="221" w:lineRule="exact"/>
        <w:ind w:right="101"/>
        <w:jc w:val="left"/>
      </w:pPr>
      <w:r>
        <w:rPr/>
        <w:t>新增投资成本之和，作为该项投资的初始投资成本。购买日之前持有的股权投资因采</w:t>
      </w:r>
    </w:p>
    <w:p>
      <w:pPr>
        <w:pStyle w:val="BodyText"/>
        <w:spacing w:line="237" w:lineRule="auto" w:before="1"/>
        <w:ind w:right="213"/>
        <w:jc w:val="both"/>
      </w:pPr>
      <w:r>
        <w:rPr>
          <w:spacing w:val="-2"/>
        </w:rPr>
        <w:t>用权益法核算而确认的其他综合收益，应当在处置该项投资时采用与被投资单位直接</w:t>
      </w:r>
      <w:r>
        <w:rPr>
          <w:spacing w:val="-93"/>
        </w:rPr>
        <w:t> </w:t>
      </w:r>
      <w:r>
        <w:rPr>
          <w:spacing w:val="-93"/>
        </w:rPr>
      </w:r>
      <w:r>
        <w:rPr>
          <w:spacing w:val="-2"/>
        </w:rPr>
        <w:t>处置相关资产或负债相同的基础进行会计处理；因被投资方除净损益、其他综合收益</w:t>
      </w:r>
      <w:r>
        <w:rPr>
          <w:spacing w:val="-94"/>
        </w:rPr>
        <w:t> </w:t>
      </w:r>
      <w:r>
        <w:rPr>
          <w:spacing w:val="-94"/>
        </w:rPr>
      </w:r>
      <w:r>
        <w:rPr>
          <w:spacing w:val="-2"/>
        </w:rPr>
        <w:t>和利润分配以外的其他所有者权益变动而确认的所有者权益，购买日不作处理，在处</w:t>
      </w:r>
      <w:r>
        <w:rPr>
          <w:spacing w:val="-94"/>
        </w:rPr>
        <w:t> </w:t>
      </w:r>
      <w:r>
        <w:rPr>
          <w:spacing w:val="-94"/>
        </w:rPr>
      </w:r>
      <w:r>
        <w:rPr>
          <w:spacing w:val="-2"/>
        </w:rPr>
        <w:t>置该项投资时转入处置期间的当期损益。购买日之前持有的股权投资按照《企业会计</w:t>
      </w:r>
      <w:r>
        <w:rPr>
          <w:spacing w:val="-94"/>
        </w:rPr>
        <w:t> </w:t>
      </w:r>
      <w:r>
        <w:rPr>
          <w:spacing w:val="-94"/>
        </w:rPr>
      </w:r>
      <w:r>
        <w:rPr/>
        <w:t>准则第</w:t>
      </w:r>
      <w:r>
        <w:rPr>
          <w:spacing w:val="-60"/>
        </w:rPr>
        <w:t> </w:t>
      </w:r>
      <w:r>
        <w:rPr>
          <w:rFonts w:ascii="宋体" w:hAnsi="宋体" w:cs="宋体" w:eastAsia="宋体" w:hint="default"/>
        </w:rPr>
        <w:t>22</w:t>
      </w:r>
      <w:r>
        <w:rPr>
          <w:rFonts w:ascii="宋体" w:hAnsi="宋体" w:cs="宋体" w:eastAsia="宋体" w:hint="default"/>
          <w:spacing w:val="-60"/>
        </w:rPr>
        <w:t> </w:t>
      </w:r>
      <w:r>
        <w:rPr/>
        <w:t>号——金融工具确认和计量》的有关规定进行会计处理的，原计入其他综 合收益的累计公允价值变动应当在改按成本法核算时转入当期损益。</w:t>
      </w:r>
    </w:p>
    <w:p>
      <w:pPr>
        <w:pStyle w:val="BodyText"/>
        <w:spacing w:line="312" w:lineRule="exact" w:before="117"/>
        <w:ind w:left="618" w:right="101"/>
        <w:jc w:val="left"/>
      </w:pPr>
      <w:r>
        <w:rPr/>
        <w:t>在合并财务报表中，合并成本为购买日支付的对价与购买日之前已经持有的被购</w:t>
      </w:r>
    </w:p>
    <w:p>
      <w:pPr>
        <w:pStyle w:val="BodyText"/>
        <w:spacing w:line="237" w:lineRule="auto" w:before="1"/>
        <w:ind w:right="101"/>
        <w:jc w:val="left"/>
      </w:pPr>
      <w:r>
        <w:rPr/>
        <w:t>买方的股权在购买日的公允价值之和；对于购买日之前已经持有的被购买方的股权，</w:t>
      </w:r>
      <w:r>
        <w:rPr>
          <w:spacing w:val="-62"/>
        </w:rPr>
        <w:t> </w:t>
      </w:r>
      <w:r>
        <w:rPr>
          <w:spacing w:val="-62"/>
        </w:rPr>
      </w:r>
      <w:r>
        <w:rPr/>
        <w:t>按照购买日的公允价值进行重新计量，公允价值与其账面价值之间的差额计入当期收</w:t>
      </w:r>
      <w:r>
        <w:rPr/>
        <w:t> 益；购买日之前已经持有的被购买方的股权涉及其他综合收益、其他所有者权益变动 应当转为购买日当期收益，由于被投资方重新计量设定收益计划净负债或净资产变动 而产生的其他综合收益除外。</w:t>
      </w:r>
    </w:p>
    <w:p>
      <w:pPr>
        <w:pStyle w:val="BodyText"/>
        <w:spacing w:line="331" w:lineRule="auto" w:before="117"/>
        <w:ind w:left="618" w:right="214"/>
        <w:jc w:val="left"/>
      </w:pPr>
      <w:r>
        <w:rPr/>
        <w:t>（</w:t>
      </w:r>
      <w:r>
        <w:rPr>
          <w:rFonts w:ascii="宋体" w:hAnsi="宋体" w:cs="宋体" w:eastAsia="宋体" w:hint="default"/>
        </w:rPr>
        <w:t>3</w:t>
      </w:r>
      <w:r>
        <w:rPr/>
        <w:t>）企业合并中有关交易费用的处理 </w:t>
      </w:r>
      <w:r>
        <w:rPr>
          <w:spacing w:val="-2"/>
        </w:rPr>
        <w:t>为进行企业合并发生的审计、法律服务、评估咨询等中介费用以及其他相关管理</w:t>
      </w:r>
    </w:p>
    <w:p>
      <w:pPr>
        <w:pStyle w:val="BodyText"/>
        <w:spacing w:line="218" w:lineRule="exact"/>
        <w:ind w:right="101"/>
        <w:jc w:val="left"/>
      </w:pPr>
      <w:r>
        <w:rPr/>
        <w:t>费用，于发生时计入当期损益。作为合并对价发行的权益性证券或债务性证券的交易</w:t>
      </w:r>
    </w:p>
    <w:p>
      <w:pPr>
        <w:pStyle w:val="BodyText"/>
        <w:spacing w:line="312" w:lineRule="exact"/>
        <w:ind w:right="214"/>
        <w:jc w:val="left"/>
      </w:pPr>
      <w:r>
        <w:rPr/>
        <w:t>费用，计入权益性证券或债务性证券的初始确认金额。</w:t>
      </w:r>
    </w:p>
    <w:p>
      <w:pPr>
        <w:spacing w:after="0" w:line="312" w:lineRule="exact"/>
        <w:jc w:val="left"/>
        <w:sectPr>
          <w:footerReference w:type="default" r:id="rId36"/>
          <w:pgSz w:w="11910" w:h="16840"/>
          <w:pgMar w:footer="1194" w:header="882" w:top="1120" w:bottom="1380" w:left="1660" w:right="1060"/>
          <w:pgNumType w:start="9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2"/>
        <w:tabs>
          <w:tab w:pos="562" w:val="left" w:leader="none"/>
        </w:tabs>
        <w:spacing w:line="240" w:lineRule="auto"/>
        <w:ind w:left="138" w:right="128"/>
        <w:jc w:val="left"/>
        <w:rPr>
          <w:b w:val="0"/>
          <w:bCs w:val="0"/>
        </w:rPr>
      </w:pPr>
      <w:r>
        <w:rPr>
          <w:rFonts w:ascii="Calibri" w:hAnsi="Calibri" w:cs="Calibri" w:eastAsia="Calibri" w:hint="default"/>
          <w:spacing w:val="-1"/>
        </w:rPr>
        <w:t>6.</w:t>
        <w:tab/>
      </w:r>
      <w:r>
        <w:rPr/>
        <w:t>合并财务报表的编制方法</w:t>
      </w:r>
      <w:r>
        <w:rPr>
          <w:b w:val="0"/>
          <w:bCs w:val="0"/>
        </w:rPr>
      </w:r>
    </w:p>
    <w:p>
      <w:pPr>
        <w:pStyle w:val="BodyText"/>
        <w:spacing w:line="328" w:lineRule="auto" w:before="87"/>
        <w:ind w:left="618" w:right="128" w:hanging="420"/>
        <w:jc w:val="left"/>
      </w:pPr>
      <w:r>
        <w:rPr/>
        <w:t>（</w:t>
      </w:r>
      <w:r>
        <w:rPr>
          <w:rFonts w:ascii="宋体" w:hAnsi="宋体" w:cs="宋体" w:eastAsia="宋体" w:hint="default"/>
        </w:rPr>
        <w:t>1</w:t>
      </w:r>
      <w:r>
        <w:rPr/>
        <w:t>）合并范围 </w:t>
      </w:r>
      <w:r>
        <w:rPr>
          <w:spacing w:val="-2"/>
        </w:rPr>
        <w:t>合并财务报表的合并范围以控制为基础予以确定。控制是指本集团拥有对被投资</w:t>
      </w:r>
    </w:p>
    <w:p>
      <w:pPr>
        <w:pStyle w:val="BodyText"/>
        <w:spacing w:line="221" w:lineRule="exact"/>
        <w:ind w:right="0"/>
        <w:jc w:val="left"/>
      </w:pPr>
      <w:r>
        <w:rPr/>
        <w:t>单位的权力，通过参与被投资单位的相关活动而享有可变回报，并且有能力运用对被</w:t>
      </w:r>
    </w:p>
    <w:p>
      <w:pPr>
        <w:pStyle w:val="BodyText"/>
        <w:spacing w:line="310" w:lineRule="exact" w:before="31"/>
        <w:ind w:right="128"/>
        <w:jc w:val="left"/>
      </w:pPr>
      <w:r>
        <w:rPr>
          <w:spacing w:val="-2"/>
        </w:rPr>
        <w:t>投资单位的权力影响其回报金额。子公司，是指被本公司控制的主体（含企业、被投</w:t>
      </w:r>
      <w:r>
        <w:rPr>
          <w:spacing w:val="-94"/>
        </w:rPr>
        <w:t> </w:t>
      </w:r>
      <w:r>
        <w:rPr>
          <w:spacing w:val="-94"/>
        </w:rPr>
      </w:r>
      <w:r>
        <w:rPr/>
        <w:t>资单位中可分割的部分，以及企业所控制的结构化主体等）。</w:t>
      </w:r>
    </w:p>
    <w:p>
      <w:pPr>
        <w:pStyle w:val="BodyText"/>
        <w:spacing w:line="331" w:lineRule="auto" w:before="88"/>
        <w:ind w:left="618" w:right="128" w:hanging="420"/>
        <w:jc w:val="left"/>
      </w:pPr>
      <w:r>
        <w:rPr/>
        <w:t>（</w:t>
      </w:r>
      <w:r>
        <w:rPr>
          <w:rFonts w:ascii="宋体" w:hAnsi="宋体" w:cs="宋体" w:eastAsia="宋体" w:hint="default"/>
        </w:rPr>
        <w:t>2</w:t>
      </w:r>
      <w:r>
        <w:rPr/>
        <w:t>）合并财务报表的编制方法 </w:t>
      </w:r>
      <w:r>
        <w:rPr>
          <w:spacing w:val="-2"/>
        </w:rPr>
        <w:t>合并财务报表以本公司和子公司的财务报表为基础，根据其他有关资料，由本公</w:t>
      </w:r>
    </w:p>
    <w:p>
      <w:pPr>
        <w:pStyle w:val="BodyText"/>
        <w:spacing w:line="219" w:lineRule="exact"/>
        <w:ind w:right="0"/>
        <w:jc w:val="left"/>
      </w:pPr>
      <w:r>
        <w:rPr/>
        <w:t>司编制。在编制合并财务报表时，本公司和子公司的会计政策和会计期间要求保持一</w:t>
      </w:r>
    </w:p>
    <w:p>
      <w:pPr>
        <w:pStyle w:val="BodyText"/>
        <w:spacing w:line="328" w:lineRule="auto"/>
        <w:ind w:left="618" w:right="128" w:hanging="480"/>
        <w:jc w:val="left"/>
      </w:pPr>
      <w:r>
        <w:rPr/>
        <w:t>致，公司间的重大交易和往来余额予以抵销。 </w:t>
      </w:r>
      <w:r>
        <w:rPr>
          <w:spacing w:val="-2"/>
        </w:rPr>
        <w:t>在报告期内因同一控制下企业合并增加的子公司以及业务，视同该子公司以及业</w:t>
      </w:r>
    </w:p>
    <w:p>
      <w:pPr>
        <w:pStyle w:val="BodyText"/>
        <w:spacing w:line="221" w:lineRule="exact"/>
        <w:ind w:right="0"/>
        <w:jc w:val="left"/>
      </w:pPr>
      <w:r>
        <w:rPr/>
        <w:t>务自同受最终控制方控制之日起纳入本集团的合并范围，将其自同受最终控制方控制</w:t>
      </w:r>
    </w:p>
    <w:p>
      <w:pPr>
        <w:pStyle w:val="BodyText"/>
        <w:spacing w:line="328" w:lineRule="auto"/>
        <w:ind w:left="618" w:right="128" w:hanging="480"/>
        <w:jc w:val="left"/>
      </w:pPr>
      <w:r>
        <w:rPr/>
        <w:t>之日起的经营成果和现金流量纳入合并利润表和合并现金流量表中。 </w:t>
      </w:r>
      <w:r>
        <w:rPr>
          <w:spacing w:val="-2"/>
        </w:rPr>
        <w:t>因非同一控制下企业合并增加的子公司以及业务，将该子公司以及业务自购买日</w:t>
      </w:r>
    </w:p>
    <w:p>
      <w:pPr>
        <w:pStyle w:val="BodyText"/>
        <w:spacing w:line="222" w:lineRule="exact"/>
        <w:ind w:right="0"/>
        <w:jc w:val="left"/>
      </w:pPr>
      <w:r>
        <w:rPr>
          <w:spacing w:val="-8"/>
        </w:rPr>
        <w:t>至报告期末的收入、费用、利润纳入合并利润表，将其现金流量纳入合并现金流量表。</w:t>
      </w:r>
    </w:p>
    <w:p>
      <w:pPr>
        <w:pStyle w:val="BodyText"/>
        <w:spacing w:line="237" w:lineRule="auto" w:before="120"/>
        <w:ind w:right="128" w:firstLine="480"/>
        <w:jc w:val="left"/>
      </w:pPr>
      <w:r>
        <w:rPr/>
        <w:t>子公司的股东权益中不属于本公司所拥有的部分作为少数股东权益在合并资产 </w:t>
      </w:r>
      <w:r>
        <w:rPr>
          <w:spacing w:val="-2"/>
        </w:rPr>
        <w:t>负债表中股东权益项下单独列示。子公司当期净损益中属于少数股东权益的份额，在</w:t>
      </w:r>
      <w:r>
        <w:rPr>
          <w:spacing w:val="-94"/>
        </w:rPr>
        <w:t> </w:t>
      </w:r>
      <w:r>
        <w:rPr>
          <w:spacing w:val="-94"/>
        </w:rPr>
      </w:r>
      <w:r>
        <w:rPr>
          <w:spacing w:val="-2"/>
        </w:rPr>
        <w:t>合并利润表中净利润项目下以“少数股东损益”项目列示。少数股东分担的子公司的</w:t>
      </w:r>
      <w:r>
        <w:rPr>
          <w:spacing w:val="-93"/>
        </w:rPr>
        <w:t> </w:t>
      </w:r>
      <w:r>
        <w:rPr>
          <w:spacing w:val="-93"/>
        </w:rPr>
      </w:r>
      <w:r>
        <w:rPr>
          <w:spacing w:val="-2"/>
        </w:rPr>
        <w:t>亏损超过了少数股东在该子公司期初所有者权益中所享有的份额，其余额仍冲减少数</w:t>
      </w:r>
      <w:r>
        <w:rPr>
          <w:spacing w:val="-93"/>
        </w:rPr>
        <w:t> </w:t>
      </w:r>
      <w:r>
        <w:rPr>
          <w:spacing w:val="-93"/>
        </w:rPr>
      </w:r>
      <w:r>
        <w:rPr/>
        <w:t>股东权益。</w:t>
      </w:r>
    </w:p>
    <w:p>
      <w:pPr>
        <w:pStyle w:val="BodyText"/>
        <w:spacing w:line="237" w:lineRule="auto" w:before="121"/>
        <w:ind w:right="128" w:firstLine="480"/>
        <w:jc w:val="left"/>
      </w:pPr>
      <w:r>
        <w:rPr/>
        <w:t>因购买少数股权新取得的长期股权投资成本与按照新增持股比例计算应享有子 </w:t>
      </w:r>
      <w:r>
        <w:rPr>
          <w:spacing w:val="-2"/>
        </w:rPr>
        <w:t>公司自购买日或合并日开始持续计算的净资产份额之间的差额，以及在不丧失控制权</w:t>
      </w:r>
      <w:r>
        <w:rPr>
          <w:spacing w:val="-93"/>
        </w:rPr>
        <w:t> </w:t>
      </w:r>
      <w:r>
        <w:rPr>
          <w:spacing w:val="-93"/>
        </w:rPr>
      </w:r>
      <w:r>
        <w:rPr/>
        <w:t>的情况下因部分处置对子公司的股权投资而取得的处置价款与处置长期股权投资相 </w:t>
      </w:r>
      <w:r>
        <w:rPr>
          <w:spacing w:val="-2"/>
        </w:rPr>
        <w:t>对应享有子公司自购买日或合并日开始持续计算的净资产份额之间的差额，均调整合</w:t>
      </w:r>
      <w:r>
        <w:rPr>
          <w:spacing w:val="-93"/>
        </w:rPr>
        <w:t> </w:t>
      </w:r>
      <w:r>
        <w:rPr>
          <w:spacing w:val="-93"/>
        </w:rPr>
      </w:r>
      <w:r>
        <w:rPr/>
        <w:t>并资产负债表中的资本公积（股本溢价），资本公积不足冲减的，调整留存收益。</w:t>
      </w:r>
    </w:p>
    <w:p>
      <w:pPr>
        <w:pStyle w:val="BodyText"/>
        <w:spacing w:line="328" w:lineRule="auto" w:before="118"/>
        <w:ind w:left="618" w:right="128" w:hanging="420"/>
        <w:jc w:val="left"/>
      </w:pPr>
      <w:r>
        <w:rPr/>
        <w:t>（</w:t>
      </w:r>
      <w:r>
        <w:rPr>
          <w:rFonts w:ascii="宋体" w:hAnsi="宋体" w:cs="宋体" w:eastAsia="宋体" w:hint="default"/>
        </w:rPr>
        <w:t>3</w:t>
      </w:r>
      <w:r>
        <w:rPr/>
        <w:t>）丧失子公司控制权的处理 </w:t>
      </w:r>
      <w:r>
        <w:rPr>
          <w:spacing w:val="-2"/>
        </w:rPr>
        <w:t>因处置部分股权投资或其他原因丧失了对原有子公司控制权的，剩余股权按照其</w:t>
      </w:r>
    </w:p>
    <w:p>
      <w:pPr>
        <w:pStyle w:val="BodyText"/>
        <w:spacing w:line="221" w:lineRule="exact"/>
        <w:ind w:right="0"/>
        <w:jc w:val="left"/>
      </w:pPr>
      <w:r>
        <w:rPr/>
        <w:t>在丧失控制权日的公允价值进行重新计量；处置股权取得的对价与剩余股权公允价值</w:t>
      </w:r>
    </w:p>
    <w:p>
      <w:pPr>
        <w:pStyle w:val="BodyText"/>
        <w:spacing w:line="310" w:lineRule="exact" w:before="31"/>
        <w:ind w:right="128"/>
        <w:jc w:val="left"/>
      </w:pPr>
      <w:r>
        <w:rPr>
          <w:spacing w:val="-2"/>
        </w:rPr>
        <w:t>之和，减去按原持股比例计算应享有原子公司自购买日开始持续计算的净资产的份额</w:t>
      </w:r>
      <w:r>
        <w:rPr>
          <w:spacing w:val="-93"/>
        </w:rPr>
        <w:t> </w:t>
      </w:r>
      <w:r>
        <w:rPr>
          <w:spacing w:val="-93"/>
        </w:rPr>
      </w:r>
      <w:r>
        <w:rPr/>
        <w:t>之间的差额，计入丧失控制权当期的投资收益，同时冲减商誉。</w:t>
      </w:r>
    </w:p>
    <w:p>
      <w:pPr>
        <w:pStyle w:val="BodyText"/>
        <w:spacing w:line="237" w:lineRule="auto" w:before="91"/>
        <w:ind w:right="132" w:firstLine="480"/>
        <w:jc w:val="both"/>
      </w:pPr>
      <w:r>
        <w:rPr>
          <w:spacing w:val="-2"/>
        </w:rPr>
        <w:t>与原有子公司的股权投资相关的其他综合收益等，应当在丧失控制权时转入当期</w:t>
      </w:r>
      <w:r>
        <w:rPr/>
        <w:t> </w:t>
      </w:r>
      <w:r>
        <w:rPr>
          <w:spacing w:val="-2"/>
        </w:rPr>
        <w:t>损益，由于被投资方重新计量设定收益计划净负债或净资产变动而产生的其他综合收</w:t>
      </w:r>
      <w:r>
        <w:rPr>
          <w:spacing w:val="-93"/>
        </w:rPr>
        <w:t> </w:t>
      </w:r>
      <w:r>
        <w:rPr>
          <w:spacing w:val="-93"/>
        </w:rPr>
      </w:r>
      <w:r>
        <w:rPr/>
        <w:t>益除外。</w:t>
      </w:r>
    </w:p>
    <w:p>
      <w:pPr>
        <w:pStyle w:val="BodyText"/>
        <w:spacing w:line="328" w:lineRule="auto" w:before="118"/>
        <w:ind w:left="618" w:right="128" w:hanging="420"/>
        <w:jc w:val="left"/>
      </w:pPr>
      <w:r>
        <w:rPr/>
        <w:t>（</w:t>
      </w:r>
      <w:r>
        <w:rPr>
          <w:rFonts w:ascii="宋体" w:hAnsi="宋体" w:cs="宋体" w:eastAsia="宋体" w:hint="default"/>
        </w:rPr>
        <w:t>4</w:t>
      </w:r>
      <w:r>
        <w:rPr/>
        <w:t>）分步处置股权至丧失控制权的特殊处理 </w:t>
      </w:r>
      <w:r>
        <w:rPr>
          <w:spacing w:val="-2"/>
        </w:rPr>
        <w:t>分步处置股权至丧失控制权的各项交易的条款、条件以及经济影响符合以下一种</w:t>
      </w:r>
    </w:p>
    <w:p>
      <w:pPr>
        <w:pStyle w:val="BodyText"/>
        <w:spacing w:line="222" w:lineRule="exact"/>
        <w:ind w:right="128"/>
        <w:jc w:val="left"/>
      </w:pPr>
      <w:r>
        <w:rPr/>
        <w:t>或多种情况，本集团将多次交易事项作为一揽子交易进行会计处理：</w:t>
      </w:r>
    </w:p>
    <w:p>
      <w:pPr>
        <w:pStyle w:val="BodyText"/>
        <w:spacing w:line="240" w:lineRule="auto" w:before="118"/>
        <w:ind w:left="618" w:right="128"/>
        <w:jc w:val="left"/>
      </w:pPr>
      <w:r>
        <w:rPr/>
        <w:t>①这些交易是同时或者在考虑了彼此影响的情况下订立的；</w:t>
      </w:r>
    </w:p>
    <w:p>
      <w:pPr>
        <w:spacing w:after="0" w:line="240" w:lineRule="auto"/>
        <w:jc w:val="left"/>
        <w:sectPr>
          <w:pgSz w:w="11910" w:h="16840"/>
          <w:pgMar w:header="882" w:footer="1194" w:top="1120" w:bottom="1380" w:left="1660" w:right="1140"/>
        </w:sectPr>
      </w:pPr>
    </w:p>
    <w:p>
      <w:pPr>
        <w:spacing w:line="240" w:lineRule="auto" w:before="9"/>
        <w:rPr>
          <w:rFonts w:ascii="宋体" w:hAnsi="宋体" w:cs="宋体" w:eastAsia="宋体" w:hint="default"/>
          <w:sz w:val="25"/>
          <w:szCs w:val="25"/>
        </w:rPr>
      </w:pPr>
    </w:p>
    <w:p>
      <w:pPr>
        <w:pStyle w:val="BodyText"/>
        <w:spacing w:line="240" w:lineRule="auto" w:before="26"/>
        <w:ind w:left="618" w:right="0"/>
        <w:jc w:val="left"/>
      </w:pPr>
      <w:r>
        <w:rPr/>
        <w:t>②这些交易整体才能达成一项完整的商业结果；</w:t>
      </w:r>
    </w:p>
    <w:p>
      <w:pPr>
        <w:pStyle w:val="BodyText"/>
        <w:spacing w:line="240" w:lineRule="auto" w:before="116"/>
        <w:ind w:left="618" w:right="0"/>
        <w:jc w:val="left"/>
      </w:pPr>
      <w:r>
        <w:rPr/>
        <w:t>③一项交易的发生取决于其他至少一项交易的发生；</w:t>
      </w:r>
    </w:p>
    <w:p>
      <w:pPr>
        <w:pStyle w:val="BodyText"/>
        <w:spacing w:line="328" w:lineRule="auto" w:before="118"/>
        <w:ind w:left="618" w:right="108"/>
        <w:jc w:val="left"/>
      </w:pPr>
      <w:r>
        <w:rPr/>
        <w:t>④一项交易单独看是不经济的，但是和其他交易一并考虑时是经济的。 </w:t>
      </w:r>
      <w:r>
        <w:rPr>
          <w:spacing w:val="-5"/>
        </w:rPr>
        <w:t>在个别财务报表中，分步处置股权至丧失控制权的各项交易不属于“一揽子交易”</w:t>
      </w:r>
    </w:p>
    <w:p>
      <w:pPr>
        <w:pStyle w:val="BodyText"/>
        <w:spacing w:line="221" w:lineRule="exact"/>
        <w:ind w:right="0"/>
        <w:jc w:val="left"/>
      </w:pPr>
      <w:r>
        <w:rPr/>
        <w:t>的，相应结转每一次处置股权相对应的长期股权投资的账面价值，所得价款与处置长</w:t>
      </w:r>
    </w:p>
    <w:p>
      <w:pPr>
        <w:pStyle w:val="BodyText"/>
        <w:spacing w:line="310" w:lineRule="exact" w:before="31"/>
        <w:ind w:right="0"/>
        <w:jc w:val="left"/>
      </w:pPr>
      <w:r>
        <w:rPr>
          <w:spacing w:val="-2"/>
        </w:rPr>
        <w:t>期股权投资账面价值之间的差额计入当期投资收益；属于“一揽子交易”的，在丧失</w:t>
      </w:r>
      <w:r>
        <w:rPr>
          <w:spacing w:val="-94"/>
        </w:rPr>
        <w:t> </w:t>
      </w:r>
      <w:r>
        <w:rPr>
          <w:spacing w:val="-94"/>
        </w:rPr>
      </w:r>
      <w:r>
        <w:rPr/>
        <w:t>控制权之前每一次处置价款与所处置的股权对应的长期股权投资账面价值之间的差 额，先确认为其他综合收益，到丧失控制权时再一并转入丧失控制权的当期损益。</w:t>
      </w:r>
    </w:p>
    <w:p>
      <w:pPr>
        <w:pStyle w:val="BodyText"/>
        <w:spacing w:line="237" w:lineRule="auto" w:before="92"/>
        <w:ind w:right="232" w:firstLine="480"/>
        <w:jc w:val="both"/>
      </w:pPr>
      <w:r>
        <w:rPr>
          <w:spacing w:val="-2"/>
        </w:rPr>
        <w:t>在合并财务报表中，分步处置股权至丧失控制权时，剩余股权的计量以及有关处</w:t>
      </w:r>
      <w:r>
        <w:rPr/>
        <w:t> </w:t>
      </w:r>
      <w:r>
        <w:rPr>
          <w:spacing w:val="-2"/>
        </w:rPr>
        <w:t>置股权损益的核算比照上述“丧失子公司控制权的处理”。在丧失控制权之前每一次</w:t>
      </w:r>
      <w:r>
        <w:rPr>
          <w:spacing w:val="-93"/>
        </w:rPr>
        <w:t> </w:t>
      </w:r>
      <w:r>
        <w:rPr>
          <w:spacing w:val="-93"/>
        </w:rPr>
      </w:r>
      <w:r>
        <w:rPr/>
        <w:t>处置价款与处置投资对应的享有该子公司净资产份额的差额：</w:t>
      </w:r>
    </w:p>
    <w:p>
      <w:pPr>
        <w:pStyle w:val="BodyText"/>
        <w:spacing w:line="310" w:lineRule="exact" w:before="149"/>
        <w:ind w:right="0" w:firstLine="480"/>
        <w:jc w:val="left"/>
      </w:pPr>
      <w:r>
        <w:rPr>
          <w:spacing w:val="-2"/>
        </w:rPr>
        <w:t>①属于“一揽子交易”的，确认为其他综合收益。在丧失控制权时一并转入丧失</w:t>
      </w:r>
      <w:r>
        <w:rPr/>
        <w:t> 控制权当期的损益。</w:t>
      </w:r>
    </w:p>
    <w:p>
      <w:pPr>
        <w:pStyle w:val="BodyText"/>
        <w:spacing w:line="310" w:lineRule="exact" w:before="122"/>
        <w:ind w:right="0" w:firstLine="480"/>
        <w:jc w:val="left"/>
      </w:pPr>
      <w:r>
        <w:rPr>
          <w:spacing w:val="-2"/>
        </w:rPr>
        <w:t>②不属于“一揽子交易”的，作为权益性交易计入资本公积（股本溢价）。在丧</w:t>
      </w:r>
      <w:r>
        <w:rPr/>
        <w:t> 失控制权时不得转入丧失控制权当期的损益。</w:t>
      </w:r>
    </w:p>
    <w:p>
      <w:pPr>
        <w:spacing w:line="240" w:lineRule="auto" w:before="0"/>
        <w:rPr>
          <w:rFonts w:ascii="宋体" w:hAnsi="宋体" w:cs="宋体" w:eastAsia="宋体" w:hint="default"/>
          <w:sz w:val="24"/>
          <w:szCs w:val="24"/>
        </w:rPr>
      </w:pPr>
    </w:p>
    <w:p>
      <w:pPr>
        <w:tabs>
          <w:tab w:pos="562" w:val="left" w:leader="none"/>
        </w:tabs>
        <w:spacing w:line="300" w:lineRule="auto" w:before="206"/>
        <w:ind w:left="618" w:right="234" w:hanging="480"/>
        <w:jc w:val="left"/>
        <w:rPr>
          <w:rFonts w:ascii="宋体" w:hAnsi="宋体" w:cs="宋体" w:eastAsia="宋体" w:hint="default"/>
          <w:sz w:val="24"/>
          <w:szCs w:val="24"/>
        </w:rPr>
      </w:pPr>
      <w:r>
        <w:rPr>
          <w:rFonts w:ascii="Calibri" w:hAnsi="Calibri" w:cs="Calibri" w:eastAsia="Calibri" w:hint="default"/>
          <w:b/>
          <w:bCs/>
          <w:spacing w:val="-1"/>
          <w:sz w:val="24"/>
          <w:szCs w:val="24"/>
        </w:rPr>
        <w:t>7.</w:t>
        <w:tab/>
      </w:r>
      <w:r>
        <w:rPr>
          <w:rFonts w:ascii="宋体" w:hAnsi="宋体" w:cs="宋体" w:eastAsia="宋体" w:hint="default"/>
          <w:b/>
          <w:bCs/>
          <w:sz w:val="24"/>
          <w:szCs w:val="24"/>
        </w:rPr>
        <w:t>合营安排分类及共同经营会计处理方法</w:t>
      </w:r>
      <w:r>
        <w:rPr>
          <w:rFonts w:ascii="宋体" w:hAnsi="宋体" w:cs="宋体" w:eastAsia="宋体" w:hint="default"/>
          <w:b/>
          <w:bCs/>
          <w:w w:val="99"/>
          <w:sz w:val="24"/>
          <w:szCs w:val="24"/>
        </w:rPr>
        <w:t> </w:t>
      </w:r>
      <w:r>
        <w:rPr>
          <w:rFonts w:ascii="宋体" w:hAnsi="宋体" w:cs="宋体" w:eastAsia="宋体" w:hint="default"/>
          <w:spacing w:val="-2"/>
          <w:sz w:val="24"/>
          <w:szCs w:val="24"/>
        </w:rPr>
        <w:t>合营安排，是指一项由两个或两个以上的参与方共同控制的安排。本集团合营安</w:t>
      </w:r>
    </w:p>
    <w:p>
      <w:pPr>
        <w:pStyle w:val="BodyText"/>
        <w:spacing w:line="252" w:lineRule="exact"/>
        <w:ind w:right="0"/>
        <w:jc w:val="left"/>
      </w:pPr>
      <w:r>
        <w:rPr/>
        <w:t>排分为共同经营和合营企业。</w:t>
      </w:r>
    </w:p>
    <w:p>
      <w:pPr>
        <w:pStyle w:val="BodyText"/>
        <w:spacing w:line="328" w:lineRule="auto" w:before="116"/>
        <w:ind w:left="618" w:right="0" w:hanging="420"/>
        <w:jc w:val="left"/>
      </w:pPr>
      <w:r>
        <w:rPr/>
        <w:t>（</w:t>
      </w:r>
      <w:r>
        <w:rPr>
          <w:rFonts w:ascii="宋体" w:hAnsi="宋体" w:cs="宋体" w:eastAsia="宋体" w:hint="default"/>
        </w:rPr>
        <w:t>1</w:t>
      </w:r>
      <w:r>
        <w:rPr/>
        <w:t>）共同经营 共同经营是指本集团享有该安排相关资产且承担该安排相关负债的合营安排。 </w:t>
      </w:r>
      <w:r>
        <w:rPr>
          <w:spacing w:val="-2"/>
        </w:rPr>
        <w:t>本集团确认与共同经营中利益份额相关的下列项目，并按照相关企业会计准则的</w:t>
      </w:r>
    </w:p>
    <w:p>
      <w:pPr>
        <w:pStyle w:val="BodyText"/>
        <w:spacing w:line="222" w:lineRule="exact"/>
        <w:ind w:right="0"/>
        <w:jc w:val="left"/>
      </w:pPr>
      <w:r>
        <w:rPr/>
        <w:t>规定进行会计处理：</w:t>
      </w:r>
    </w:p>
    <w:p>
      <w:pPr>
        <w:pStyle w:val="BodyText"/>
        <w:spacing w:line="328" w:lineRule="auto" w:before="116"/>
        <w:ind w:left="618" w:right="1248"/>
        <w:jc w:val="left"/>
      </w:pPr>
      <w:r>
        <w:rPr>
          <w:rFonts w:ascii="宋体" w:hAnsi="宋体" w:cs="宋体" w:eastAsia="宋体" w:hint="default"/>
        </w:rPr>
        <w:t>A</w:t>
      </w:r>
      <w:r>
        <w:rPr/>
        <w:t>、确认单独所持有的资产，以及按其份额确认共同持有的资产； </w:t>
      </w:r>
      <w:r>
        <w:rPr>
          <w:rFonts w:ascii="宋体" w:hAnsi="宋体" w:cs="宋体" w:eastAsia="宋体" w:hint="default"/>
        </w:rPr>
        <w:t>B</w:t>
      </w:r>
      <w:r>
        <w:rPr/>
        <w:t>、确认单独所承担的负债，以及按其份额确认共同承担的负债； </w:t>
      </w:r>
      <w:r>
        <w:rPr>
          <w:rFonts w:ascii="宋体" w:hAnsi="宋体" w:cs="宋体" w:eastAsia="宋体" w:hint="default"/>
        </w:rPr>
        <w:t>C</w:t>
      </w:r>
      <w:r>
        <w:rPr/>
        <w:t>、确认出售其享有的共同经营产出份额所产生的收入； </w:t>
      </w:r>
      <w:r>
        <w:rPr>
          <w:rFonts w:ascii="宋体" w:hAnsi="宋体" w:cs="宋体" w:eastAsia="宋体" w:hint="default"/>
        </w:rPr>
        <w:t>D</w:t>
      </w:r>
      <w:r>
        <w:rPr/>
        <w:t>、按其份额确认共同经营因出售产出所产生的收入； </w:t>
      </w:r>
      <w:r>
        <w:rPr>
          <w:rFonts w:ascii="宋体" w:hAnsi="宋体" w:cs="宋体" w:eastAsia="宋体" w:hint="default"/>
        </w:rPr>
        <w:t>E</w:t>
      </w:r>
      <w:r>
        <w:rPr/>
        <w:t>、确认单独所发生的费用，以及按其份额确认共同经营发生的费用。</w:t>
      </w:r>
    </w:p>
    <w:p>
      <w:pPr>
        <w:pStyle w:val="BodyText"/>
        <w:spacing w:line="331" w:lineRule="auto" w:before="28"/>
        <w:ind w:left="618" w:right="1848" w:hanging="420"/>
        <w:jc w:val="left"/>
      </w:pPr>
      <w:r>
        <w:rPr/>
        <w:t>（</w:t>
      </w:r>
      <w:r>
        <w:rPr>
          <w:rFonts w:ascii="宋体" w:hAnsi="宋体" w:cs="宋体" w:eastAsia="宋体" w:hint="default"/>
        </w:rPr>
        <w:t>2</w:t>
      </w:r>
      <w:r>
        <w:rPr/>
        <w:t>）合营企业 合营企业是指本集团仅对该安排的净资产享有权利的合营安排。</w:t>
      </w:r>
    </w:p>
    <w:p>
      <w:pPr>
        <w:pStyle w:val="BodyText"/>
        <w:spacing w:line="310" w:lineRule="exact" w:before="58"/>
        <w:ind w:right="408" w:firstLine="480"/>
        <w:jc w:val="left"/>
      </w:pPr>
      <w:r>
        <w:rPr/>
        <w:t>本集团按照长期股权投资有关权益法核算的规定对合营企业的投资进行会计处 理。</w:t>
      </w:r>
    </w:p>
    <w:p>
      <w:pPr>
        <w:spacing w:after="0" w:line="310" w:lineRule="exact"/>
        <w:jc w:val="left"/>
        <w:sectPr>
          <w:pgSz w:w="11910" w:h="16840"/>
          <w:pgMar w:header="882" w:footer="1194" w:top="1120" w:bottom="1380" w:left="1660" w:right="1040"/>
        </w:sectPr>
      </w:pPr>
    </w:p>
    <w:p>
      <w:pPr>
        <w:spacing w:line="240" w:lineRule="auto" w:before="9"/>
        <w:rPr>
          <w:rFonts w:ascii="宋体" w:hAnsi="宋体" w:cs="宋体" w:eastAsia="宋体" w:hint="default"/>
          <w:sz w:val="25"/>
          <w:szCs w:val="25"/>
        </w:rPr>
      </w:pPr>
    </w:p>
    <w:p>
      <w:pPr>
        <w:tabs>
          <w:tab w:pos="562" w:val="left" w:leader="none"/>
        </w:tabs>
        <w:spacing w:line="300" w:lineRule="auto" w:before="26"/>
        <w:ind w:left="618" w:right="354" w:hanging="480"/>
        <w:jc w:val="left"/>
        <w:rPr>
          <w:rFonts w:ascii="宋体" w:hAnsi="宋体" w:cs="宋体" w:eastAsia="宋体" w:hint="default"/>
          <w:sz w:val="24"/>
          <w:szCs w:val="24"/>
        </w:rPr>
      </w:pPr>
      <w:r>
        <w:rPr>
          <w:rFonts w:ascii="Calibri" w:hAnsi="Calibri" w:cs="Calibri" w:eastAsia="Calibri" w:hint="default"/>
          <w:b/>
          <w:bCs/>
          <w:spacing w:val="-1"/>
          <w:sz w:val="24"/>
          <w:szCs w:val="24"/>
        </w:rPr>
        <w:t>8.</w:t>
        <w:tab/>
      </w:r>
      <w:r>
        <w:rPr>
          <w:rFonts w:ascii="宋体" w:hAnsi="宋体" w:cs="宋体" w:eastAsia="宋体" w:hint="default"/>
          <w:b/>
          <w:bCs/>
          <w:sz w:val="24"/>
          <w:szCs w:val="24"/>
        </w:rPr>
        <w:t>现金及现金等价物的确定标准</w:t>
      </w:r>
      <w:r>
        <w:rPr>
          <w:rFonts w:ascii="宋体" w:hAnsi="宋体" w:cs="宋体" w:eastAsia="宋体" w:hint="default"/>
          <w:b/>
          <w:bCs/>
          <w:w w:val="99"/>
          <w:sz w:val="24"/>
          <w:szCs w:val="24"/>
        </w:rPr>
        <w:t> </w:t>
      </w:r>
      <w:r>
        <w:rPr>
          <w:rFonts w:ascii="宋体" w:hAnsi="宋体" w:cs="宋体" w:eastAsia="宋体" w:hint="default"/>
          <w:spacing w:val="-2"/>
          <w:sz w:val="24"/>
          <w:szCs w:val="24"/>
        </w:rPr>
        <w:t>现金是指库存现金以及可以随时用于支付的存款。现金等价物，是指本集团持有</w:t>
      </w:r>
    </w:p>
    <w:p>
      <w:pPr>
        <w:pStyle w:val="BodyText"/>
        <w:spacing w:line="252" w:lineRule="exact"/>
        <w:ind w:right="0"/>
        <w:jc w:val="left"/>
      </w:pPr>
      <w:r>
        <w:rPr/>
        <w:t>的期限短、流动性强、易于转换为已知金额现金、价值变动风险很小的投资。</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pStyle w:val="Heading2"/>
        <w:tabs>
          <w:tab w:pos="562" w:val="left" w:leader="none"/>
        </w:tabs>
        <w:spacing w:line="240" w:lineRule="auto" w:before="0"/>
        <w:ind w:left="138" w:right="0"/>
        <w:jc w:val="left"/>
        <w:rPr>
          <w:b w:val="0"/>
          <w:bCs w:val="0"/>
        </w:rPr>
      </w:pPr>
      <w:r>
        <w:rPr>
          <w:rFonts w:ascii="Calibri" w:hAnsi="Calibri" w:cs="Calibri" w:eastAsia="Calibri" w:hint="default"/>
          <w:spacing w:val="-1"/>
        </w:rPr>
        <w:t>9.</w:t>
        <w:tab/>
      </w:r>
      <w:r>
        <w:rPr/>
        <w:t>外币业务和外币报表折算</w:t>
      </w:r>
      <w:r>
        <w:rPr>
          <w:b w:val="0"/>
          <w:bCs w:val="0"/>
        </w:rPr>
      </w:r>
    </w:p>
    <w:p>
      <w:pPr>
        <w:pStyle w:val="BodyText"/>
        <w:spacing w:line="328" w:lineRule="auto" w:before="87"/>
        <w:ind w:left="618" w:right="0" w:hanging="420"/>
        <w:jc w:val="left"/>
      </w:pPr>
      <w:r>
        <w:rPr/>
        <w:t>（</w:t>
      </w:r>
      <w:r>
        <w:rPr>
          <w:rFonts w:ascii="宋体" w:hAnsi="宋体" w:cs="宋体" w:eastAsia="宋体" w:hint="default"/>
        </w:rPr>
        <w:t>1</w:t>
      </w:r>
      <w:r>
        <w:rPr/>
        <w:t>）外币业务 </w:t>
      </w:r>
      <w:r>
        <w:rPr>
          <w:spacing w:val="-2"/>
        </w:rPr>
        <w:t>本集团发生外币业务，采用按照系统合理的方法确定的、与交易发生日即期汇率</w:t>
      </w:r>
    </w:p>
    <w:p>
      <w:pPr>
        <w:pStyle w:val="BodyText"/>
        <w:spacing w:line="222" w:lineRule="exact"/>
        <w:ind w:right="0"/>
        <w:jc w:val="left"/>
      </w:pPr>
      <w:r>
        <w:rPr/>
        <w:t>近似的汇率折算记账本位币金额。</w:t>
      </w:r>
    </w:p>
    <w:p>
      <w:pPr>
        <w:pStyle w:val="BodyText"/>
        <w:spacing w:line="237" w:lineRule="auto" w:before="120"/>
        <w:ind w:right="0" w:firstLine="480"/>
        <w:jc w:val="left"/>
      </w:pPr>
      <w:r>
        <w:rPr>
          <w:spacing w:val="-2"/>
        </w:rPr>
        <w:t>资产负债表日，对外币货币性项目，采用资产负债表日即期汇率折算。因资产负</w:t>
      </w:r>
      <w:r>
        <w:rPr/>
        <w:t> 债表日即期汇率与初始确认时或者前一资产负债表日即期汇率不同而产生的汇兑差 </w:t>
      </w:r>
      <w:r>
        <w:rPr>
          <w:spacing w:val="-2"/>
        </w:rPr>
        <w:t>额，计入当期损益；对以历史成本计量的外币非货币性项目，仍采用交易发生日的即</w:t>
      </w:r>
      <w:r>
        <w:rPr>
          <w:spacing w:val="-94"/>
        </w:rPr>
        <w:t> </w:t>
      </w:r>
      <w:r>
        <w:rPr>
          <w:spacing w:val="-94"/>
        </w:rPr>
      </w:r>
      <w:r>
        <w:rPr>
          <w:spacing w:val="-2"/>
        </w:rPr>
        <w:t>期汇率折算；对以公允价值计量的外币非货币性项目，采用公允价值确定日的即期汇</w:t>
      </w:r>
      <w:r>
        <w:rPr>
          <w:spacing w:val="-94"/>
        </w:rPr>
        <w:t> </w:t>
      </w:r>
      <w:r>
        <w:rPr>
          <w:spacing w:val="-94"/>
        </w:rPr>
      </w:r>
      <w:r>
        <w:rPr/>
        <w:t>率折算，折算后的记账本位币金额与原记账本位币金额的差额，计入当期损益。</w:t>
      </w:r>
    </w:p>
    <w:p>
      <w:pPr>
        <w:pStyle w:val="BodyText"/>
        <w:spacing w:line="328" w:lineRule="auto" w:before="118"/>
        <w:ind w:left="618" w:right="0" w:hanging="420"/>
        <w:jc w:val="left"/>
      </w:pPr>
      <w:r>
        <w:rPr/>
        <w:t>（</w:t>
      </w:r>
      <w:r>
        <w:rPr>
          <w:rFonts w:ascii="宋体" w:hAnsi="宋体" w:cs="宋体" w:eastAsia="宋体" w:hint="default"/>
        </w:rPr>
        <w:t>2</w:t>
      </w:r>
      <w:r>
        <w:rPr/>
        <w:t>）外币财务报表的折算 </w:t>
      </w:r>
      <w:r>
        <w:rPr>
          <w:spacing w:val="-2"/>
        </w:rPr>
        <w:t>资产负债表日，对境外子公司外币财务报表进行折算时，资产负债表中的资产和</w:t>
      </w:r>
    </w:p>
    <w:p>
      <w:pPr>
        <w:pStyle w:val="BodyText"/>
        <w:spacing w:line="221" w:lineRule="exact"/>
        <w:ind w:right="0"/>
        <w:jc w:val="left"/>
      </w:pPr>
      <w:r>
        <w:rPr/>
        <w:t>负债项目，采用资产负债表日的即期汇率折算，股东权益项目除“未分配利润”外，</w:t>
      </w:r>
    </w:p>
    <w:p>
      <w:pPr>
        <w:pStyle w:val="BodyText"/>
        <w:spacing w:line="328" w:lineRule="auto"/>
        <w:ind w:left="618" w:right="0" w:hanging="480"/>
        <w:jc w:val="left"/>
      </w:pPr>
      <w:r>
        <w:rPr/>
        <w:t>其他项目采用发生日的即期汇率折算。 </w:t>
      </w:r>
      <w:r>
        <w:rPr>
          <w:spacing w:val="-2"/>
        </w:rPr>
        <w:t>利润表中的收入和费用项目，采用按照系统合理的方法确定的、与交易发生日即</w:t>
      </w:r>
    </w:p>
    <w:p>
      <w:pPr>
        <w:pStyle w:val="BodyText"/>
        <w:spacing w:line="224" w:lineRule="exact"/>
        <w:ind w:right="0"/>
        <w:jc w:val="left"/>
      </w:pPr>
      <w:r>
        <w:rPr/>
        <w:t>期汇率近似的汇率折算。</w:t>
      </w:r>
    </w:p>
    <w:p>
      <w:pPr>
        <w:pStyle w:val="BodyText"/>
        <w:spacing w:line="237" w:lineRule="auto" w:before="119"/>
        <w:ind w:right="353" w:firstLine="480"/>
        <w:jc w:val="both"/>
      </w:pPr>
      <w:r>
        <w:rPr>
          <w:spacing w:val="-2"/>
        </w:rPr>
        <w:t>现金流量表所有项目均按照系统合理的方法确定的、与现金流量发生日即期汇率</w:t>
      </w:r>
      <w:r>
        <w:rPr/>
        <w:t> </w:t>
      </w:r>
      <w:r>
        <w:rPr>
          <w:spacing w:val="-2"/>
        </w:rPr>
        <w:t>近似的汇率。汇率变动对现金的影响额作为调节项目，在现金流量表中单独列示“汇</w:t>
      </w:r>
      <w:r>
        <w:rPr>
          <w:spacing w:val="-94"/>
        </w:rPr>
        <w:t> </w:t>
      </w:r>
      <w:r>
        <w:rPr>
          <w:spacing w:val="-94"/>
        </w:rPr>
      </w:r>
      <w:r>
        <w:rPr/>
        <w:t>率变动对现金及现金等价物的影响”项目反映。</w:t>
      </w:r>
    </w:p>
    <w:p>
      <w:pPr>
        <w:pStyle w:val="BodyText"/>
        <w:spacing w:line="310" w:lineRule="exact" w:before="149"/>
        <w:ind w:right="0" w:firstLine="480"/>
        <w:jc w:val="left"/>
      </w:pPr>
      <w:r>
        <w:rPr>
          <w:spacing w:val="-2"/>
        </w:rPr>
        <w:t>由于财务报表折算而产生的差额，在资产负债表股东权益项目下的“其他综合收</w:t>
      </w:r>
      <w:r>
        <w:rPr/>
        <w:t> 益”项目反映。</w:t>
      </w:r>
    </w:p>
    <w:p>
      <w:pPr>
        <w:pStyle w:val="BodyText"/>
        <w:spacing w:line="310" w:lineRule="exact" w:before="122"/>
        <w:ind w:right="0" w:firstLine="480"/>
        <w:jc w:val="left"/>
      </w:pPr>
      <w:r>
        <w:rPr/>
        <w:t>处置境外经营并丧失控制权时，将资产负债表中股东权益项目下列示的、与该境 </w:t>
      </w:r>
      <w:r>
        <w:rPr>
          <w:spacing w:val="-2"/>
        </w:rPr>
        <w:t>外经营相关的外币报表折算差额，全部或按处置该境外经营的比例转入处置当期损益。</w:t>
      </w:r>
    </w:p>
    <w:p>
      <w:pPr>
        <w:spacing w:line="240" w:lineRule="auto" w:before="0"/>
        <w:rPr>
          <w:rFonts w:ascii="宋体" w:hAnsi="宋体" w:cs="宋体" w:eastAsia="宋体" w:hint="default"/>
          <w:sz w:val="24"/>
          <w:szCs w:val="24"/>
        </w:rPr>
      </w:pPr>
    </w:p>
    <w:p>
      <w:pPr>
        <w:pStyle w:val="Heading2"/>
        <w:spacing w:line="240" w:lineRule="auto" w:before="206"/>
        <w:ind w:left="138" w:right="0"/>
        <w:jc w:val="left"/>
        <w:rPr>
          <w:b w:val="0"/>
          <w:bCs w:val="0"/>
        </w:rPr>
      </w:pPr>
      <w:r>
        <w:rPr>
          <w:rFonts w:ascii="Calibri" w:hAnsi="Calibri" w:cs="Calibri" w:eastAsia="Calibri" w:hint="default"/>
        </w:rPr>
        <w:t>10. </w:t>
      </w:r>
      <w:r>
        <w:rPr>
          <w:rFonts w:ascii="Calibri" w:hAnsi="Calibri" w:cs="Calibri" w:eastAsia="Calibri" w:hint="default"/>
          <w:spacing w:val="7"/>
        </w:rPr>
        <w:t> </w:t>
      </w:r>
      <w:r>
        <w:rPr/>
        <w:t>金融工具</w:t>
      </w:r>
      <w:r>
        <w:rPr>
          <w:b w:val="0"/>
          <w:bCs w:val="0"/>
        </w:rPr>
      </w:r>
    </w:p>
    <w:p>
      <w:pPr>
        <w:pStyle w:val="BodyText"/>
        <w:spacing w:line="312" w:lineRule="exact" w:before="116"/>
        <w:ind w:right="0" w:firstLine="480"/>
        <w:jc w:val="left"/>
      </w:pPr>
      <w:r>
        <w:rPr>
          <w:spacing w:val="-2"/>
        </w:rPr>
        <w:t>金融工具是指形成一个企业的金融资产，并形成其他单位的金融负债或权益工具</w:t>
      </w:r>
      <w:r>
        <w:rPr/>
        <w:t> 的合同。</w:t>
      </w:r>
    </w:p>
    <w:p>
      <w:pPr>
        <w:pStyle w:val="BodyText"/>
        <w:spacing w:line="328" w:lineRule="auto" w:before="88"/>
        <w:ind w:left="618" w:right="1488" w:hanging="420"/>
        <w:jc w:val="left"/>
      </w:pPr>
      <w:r>
        <w:rPr/>
        <w:t>（</w:t>
      </w:r>
      <w:r>
        <w:rPr>
          <w:rFonts w:ascii="宋体" w:hAnsi="宋体" w:cs="宋体" w:eastAsia="宋体" w:hint="default"/>
        </w:rPr>
        <w:t>1</w:t>
      </w:r>
      <w:r>
        <w:rPr/>
        <w:t>）金融工具的确认和终止确认 本集团于成为金融工具合同的一方时确认一项金融资产或金融负债。 金融资产满足下列条件之一的，终止确认：</w:t>
      </w:r>
    </w:p>
    <w:p>
      <w:pPr>
        <w:pStyle w:val="BodyText"/>
        <w:spacing w:line="240" w:lineRule="auto" w:before="28"/>
        <w:ind w:left="618" w:right="0"/>
        <w:jc w:val="left"/>
      </w:pPr>
      <w:r>
        <w:rPr/>
        <w:t>①收取该金融资产现金流量的合同权利终止；</w:t>
      </w:r>
    </w:p>
    <w:p>
      <w:pPr>
        <w:pStyle w:val="BodyText"/>
        <w:spacing w:line="240" w:lineRule="auto" w:before="118"/>
        <w:ind w:left="618" w:right="0"/>
        <w:jc w:val="left"/>
      </w:pPr>
      <w:r>
        <w:rPr/>
        <w:t>②该金融资产已转移，且符合下述金融资产转移的终止确认条件。</w:t>
      </w:r>
    </w:p>
    <w:p>
      <w:pPr>
        <w:spacing w:after="0" w:line="240" w:lineRule="auto"/>
        <w:jc w:val="left"/>
        <w:sectPr>
          <w:pgSz w:w="11910" w:h="16840"/>
          <w:pgMar w:header="882" w:footer="1194" w:top="1120" w:bottom="1380" w:left="1660" w:right="920"/>
        </w:sectPr>
      </w:pPr>
    </w:p>
    <w:p>
      <w:pPr>
        <w:spacing w:line="240" w:lineRule="auto" w:before="9"/>
        <w:rPr>
          <w:rFonts w:ascii="宋体" w:hAnsi="宋体" w:cs="宋体" w:eastAsia="宋体" w:hint="default"/>
          <w:sz w:val="25"/>
          <w:szCs w:val="25"/>
        </w:rPr>
      </w:pPr>
    </w:p>
    <w:p>
      <w:pPr>
        <w:pStyle w:val="BodyText"/>
        <w:spacing w:line="237" w:lineRule="auto" w:before="28"/>
        <w:ind w:right="0" w:firstLine="480"/>
        <w:jc w:val="left"/>
      </w:pPr>
      <w:r>
        <w:rPr/>
        <w:t>金融负债的现时义务全部或部分已经解除的，终止确认该金融负债或其一部分。 </w:t>
      </w:r>
      <w:r>
        <w:rPr>
          <w:spacing w:val="-8"/>
        </w:rPr>
        <w:t>本集团（债务人）与债权人之间签订协议，以承担新金融负债方式替换现存金融负债，</w:t>
      </w:r>
      <w:r>
        <w:rPr>
          <w:spacing w:val="-104"/>
        </w:rPr>
        <w:t> </w:t>
      </w:r>
      <w:r>
        <w:rPr>
          <w:spacing w:val="-104"/>
        </w:rPr>
      </w:r>
      <w:r>
        <w:rPr/>
        <w:t>且新金融负债与现存金融负债的合同条款实质上不同的，终止确认现存金融负债，并</w:t>
      </w:r>
      <w:r>
        <w:rPr/>
        <w:t> 同时确认新金融负债。</w:t>
      </w:r>
    </w:p>
    <w:p>
      <w:pPr>
        <w:pStyle w:val="BodyText"/>
        <w:spacing w:line="240" w:lineRule="auto" w:before="117"/>
        <w:ind w:left="618" w:right="0"/>
        <w:jc w:val="left"/>
      </w:pPr>
      <w:r>
        <w:rPr/>
        <w:t>以常规方式买卖金融资产，按交易日进行会计确认和终止确认。</w:t>
      </w:r>
    </w:p>
    <w:p>
      <w:pPr>
        <w:pStyle w:val="BodyText"/>
        <w:spacing w:line="328" w:lineRule="auto" w:before="118"/>
        <w:ind w:left="618" w:right="0" w:hanging="420"/>
        <w:jc w:val="left"/>
      </w:pPr>
      <w:r>
        <w:rPr/>
        <w:t>（</w:t>
      </w:r>
      <w:r>
        <w:rPr>
          <w:rFonts w:ascii="宋体" w:hAnsi="宋体" w:cs="宋体" w:eastAsia="宋体" w:hint="default"/>
        </w:rPr>
        <w:t>2</w:t>
      </w:r>
      <w:r>
        <w:rPr/>
        <w:t>）金融资产分类和计量 </w:t>
      </w:r>
      <w:r>
        <w:rPr>
          <w:spacing w:val="-2"/>
        </w:rPr>
        <w:t>本集团的金融资产于初始确认时分为以下四类：以公允价值计量且其变动计入当</w:t>
      </w:r>
    </w:p>
    <w:p>
      <w:pPr>
        <w:pStyle w:val="BodyText"/>
        <w:spacing w:line="221" w:lineRule="exact"/>
        <w:ind w:right="0"/>
        <w:jc w:val="both"/>
      </w:pPr>
      <w:r>
        <w:rPr/>
        <w:t>期损益的金融资产、持有至到期投资、贷款和应收款项、可供出售金融资产。金融资</w:t>
      </w:r>
    </w:p>
    <w:p>
      <w:pPr>
        <w:pStyle w:val="BodyText"/>
        <w:spacing w:line="237" w:lineRule="auto" w:before="1"/>
        <w:ind w:right="352"/>
        <w:jc w:val="both"/>
      </w:pPr>
      <w:r>
        <w:rPr>
          <w:spacing w:val="-2"/>
        </w:rPr>
        <w:t>产在初始确认时以公允价值计量。对于以公允价值计量且其变动计入当期损益的金融</w:t>
      </w:r>
      <w:r>
        <w:rPr>
          <w:spacing w:val="-93"/>
        </w:rPr>
        <w:t> </w:t>
      </w:r>
      <w:r>
        <w:rPr>
          <w:spacing w:val="-93"/>
        </w:rPr>
      </w:r>
      <w:r>
        <w:rPr>
          <w:spacing w:val="-2"/>
        </w:rPr>
        <w:t>资产，相关交易费用直接计入当期损益，其他类别的金融资产相关交易费用计入其初</w:t>
      </w:r>
      <w:r>
        <w:rPr>
          <w:spacing w:val="-94"/>
        </w:rPr>
        <w:t> </w:t>
      </w:r>
      <w:r>
        <w:rPr>
          <w:spacing w:val="-94"/>
        </w:rPr>
      </w:r>
      <w:r>
        <w:rPr/>
        <w:t>始确认金额。</w:t>
      </w:r>
    </w:p>
    <w:p>
      <w:pPr>
        <w:pStyle w:val="BodyText"/>
        <w:spacing w:line="328" w:lineRule="auto" w:before="117"/>
        <w:ind w:left="618" w:right="0"/>
        <w:jc w:val="left"/>
      </w:pPr>
      <w:r>
        <w:rPr/>
        <w:t>以公允价值计量且其变动计入当期损益的金融资产 </w:t>
      </w:r>
      <w:r>
        <w:rPr>
          <w:spacing w:val="-2"/>
        </w:rPr>
        <w:t>以公允价值计量且其变动计入当期损益的金融资产，包括交易性金融资产和初始</w:t>
      </w:r>
    </w:p>
    <w:p>
      <w:pPr>
        <w:pStyle w:val="BodyText"/>
        <w:spacing w:line="222" w:lineRule="exact"/>
        <w:ind w:right="0"/>
        <w:jc w:val="both"/>
      </w:pPr>
      <w:r>
        <w:rPr/>
        <w:t>确认时指定为以公允价值计量且其变动计入当期损益的金融资产。对于此类金融资产，</w:t>
      </w:r>
    </w:p>
    <w:p>
      <w:pPr>
        <w:pStyle w:val="BodyText"/>
        <w:spacing w:line="310" w:lineRule="exact" w:before="30"/>
        <w:ind w:right="353"/>
        <w:jc w:val="both"/>
      </w:pPr>
      <w:r>
        <w:rPr>
          <w:spacing w:val="-2"/>
        </w:rPr>
        <w:t>采用公允价值进行后续计量，公允价值变动形成的利得或损失以及与该等金融资产相</w:t>
      </w:r>
      <w:r>
        <w:rPr>
          <w:spacing w:val="-93"/>
        </w:rPr>
        <w:t> </w:t>
      </w:r>
      <w:r>
        <w:rPr>
          <w:spacing w:val="-93"/>
        </w:rPr>
      </w:r>
      <w:r>
        <w:rPr/>
        <w:t>关的股利和利息收入计入当期损益。</w:t>
      </w:r>
    </w:p>
    <w:p>
      <w:pPr>
        <w:pStyle w:val="BodyText"/>
        <w:spacing w:line="328" w:lineRule="auto" w:before="89"/>
        <w:ind w:left="618" w:right="0"/>
        <w:jc w:val="left"/>
      </w:pPr>
      <w:r>
        <w:rPr/>
        <w:t>持有至到期投资 </w:t>
      </w:r>
      <w:r>
        <w:rPr>
          <w:spacing w:val="-2"/>
        </w:rPr>
        <w:t>持有至到期投资，是指到期日固定、回收金额固定或可确定，且本集团有明确意</w:t>
      </w:r>
    </w:p>
    <w:p>
      <w:pPr>
        <w:pStyle w:val="BodyText"/>
        <w:spacing w:line="222" w:lineRule="exact"/>
        <w:ind w:right="0"/>
        <w:jc w:val="both"/>
      </w:pPr>
      <w:r>
        <w:rPr/>
        <w:t>图和能力持有至到期的非衍生金融资产。持有至到期投资采用实际利率法，按照摊余</w:t>
      </w:r>
    </w:p>
    <w:p>
      <w:pPr>
        <w:pStyle w:val="BodyText"/>
        <w:spacing w:line="310" w:lineRule="exact" w:before="31"/>
        <w:ind w:right="353"/>
        <w:jc w:val="both"/>
      </w:pPr>
      <w:r>
        <w:rPr>
          <w:spacing w:val="-2"/>
        </w:rPr>
        <w:t>成本进行后续计量，其终止确认、发生减值或摊销产生的利得或损失，均计入当期损</w:t>
      </w:r>
      <w:r>
        <w:rPr>
          <w:spacing w:val="-94"/>
        </w:rPr>
        <w:t> </w:t>
      </w:r>
      <w:r>
        <w:rPr>
          <w:spacing w:val="-94"/>
        </w:rPr>
      </w:r>
      <w:r>
        <w:rPr/>
        <w:t>益。</w:t>
      </w:r>
    </w:p>
    <w:p>
      <w:pPr>
        <w:pStyle w:val="BodyText"/>
        <w:spacing w:line="328" w:lineRule="auto" w:before="89"/>
        <w:ind w:left="618" w:right="0"/>
        <w:jc w:val="left"/>
      </w:pPr>
      <w:r>
        <w:rPr/>
        <w:t>应收款项 </w:t>
      </w:r>
      <w:r>
        <w:rPr>
          <w:spacing w:val="-2"/>
        </w:rPr>
        <w:t>应收款项，是指在活跃市场中没有报价、回收金额固定或可确定的非衍生金融资</w:t>
      </w:r>
    </w:p>
    <w:p>
      <w:pPr>
        <w:pStyle w:val="BodyText"/>
        <w:spacing w:line="221" w:lineRule="exact"/>
        <w:ind w:right="0"/>
        <w:jc w:val="both"/>
      </w:pPr>
      <w:r>
        <w:rPr/>
        <w:t>产，包括应收账款和其他应收款等（附注三、</w:t>
      </w:r>
      <w:r>
        <w:rPr>
          <w:rFonts w:ascii="宋体" w:hAnsi="宋体" w:cs="宋体" w:eastAsia="宋体" w:hint="default"/>
        </w:rPr>
        <w:t>12</w:t>
      </w:r>
      <w:r>
        <w:rPr/>
        <w:t>）。应收款项采用实际利率法，按摊</w:t>
      </w:r>
    </w:p>
    <w:p>
      <w:pPr>
        <w:pStyle w:val="BodyText"/>
        <w:spacing w:line="310" w:lineRule="exact" w:before="31"/>
        <w:ind w:right="353"/>
        <w:jc w:val="both"/>
      </w:pPr>
      <w:r>
        <w:rPr>
          <w:spacing w:val="-2"/>
        </w:rPr>
        <w:t>余成本进行后续计量，在终止确认、发生减值或摊销时产生的利得或损失，计入当期</w:t>
      </w:r>
      <w:r>
        <w:rPr>
          <w:spacing w:val="-94"/>
        </w:rPr>
        <w:t> </w:t>
      </w:r>
      <w:r>
        <w:rPr>
          <w:spacing w:val="-94"/>
        </w:rPr>
      </w:r>
      <w:r>
        <w:rPr/>
        <w:t>损益。</w:t>
      </w:r>
    </w:p>
    <w:p>
      <w:pPr>
        <w:pStyle w:val="BodyText"/>
        <w:spacing w:line="328" w:lineRule="auto" w:before="89"/>
        <w:ind w:left="618" w:right="0"/>
        <w:jc w:val="left"/>
      </w:pPr>
      <w:r>
        <w:rPr/>
        <w:t>可供出售金融资产 </w:t>
      </w:r>
      <w:r>
        <w:rPr>
          <w:spacing w:val="-2"/>
        </w:rPr>
        <w:t>可供出售金融资产，是指初始确认时即指定为可供出售的非衍生金融资产，以及</w:t>
      </w:r>
    </w:p>
    <w:p>
      <w:pPr>
        <w:pStyle w:val="BodyText"/>
        <w:spacing w:line="221" w:lineRule="exact"/>
        <w:ind w:right="0"/>
        <w:jc w:val="both"/>
      </w:pPr>
      <w:r>
        <w:rPr/>
        <w:t>除上述金融资产类别以外的金融资产。可供出售金融资产采用公允价值进行后续计量，</w:t>
      </w:r>
    </w:p>
    <w:p>
      <w:pPr>
        <w:pStyle w:val="BodyText"/>
        <w:spacing w:line="237" w:lineRule="auto" w:before="1"/>
        <w:ind w:right="353"/>
        <w:jc w:val="both"/>
      </w:pPr>
      <w:r>
        <w:rPr>
          <w:spacing w:val="-2"/>
        </w:rPr>
        <w:t>其折溢价采用实际利率法摊销并确认为利息收入。除减值损失及外币货币性金融资产</w:t>
      </w:r>
      <w:r>
        <w:rPr>
          <w:spacing w:val="-93"/>
        </w:rPr>
        <w:t> </w:t>
      </w:r>
      <w:r>
        <w:rPr>
          <w:spacing w:val="-93"/>
        </w:rPr>
      </w:r>
      <w:r>
        <w:rPr>
          <w:spacing w:val="-2"/>
        </w:rPr>
        <w:t>的汇兑差额确认为当期损益外，可供出售金融资产的公允价值变动确认为其他综合收</w:t>
      </w:r>
      <w:r>
        <w:rPr>
          <w:spacing w:val="-93"/>
        </w:rPr>
        <w:t> </w:t>
      </w:r>
      <w:r>
        <w:rPr>
          <w:spacing w:val="-93"/>
        </w:rPr>
      </w:r>
      <w:r>
        <w:rPr>
          <w:spacing w:val="-2"/>
        </w:rPr>
        <w:t>益，在该金融资产终止确认时转出，计入当期损益。与可供出售金融资产相关的股利</w:t>
      </w:r>
      <w:r>
        <w:rPr>
          <w:spacing w:val="-94"/>
        </w:rPr>
        <w:t> </w:t>
      </w:r>
      <w:r>
        <w:rPr>
          <w:spacing w:val="-94"/>
        </w:rPr>
      </w:r>
      <w:r>
        <w:rPr/>
        <w:t>或利息收入，计入当期损益。</w:t>
      </w:r>
    </w:p>
    <w:p>
      <w:pPr>
        <w:pStyle w:val="BodyText"/>
        <w:spacing w:line="312" w:lineRule="exact" w:before="147"/>
        <w:ind w:right="0" w:firstLine="480"/>
        <w:jc w:val="left"/>
      </w:pPr>
      <w:r>
        <w:rPr>
          <w:spacing w:val="-2"/>
        </w:rPr>
        <w:t>对于在活跃市场中没有报价且其公允价值不能可靠计量的权益工具投资，以及与</w:t>
      </w:r>
      <w:r>
        <w:rPr/>
        <w:t> 该权益工具挂钩并须通过交付该权益工具结算的衍生金融资产，按成本计量。</w:t>
      </w:r>
    </w:p>
    <w:p>
      <w:pPr>
        <w:pStyle w:val="BodyText"/>
        <w:spacing w:line="328" w:lineRule="auto" w:before="88"/>
        <w:ind w:left="618" w:right="0" w:hanging="420"/>
        <w:jc w:val="left"/>
      </w:pPr>
      <w:r>
        <w:rPr/>
        <w:t>（</w:t>
      </w:r>
      <w:r>
        <w:rPr>
          <w:rFonts w:ascii="宋体" w:hAnsi="宋体" w:cs="宋体" w:eastAsia="宋体" w:hint="default"/>
        </w:rPr>
        <w:t>3</w:t>
      </w:r>
      <w:r>
        <w:rPr/>
        <w:t>）金融负债分类和计量 </w:t>
      </w:r>
      <w:r>
        <w:rPr>
          <w:spacing w:val="-2"/>
        </w:rPr>
        <w:t>本集团的金融负债于初始确认时分类为：以公允价值计量且其变动计入当期损益</w:t>
      </w:r>
    </w:p>
    <w:p>
      <w:pPr>
        <w:pStyle w:val="BodyText"/>
        <w:spacing w:line="222" w:lineRule="exact"/>
        <w:ind w:right="0"/>
        <w:jc w:val="both"/>
      </w:pPr>
      <w:r>
        <w:rPr/>
        <w:t>的金融负债、其他金融负债。对于未划分为以公允价值计量且其变动计入当期损益的</w:t>
      </w:r>
    </w:p>
    <w:p>
      <w:pPr>
        <w:pStyle w:val="BodyText"/>
        <w:spacing w:line="312" w:lineRule="exact"/>
        <w:ind w:right="0"/>
        <w:jc w:val="both"/>
      </w:pPr>
      <w:r>
        <w:rPr/>
        <w:t>金融负债的，相关交易费用计入其初始确认金额。</w:t>
      </w:r>
    </w:p>
    <w:p>
      <w:pPr>
        <w:spacing w:after="0" w:line="312" w:lineRule="exact"/>
        <w:jc w:val="both"/>
        <w:sectPr>
          <w:pgSz w:w="11910" w:h="16840"/>
          <w:pgMar w:header="882" w:footer="1194" w:top="1120" w:bottom="1380" w:left="1660" w:right="920"/>
        </w:sectPr>
      </w:pPr>
    </w:p>
    <w:p>
      <w:pPr>
        <w:spacing w:line="240" w:lineRule="auto" w:before="9"/>
        <w:rPr>
          <w:rFonts w:ascii="宋体" w:hAnsi="宋体" w:cs="宋体" w:eastAsia="宋体" w:hint="default"/>
          <w:sz w:val="25"/>
          <w:szCs w:val="25"/>
        </w:rPr>
      </w:pPr>
    </w:p>
    <w:p>
      <w:pPr>
        <w:pStyle w:val="BodyText"/>
        <w:spacing w:line="328" w:lineRule="auto" w:before="26"/>
        <w:ind w:left="618" w:right="0"/>
        <w:jc w:val="left"/>
      </w:pPr>
      <w:r>
        <w:rPr/>
        <w:t>以公允价值计量且其变动计入当期损益的金融负债 </w:t>
      </w:r>
      <w:r>
        <w:rPr>
          <w:spacing w:val="-2"/>
        </w:rPr>
        <w:t>以公允价值计量且其变动计入当期损益的金融负债，包括交易性金融负债和初始</w:t>
      </w:r>
    </w:p>
    <w:p>
      <w:pPr>
        <w:pStyle w:val="BodyText"/>
        <w:spacing w:line="222" w:lineRule="exact"/>
        <w:ind w:right="0"/>
        <w:jc w:val="left"/>
      </w:pPr>
      <w:r>
        <w:rPr/>
        <w:t>确认时指定为以公允价值计量且其变动计入当期损益的金融负债。对于此类金融负债，</w:t>
      </w:r>
    </w:p>
    <w:p>
      <w:pPr>
        <w:pStyle w:val="BodyText"/>
        <w:spacing w:line="310" w:lineRule="exact" w:before="31"/>
        <w:ind w:right="0"/>
        <w:jc w:val="left"/>
      </w:pPr>
      <w:r>
        <w:rPr>
          <w:spacing w:val="-2"/>
        </w:rPr>
        <w:t>按照公允价值进行后续计量，公允价值变动形成的利得或损失以及与该等金融负债相</w:t>
      </w:r>
      <w:r>
        <w:rPr>
          <w:spacing w:val="-93"/>
        </w:rPr>
        <w:t> </w:t>
      </w:r>
      <w:r>
        <w:rPr>
          <w:spacing w:val="-93"/>
        </w:rPr>
      </w:r>
      <w:r>
        <w:rPr/>
        <w:t>关的股利和利息支出计入当期损益。</w:t>
      </w:r>
    </w:p>
    <w:p>
      <w:pPr>
        <w:pStyle w:val="BodyText"/>
        <w:spacing w:line="328" w:lineRule="auto" w:before="89"/>
        <w:ind w:left="618" w:right="0"/>
        <w:jc w:val="left"/>
      </w:pPr>
      <w:r>
        <w:rPr/>
        <w:t>其他金融负债 </w:t>
      </w:r>
      <w:r>
        <w:rPr>
          <w:spacing w:val="-2"/>
        </w:rPr>
        <w:t>与在活跃市场中没有报价、公允价值不能可靠计量的权益工具挂钩并须通过交付</w:t>
      </w:r>
    </w:p>
    <w:p>
      <w:pPr>
        <w:pStyle w:val="BodyText"/>
        <w:spacing w:line="221" w:lineRule="exact"/>
        <w:ind w:right="0"/>
        <w:jc w:val="left"/>
      </w:pPr>
      <w:r>
        <w:rPr/>
        <w:t>该权益工具结算的衍生金融负债，按照成本进行后续计量。其他金融负债采用实际利</w:t>
      </w:r>
    </w:p>
    <w:p>
      <w:pPr>
        <w:pStyle w:val="BodyText"/>
        <w:spacing w:line="328" w:lineRule="auto"/>
        <w:ind w:left="618" w:right="0" w:hanging="480"/>
        <w:jc w:val="left"/>
      </w:pPr>
      <w:r>
        <w:rPr/>
        <w:t>率法，按摊余成本进行后续计量，终止确认或摊销产生的利得或损失计入当期损益。</w:t>
      </w:r>
      <w:r>
        <w:rPr>
          <w:spacing w:val="-62"/>
        </w:rPr>
        <w:t> </w:t>
      </w:r>
      <w:r>
        <w:rPr>
          <w:spacing w:val="-62"/>
        </w:rPr>
      </w:r>
      <w:r>
        <w:rPr/>
        <w:t>金融负债与权益工具的区分</w:t>
      </w:r>
    </w:p>
    <w:p>
      <w:pPr>
        <w:pStyle w:val="BodyText"/>
        <w:spacing w:line="240" w:lineRule="auto" w:before="29"/>
        <w:ind w:left="618" w:right="0"/>
        <w:jc w:val="left"/>
      </w:pPr>
      <w:r>
        <w:rPr/>
        <w:t>金融负债，是指符合下列条件之一的负债：</w:t>
      </w:r>
    </w:p>
    <w:p>
      <w:pPr>
        <w:pStyle w:val="BodyText"/>
        <w:spacing w:line="240" w:lineRule="auto" w:before="116"/>
        <w:ind w:left="618" w:right="0"/>
        <w:jc w:val="left"/>
      </w:pPr>
      <w:r>
        <w:rPr/>
        <w:t>①向其他方交付现金或其他金融资产的合同义务。</w:t>
      </w:r>
    </w:p>
    <w:p>
      <w:pPr>
        <w:pStyle w:val="BodyText"/>
        <w:spacing w:line="240" w:lineRule="auto" w:before="116"/>
        <w:ind w:left="618" w:right="0"/>
        <w:jc w:val="left"/>
      </w:pPr>
      <w:r>
        <w:rPr/>
        <w:t>②在潜在不利条件下，与其他方交换金融资产或金融负债的合同义务。</w:t>
      </w:r>
    </w:p>
    <w:p>
      <w:pPr>
        <w:pStyle w:val="BodyText"/>
        <w:spacing w:line="310" w:lineRule="exact" w:before="150"/>
        <w:ind w:right="353" w:firstLine="480"/>
        <w:jc w:val="both"/>
      </w:pPr>
      <w:r>
        <w:rPr>
          <w:spacing w:val="-2"/>
        </w:rPr>
        <w:t>③将来须用或可用企业自身权益工具进行结算的非衍生工具合同，且企业根据该</w:t>
      </w:r>
      <w:r>
        <w:rPr/>
        <w:t> 合同将交付可变数量的自身权益工具。</w:t>
      </w:r>
    </w:p>
    <w:p>
      <w:pPr>
        <w:pStyle w:val="BodyText"/>
        <w:spacing w:line="312" w:lineRule="exact" w:before="119"/>
        <w:ind w:right="353" w:firstLine="480"/>
        <w:jc w:val="both"/>
      </w:pPr>
      <w:r>
        <w:rPr>
          <w:spacing w:val="-2"/>
        </w:rPr>
        <w:t>④将来须用或可用企业自身权益工具进行结算的衍生工具合同，但以固定数量的</w:t>
      </w:r>
      <w:r>
        <w:rPr/>
        <w:t> 自身权益工具交换固定金额的现金或其他金融资产的衍生工具合同除外。</w:t>
      </w:r>
    </w:p>
    <w:p>
      <w:pPr>
        <w:pStyle w:val="BodyText"/>
        <w:spacing w:line="331" w:lineRule="auto" w:before="88"/>
        <w:ind w:left="618" w:right="0"/>
        <w:jc w:val="left"/>
      </w:pPr>
      <w:r>
        <w:rPr>
          <w:spacing w:val="-2"/>
        </w:rPr>
        <w:t>权益工具，是指能证明拥有某个企业在扣除所有负债后的资产中剩余权益的合同。</w:t>
      </w:r>
      <w:r>
        <w:rPr>
          <w:spacing w:val="-95"/>
        </w:rPr>
        <w:t> </w:t>
      </w:r>
      <w:r>
        <w:rPr>
          <w:spacing w:val="-95"/>
        </w:rPr>
      </w:r>
      <w:r>
        <w:rPr/>
        <w:t>如果本集团不能无条件地避免以交付现金或其他金融资产来履行一项合同义务，</w:t>
      </w:r>
    </w:p>
    <w:p>
      <w:pPr>
        <w:pStyle w:val="BodyText"/>
        <w:spacing w:line="220" w:lineRule="exact"/>
        <w:ind w:right="0"/>
        <w:jc w:val="left"/>
      </w:pPr>
      <w:r>
        <w:rPr/>
        <w:t>则该合同义务符合金融负债的定义。</w:t>
      </w:r>
    </w:p>
    <w:p>
      <w:pPr>
        <w:pStyle w:val="BodyText"/>
        <w:spacing w:line="237" w:lineRule="auto" w:before="119"/>
        <w:ind w:right="353" w:firstLine="480"/>
        <w:jc w:val="both"/>
      </w:pPr>
      <w:r>
        <w:rPr>
          <w:spacing w:val="-2"/>
        </w:rPr>
        <w:t>如果一项金融工具须用或可用本集团自身权益工具进行结算，需要考虑用于结算</w:t>
      </w:r>
      <w:r>
        <w:rPr/>
        <w:t> </w:t>
      </w:r>
      <w:r>
        <w:rPr>
          <w:spacing w:val="-2"/>
        </w:rPr>
        <w:t>该工具的本集团自身权益工具，是作为现金或其他金融资产的替代品，还是为了使该</w:t>
      </w:r>
      <w:r>
        <w:rPr>
          <w:spacing w:val="-94"/>
        </w:rPr>
        <w:t> </w:t>
      </w:r>
      <w:r>
        <w:rPr>
          <w:spacing w:val="-94"/>
        </w:rPr>
      </w:r>
      <w:r>
        <w:rPr>
          <w:spacing w:val="-2"/>
        </w:rPr>
        <w:t>工具持有方享有在发行方扣除所有负债后的资产中的剩余权益。如果是前者，该工具</w:t>
      </w:r>
      <w:r>
        <w:rPr>
          <w:spacing w:val="-94"/>
        </w:rPr>
        <w:t> </w:t>
      </w:r>
      <w:r>
        <w:rPr>
          <w:spacing w:val="-94"/>
        </w:rPr>
      </w:r>
      <w:r>
        <w:rPr/>
        <w:t>是本集团的金融负债；如果是后者，该工具是本集团的权益工具。</w:t>
      </w:r>
    </w:p>
    <w:p>
      <w:pPr>
        <w:pStyle w:val="BodyText"/>
        <w:spacing w:line="328" w:lineRule="auto" w:before="118"/>
        <w:ind w:left="618" w:right="0" w:hanging="420"/>
        <w:jc w:val="left"/>
      </w:pPr>
      <w:r>
        <w:rPr/>
        <w:t>（</w:t>
      </w:r>
      <w:r>
        <w:rPr>
          <w:rFonts w:ascii="宋体" w:hAnsi="宋体" w:cs="宋体" w:eastAsia="宋体" w:hint="default"/>
        </w:rPr>
        <w:t>4</w:t>
      </w:r>
      <w:r>
        <w:rPr/>
        <w:t>）衍生金融工具及嵌入衍生工具 </w:t>
      </w:r>
      <w:r>
        <w:rPr>
          <w:spacing w:val="-2"/>
        </w:rPr>
        <w:t>本集团衍生金融初始以衍生交易合同签订当日的公允价值进行计量，并以其公允</w:t>
      </w:r>
    </w:p>
    <w:p>
      <w:pPr>
        <w:pStyle w:val="BodyText"/>
        <w:spacing w:line="222" w:lineRule="exact"/>
        <w:ind w:right="0"/>
        <w:jc w:val="left"/>
      </w:pPr>
      <w:r>
        <w:rPr/>
        <w:t>价值进行后续计量。公允价值为正数的衍生金融工具确认为一项资产，公允价值为负</w:t>
      </w:r>
    </w:p>
    <w:p>
      <w:pPr>
        <w:pStyle w:val="BodyText"/>
        <w:spacing w:line="310" w:lineRule="exact" w:before="30"/>
        <w:ind w:right="0"/>
        <w:jc w:val="left"/>
      </w:pPr>
      <w:r>
        <w:rPr>
          <w:spacing w:val="-2"/>
        </w:rPr>
        <w:t>数的确认为一项负债。因公允价值变动而产生的任何不符合套期会计规定的利得或损</w:t>
      </w:r>
      <w:r>
        <w:rPr>
          <w:spacing w:val="-93"/>
        </w:rPr>
        <w:t> </w:t>
      </w:r>
      <w:r>
        <w:rPr>
          <w:spacing w:val="-93"/>
        </w:rPr>
      </w:r>
      <w:r>
        <w:rPr/>
        <w:t>失，直接计入当期损益。</w:t>
      </w:r>
    </w:p>
    <w:p>
      <w:pPr>
        <w:pStyle w:val="BodyText"/>
        <w:spacing w:line="237" w:lineRule="auto" w:before="92"/>
        <w:ind w:right="353" w:firstLine="480"/>
        <w:jc w:val="both"/>
      </w:pPr>
      <w:r>
        <w:rPr>
          <w:spacing w:val="-2"/>
        </w:rPr>
        <w:t>对包含嵌入衍生工具的混合工具，如未指定为以公允价值计量且其变动计入当期</w:t>
      </w:r>
      <w:r>
        <w:rPr/>
        <w:t> </w:t>
      </w:r>
      <w:r>
        <w:rPr>
          <w:spacing w:val="-2"/>
        </w:rPr>
        <w:t>损益的金融资产或金融负债，嵌入衍生工具与该主合同在经济特征及风险方面不存在</w:t>
      </w:r>
      <w:r>
        <w:rPr>
          <w:spacing w:val="-93"/>
        </w:rPr>
        <w:t> </w:t>
      </w:r>
      <w:r>
        <w:rPr>
          <w:spacing w:val="-93"/>
        </w:rPr>
      </w:r>
      <w:r>
        <w:rPr>
          <w:spacing w:val="-2"/>
        </w:rPr>
        <w:t>紧密关系，且与嵌入衍生工具条件相同，单独存在的工具符合衍生工具定义的，嵌入</w:t>
      </w:r>
      <w:r>
        <w:rPr>
          <w:spacing w:val="-94"/>
        </w:rPr>
        <w:t> </w:t>
      </w:r>
      <w:r>
        <w:rPr>
          <w:spacing w:val="-94"/>
        </w:rPr>
      </w:r>
      <w:r>
        <w:rPr>
          <w:spacing w:val="-2"/>
        </w:rPr>
        <w:t>衍生工具从混合工具中分拆，作为单独的衍生金融工具处理。如果无法在取得时或后</w:t>
      </w:r>
      <w:r>
        <w:rPr>
          <w:spacing w:val="-94"/>
        </w:rPr>
        <w:t> </w:t>
      </w:r>
      <w:r>
        <w:rPr>
          <w:spacing w:val="-94"/>
        </w:rPr>
      </w:r>
      <w:r>
        <w:rPr>
          <w:spacing w:val="-2"/>
        </w:rPr>
        <w:t>续的资产负债表日对嵌入衍生工具进行单独计量，则将混合工具整体指定为以公允价</w:t>
      </w:r>
      <w:r>
        <w:rPr>
          <w:spacing w:val="-93"/>
        </w:rPr>
        <w:t> </w:t>
      </w:r>
      <w:r>
        <w:rPr>
          <w:spacing w:val="-93"/>
        </w:rPr>
      </w:r>
      <w:r>
        <w:rPr/>
        <w:t>值计量且其变动计入当期损益的金融资产或金融负债。</w:t>
      </w:r>
    </w:p>
    <w:p>
      <w:pPr>
        <w:pStyle w:val="BodyText"/>
        <w:spacing w:line="328" w:lineRule="auto" w:before="117"/>
        <w:ind w:left="618" w:right="2688" w:hanging="420"/>
        <w:jc w:val="left"/>
      </w:pPr>
      <w:r>
        <w:rPr/>
        <w:t>（</w:t>
      </w:r>
      <w:r>
        <w:rPr>
          <w:rFonts w:ascii="宋体" w:hAnsi="宋体" w:cs="宋体" w:eastAsia="宋体" w:hint="default"/>
        </w:rPr>
        <w:t>5</w:t>
      </w:r>
      <w:r>
        <w:rPr/>
        <w:t>）金融工具的公允价值 金融资产和金融负债的公允价值确定方法见附注三、</w:t>
      </w:r>
      <w:r>
        <w:rPr>
          <w:rFonts w:ascii="宋体" w:hAnsi="宋体" w:cs="宋体" w:eastAsia="宋体" w:hint="default"/>
        </w:rPr>
        <w:t>11</w:t>
      </w:r>
      <w:r>
        <w:rPr/>
        <w:t>。</w:t>
      </w:r>
    </w:p>
    <w:p>
      <w:pPr>
        <w:spacing w:after="0" w:line="328" w:lineRule="auto"/>
        <w:jc w:val="left"/>
        <w:sectPr>
          <w:pgSz w:w="11910" w:h="16840"/>
          <w:pgMar w:header="882" w:footer="1194" w:top="1120" w:bottom="1380" w:left="1660" w:right="920"/>
        </w:sectPr>
      </w:pPr>
    </w:p>
    <w:p>
      <w:pPr>
        <w:spacing w:line="240" w:lineRule="auto" w:before="9"/>
        <w:rPr>
          <w:rFonts w:ascii="宋体" w:hAnsi="宋体" w:cs="宋体" w:eastAsia="宋体" w:hint="default"/>
          <w:sz w:val="25"/>
          <w:szCs w:val="25"/>
        </w:rPr>
      </w:pPr>
    </w:p>
    <w:p>
      <w:pPr>
        <w:pStyle w:val="BodyText"/>
        <w:spacing w:line="328" w:lineRule="auto" w:before="26"/>
        <w:ind w:left="618" w:right="0" w:hanging="420"/>
        <w:jc w:val="left"/>
      </w:pPr>
      <w:r>
        <w:rPr/>
        <w:t>（</w:t>
      </w:r>
      <w:r>
        <w:rPr>
          <w:rFonts w:ascii="宋体" w:hAnsi="宋体" w:cs="宋体" w:eastAsia="宋体" w:hint="default"/>
        </w:rPr>
        <w:t>6</w:t>
      </w:r>
      <w:r>
        <w:rPr/>
        <w:t>）金融资产减值 </w:t>
      </w:r>
      <w:r>
        <w:rPr>
          <w:spacing w:val="-2"/>
        </w:rPr>
        <w:t>除了以公允价值计量且其变动计入当期损益的金融资产外，本集团于资产负债表</w:t>
      </w:r>
    </w:p>
    <w:p>
      <w:pPr>
        <w:pStyle w:val="BodyText"/>
        <w:spacing w:line="222" w:lineRule="exact"/>
        <w:ind w:right="0"/>
        <w:jc w:val="left"/>
      </w:pPr>
      <w:r>
        <w:rPr/>
        <w:t>日对其他金融资产的账面价值进行检查，有客观证据表明该金融资产发生减值的，计</w:t>
      </w:r>
    </w:p>
    <w:p>
      <w:pPr>
        <w:pStyle w:val="BodyText"/>
        <w:spacing w:line="237" w:lineRule="auto" w:before="1"/>
        <w:ind w:right="354"/>
        <w:jc w:val="both"/>
      </w:pPr>
      <w:r>
        <w:rPr>
          <w:spacing w:val="-2"/>
        </w:rPr>
        <w:t>提减值准备。表明金融资产发生减值的客观证据，是指金融资产初始确认后实际发生</w:t>
      </w:r>
      <w:r>
        <w:rPr>
          <w:spacing w:val="-94"/>
        </w:rPr>
        <w:t> </w:t>
      </w:r>
      <w:r>
        <w:rPr>
          <w:spacing w:val="-94"/>
        </w:rPr>
      </w:r>
      <w:r>
        <w:rPr>
          <w:spacing w:val="-2"/>
        </w:rPr>
        <w:t>的、对该金融资产的预计未来现金流量有影响，且企业能够对该影响进行可靠计量的</w:t>
      </w:r>
      <w:r>
        <w:rPr>
          <w:spacing w:val="-94"/>
        </w:rPr>
        <w:t> </w:t>
      </w:r>
      <w:r>
        <w:rPr>
          <w:spacing w:val="-94"/>
        </w:rPr>
      </w:r>
      <w:r>
        <w:rPr/>
        <w:t>事项。</w:t>
      </w:r>
    </w:p>
    <w:p>
      <w:pPr>
        <w:pStyle w:val="BodyText"/>
        <w:spacing w:line="240" w:lineRule="auto" w:before="117"/>
        <w:ind w:left="618" w:right="0"/>
        <w:jc w:val="left"/>
      </w:pPr>
      <w:r>
        <w:rPr/>
        <w:t>金融资产发生减值的客观证据，包括下列可观察到的情形：</w:t>
      </w:r>
    </w:p>
    <w:p>
      <w:pPr>
        <w:pStyle w:val="BodyText"/>
        <w:spacing w:line="240" w:lineRule="auto" w:before="116"/>
        <w:ind w:left="618" w:right="0"/>
        <w:jc w:val="left"/>
      </w:pPr>
      <w:r>
        <w:rPr/>
        <w:t>①发行方或债务人发生严重财务困难；</w:t>
      </w:r>
    </w:p>
    <w:p>
      <w:pPr>
        <w:pStyle w:val="BodyText"/>
        <w:spacing w:line="240" w:lineRule="auto" w:before="118"/>
        <w:ind w:left="618" w:right="0"/>
        <w:jc w:val="left"/>
      </w:pPr>
      <w:r>
        <w:rPr/>
        <w:t>②债务人违反了合同条款，如偿付利息或本金发生违约或逾期等；</w:t>
      </w:r>
    </w:p>
    <w:p>
      <w:pPr>
        <w:pStyle w:val="BodyText"/>
        <w:spacing w:line="240" w:lineRule="auto" w:before="116"/>
        <w:ind w:left="618" w:right="0"/>
        <w:jc w:val="left"/>
      </w:pPr>
      <w:r>
        <w:rPr/>
        <w:t>③本集团出于经济或法律等方面因素的考虑，对发生财务困难的债务人作出让步；</w:t>
      </w:r>
    </w:p>
    <w:p>
      <w:pPr>
        <w:pStyle w:val="BodyText"/>
        <w:spacing w:line="240" w:lineRule="auto" w:before="118"/>
        <w:ind w:left="618" w:right="0"/>
        <w:jc w:val="left"/>
      </w:pPr>
      <w:r>
        <w:rPr/>
        <w:t>④债务人很可能倒闭或者进行其他财务重组；</w:t>
      </w:r>
    </w:p>
    <w:p>
      <w:pPr>
        <w:pStyle w:val="BodyText"/>
        <w:spacing w:line="240" w:lineRule="auto" w:before="116"/>
        <w:ind w:left="618" w:right="0"/>
        <w:jc w:val="left"/>
      </w:pPr>
      <w:r>
        <w:rPr/>
        <w:t>⑤因发行方发生重大财务困难，导致金融资产无法在活跃市场继续交易；</w:t>
      </w:r>
    </w:p>
    <w:p>
      <w:pPr>
        <w:pStyle w:val="BodyText"/>
        <w:spacing w:line="237" w:lineRule="auto" w:before="119"/>
        <w:ind w:right="353" w:firstLine="480"/>
        <w:jc w:val="both"/>
      </w:pPr>
      <w:r>
        <w:rPr>
          <w:spacing w:val="-2"/>
        </w:rPr>
        <w:t>⑥无法辨认一组金融资产中的某项资产的现金流量是否已经减少，但根据公开的</w:t>
      </w:r>
      <w:r>
        <w:rPr/>
        <w:t> </w:t>
      </w:r>
      <w:r>
        <w:rPr>
          <w:spacing w:val="-2"/>
        </w:rPr>
        <w:t>数据对其进行总体评价后发现，该组金融资产自初始确认以来的预计未来现金流量确</w:t>
      </w:r>
      <w:r>
        <w:rPr>
          <w:spacing w:val="-93"/>
        </w:rPr>
        <w:t> </w:t>
      </w:r>
      <w:r>
        <w:rPr>
          <w:spacing w:val="-93"/>
        </w:rPr>
      </w:r>
      <w:r>
        <w:rPr/>
        <w:t>已减少且可计量，包括：</w:t>
      </w:r>
    </w:p>
    <w:p>
      <w:pPr>
        <w:pStyle w:val="BodyText"/>
        <w:spacing w:line="240" w:lineRule="auto" w:before="117"/>
        <w:ind w:left="978" w:right="0"/>
        <w:jc w:val="left"/>
      </w:pPr>
      <w:r>
        <w:rPr>
          <w:rFonts w:ascii="宋体" w:hAnsi="宋体" w:cs="宋体" w:eastAsia="宋体" w:hint="default"/>
        </w:rPr>
        <w:t>-</w:t>
      </w:r>
      <w:r>
        <w:rPr/>
        <w:t>该组金融资产的债务人支付能力逐步恶化；</w:t>
      </w:r>
    </w:p>
    <w:p>
      <w:pPr>
        <w:pStyle w:val="BodyText"/>
        <w:spacing w:line="240" w:lineRule="auto" w:before="118"/>
        <w:ind w:left="978" w:right="0"/>
        <w:jc w:val="left"/>
      </w:pPr>
      <w:r>
        <w:rPr>
          <w:rFonts w:ascii="宋体" w:hAnsi="宋体" w:cs="宋体" w:eastAsia="宋体" w:hint="default"/>
        </w:rPr>
        <w:t>-</w:t>
      </w:r>
      <w:r>
        <w:rPr/>
        <w:t>债务人所在国家或地区经济出现了可能导致该组金融资产无法支付的状况；</w:t>
      </w:r>
    </w:p>
    <w:p>
      <w:pPr>
        <w:pStyle w:val="BodyText"/>
        <w:spacing w:line="240" w:lineRule="auto" w:before="116"/>
        <w:ind w:right="0" w:firstLine="480"/>
        <w:jc w:val="left"/>
      </w:pPr>
      <w:r>
        <w:rPr>
          <w:spacing w:val="-2"/>
        </w:rPr>
        <w:t>⑦债务人经营所处的技术、市场、经济或法律环境等发生重大不利变化，使权益</w:t>
      </w:r>
      <w:r>
        <w:rPr/>
        <w:t> 工具投资人可能无法收回投资成本；</w:t>
      </w:r>
    </w:p>
    <w:p>
      <w:pPr>
        <w:pStyle w:val="BodyText"/>
        <w:spacing w:line="237" w:lineRule="auto" w:before="119"/>
        <w:ind w:right="353" w:firstLine="480"/>
        <w:jc w:val="both"/>
      </w:pPr>
      <w:r>
        <w:rPr>
          <w:spacing w:val="-2"/>
        </w:rPr>
        <w:t>⑧权益工具投资的公允价值发生严重或非暂时性下跌，如权益工具投资于资产负</w:t>
      </w:r>
      <w:r>
        <w:rPr/>
        <w:t> 债表日的公允价值低于其初始投资成本超过</w:t>
      </w:r>
      <w:r>
        <w:rPr>
          <w:spacing w:val="-60"/>
        </w:rPr>
        <w:t> </w:t>
      </w:r>
      <w:r>
        <w:rPr>
          <w:rFonts w:ascii="宋体" w:hAnsi="宋体" w:cs="宋体" w:eastAsia="宋体" w:hint="default"/>
        </w:rPr>
        <w:t>50%</w:t>
      </w:r>
      <w:r>
        <w:rPr/>
        <w:t>（含</w:t>
      </w:r>
      <w:r>
        <w:rPr>
          <w:spacing w:val="-60"/>
        </w:rPr>
        <w:t> </w:t>
      </w:r>
      <w:r>
        <w:rPr>
          <w:rFonts w:ascii="宋体" w:hAnsi="宋体" w:cs="宋体" w:eastAsia="宋体" w:hint="default"/>
        </w:rPr>
        <w:t>50%</w:t>
      </w:r>
      <w:r>
        <w:rPr/>
        <w:t>）或低于其初始投资成本持 续时间超过</w:t>
      </w:r>
      <w:r>
        <w:rPr>
          <w:spacing w:val="-60"/>
        </w:rPr>
        <w:t> </w:t>
      </w:r>
      <w:r>
        <w:rPr>
          <w:rFonts w:ascii="宋体" w:hAnsi="宋体" w:cs="宋体" w:eastAsia="宋体" w:hint="default"/>
        </w:rPr>
        <w:t>12</w:t>
      </w:r>
      <w:r>
        <w:rPr>
          <w:rFonts w:ascii="宋体" w:hAnsi="宋体" w:cs="宋体" w:eastAsia="宋体" w:hint="default"/>
          <w:spacing w:val="-60"/>
        </w:rPr>
        <w:t> </w:t>
      </w:r>
      <w:r>
        <w:rPr/>
        <w:t>个月（含</w:t>
      </w:r>
      <w:r>
        <w:rPr>
          <w:spacing w:val="-60"/>
        </w:rPr>
        <w:t> </w:t>
      </w:r>
      <w:r>
        <w:rPr>
          <w:rFonts w:ascii="宋体" w:hAnsi="宋体" w:cs="宋体" w:eastAsia="宋体" w:hint="default"/>
        </w:rPr>
        <w:t>12</w:t>
      </w:r>
      <w:r>
        <w:rPr>
          <w:rFonts w:ascii="宋体" w:hAnsi="宋体" w:cs="宋体" w:eastAsia="宋体" w:hint="default"/>
          <w:spacing w:val="-60"/>
        </w:rPr>
        <w:t> </w:t>
      </w:r>
      <w:r>
        <w:rPr/>
        <w:t>个月）；低于其初始投资成本持续时间超过</w:t>
      </w:r>
      <w:r>
        <w:rPr>
          <w:spacing w:val="-60"/>
        </w:rPr>
        <w:t> </w:t>
      </w:r>
      <w:r>
        <w:rPr>
          <w:rFonts w:ascii="宋体" w:hAnsi="宋体" w:cs="宋体" w:eastAsia="宋体" w:hint="default"/>
        </w:rPr>
        <w:t>12</w:t>
      </w:r>
      <w:r>
        <w:rPr>
          <w:rFonts w:ascii="宋体" w:hAnsi="宋体" w:cs="宋体" w:eastAsia="宋体" w:hint="default"/>
          <w:spacing w:val="-60"/>
        </w:rPr>
        <w:t> </w:t>
      </w:r>
      <w:r>
        <w:rPr/>
        <w:t>个月（含</w:t>
      </w:r>
    </w:p>
    <w:p>
      <w:pPr>
        <w:pStyle w:val="BodyText"/>
        <w:spacing w:line="311" w:lineRule="exact"/>
        <w:ind w:right="0"/>
        <w:jc w:val="left"/>
      </w:pPr>
      <w:r>
        <w:rPr>
          <w:rFonts w:ascii="宋体" w:hAnsi="宋体" w:cs="宋体" w:eastAsia="宋体" w:hint="default"/>
        </w:rPr>
        <w:t>12</w:t>
      </w:r>
      <w:r>
        <w:rPr>
          <w:rFonts w:ascii="宋体" w:hAnsi="宋体" w:cs="宋体" w:eastAsia="宋体" w:hint="default"/>
          <w:spacing w:val="-60"/>
        </w:rPr>
        <w:t> </w:t>
      </w:r>
      <w:r>
        <w:rPr/>
        <w:t>个月</w:t>
      </w:r>
      <w:r>
        <w:rPr>
          <w:spacing w:val="-114"/>
        </w:rPr>
        <w:t>）</w:t>
      </w:r>
      <w:r>
        <w:rPr/>
        <w:t>是指</w:t>
      </w:r>
      <w:r>
        <w:rPr>
          <w:spacing w:val="-114"/>
        </w:rPr>
        <w:t>，</w:t>
      </w:r>
      <w:r>
        <w:rPr/>
        <w:t>权益工具投资公允价值月度均值连续</w:t>
      </w:r>
      <w:r>
        <w:rPr>
          <w:spacing w:val="-60"/>
        </w:rPr>
        <w:t> </w:t>
      </w:r>
      <w:r>
        <w:rPr>
          <w:rFonts w:ascii="宋体" w:hAnsi="宋体" w:cs="宋体" w:eastAsia="宋体" w:hint="default"/>
        </w:rPr>
        <w:t>12</w:t>
      </w:r>
      <w:r>
        <w:rPr>
          <w:rFonts w:ascii="宋体" w:hAnsi="宋体" w:cs="宋体" w:eastAsia="宋体" w:hint="default"/>
          <w:spacing w:val="-60"/>
        </w:rPr>
        <w:t> </w:t>
      </w:r>
      <w:r>
        <w:rPr/>
        <w:t>个月均低于其初始投资成本。</w:t>
      </w:r>
    </w:p>
    <w:p>
      <w:pPr>
        <w:pStyle w:val="BodyText"/>
        <w:spacing w:line="331" w:lineRule="auto" w:before="116"/>
        <w:ind w:left="618" w:right="4128"/>
        <w:jc w:val="left"/>
      </w:pPr>
      <w:r>
        <w:rPr/>
        <w:t>⑨其他表明金融资产发生减值的客观证据。 以摊余成本计量的金融资产</w:t>
      </w:r>
    </w:p>
    <w:p>
      <w:pPr>
        <w:pStyle w:val="BodyText"/>
        <w:spacing w:line="313" w:lineRule="exact" w:before="25"/>
        <w:ind w:left="618" w:right="0"/>
        <w:jc w:val="left"/>
      </w:pPr>
      <w:r>
        <w:rPr/>
        <w:t>如果有客观证据表明该金融资产发生减值，则将该金融资产的账面价值减记至预</w:t>
      </w:r>
    </w:p>
    <w:p>
      <w:pPr>
        <w:pStyle w:val="BodyText"/>
        <w:spacing w:line="310" w:lineRule="exact" w:before="31"/>
        <w:ind w:right="0"/>
        <w:jc w:val="left"/>
      </w:pPr>
      <w:r>
        <w:rPr/>
        <w:t>计未来现金流量（不包括尚未发生的未来信用损失）现值，减记金额计入当期损益。</w:t>
      </w:r>
      <w:r>
        <w:rPr>
          <w:spacing w:val="-62"/>
        </w:rPr>
        <w:t> </w:t>
      </w:r>
      <w:r>
        <w:rPr>
          <w:spacing w:val="-62"/>
        </w:rPr>
      </w:r>
      <w:r>
        <w:rPr/>
        <w:t>预计未来现金流量现值，按照该金融资产原实际利率折现确定，并考虑相关担保物的</w:t>
      </w:r>
      <w:r>
        <w:rPr/>
        <w:t> 价值。</w:t>
      </w:r>
    </w:p>
    <w:p>
      <w:pPr>
        <w:pStyle w:val="BodyText"/>
        <w:spacing w:line="310" w:lineRule="exact" w:before="122"/>
        <w:ind w:right="0" w:firstLine="480"/>
        <w:jc w:val="left"/>
      </w:pPr>
      <w:r>
        <w:rPr>
          <w:spacing w:val="-2"/>
        </w:rPr>
        <w:t>对单项金额重大的金融资产单独进行减值测试，如有客观证据表明其已发生减值，</w:t>
      </w:r>
      <w:r>
        <w:rPr/>
        <w:t> 确认减值损失，计入当期损益。对单项金额不重大的金融资产，包括在具有类似信用 风险特征的金融资产组合中进行单独进行减值测试。单独测试未发生减值的金融资产</w:t>
      </w:r>
    </w:p>
    <w:p>
      <w:pPr>
        <w:pStyle w:val="BodyText"/>
        <w:spacing w:line="310" w:lineRule="exact" w:before="2"/>
        <w:ind w:right="0"/>
        <w:jc w:val="left"/>
      </w:pPr>
      <w:r>
        <w:rPr>
          <w:spacing w:val="-2"/>
        </w:rPr>
        <w:t>（包括单项金额重大和不重大的金融资产），包括在具有类似信用风险特征的金融资</w:t>
      </w:r>
      <w:r>
        <w:rPr>
          <w:spacing w:val="-93"/>
        </w:rPr>
        <w:t> </w:t>
      </w:r>
      <w:r>
        <w:rPr>
          <w:spacing w:val="-93"/>
        </w:rPr>
      </w:r>
      <w:r>
        <w:rPr>
          <w:spacing w:val="-2"/>
        </w:rPr>
        <w:t>产组合中再进行减值测试。已单项确认减值损失的金融资产，不包括在具有类似信用</w:t>
      </w:r>
    </w:p>
    <w:p>
      <w:pPr>
        <w:pStyle w:val="BodyText"/>
        <w:spacing w:line="284" w:lineRule="exact"/>
        <w:ind w:right="0"/>
        <w:jc w:val="left"/>
      </w:pPr>
      <w:r>
        <w:rPr/>
        <w:t>风险特征的金融资产组合中进行减值测试。</w:t>
      </w:r>
    </w:p>
    <w:p>
      <w:pPr>
        <w:pStyle w:val="BodyText"/>
        <w:spacing w:line="310" w:lineRule="exact" w:before="149"/>
        <w:ind w:right="0" w:firstLine="480"/>
        <w:jc w:val="left"/>
      </w:pPr>
      <w:r>
        <w:rPr>
          <w:spacing w:val="-2"/>
        </w:rPr>
        <w:t>本集团对以摊余成本计量的金融资产确认减值损失后，如有客观证据表明该金融</w:t>
      </w:r>
      <w:r>
        <w:rPr/>
        <w:t> </w:t>
      </w:r>
      <w:r>
        <w:rPr>
          <w:spacing w:val="-2"/>
        </w:rPr>
        <w:t>资产价值已恢复，且客观上与确认该损失后发生的事项有关，原确认的减值损失予以</w:t>
      </w:r>
    </w:p>
    <w:p>
      <w:pPr>
        <w:spacing w:after="0" w:line="310" w:lineRule="exact"/>
        <w:jc w:val="left"/>
        <w:sectPr>
          <w:pgSz w:w="11910" w:h="16840"/>
          <w:pgMar w:header="882" w:footer="1194" w:top="1120" w:bottom="1380" w:left="1660" w:right="920"/>
        </w:sectPr>
      </w:pPr>
    </w:p>
    <w:p>
      <w:pPr>
        <w:spacing w:line="240" w:lineRule="auto" w:before="9"/>
        <w:rPr>
          <w:rFonts w:ascii="宋体" w:hAnsi="宋体" w:cs="宋体" w:eastAsia="宋体" w:hint="default"/>
          <w:sz w:val="25"/>
          <w:szCs w:val="25"/>
        </w:rPr>
      </w:pPr>
    </w:p>
    <w:p>
      <w:pPr>
        <w:pStyle w:val="BodyText"/>
        <w:spacing w:line="310" w:lineRule="exact" w:before="58"/>
        <w:ind w:right="128"/>
        <w:jc w:val="left"/>
      </w:pPr>
      <w:r>
        <w:rPr>
          <w:spacing w:val="-2"/>
        </w:rPr>
        <w:t>转回，计入当期损益。但是，该转回后的账面价值不超过假定不计提减值准备情况下</w:t>
      </w:r>
      <w:r>
        <w:rPr>
          <w:spacing w:val="-94"/>
        </w:rPr>
        <w:t> </w:t>
      </w:r>
      <w:r>
        <w:rPr>
          <w:spacing w:val="-94"/>
        </w:rPr>
      </w:r>
      <w:r>
        <w:rPr/>
        <w:t>该金融资产在转回日的摊余成本。</w:t>
      </w:r>
    </w:p>
    <w:p>
      <w:pPr>
        <w:pStyle w:val="BodyText"/>
        <w:spacing w:line="328" w:lineRule="auto" w:before="89"/>
        <w:ind w:left="618" w:right="128"/>
        <w:jc w:val="left"/>
      </w:pPr>
      <w:r>
        <w:rPr/>
        <w:t>可供出售金融资产 </w:t>
      </w:r>
      <w:r>
        <w:rPr>
          <w:spacing w:val="-2"/>
        </w:rPr>
        <w:t>如果有客观证据表明该金融资产发生减值，原直接计入其他综合收益的因公允价</w:t>
      </w:r>
    </w:p>
    <w:p>
      <w:pPr>
        <w:pStyle w:val="BodyText"/>
        <w:spacing w:line="221" w:lineRule="exact"/>
        <w:ind w:right="0"/>
        <w:jc w:val="left"/>
      </w:pPr>
      <w:r>
        <w:rPr/>
        <w:t>值下降形成的累计损失，予以转出，计入当期损益。该转出的累计损失，为可供出售</w:t>
      </w:r>
    </w:p>
    <w:p>
      <w:pPr>
        <w:pStyle w:val="BodyText"/>
        <w:spacing w:line="310" w:lineRule="exact" w:before="31"/>
        <w:ind w:right="128"/>
        <w:jc w:val="left"/>
      </w:pPr>
      <w:r>
        <w:rPr>
          <w:spacing w:val="-2"/>
        </w:rPr>
        <w:t>金融资产的初始取得成本扣除已收回本金和已摊销金额、当前公允价值和原已计入损</w:t>
      </w:r>
      <w:r>
        <w:rPr>
          <w:spacing w:val="-93"/>
        </w:rPr>
        <w:t> </w:t>
      </w:r>
      <w:r>
        <w:rPr>
          <w:spacing w:val="-93"/>
        </w:rPr>
      </w:r>
      <w:r>
        <w:rPr/>
        <w:t>益的减值损失后的余额。</w:t>
      </w:r>
    </w:p>
    <w:p>
      <w:pPr>
        <w:pStyle w:val="BodyText"/>
        <w:spacing w:line="237" w:lineRule="auto" w:before="91"/>
        <w:ind w:right="132" w:firstLine="480"/>
        <w:jc w:val="both"/>
      </w:pPr>
      <w:r>
        <w:rPr>
          <w:spacing w:val="-2"/>
        </w:rPr>
        <w:t>对于已确认减值损失的可供出售债务工具，在随后的会计期间公允价值已上升且</w:t>
      </w:r>
      <w:r>
        <w:rPr/>
        <w:t> </w:t>
      </w:r>
      <w:r>
        <w:rPr>
          <w:spacing w:val="-2"/>
        </w:rPr>
        <w:t>客观上与确认原减值损失确认后发生的事项有关的，原确认的减值损失予以转回，计</w:t>
      </w:r>
      <w:r>
        <w:rPr>
          <w:spacing w:val="-94"/>
        </w:rPr>
        <w:t> </w:t>
      </w:r>
      <w:r>
        <w:rPr>
          <w:spacing w:val="-94"/>
        </w:rPr>
      </w:r>
      <w:r>
        <w:rPr/>
        <w:t>入当期损益。可供出售权益工具投资发生的减值损失，不通过损益转回。</w:t>
      </w:r>
    </w:p>
    <w:p>
      <w:pPr>
        <w:pStyle w:val="BodyText"/>
        <w:spacing w:line="328" w:lineRule="auto" w:before="118"/>
        <w:ind w:left="618" w:right="128"/>
        <w:jc w:val="left"/>
      </w:pPr>
      <w:r>
        <w:rPr/>
        <w:t>以成本计量的金融资产 </w:t>
      </w:r>
      <w:r>
        <w:rPr>
          <w:spacing w:val="-2"/>
        </w:rPr>
        <w:t>在活跃市场中没有报价且其公允价值不能可靠计量的权益工具投资，或与该权益</w:t>
      </w:r>
    </w:p>
    <w:p>
      <w:pPr>
        <w:pStyle w:val="BodyText"/>
        <w:spacing w:line="221" w:lineRule="exact"/>
        <w:ind w:right="0"/>
        <w:jc w:val="left"/>
      </w:pPr>
      <w:r>
        <w:rPr/>
        <w:t>工具挂钩并须通过交付该权益工具结算的衍生金融资产发生减值时，将该金融资产的</w:t>
      </w:r>
    </w:p>
    <w:p>
      <w:pPr>
        <w:pStyle w:val="BodyText"/>
        <w:spacing w:line="310" w:lineRule="exact" w:before="31"/>
        <w:ind w:right="128"/>
        <w:jc w:val="left"/>
      </w:pPr>
      <w:r>
        <w:rPr>
          <w:spacing w:val="-2"/>
        </w:rPr>
        <w:t>账面价值，与按照类似金融资产当时市场收益率对未来现金流量折现确定的现值之间</w:t>
      </w:r>
      <w:r>
        <w:rPr>
          <w:spacing w:val="-93"/>
        </w:rPr>
        <w:t> </w:t>
      </w:r>
      <w:r>
        <w:rPr>
          <w:spacing w:val="-93"/>
        </w:rPr>
      </w:r>
      <w:r>
        <w:rPr/>
        <w:t>的差额，确认为减值损失，计入当期损益。发生的减值损失一经确认，不得转回。</w:t>
      </w:r>
    </w:p>
    <w:p>
      <w:pPr>
        <w:pStyle w:val="BodyText"/>
        <w:spacing w:line="331" w:lineRule="auto" w:before="88"/>
        <w:ind w:left="618" w:right="308" w:hanging="420"/>
        <w:jc w:val="left"/>
      </w:pPr>
      <w:r>
        <w:rPr/>
        <w:t>（</w:t>
      </w:r>
      <w:r>
        <w:rPr>
          <w:rFonts w:ascii="宋体" w:hAnsi="宋体" w:cs="宋体" w:eastAsia="宋体" w:hint="default"/>
        </w:rPr>
        <w:t>7</w:t>
      </w:r>
      <w:r>
        <w:rPr/>
        <w:t>）金融资产转移 金融资产转移，是指将金融资产让与或交付给该金融资产发行方以外的另一方</w:t>
      </w:r>
    </w:p>
    <w:p>
      <w:pPr>
        <w:pStyle w:val="BodyText"/>
        <w:spacing w:line="220" w:lineRule="exact"/>
        <w:ind w:right="128"/>
        <w:jc w:val="left"/>
      </w:pPr>
      <w:r>
        <w:rPr/>
        <w:t>（转入方）。</w:t>
      </w:r>
    </w:p>
    <w:p>
      <w:pPr>
        <w:pStyle w:val="BodyText"/>
        <w:spacing w:line="312" w:lineRule="exact" w:before="148"/>
        <w:ind w:right="133" w:firstLine="480"/>
        <w:jc w:val="both"/>
      </w:pPr>
      <w:r>
        <w:rPr>
          <w:spacing w:val="-2"/>
        </w:rPr>
        <w:t>本集团已将金融资产所有权上几乎所有的风险和报酬转移给转入方的，终止确认</w:t>
      </w:r>
      <w:r>
        <w:rPr/>
        <w:t> </w:t>
      </w:r>
      <w:r>
        <w:rPr>
          <w:spacing w:val="-2"/>
        </w:rPr>
        <w:t>该金融资产；保留了金融资产所有权上几乎所有的风险和报酬的，不终止确认该金融</w:t>
      </w:r>
      <w:r>
        <w:rPr>
          <w:spacing w:val="-94"/>
        </w:rPr>
        <w:t> </w:t>
      </w:r>
      <w:r>
        <w:rPr>
          <w:spacing w:val="-94"/>
        </w:rPr>
      </w:r>
      <w:r>
        <w:rPr/>
        <w:t>资产。</w:t>
      </w:r>
    </w:p>
    <w:p>
      <w:pPr>
        <w:pStyle w:val="BodyText"/>
        <w:spacing w:line="237" w:lineRule="auto" w:before="92"/>
        <w:ind w:right="133" w:firstLine="480"/>
        <w:jc w:val="both"/>
      </w:pPr>
      <w:r>
        <w:rPr>
          <w:spacing w:val="-2"/>
        </w:rPr>
        <w:t>本集团既没有转移也没有保留金融资产所有权上几乎所有的风险和报酬的，分别</w:t>
      </w:r>
      <w:r>
        <w:rPr/>
        <w:t> </w:t>
      </w:r>
      <w:r>
        <w:rPr>
          <w:spacing w:val="-2"/>
        </w:rPr>
        <w:t>下列情况处理：放弃了对该金融资产控制的，终止确认该金融资产并确认产生的资产</w:t>
      </w:r>
      <w:r>
        <w:rPr>
          <w:spacing w:val="-94"/>
        </w:rPr>
        <w:t> </w:t>
      </w:r>
      <w:r>
        <w:rPr>
          <w:spacing w:val="-94"/>
        </w:rPr>
      </w:r>
      <w:r>
        <w:rPr>
          <w:spacing w:val="-2"/>
        </w:rPr>
        <w:t>和负债；未放弃对该金融资产控制的，按照其继续涉入所转移金融资产的程度确认有</w:t>
      </w:r>
      <w:r>
        <w:rPr>
          <w:spacing w:val="-94"/>
        </w:rPr>
        <w:t> </w:t>
      </w:r>
      <w:r>
        <w:rPr>
          <w:spacing w:val="-94"/>
        </w:rPr>
      </w:r>
      <w:r>
        <w:rPr/>
        <w:t>关金融资产，并相应确认有关负债。</w:t>
      </w:r>
    </w:p>
    <w:p>
      <w:pPr>
        <w:pStyle w:val="BodyText"/>
        <w:spacing w:line="331" w:lineRule="auto" w:before="117"/>
        <w:ind w:left="618" w:right="128" w:hanging="420"/>
        <w:jc w:val="left"/>
      </w:pPr>
      <w:r>
        <w:rPr/>
        <w:t>（</w:t>
      </w:r>
      <w:r>
        <w:rPr>
          <w:rFonts w:ascii="宋体" w:hAnsi="宋体" w:cs="宋体" w:eastAsia="宋体" w:hint="default"/>
        </w:rPr>
        <w:t>8</w:t>
      </w:r>
      <w:r>
        <w:rPr/>
        <w:t>）金融资产和金融负债的抵销 </w:t>
      </w:r>
      <w:r>
        <w:rPr>
          <w:spacing w:val="-2"/>
        </w:rPr>
        <w:t>当本集团具有抵销已确认金融资产和金融负债的法定权利，且目前可执行该种法</w:t>
      </w:r>
    </w:p>
    <w:p>
      <w:pPr>
        <w:pStyle w:val="BodyText"/>
        <w:spacing w:line="218" w:lineRule="exact"/>
        <w:ind w:right="0"/>
        <w:jc w:val="left"/>
      </w:pPr>
      <w:r>
        <w:rPr/>
        <w:t>定权利，同时本集团计划以净额结算或同时变现该金融资产和清偿该金融负债时，金</w:t>
      </w:r>
    </w:p>
    <w:p>
      <w:pPr>
        <w:pStyle w:val="BodyText"/>
        <w:spacing w:line="312" w:lineRule="exact" w:before="29"/>
        <w:ind w:right="128"/>
        <w:jc w:val="left"/>
      </w:pPr>
      <w:r>
        <w:rPr>
          <w:spacing w:val="-2"/>
        </w:rPr>
        <w:t>融资产和金融负债以相互抵销后的金额在资产负债表内列示。除此以外，金融资产和</w:t>
      </w:r>
      <w:r>
        <w:rPr>
          <w:spacing w:val="-94"/>
        </w:rPr>
        <w:t> </w:t>
      </w:r>
      <w:r>
        <w:rPr>
          <w:spacing w:val="-94"/>
        </w:rPr>
      </w:r>
      <w:r>
        <w:rPr/>
        <w:t>金融负债在资产负债表内分别列示，不予相互抵销。</w:t>
      </w:r>
    </w:p>
    <w:p>
      <w:pPr>
        <w:spacing w:line="240" w:lineRule="auto" w:before="0"/>
        <w:rPr>
          <w:rFonts w:ascii="宋体" w:hAnsi="宋体" w:cs="宋体" w:eastAsia="宋体" w:hint="default"/>
          <w:sz w:val="24"/>
          <w:szCs w:val="24"/>
        </w:rPr>
      </w:pPr>
    </w:p>
    <w:p>
      <w:pPr>
        <w:pStyle w:val="Heading2"/>
        <w:spacing w:line="240" w:lineRule="auto" w:before="205"/>
        <w:ind w:left="138" w:right="128"/>
        <w:jc w:val="left"/>
        <w:rPr>
          <w:b w:val="0"/>
          <w:bCs w:val="0"/>
        </w:rPr>
      </w:pPr>
      <w:r>
        <w:rPr>
          <w:rFonts w:ascii="Calibri" w:hAnsi="Calibri" w:cs="Calibri" w:eastAsia="Calibri" w:hint="default"/>
        </w:rPr>
        <w:t>11. </w:t>
      </w:r>
      <w:r>
        <w:rPr>
          <w:rFonts w:ascii="Calibri" w:hAnsi="Calibri" w:cs="Calibri" w:eastAsia="Calibri" w:hint="default"/>
          <w:spacing w:val="7"/>
        </w:rPr>
        <w:t> </w:t>
      </w:r>
      <w:r>
        <w:rPr/>
        <w:t>应收款项</w:t>
      </w:r>
      <w:r>
        <w:rPr>
          <w:b w:val="0"/>
          <w:bCs w:val="0"/>
        </w:rPr>
      </w:r>
    </w:p>
    <w:p>
      <w:pPr>
        <w:pStyle w:val="BodyText"/>
        <w:spacing w:line="237" w:lineRule="auto" w:before="90"/>
        <w:ind w:right="132" w:firstLine="480"/>
        <w:jc w:val="both"/>
      </w:pPr>
      <w:r>
        <w:rPr>
          <w:spacing w:val="-2"/>
        </w:rPr>
        <w:t>应收款项包括应收账款、其他应收款、长期应收款。本集团对期末应收款项（包</w:t>
      </w:r>
      <w:r>
        <w:rPr/>
        <w:t> </w:t>
      </w:r>
      <w:r>
        <w:rPr>
          <w:spacing w:val="-2"/>
        </w:rPr>
        <w:t>括应收账款、其他应收款、逾期及延期的长期应收款）计提坏账准备采用单独进行减</w:t>
      </w:r>
      <w:r>
        <w:rPr>
          <w:spacing w:val="-94"/>
        </w:rPr>
        <w:t> </w:t>
      </w:r>
      <w:r>
        <w:rPr>
          <w:spacing w:val="-94"/>
        </w:rPr>
      </w:r>
      <w:r>
        <w:rPr>
          <w:spacing w:val="-2"/>
        </w:rPr>
        <w:t>值测试与以账龄为信用风险特征组合相结合的方法。本集团对未逾期及延期的长期应</w:t>
      </w:r>
      <w:r>
        <w:rPr>
          <w:spacing w:val="-93"/>
        </w:rPr>
        <w:t> </w:t>
      </w:r>
      <w:r>
        <w:rPr>
          <w:spacing w:val="-93"/>
        </w:rPr>
      </w:r>
      <w:r>
        <w:rPr/>
        <w:t>收款不计提减值准备，本集团对职工支取的备用金不计提坏账准备。</w:t>
      </w:r>
    </w:p>
    <w:p>
      <w:pPr>
        <w:spacing w:after="0" w:line="237" w:lineRule="auto"/>
        <w:jc w:val="both"/>
        <w:sectPr>
          <w:pgSz w:w="11910" w:h="16840"/>
          <w:pgMar w:header="882" w:footer="1194" w:top="1120" w:bottom="1380" w:left="1660" w:right="1140"/>
        </w:sectPr>
      </w:pPr>
    </w:p>
    <w:p>
      <w:pPr>
        <w:spacing w:line="240" w:lineRule="auto" w:before="9"/>
        <w:rPr>
          <w:rFonts w:ascii="宋体" w:hAnsi="宋体" w:cs="宋体" w:eastAsia="宋体" w:hint="default"/>
          <w:sz w:val="25"/>
          <w:szCs w:val="25"/>
        </w:rPr>
      </w:pPr>
    </w:p>
    <w:p>
      <w:pPr>
        <w:pStyle w:val="Heading2"/>
        <w:spacing w:line="240" w:lineRule="auto"/>
        <w:ind w:right="101"/>
        <w:jc w:val="left"/>
        <w:rPr>
          <w:b w:val="0"/>
          <w:bCs w:val="0"/>
        </w:rPr>
      </w:pPr>
      <w:r>
        <w:rPr>
          <w:rFonts w:ascii="宋体" w:hAnsi="宋体" w:cs="宋体" w:eastAsia="宋体" w:hint="default"/>
          <w:sz w:val="21"/>
          <w:szCs w:val="21"/>
        </w:rPr>
        <w:t>(1).</w:t>
      </w:r>
      <w:r>
        <w:rPr/>
        <w:t>单项金额重大并单独计提坏账准备的应收款项</w:t>
      </w:r>
      <w:r>
        <w:rPr>
          <w:b w:val="0"/>
          <w:bCs w:val="0"/>
        </w:rPr>
      </w:r>
    </w:p>
    <w:p>
      <w:pPr>
        <w:spacing w:line="240" w:lineRule="auto" w:before="12"/>
        <w:rPr>
          <w:rFonts w:ascii="宋体" w:hAnsi="宋体" w:cs="宋体" w:eastAsia="宋体" w:hint="default"/>
          <w:b/>
          <w:bCs/>
          <w:sz w:val="11"/>
          <w:szCs w:val="11"/>
        </w:rPr>
      </w:pPr>
    </w:p>
    <w:tbl>
      <w:tblPr>
        <w:tblW w:w="0" w:type="auto"/>
        <w:jc w:val="left"/>
        <w:tblInd w:w="105" w:type="dxa"/>
        <w:tblLayout w:type="fixed"/>
        <w:tblCellMar>
          <w:top w:w="0" w:type="dxa"/>
          <w:left w:w="0" w:type="dxa"/>
          <w:bottom w:w="0" w:type="dxa"/>
          <w:right w:w="0" w:type="dxa"/>
        </w:tblCellMar>
        <w:tblLook w:val="01E0"/>
      </w:tblPr>
      <w:tblGrid>
        <w:gridCol w:w="4078"/>
        <w:gridCol w:w="4972"/>
      </w:tblGrid>
      <w:tr>
        <w:trPr>
          <w:trHeight w:val="79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97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3"/>
              <w:ind w:left="102" w:right="102"/>
              <w:jc w:val="left"/>
              <w:rPr>
                <w:rFonts w:ascii="宋体" w:hAnsi="宋体" w:cs="宋体" w:eastAsia="宋体" w:hint="default"/>
                <w:sz w:val="21"/>
                <w:szCs w:val="21"/>
              </w:rPr>
            </w:pPr>
            <w:r>
              <w:rPr>
                <w:rFonts w:ascii="宋体" w:hAnsi="宋体" w:cs="宋体" w:eastAsia="宋体" w:hint="default"/>
                <w:sz w:val="21"/>
                <w:szCs w:val="21"/>
              </w:rPr>
              <w:t>期末余额达到</w:t>
            </w:r>
            <w:r>
              <w:rPr>
                <w:rFonts w:ascii="宋体" w:hAnsi="宋体" w:cs="宋体" w:eastAsia="宋体" w:hint="default"/>
                <w:spacing w:val="-52"/>
                <w:sz w:val="21"/>
                <w:szCs w:val="21"/>
              </w:rPr>
              <w:t> </w:t>
            </w:r>
            <w:r>
              <w:rPr>
                <w:rFonts w:ascii="宋体" w:hAnsi="宋体" w:cs="宋体" w:eastAsia="宋体" w:hint="default"/>
                <w:sz w:val="21"/>
                <w:szCs w:val="21"/>
              </w:rPr>
              <w:t>300</w:t>
            </w:r>
            <w:r>
              <w:rPr>
                <w:rFonts w:ascii="宋体" w:hAnsi="宋体" w:cs="宋体" w:eastAsia="宋体" w:hint="default"/>
                <w:spacing w:val="-51"/>
                <w:sz w:val="21"/>
                <w:szCs w:val="21"/>
              </w:rPr>
              <w:t> </w:t>
            </w:r>
            <w:r>
              <w:rPr>
                <w:rFonts w:ascii="宋体" w:hAnsi="宋体" w:cs="宋体" w:eastAsia="宋体" w:hint="default"/>
                <w:spacing w:val="-10"/>
                <w:sz w:val="21"/>
                <w:szCs w:val="21"/>
              </w:rPr>
              <w:t>万元（含</w:t>
            </w:r>
            <w:r>
              <w:rPr>
                <w:rFonts w:ascii="宋体" w:hAnsi="宋体" w:cs="宋体" w:eastAsia="宋体" w:hint="default"/>
                <w:spacing w:val="-51"/>
                <w:sz w:val="21"/>
                <w:szCs w:val="21"/>
              </w:rPr>
              <w:t> </w:t>
            </w:r>
            <w:r>
              <w:rPr>
                <w:rFonts w:ascii="宋体" w:hAnsi="宋体" w:cs="宋体" w:eastAsia="宋体" w:hint="default"/>
                <w:sz w:val="21"/>
                <w:szCs w:val="21"/>
              </w:rPr>
              <w:t>300</w:t>
            </w:r>
            <w:r>
              <w:rPr>
                <w:rFonts w:ascii="宋体" w:hAnsi="宋体" w:cs="宋体" w:eastAsia="宋体" w:hint="default"/>
                <w:spacing w:val="-51"/>
                <w:sz w:val="21"/>
                <w:szCs w:val="21"/>
              </w:rPr>
              <w:t> </w:t>
            </w:r>
            <w:r>
              <w:rPr>
                <w:rFonts w:ascii="宋体" w:hAnsi="宋体" w:cs="宋体" w:eastAsia="宋体" w:hint="default"/>
                <w:spacing w:val="-5"/>
                <w:sz w:val="21"/>
                <w:szCs w:val="21"/>
              </w:rPr>
              <w:t>万元）以上的应收款</w:t>
            </w:r>
            <w:r>
              <w:rPr>
                <w:rFonts w:ascii="宋体" w:hAnsi="宋体" w:cs="宋体" w:eastAsia="宋体" w:hint="default"/>
                <w:sz w:val="21"/>
                <w:szCs w:val="21"/>
              </w:rPr>
              <w:t> 项为单项金额重大的应收款项。</w:t>
            </w:r>
          </w:p>
        </w:tc>
      </w:tr>
      <w:tr>
        <w:trPr>
          <w:trHeight w:val="1426"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方法</w:t>
            </w:r>
          </w:p>
        </w:tc>
        <w:tc>
          <w:tcPr>
            <w:tcW w:w="497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5"/>
              <w:ind w:left="102" w:right="101"/>
              <w:jc w:val="left"/>
              <w:rPr>
                <w:rFonts w:ascii="宋体" w:hAnsi="宋体" w:cs="宋体" w:eastAsia="宋体" w:hint="default"/>
                <w:sz w:val="24"/>
                <w:szCs w:val="24"/>
              </w:rPr>
            </w:pPr>
            <w:r>
              <w:rPr>
                <w:rFonts w:ascii="宋体" w:hAnsi="宋体" w:cs="宋体" w:eastAsia="宋体" w:hint="default"/>
                <w:sz w:val="24"/>
                <w:szCs w:val="24"/>
              </w:rPr>
              <w:t>对于单项金额重大的应收款项单独进行减值 </w:t>
            </w:r>
            <w:r>
              <w:rPr>
                <w:rFonts w:ascii="宋体" w:hAnsi="宋体" w:cs="宋体" w:eastAsia="宋体" w:hint="default"/>
                <w:spacing w:val="-3"/>
                <w:sz w:val="24"/>
                <w:szCs w:val="24"/>
              </w:rPr>
              <w:t>测试，有客观证据表明发生了减值，根据其未</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来现金流量现值低于其账面价值的差额计提 坏账准备。</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p>
      <w:pPr>
        <w:pStyle w:val="Heading2"/>
        <w:tabs>
          <w:tab w:pos="1057" w:val="left" w:leader="none"/>
        </w:tabs>
        <w:spacing w:line="240" w:lineRule="auto"/>
        <w:ind w:right="101"/>
        <w:jc w:val="left"/>
        <w:rPr>
          <w:b w:val="0"/>
          <w:bCs w:val="0"/>
        </w:rPr>
      </w:pPr>
      <w:r>
        <w:rPr>
          <w:rFonts w:ascii="宋体" w:hAnsi="宋体" w:cs="宋体" w:eastAsia="宋体" w:hint="default"/>
          <w:w w:val="95"/>
        </w:rPr>
        <w:t>(2).</w:t>
        <w:tab/>
      </w:r>
      <w:r>
        <w:rPr/>
        <w:t>按信用风险特征组合计提坏账准备的应收款项：</w:t>
      </w:r>
      <w:r>
        <w:rPr>
          <w:b w:val="0"/>
          <w:bCs w:val="0"/>
        </w:rPr>
      </w:r>
    </w:p>
    <w:p>
      <w:pPr>
        <w:spacing w:line="240" w:lineRule="auto" w:before="12"/>
        <w:rPr>
          <w:rFonts w:ascii="宋体" w:hAnsi="宋体" w:cs="宋体" w:eastAsia="宋体" w:hint="default"/>
          <w:b/>
          <w:bCs/>
          <w:sz w:val="11"/>
          <w:szCs w:val="11"/>
        </w:rPr>
      </w:pPr>
    </w:p>
    <w:tbl>
      <w:tblPr>
        <w:tblW w:w="0" w:type="auto"/>
        <w:jc w:val="left"/>
        <w:tblInd w:w="105" w:type="dxa"/>
        <w:tblLayout w:type="fixed"/>
        <w:tblCellMar>
          <w:top w:w="0" w:type="dxa"/>
          <w:left w:w="0" w:type="dxa"/>
          <w:bottom w:w="0" w:type="dxa"/>
          <w:right w:w="0" w:type="dxa"/>
        </w:tblCellMar>
        <w:tblLook w:val="01E0"/>
      </w:tblPr>
      <w:tblGrid>
        <w:gridCol w:w="4582"/>
        <w:gridCol w:w="4468"/>
      </w:tblGrid>
      <w:tr>
        <w:trPr>
          <w:trHeight w:val="28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8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282" w:hRule="exact"/>
        </w:trPr>
        <w:tc>
          <w:tcPr>
            <w:tcW w:w="4582" w:type="dxa"/>
            <w:tcBorders>
              <w:top w:val="single" w:sz="4" w:space="0" w:color="000000"/>
              <w:left w:val="single" w:sz="4" w:space="0" w:color="000000"/>
              <w:bottom w:val="single" w:sz="4" w:space="0" w:color="000000"/>
              <w:right w:val="single" w:sz="4" w:space="0" w:color="000000"/>
            </w:tcBorders>
          </w:tcPr>
          <w:p>
            <w:pPr/>
          </w:p>
        </w:tc>
        <w:tc>
          <w:tcPr>
            <w:tcW w:w="44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p>
      <w:pPr>
        <w:spacing w:before="35"/>
        <w:ind w:left="218" w:right="101" w:firstLine="0"/>
        <w:jc w:val="left"/>
        <w:rPr>
          <w:rFonts w:ascii="宋体" w:hAnsi="宋体" w:cs="宋体" w:eastAsia="宋体" w:hint="default"/>
          <w:sz w:val="21"/>
          <w:szCs w:val="21"/>
        </w:rPr>
      </w:pPr>
      <w:r>
        <w:rPr>
          <w:rFonts w:ascii="宋体" w:hAnsi="宋体" w:cs="宋体" w:eastAsia="宋体" w:hint="default"/>
          <w:sz w:val="21"/>
          <w:szCs w:val="21"/>
        </w:rPr>
        <w:t>组合中，采用账龄分析法计提坏账准备的</w:t>
      </w:r>
    </w:p>
    <w:p>
      <w:pPr>
        <w:spacing w:before="117"/>
        <w:ind w:left="218" w:right="10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p>
    <w:p>
      <w:pPr>
        <w:spacing w:line="240" w:lineRule="auto" w:before="9"/>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3122"/>
        <w:gridCol w:w="2963"/>
        <w:gridCol w:w="2964"/>
      </w:tblGrid>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7"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3"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3"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w:t>
            </w:r>
          </w:p>
        </w:tc>
      </w:tr>
      <w:tr>
        <w:trPr>
          <w:trHeight w:val="283"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before="26"/>
        <w:ind w:left="218" w:right="101"/>
        <w:jc w:val="left"/>
      </w:pPr>
      <w:r>
        <w:rPr/>
        <w:t>组合中，采用余额百分比法计提坏账准备的</w:t>
      </w:r>
    </w:p>
    <w:p>
      <w:pPr>
        <w:pStyle w:val="BodyText"/>
        <w:spacing w:line="331" w:lineRule="auto" w:before="116"/>
        <w:ind w:left="218" w:right="4968"/>
        <w:jc w:val="left"/>
      </w:pPr>
      <w:r>
        <w:rPr/>
        <w:t>□适用 √不适用 组合中，采用其他方法计提坏账准备的</w:t>
      </w:r>
    </w:p>
    <w:p>
      <w:pPr>
        <w:pStyle w:val="BodyText"/>
        <w:spacing w:line="240" w:lineRule="auto" w:before="25"/>
        <w:ind w:left="218" w:right="101"/>
        <w:jc w:val="left"/>
      </w:pPr>
      <w:r>
        <w:rPr/>
        <w:t>□适用 √不适用</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Heading2"/>
        <w:tabs>
          <w:tab w:pos="1057" w:val="left" w:leader="none"/>
        </w:tabs>
        <w:spacing w:line="240" w:lineRule="auto" w:before="0"/>
        <w:ind w:right="101"/>
        <w:jc w:val="left"/>
        <w:rPr>
          <w:b w:val="0"/>
          <w:bCs w:val="0"/>
        </w:rPr>
      </w:pPr>
      <w:r>
        <w:rPr>
          <w:rFonts w:ascii="宋体" w:hAnsi="宋体" w:cs="宋体" w:eastAsia="宋体" w:hint="default"/>
          <w:w w:val="95"/>
        </w:rPr>
        <w:t>(3).</w:t>
        <w:tab/>
      </w:r>
      <w:r>
        <w:rPr/>
        <w:t>单项金额不重大但单独计提坏账准备的应收款项：</w:t>
      </w:r>
      <w:r>
        <w:rPr>
          <w:b w:val="0"/>
          <w:bCs w:val="0"/>
        </w:rPr>
      </w:r>
    </w:p>
    <w:p>
      <w:pPr>
        <w:spacing w:line="240" w:lineRule="auto" w:before="12"/>
        <w:rPr>
          <w:rFonts w:ascii="宋体" w:hAnsi="宋体" w:cs="宋体" w:eastAsia="宋体" w:hint="default"/>
          <w:b/>
          <w:bCs/>
          <w:sz w:val="11"/>
          <w:szCs w:val="11"/>
        </w:rPr>
      </w:pPr>
    </w:p>
    <w:tbl>
      <w:tblPr>
        <w:tblW w:w="0" w:type="auto"/>
        <w:jc w:val="left"/>
        <w:tblInd w:w="105" w:type="dxa"/>
        <w:tblLayout w:type="fixed"/>
        <w:tblCellMar>
          <w:top w:w="0" w:type="dxa"/>
          <w:left w:w="0" w:type="dxa"/>
          <w:bottom w:w="0" w:type="dxa"/>
          <w:right w:w="0" w:type="dxa"/>
        </w:tblCellMar>
        <w:tblLook w:val="01E0"/>
      </w:tblPr>
      <w:tblGrid>
        <w:gridCol w:w="4338"/>
        <w:gridCol w:w="4712"/>
      </w:tblGrid>
      <w:tr>
        <w:trPr>
          <w:trHeight w:val="282"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涉诉款项、客户信用状况恶化的应收款项</w:t>
            </w:r>
          </w:p>
        </w:tc>
      </w:tr>
      <w:tr>
        <w:trPr>
          <w:trHeight w:val="556"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根据其未来现金流量现值低于其账面价值的差额</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计提坏账准备</w:t>
            </w:r>
          </w:p>
        </w:tc>
      </w:tr>
      <w:tr>
        <w:trPr>
          <w:trHeight w:val="282" w:hRule="exact"/>
        </w:trPr>
        <w:tc>
          <w:tcPr>
            <w:tcW w:w="4338" w:type="dxa"/>
            <w:tcBorders>
              <w:top w:val="single" w:sz="4" w:space="0" w:color="000000"/>
              <w:left w:val="single" w:sz="4" w:space="0" w:color="000000"/>
              <w:bottom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p>
      <w:pPr>
        <w:pStyle w:val="Heading2"/>
        <w:spacing w:line="240" w:lineRule="auto"/>
        <w:ind w:right="101"/>
        <w:jc w:val="left"/>
        <w:rPr>
          <w:b w:val="0"/>
          <w:bCs w:val="0"/>
        </w:rPr>
      </w:pPr>
      <w:r>
        <w:rPr>
          <w:rFonts w:ascii="Calibri" w:hAnsi="Calibri" w:cs="Calibri" w:eastAsia="Calibri" w:hint="default"/>
        </w:rPr>
        <w:t>12. </w:t>
      </w:r>
      <w:r>
        <w:rPr>
          <w:rFonts w:ascii="Calibri" w:hAnsi="Calibri" w:cs="Calibri" w:eastAsia="Calibri" w:hint="default"/>
          <w:spacing w:val="7"/>
        </w:rPr>
        <w:t> </w:t>
      </w:r>
      <w:r>
        <w:rPr/>
        <w:t>存货</w:t>
      </w:r>
      <w:r>
        <w:rPr>
          <w:b w:val="0"/>
          <w:bCs w:val="0"/>
        </w:rPr>
      </w:r>
    </w:p>
    <w:p>
      <w:pPr>
        <w:pStyle w:val="BodyText"/>
        <w:spacing w:line="240" w:lineRule="auto" w:before="86"/>
        <w:ind w:left="278" w:right="101"/>
        <w:jc w:val="left"/>
      </w:pPr>
      <w:r>
        <w:rPr/>
        <w:t>（</w:t>
      </w:r>
      <w:r>
        <w:rPr>
          <w:rFonts w:ascii="宋体" w:hAnsi="宋体" w:cs="宋体" w:eastAsia="宋体" w:hint="default"/>
        </w:rPr>
        <w:t>1</w:t>
      </w:r>
      <w:r>
        <w:rPr/>
        <w:t>）存货的分类</w:t>
      </w:r>
    </w:p>
    <w:p>
      <w:pPr>
        <w:spacing w:after="0" w:line="240" w:lineRule="auto"/>
        <w:jc w:val="left"/>
        <w:sectPr>
          <w:pgSz w:w="11910" w:h="16840"/>
          <w:pgMar w:header="882" w:footer="1194" w:top="1120" w:bottom="1380" w:left="1580" w:right="1040"/>
        </w:sectPr>
      </w:pPr>
    </w:p>
    <w:p>
      <w:pPr>
        <w:spacing w:line="240" w:lineRule="auto" w:before="9"/>
        <w:rPr>
          <w:rFonts w:ascii="宋体" w:hAnsi="宋体" w:cs="宋体" w:eastAsia="宋体" w:hint="default"/>
          <w:sz w:val="25"/>
          <w:szCs w:val="25"/>
        </w:rPr>
      </w:pPr>
    </w:p>
    <w:p>
      <w:pPr>
        <w:pStyle w:val="BodyText"/>
        <w:spacing w:line="310" w:lineRule="exact" w:before="58"/>
        <w:ind w:right="214" w:firstLine="480"/>
        <w:jc w:val="both"/>
      </w:pPr>
      <w:r>
        <w:rPr>
          <w:spacing w:val="-2"/>
        </w:rPr>
        <w:t>本集团存货分为原材料、外购商品、试用商品、发出商品、外购服务费、劳务成</w:t>
      </w:r>
      <w:r>
        <w:rPr/>
        <w:t> 本等。</w:t>
      </w:r>
    </w:p>
    <w:p>
      <w:pPr>
        <w:pStyle w:val="BodyText"/>
        <w:spacing w:line="328" w:lineRule="auto" w:before="89"/>
        <w:ind w:left="618" w:right="1588" w:hanging="420"/>
        <w:jc w:val="left"/>
      </w:pPr>
      <w:r>
        <w:rPr/>
        <w:t>（</w:t>
      </w:r>
      <w:r>
        <w:rPr>
          <w:rFonts w:ascii="宋体" w:hAnsi="宋体" w:cs="宋体" w:eastAsia="宋体" w:hint="default"/>
        </w:rPr>
        <w:t>2</w:t>
      </w:r>
      <w:r>
        <w:rPr/>
        <w:t>）发出存货的计价方法 本集团存货取得时按实际成本计价，发出时采用加权平均法计价。</w:t>
      </w:r>
    </w:p>
    <w:p>
      <w:pPr>
        <w:pStyle w:val="BodyText"/>
        <w:spacing w:line="331" w:lineRule="auto" w:before="28"/>
        <w:ind w:left="618" w:right="101" w:hanging="420"/>
        <w:jc w:val="left"/>
      </w:pPr>
      <w:r>
        <w:rPr/>
        <w:t>（</w:t>
      </w:r>
      <w:r>
        <w:rPr>
          <w:rFonts w:ascii="宋体" w:hAnsi="宋体" w:cs="宋体" w:eastAsia="宋体" w:hint="default"/>
        </w:rPr>
        <w:t>3</w:t>
      </w:r>
      <w:r>
        <w:rPr/>
        <w:t>）存货可变现净值的确定依据及存货跌价准备的计提方法 </w:t>
      </w:r>
      <w:r>
        <w:rPr>
          <w:spacing w:val="-2"/>
        </w:rPr>
        <w:t>存货可变现净值是按存货的估计售价减去至完工时估计将要发生的成本、估计的</w:t>
      </w:r>
    </w:p>
    <w:p>
      <w:pPr>
        <w:pStyle w:val="BodyText"/>
        <w:spacing w:line="218" w:lineRule="exact"/>
        <w:ind w:right="101"/>
        <w:jc w:val="left"/>
      </w:pPr>
      <w:r>
        <w:rPr/>
        <w:t>销售费用以及相关税费后的金额。在确定存货的可变现净值时，以取得的确凿证据为</w:t>
      </w:r>
    </w:p>
    <w:p>
      <w:pPr>
        <w:pStyle w:val="BodyText"/>
        <w:spacing w:line="331" w:lineRule="auto"/>
        <w:ind w:left="618" w:right="101" w:hanging="480"/>
        <w:jc w:val="left"/>
      </w:pPr>
      <w:r>
        <w:rPr/>
        <w:t>基础，同时考虑持有存货的目的以及资产负债表日后事项的影响。 </w:t>
      </w:r>
      <w:r>
        <w:rPr>
          <w:spacing w:val="-2"/>
        </w:rPr>
        <w:t>资产负债表日，存货成本高于其可变现净值的，计提存货跌价准备。本集团通常</w:t>
      </w:r>
    </w:p>
    <w:p>
      <w:pPr>
        <w:pStyle w:val="BodyText"/>
        <w:spacing w:line="219" w:lineRule="exact"/>
        <w:ind w:right="101"/>
        <w:jc w:val="left"/>
      </w:pPr>
      <w:r>
        <w:rPr/>
        <w:t>按照单个存货项目计提存货跌价准备，资产负债表日，以前减记存货价值的影响因素</w:t>
      </w:r>
    </w:p>
    <w:p>
      <w:pPr>
        <w:pStyle w:val="BodyText"/>
        <w:spacing w:line="313" w:lineRule="exact"/>
        <w:ind w:right="214"/>
        <w:jc w:val="left"/>
      </w:pPr>
      <w:r>
        <w:rPr/>
        <w:t>已经消失的，存货跌价准备在原已计提的金额内转回。</w:t>
      </w:r>
    </w:p>
    <w:p>
      <w:pPr>
        <w:pStyle w:val="BodyText"/>
        <w:spacing w:line="328" w:lineRule="auto" w:before="116"/>
        <w:ind w:left="618" w:right="4468" w:hanging="420"/>
        <w:jc w:val="left"/>
      </w:pPr>
      <w:r>
        <w:rPr/>
        <w:t>（</w:t>
      </w:r>
      <w:r>
        <w:rPr>
          <w:rFonts w:ascii="宋体" w:hAnsi="宋体" w:cs="宋体" w:eastAsia="宋体" w:hint="default"/>
        </w:rPr>
        <w:t>4</w:t>
      </w:r>
      <w:r>
        <w:rPr/>
        <w:t>）存货的盘存制度 本集团存货盘存制度采用永续盘存制。</w:t>
      </w:r>
    </w:p>
    <w:p>
      <w:pPr>
        <w:pStyle w:val="BodyText"/>
        <w:spacing w:line="328" w:lineRule="auto" w:before="29"/>
        <w:ind w:left="618" w:right="2788" w:hanging="420"/>
        <w:jc w:val="left"/>
      </w:pPr>
      <w:r>
        <w:rPr/>
        <w:t>（</w:t>
      </w:r>
      <w:r>
        <w:rPr>
          <w:rFonts w:ascii="宋体" w:hAnsi="宋体" w:cs="宋体" w:eastAsia="宋体" w:hint="default"/>
        </w:rPr>
        <w:t>5</w:t>
      </w:r>
      <w:r>
        <w:rPr/>
        <w:t>）低值易耗品和包装物的摊销方法 本集团低值易耗品领用时采用一次转销法摊销。 周转用包装物按照预计的使用次数分次计入成本费用。</w:t>
      </w:r>
    </w:p>
    <w:p>
      <w:pPr>
        <w:spacing w:line="240" w:lineRule="auto" w:before="2"/>
        <w:rPr>
          <w:rFonts w:ascii="宋体" w:hAnsi="宋体" w:cs="宋体" w:eastAsia="宋体" w:hint="default"/>
          <w:sz w:val="35"/>
          <w:szCs w:val="35"/>
        </w:rPr>
      </w:pPr>
    </w:p>
    <w:p>
      <w:pPr>
        <w:spacing w:line="300" w:lineRule="auto" w:before="0"/>
        <w:ind w:left="618" w:right="101" w:hanging="480"/>
        <w:jc w:val="left"/>
        <w:rPr>
          <w:rFonts w:ascii="宋体" w:hAnsi="宋体" w:cs="宋体" w:eastAsia="宋体" w:hint="default"/>
          <w:sz w:val="24"/>
          <w:szCs w:val="24"/>
        </w:rPr>
      </w:pPr>
      <w:r>
        <w:rPr>
          <w:rFonts w:ascii="Calibri" w:hAnsi="Calibri" w:cs="Calibri" w:eastAsia="Calibri" w:hint="default"/>
          <w:b/>
          <w:bCs/>
          <w:sz w:val="24"/>
          <w:szCs w:val="24"/>
        </w:rPr>
        <w:t>13.</w:t>
      </w:r>
      <w:r>
        <w:rPr>
          <w:rFonts w:ascii="Calibri" w:hAnsi="Calibri" w:cs="Calibri" w:eastAsia="Calibri" w:hint="default"/>
          <w:b/>
          <w:bCs/>
          <w:spacing w:val="8"/>
          <w:sz w:val="24"/>
          <w:szCs w:val="24"/>
        </w:rPr>
        <w:t> </w:t>
      </w:r>
      <w:r>
        <w:rPr>
          <w:rFonts w:ascii="宋体" w:hAnsi="宋体" w:cs="宋体" w:eastAsia="宋体" w:hint="default"/>
          <w:b/>
          <w:bCs/>
          <w:sz w:val="24"/>
          <w:szCs w:val="24"/>
        </w:rPr>
        <w:t>长期股权投资</w:t>
      </w:r>
      <w:r>
        <w:rPr>
          <w:rFonts w:ascii="宋体" w:hAnsi="宋体" w:cs="宋体" w:eastAsia="宋体" w:hint="default"/>
          <w:b/>
          <w:bCs/>
          <w:w w:val="99"/>
          <w:sz w:val="24"/>
          <w:szCs w:val="24"/>
        </w:rPr>
        <w:t> </w:t>
      </w:r>
      <w:r>
        <w:rPr>
          <w:rFonts w:ascii="宋体" w:hAnsi="宋体" w:cs="宋体" w:eastAsia="宋体" w:hint="default"/>
          <w:spacing w:val="-2"/>
          <w:sz w:val="24"/>
          <w:szCs w:val="24"/>
        </w:rPr>
        <w:t>本集团长期股权投资包括对子公司、合营企业和联营企业的权益性投资。本集团</w:t>
      </w:r>
    </w:p>
    <w:p>
      <w:pPr>
        <w:pStyle w:val="BodyText"/>
        <w:spacing w:line="251" w:lineRule="exact"/>
        <w:ind w:right="214"/>
        <w:jc w:val="left"/>
      </w:pPr>
      <w:r>
        <w:rPr/>
        <w:t>能够对被投资单位施加重大影响的，为本集团的联营企业。</w:t>
      </w:r>
    </w:p>
    <w:p>
      <w:pPr>
        <w:pStyle w:val="BodyText"/>
        <w:spacing w:line="240" w:lineRule="auto" w:before="116"/>
        <w:ind w:left="198" w:right="214"/>
        <w:jc w:val="left"/>
      </w:pPr>
      <w:r>
        <w:rPr/>
        <w:t>（</w:t>
      </w:r>
      <w:r>
        <w:rPr>
          <w:rFonts w:ascii="宋体" w:hAnsi="宋体" w:cs="宋体" w:eastAsia="宋体" w:hint="default"/>
        </w:rPr>
        <w:t>1</w:t>
      </w:r>
      <w:r>
        <w:rPr/>
        <w:t>）投资成本确定</w:t>
      </w:r>
    </w:p>
    <w:p>
      <w:pPr>
        <w:pStyle w:val="BodyText"/>
        <w:spacing w:line="237" w:lineRule="auto" w:before="120"/>
        <w:ind w:right="101" w:firstLine="480"/>
        <w:jc w:val="left"/>
      </w:pPr>
      <w:r>
        <w:rPr/>
        <w:t>对于企业合并形成的长期股权投资：同一控制下企业合并取得的长期股权投资， 在合并日按照取得被合并方所有者权益在最终控制方合并财务报表中的账面价值份 额作为投资成本；非同一控制下企业合并取得的长期股权投资，按照合并成本作为长 期股权投资的投资成本。</w:t>
      </w:r>
    </w:p>
    <w:p>
      <w:pPr>
        <w:pStyle w:val="BodyText"/>
        <w:spacing w:line="237" w:lineRule="auto" w:before="120"/>
        <w:ind w:right="213" w:firstLine="480"/>
        <w:jc w:val="both"/>
      </w:pPr>
      <w:r>
        <w:rPr>
          <w:spacing w:val="-2"/>
        </w:rPr>
        <w:t>对于以企业合并以外的其他方式取得的长期股权投资：支付现金取得的长期股权</w:t>
      </w:r>
      <w:r>
        <w:rPr/>
        <w:t> </w:t>
      </w:r>
      <w:r>
        <w:rPr>
          <w:spacing w:val="-2"/>
        </w:rPr>
        <w:t>投资，按照实际支付的购买价款作为初始投资成本；发行权益性证券取得的长期股权</w:t>
      </w:r>
      <w:r>
        <w:rPr>
          <w:spacing w:val="-94"/>
        </w:rPr>
        <w:t> </w:t>
      </w:r>
      <w:r>
        <w:rPr>
          <w:spacing w:val="-94"/>
        </w:rPr>
      </w:r>
      <w:r>
        <w:rPr/>
        <w:t>投资，以发行权益性证券的公允价值作为初始投资成本。</w:t>
      </w:r>
    </w:p>
    <w:p>
      <w:pPr>
        <w:pStyle w:val="BodyText"/>
        <w:spacing w:line="331" w:lineRule="auto" w:before="117"/>
        <w:ind w:left="618" w:right="101" w:hanging="420"/>
        <w:jc w:val="left"/>
      </w:pPr>
      <w:r>
        <w:rPr/>
        <w:t>（</w:t>
      </w:r>
      <w:r>
        <w:rPr>
          <w:rFonts w:ascii="宋体" w:hAnsi="宋体" w:cs="宋体" w:eastAsia="宋体" w:hint="default"/>
        </w:rPr>
        <w:t>2</w:t>
      </w:r>
      <w:r>
        <w:rPr/>
        <w:t>）后续计量及损益确认方法 </w:t>
      </w:r>
      <w:r>
        <w:rPr>
          <w:spacing w:val="-2"/>
        </w:rPr>
        <w:t>本公司对子公司的投资采用成本法核算；对联营企业和合营企业的投资采用权益</w:t>
      </w:r>
    </w:p>
    <w:p>
      <w:pPr>
        <w:pStyle w:val="BodyText"/>
        <w:spacing w:line="220" w:lineRule="exact"/>
        <w:ind w:right="214"/>
        <w:jc w:val="left"/>
      </w:pPr>
      <w:r>
        <w:rPr/>
        <w:t>法核算。</w:t>
      </w:r>
    </w:p>
    <w:p>
      <w:pPr>
        <w:pStyle w:val="BodyText"/>
        <w:spacing w:line="237" w:lineRule="auto" w:before="119"/>
        <w:ind w:right="213" w:firstLine="480"/>
        <w:jc w:val="both"/>
      </w:pPr>
      <w:r>
        <w:rPr>
          <w:spacing w:val="-2"/>
        </w:rPr>
        <w:t>采用成本法核算的长期股权投资，除取得投资时实际支付的价款或对价中包含的</w:t>
      </w:r>
      <w:r>
        <w:rPr/>
        <w:t> </w:t>
      </w:r>
      <w:r>
        <w:rPr>
          <w:spacing w:val="-2"/>
        </w:rPr>
        <w:t>已宣告但尚未发放的现金股利或利润外，被投资单位宣告分派的现金股利或利润，确</w:t>
      </w:r>
      <w:r>
        <w:rPr>
          <w:spacing w:val="-94"/>
        </w:rPr>
        <w:t> </w:t>
      </w:r>
      <w:r>
        <w:rPr>
          <w:spacing w:val="-94"/>
        </w:rPr>
      </w:r>
      <w:r>
        <w:rPr/>
        <w:t>认为投资收益计入当期损益。</w:t>
      </w:r>
    </w:p>
    <w:p>
      <w:pPr>
        <w:pStyle w:val="BodyText"/>
        <w:spacing w:line="310" w:lineRule="exact" w:before="150"/>
        <w:ind w:right="212" w:firstLine="480"/>
        <w:jc w:val="both"/>
      </w:pPr>
      <w:r>
        <w:rPr>
          <w:spacing w:val="-2"/>
        </w:rPr>
        <w:t>采用权益法核算的长期股权投资，初始投资成本大于投资时应享有被投资单位可</w:t>
      </w:r>
      <w:r>
        <w:rPr/>
        <w:t> </w:t>
      </w:r>
      <w:r>
        <w:rPr>
          <w:spacing w:val="-2"/>
        </w:rPr>
        <w:t>辨认净资产公允价值份额的，不调整长期股权投资的投资成本；初始投资成本小于投</w:t>
      </w:r>
    </w:p>
    <w:p>
      <w:pPr>
        <w:spacing w:after="0" w:line="310" w:lineRule="exact"/>
        <w:jc w:val="both"/>
        <w:sectPr>
          <w:footerReference w:type="default" r:id="rId37"/>
          <w:pgSz w:w="11910" w:h="16840"/>
          <w:pgMar w:footer="1194" w:header="882" w:top="1120" w:bottom="1380" w:left="1660" w:right="1060"/>
        </w:sectPr>
      </w:pPr>
    </w:p>
    <w:p>
      <w:pPr>
        <w:spacing w:line="240" w:lineRule="auto" w:before="9"/>
        <w:rPr>
          <w:rFonts w:ascii="宋体" w:hAnsi="宋体" w:cs="宋体" w:eastAsia="宋体" w:hint="default"/>
          <w:sz w:val="25"/>
          <w:szCs w:val="25"/>
        </w:rPr>
      </w:pPr>
    </w:p>
    <w:p>
      <w:pPr>
        <w:pStyle w:val="BodyText"/>
        <w:spacing w:line="310" w:lineRule="exact" w:before="58"/>
        <w:ind w:right="353"/>
        <w:jc w:val="both"/>
      </w:pPr>
      <w:r>
        <w:rPr>
          <w:spacing w:val="-2"/>
        </w:rPr>
        <w:t>资时应享有被投资单位可辨认净资产公允价值份额的，对长期股权投资的账面价值进</w:t>
      </w:r>
      <w:r>
        <w:rPr>
          <w:spacing w:val="-93"/>
        </w:rPr>
        <w:t> </w:t>
      </w:r>
      <w:r>
        <w:rPr>
          <w:spacing w:val="-93"/>
        </w:rPr>
      </w:r>
      <w:r>
        <w:rPr/>
        <w:t>行调整，差额计入投资当期的损益。</w:t>
      </w:r>
    </w:p>
    <w:p>
      <w:pPr>
        <w:pStyle w:val="BodyText"/>
        <w:spacing w:line="237" w:lineRule="auto" w:before="92"/>
        <w:ind w:right="0" w:firstLine="480"/>
        <w:jc w:val="left"/>
      </w:pPr>
      <w:r>
        <w:rPr/>
        <w:t>采用权益法核算时，按照应享有或应分担的被投资单位实现的净损益和其他综合 </w:t>
      </w:r>
      <w:r>
        <w:rPr>
          <w:spacing w:val="-5"/>
        </w:rPr>
        <w:t>收益的份额，分别确认投资收益和其他综合收益，同时调整长期股权投资的账面价值；</w:t>
      </w:r>
      <w:r>
        <w:rPr>
          <w:spacing w:val="-98"/>
        </w:rPr>
        <w:t> </w:t>
      </w:r>
      <w:r>
        <w:rPr>
          <w:spacing w:val="-98"/>
        </w:rPr>
      </w:r>
      <w:r>
        <w:rPr/>
        <w:t>按照被投资单位宣告分派的利润或现金股利计算应享有的部分，相应减少长期股权投</w:t>
      </w:r>
      <w:r>
        <w:rPr/>
        <w:t> 资的账面价值；被投资单位除净损益、其他综合收益和利润分配以外所有者权益的其 他变动，调整长期股权投资的账面价值并计入所有者权益。在确认应享有被投资单位 净损益的份额时，以取得投资时被投资单位各项可辨认资产等的公允价值为基础，并 按照本集团的会计政策及会计期间，对被投资单位的净利润进行调整后确认。</w:t>
      </w:r>
    </w:p>
    <w:p>
      <w:pPr>
        <w:pStyle w:val="BodyText"/>
        <w:spacing w:line="237" w:lineRule="auto" w:before="120"/>
        <w:ind w:right="0" w:firstLine="480"/>
        <w:jc w:val="left"/>
      </w:pPr>
      <w:r>
        <w:rPr/>
        <w:t>因追加投资等原因能够对被投资单位施加重大影响或实施共同控制但不构成控 </w:t>
      </w:r>
      <w:r>
        <w:rPr>
          <w:spacing w:val="-2"/>
        </w:rPr>
        <w:t>制的，按照原持有的股权投资的公允价值加上新增投资成本之和，作为改按权益法核</w:t>
      </w:r>
      <w:r>
        <w:rPr>
          <w:spacing w:val="-94"/>
        </w:rPr>
        <w:t> </w:t>
      </w:r>
      <w:r>
        <w:rPr>
          <w:spacing w:val="-94"/>
        </w:rPr>
      </w:r>
      <w:r>
        <w:rPr>
          <w:spacing w:val="-2"/>
        </w:rPr>
        <w:t>算的初始投资成本。原持有的股权投资分类为可供出售金融资产的，其公允价值与账</w:t>
      </w:r>
      <w:r>
        <w:rPr>
          <w:spacing w:val="-94"/>
        </w:rPr>
        <w:t> </w:t>
      </w:r>
      <w:r>
        <w:rPr>
          <w:spacing w:val="-94"/>
        </w:rPr>
      </w:r>
      <w:r>
        <w:rPr>
          <w:spacing w:val="-2"/>
        </w:rPr>
        <w:t>面价值之间的差额，以及原计入其他综合收益的累计公允价值变动应当转入改按权益</w:t>
      </w:r>
      <w:r>
        <w:rPr>
          <w:spacing w:val="-93"/>
        </w:rPr>
        <w:t> </w:t>
      </w:r>
      <w:r>
        <w:rPr>
          <w:spacing w:val="-93"/>
        </w:rPr>
      </w:r>
      <w:r>
        <w:rPr/>
        <w:t>法核算的当期损益。</w:t>
      </w:r>
    </w:p>
    <w:p>
      <w:pPr>
        <w:pStyle w:val="BodyText"/>
        <w:spacing w:line="237" w:lineRule="auto" w:before="120"/>
        <w:ind w:right="0" w:firstLine="480"/>
        <w:jc w:val="left"/>
      </w:pPr>
      <w:r>
        <w:rPr/>
        <w:t>因处置部分股权投资等原因丧失了对被投资单位的共同控制或重大影响的，处置 后的剩余股权应当改按《企业会计准则第</w:t>
      </w:r>
      <w:r>
        <w:rPr>
          <w:spacing w:val="-60"/>
        </w:rPr>
        <w:t> </w:t>
      </w:r>
      <w:r>
        <w:rPr>
          <w:rFonts w:ascii="宋体" w:hAnsi="宋体" w:cs="宋体" w:eastAsia="宋体" w:hint="default"/>
        </w:rPr>
        <w:t>22</w:t>
      </w:r>
      <w:r>
        <w:rPr>
          <w:rFonts w:ascii="宋体" w:hAnsi="宋体" w:cs="宋体" w:eastAsia="宋体" w:hint="default"/>
          <w:spacing w:val="-60"/>
        </w:rPr>
        <w:t> </w:t>
      </w:r>
      <w:r>
        <w:rPr/>
        <w:t>号—金融工具确认和计量》进行会计处 </w:t>
      </w:r>
      <w:r>
        <w:rPr>
          <w:spacing w:val="-2"/>
        </w:rPr>
        <w:t>理，在丧失共同控制或重大影响之日的公允价值与账面价值之间的差额计入当期损益。</w:t>
      </w:r>
      <w:r>
        <w:rPr>
          <w:spacing w:val="-91"/>
        </w:rPr>
        <w:t> </w:t>
      </w:r>
      <w:r>
        <w:rPr>
          <w:spacing w:val="-91"/>
        </w:rPr>
      </w:r>
      <w:r>
        <w:rPr/>
        <w:t>原股权投资因采用权益法核算而确认的其他综合收益，应当在终止采用权益法核算时</w:t>
      </w:r>
      <w:r>
        <w:rPr/>
        <w:t> 采用与被投资单位直接处置相关资产或负债相同的基础进行会计处理；原股权投资相 关的其他所有者权益变动转入当期损益。</w:t>
      </w:r>
    </w:p>
    <w:p>
      <w:pPr>
        <w:pStyle w:val="BodyText"/>
        <w:spacing w:line="237" w:lineRule="auto" w:before="120"/>
        <w:ind w:right="353" w:firstLine="480"/>
        <w:jc w:val="both"/>
      </w:pPr>
      <w:r>
        <w:rPr>
          <w:spacing w:val="-2"/>
        </w:rPr>
        <w:t>因处置部分股权投资等原因丧失了对被投资单位的控制的，处置后的剩余股权能</w:t>
      </w:r>
      <w:r>
        <w:rPr/>
        <w:t> </w:t>
      </w:r>
      <w:r>
        <w:rPr>
          <w:spacing w:val="-2"/>
        </w:rPr>
        <w:t>够对被投资单位实施共同控制或施加重大影响的，改按权益法核算，并对该剩余股权</w:t>
      </w:r>
      <w:r>
        <w:rPr>
          <w:spacing w:val="-94"/>
        </w:rPr>
        <w:t> </w:t>
      </w:r>
      <w:r>
        <w:rPr>
          <w:spacing w:val="-94"/>
        </w:rPr>
      </w:r>
      <w:r>
        <w:rPr>
          <w:spacing w:val="-2"/>
        </w:rPr>
        <w:t>视同自取得时即采用权益法核算进行调整；处置后的剩余股权不能对被投资单位实施</w:t>
      </w:r>
      <w:r>
        <w:rPr>
          <w:spacing w:val="-93"/>
        </w:rPr>
        <w:t> </w:t>
      </w:r>
      <w:r>
        <w:rPr>
          <w:spacing w:val="-93"/>
        </w:rPr>
      </w:r>
      <w:r>
        <w:rPr/>
        <w:t>共同控制或施加重大影响的，改按《企业会计准则第</w:t>
      </w:r>
      <w:r>
        <w:rPr>
          <w:spacing w:val="-60"/>
        </w:rPr>
        <w:t> </w:t>
      </w:r>
      <w:r>
        <w:rPr>
          <w:rFonts w:ascii="宋体" w:hAnsi="宋体" w:cs="宋体" w:eastAsia="宋体" w:hint="default"/>
        </w:rPr>
        <w:t>22</w:t>
      </w:r>
      <w:r>
        <w:rPr>
          <w:rFonts w:ascii="宋体" w:hAnsi="宋体" w:cs="宋体" w:eastAsia="宋体" w:hint="default"/>
          <w:spacing w:val="-60"/>
        </w:rPr>
        <w:t> </w:t>
      </w:r>
      <w:r>
        <w:rPr/>
        <w:t>号—金融工具确认和计量》 </w:t>
      </w:r>
      <w:r>
        <w:rPr>
          <w:spacing w:val="-2"/>
        </w:rPr>
        <w:t>的有关规定进行会计处理，其在丧失控制之日的公允价值与账面价值间的差额计入当</w:t>
      </w:r>
      <w:r>
        <w:rPr>
          <w:spacing w:val="-93"/>
        </w:rPr>
        <w:t> </w:t>
      </w:r>
      <w:r>
        <w:rPr>
          <w:spacing w:val="-93"/>
        </w:rPr>
      </w:r>
      <w:r>
        <w:rPr/>
        <w:t>期损益。</w:t>
      </w:r>
    </w:p>
    <w:p>
      <w:pPr>
        <w:pStyle w:val="BodyText"/>
        <w:spacing w:line="310" w:lineRule="exact" w:before="150"/>
        <w:ind w:right="0" w:firstLine="480"/>
        <w:jc w:val="left"/>
      </w:pPr>
      <w:r>
        <w:rPr/>
        <w:t>本集团与联营企业及合营企业之间发生的未实现内部交易损益按照持股比例计 </w:t>
      </w:r>
      <w:r>
        <w:rPr>
          <w:spacing w:val="-2"/>
        </w:rPr>
        <w:t>算归属于本集团的部分，在抵销基础上确认投资损益。但本集团与被投资单位发生的</w:t>
      </w:r>
      <w:r>
        <w:rPr>
          <w:spacing w:val="-94"/>
        </w:rPr>
        <w:t> </w:t>
      </w:r>
      <w:r>
        <w:rPr>
          <w:spacing w:val="-94"/>
        </w:rPr>
      </w:r>
      <w:r>
        <w:rPr/>
        <w:t>未实现内部交易损失，属于所转让资产减值损失的，不予以抵销。</w:t>
      </w:r>
    </w:p>
    <w:p>
      <w:pPr>
        <w:pStyle w:val="BodyText"/>
        <w:spacing w:line="310" w:lineRule="exact" w:before="122"/>
        <w:ind w:right="353" w:firstLine="480"/>
        <w:jc w:val="both"/>
      </w:pPr>
      <w:r>
        <w:rPr/>
        <w:t>对于</w:t>
      </w:r>
      <w:r>
        <w:rPr>
          <w:spacing w:val="-60"/>
        </w:rPr>
        <w:t> </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日之前已经持有的对联营企业及合营企业的长期股权投资， </w:t>
      </w:r>
      <w:r>
        <w:rPr>
          <w:spacing w:val="-2"/>
        </w:rPr>
        <w:t>如存在与该投资相关的股权投资借方差额，在扣除按原剩余期限直线法摊销的股权投</w:t>
      </w:r>
      <w:r>
        <w:rPr>
          <w:spacing w:val="-93"/>
        </w:rPr>
        <w:t> </w:t>
      </w:r>
      <w:r>
        <w:rPr>
          <w:spacing w:val="-93"/>
        </w:rPr>
      </w:r>
      <w:r>
        <w:rPr/>
        <w:t>资借方差额后，确认投资损益。</w:t>
      </w:r>
    </w:p>
    <w:p>
      <w:pPr>
        <w:pStyle w:val="BodyText"/>
        <w:spacing w:line="328" w:lineRule="auto" w:before="89"/>
        <w:ind w:left="618" w:right="0" w:hanging="420"/>
        <w:jc w:val="left"/>
      </w:pPr>
      <w:r>
        <w:rPr/>
        <w:t>（</w:t>
      </w:r>
      <w:r>
        <w:rPr>
          <w:rFonts w:ascii="宋体" w:hAnsi="宋体" w:cs="宋体" w:eastAsia="宋体" w:hint="default"/>
        </w:rPr>
        <w:t>3</w:t>
      </w:r>
      <w:r>
        <w:rPr/>
        <w:t>）确定对被投资单位具有共同控制、重大影响的依据 </w:t>
      </w:r>
      <w:r>
        <w:rPr>
          <w:spacing w:val="-2"/>
        </w:rPr>
        <w:t>共同控制，是指按照相关约定对某项安排所共有的控制，并且该安排的相关活动</w:t>
      </w:r>
    </w:p>
    <w:p>
      <w:pPr>
        <w:pStyle w:val="BodyText"/>
        <w:spacing w:line="222" w:lineRule="exact"/>
        <w:ind w:right="0"/>
        <w:jc w:val="both"/>
      </w:pPr>
      <w:r>
        <w:rPr/>
        <w:t>必须经过分享控制权的参与方一致同意后才能决策。在判断是否存在共同控制时，首</w:t>
      </w:r>
    </w:p>
    <w:p>
      <w:pPr>
        <w:pStyle w:val="BodyText"/>
        <w:spacing w:line="237" w:lineRule="auto" w:before="1"/>
        <w:ind w:right="353"/>
        <w:jc w:val="both"/>
      </w:pPr>
      <w:r>
        <w:rPr>
          <w:spacing w:val="-2"/>
        </w:rPr>
        <w:t>先判断所有参与方或参与方组合是否集体控制该安排，如果所有参与方或一组参与方</w:t>
      </w:r>
      <w:r>
        <w:rPr>
          <w:spacing w:val="-93"/>
        </w:rPr>
        <w:t> </w:t>
      </w:r>
      <w:r>
        <w:rPr>
          <w:spacing w:val="-93"/>
        </w:rPr>
      </w:r>
      <w:r>
        <w:rPr>
          <w:spacing w:val="-2"/>
        </w:rPr>
        <w:t>必须一致行动才能决定某项安排的相关活动，则认为所有参与方或一组参与方集体控</w:t>
      </w:r>
      <w:r>
        <w:rPr>
          <w:spacing w:val="-93"/>
        </w:rPr>
        <w:t> </w:t>
      </w:r>
      <w:r>
        <w:rPr>
          <w:spacing w:val="-93"/>
        </w:rPr>
      </w:r>
      <w:r>
        <w:rPr>
          <w:spacing w:val="-2"/>
        </w:rPr>
        <w:t>制该安排。其次再判断该安排相关活动的决策是否必须经过这些集体控制该安排的参</w:t>
      </w:r>
      <w:r>
        <w:rPr>
          <w:spacing w:val="-93"/>
        </w:rPr>
        <w:t> </w:t>
      </w:r>
      <w:r>
        <w:rPr>
          <w:spacing w:val="-93"/>
        </w:rPr>
      </w:r>
      <w:r>
        <w:rPr>
          <w:spacing w:val="-2"/>
        </w:rPr>
        <w:t>与方一致同意。如果存在两个或两个以上的参与方组合能够集体控制某项安排的，不</w:t>
      </w:r>
      <w:r>
        <w:rPr>
          <w:spacing w:val="-94"/>
        </w:rPr>
        <w:t> </w:t>
      </w:r>
      <w:r>
        <w:rPr>
          <w:spacing w:val="-94"/>
        </w:rPr>
      </w:r>
      <w:r>
        <w:rPr/>
        <w:t>构成共同控制。判断是否存在共同控制时，不考虑享有的保护性权利。</w:t>
      </w:r>
    </w:p>
    <w:p>
      <w:pPr>
        <w:spacing w:after="0" w:line="237" w:lineRule="auto"/>
        <w:jc w:val="both"/>
        <w:sectPr>
          <w:footerReference w:type="default" r:id="rId38"/>
          <w:pgSz w:w="11910" w:h="16840"/>
          <w:pgMar w:footer="1194" w:header="882" w:top="1120" w:bottom="1380" w:left="1660" w:right="920"/>
          <w:pgNumType w:start="101"/>
        </w:sectPr>
      </w:pPr>
    </w:p>
    <w:p>
      <w:pPr>
        <w:spacing w:line="240" w:lineRule="auto" w:before="9"/>
        <w:rPr>
          <w:rFonts w:ascii="宋体" w:hAnsi="宋体" w:cs="宋体" w:eastAsia="宋体" w:hint="default"/>
          <w:sz w:val="25"/>
          <w:szCs w:val="25"/>
        </w:rPr>
      </w:pPr>
    </w:p>
    <w:p>
      <w:pPr>
        <w:pStyle w:val="BodyText"/>
        <w:spacing w:line="237" w:lineRule="auto" w:before="28"/>
        <w:ind w:right="0" w:firstLine="480"/>
        <w:jc w:val="left"/>
      </w:pPr>
      <w:r>
        <w:rPr>
          <w:spacing w:val="-2"/>
        </w:rPr>
        <w:t>重大影响，是指投资方对被投资单位的财务和经营政策有参与决策的权力，但并</w:t>
      </w:r>
      <w:r>
        <w:rPr/>
        <w:t> </w:t>
      </w:r>
      <w:r>
        <w:rPr>
          <w:spacing w:val="-2"/>
        </w:rPr>
        <w:t>不能够控制或者与其他方一起共同控制这些政策的制定。在确定能否对被投资单位施</w:t>
      </w:r>
      <w:r>
        <w:rPr>
          <w:spacing w:val="-93"/>
        </w:rPr>
        <w:t> </w:t>
      </w:r>
      <w:r>
        <w:rPr>
          <w:spacing w:val="-93"/>
        </w:rPr>
      </w:r>
      <w:r>
        <w:rPr>
          <w:spacing w:val="-2"/>
        </w:rPr>
        <w:t>加重大影响时，考虑投资方直接或间接持有被投资单位的表决权股份以及投资方及其</w:t>
      </w:r>
      <w:r>
        <w:rPr>
          <w:spacing w:val="-93"/>
        </w:rPr>
        <w:t> </w:t>
      </w:r>
      <w:r>
        <w:rPr>
          <w:spacing w:val="-93"/>
        </w:rPr>
      </w:r>
      <w:r>
        <w:rPr/>
        <w:t>他方持有的当期可执行潜在表决权在假定转换为对被投资方单位的股权后产生的影 </w:t>
      </w:r>
      <w:r>
        <w:rPr>
          <w:spacing w:val="-2"/>
        </w:rPr>
        <w:t>响，包括被投资单位发行的当期可转换的认股权证、股份期权及可转换公司债券等的</w:t>
      </w:r>
      <w:r>
        <w:rPr>
          <w:spacing w:val="-94"/>
        </w:rPr>
        <w:t> </w:t>
      </w:r>
      <w:r>
        <w:rPr>
          <w:spacing w:val="-94"/>
        </w:rPr>
      </w:r>
      <w:r>
        <w:rPr/>
        <w:t>影响。</w:t>
      </w:r>
    </w:p>
    <w:p>
      <w:pPr>
        <w:pStyle w:val="BodyText"/>
        <w:spacing w:line="237" w:lineRule="auto" w:before="120"/>
        <w:ind w:right="0" w:firstLine="480"/>
        <w:jc w:val="left"/>
      </w:pPr>
      <w:r>
        <w:rPr/>
        <w:t>当本公司直接或通过子公司间接拥有被投资单位</w:t>
      </w:r>
      <w:r>
        <w:rPr>
          <w:spacing w:val="-60"/>
        </w:rPr>
        <w:t> </w:t>
      </w:r>
      <w:r>
        <w:rPr>
          <w:rFonts w:ascii="宋体" w:hAnsi="宋体" w:cs="宋体" w:eastAsia="宋体" w:hint="default"/>
        </w:rPr>
        <w:t>20%</w:t>
      </w:r>
      <w:r>
        <w:rPr/>
        <w:t>（含</w:t>
      </w:r>
      <w:r>
        <w:rPr>
          <w:spacing w:val="-60"/>
        </w:rPr>
        <w:t> </w:t>
      </w:r>
      <w:r>
        <w:rPr>
          <w:rFonts w:ascii="宋体" w:hAnsi="宋体" w:cs="宋体" w:eastAsia="宋体" w:hint="default"/>
        </w:rPr>
        <w:t>20%</w:t>
      </w:r>
      <w:r>
        <w:rPr/>
        <w:t>）以上但低于</w:t>
      </w:r>
      <w:r>
        <w:rPr>
          <w:spacing w:val="-60"/>
        </w:rPr>
        <w:t> </w:t>
      </w:r>
      <w:r>
        <w:rPr>
          <w:rFonts w:ascii="宋体" w:hAnsi="宋体" w:cs="宋体" w:eastAsia="宋体" w:hint="default"/>
        </w:rPr>
        <w:t>50% </w:t>
      </w:r>
      <w:r>
        <w:rPr>
          <w:spacing w:val="-2"/>
        </w:rPr>
        <w:t>的表决权股份时，一般认为对被投资单位具有重大影响，除非有明确证据表明该种情</w:t>
      </w:r>
      <w:r>
        <w:rPr>
          <w:spacing w:val="-94"/>
        </w:rPr>
        <w:t> </w:t>
      </w:r>
      <w:r>
        <w:rPr>
          <w:spacing w:val="-94"/>
        </w:rPr>
      </w:r>
      <w:r>
        <w:rPr>
          <w:spacing w:val="-2"/>
        </w:rPr>
        <w:t>况下不能参与被投资单位的生产经营决策，不形成重大影响；本公司拥有被投资单位</w:t>
      </w:r>
      <w:r>
        <w:rPr>
          <w:spacing w:val="-94"/>
        </w:rPr>
        <w:t> </w:t>
      </w:r>
      <w:r>
        <w:rPr>
          <w:spacing w:val="-94"/>
        </w:rPr>
      </w:r>
      <w:r>
        <w:rPr>
          <w:rFonts w:ascii="宋体" w:hAnsi="宋体" w:cs="宋体" w:eastAsia="宋体" w:hint="default"/>
        </w:rPr>
        <w:t>20%</w:t>
      </w:r>
      <w:r>
        <w:rPr/>
        <w:t>（不含）以下的表决权股份，一般不认为对被投资单位具有重大影响，除非有明 确证据表明该种情况下能够参与被投资单位的生产经营决策，形成重大影响。</w:t>
      </w:r>
    </w:p>
    <w:p>
      <w:pPr>
        <w:pStyle w:val="BodyText"/>
        <w:spacing w:line="240" w:lineRule="auto" w:before="117"/>
        <w:ind w:left="198" w:right="0"/>
        <w:jc w:val="left"/>
      </w:pPr>
      <w:r>
        <w:rPr/>
        <w:t>（</w:t>
      </w:r>
      <w:r>
        <w:rPr>
          <w:rFonts w:ascii="宋体" w:hAnsi="宋体" w:cs="宋体" w:eastAsia="宋体" w:hint="default"/>
        </w:rPr>
        <w:t>4</w:t>
      </w:r>
      <w:r>
        <w:rPr/>
        <w:t>）减值测试方法及减值准备计提方法</w:t>
      </w:r>
    </w:p>
    <w:p>
      <w:pPr>
        <w:pStyle w:val="BodyText"/>
        <w:spacing w:line="312" w:lineRule="exact" w:before="147"/>
        <w:ind w:right="0" w:firstLine="480"/>
        <w:jc w:val="left"/>
      </w:pPr>
      <w:r>
        <w:rPr/>
        <w:t>对子公司、联营企业及合营企业的投资，本集团计提资产减值的方法见附注三、 </w:t>
      </w:r>
      <w:r>
        <w:rPr>
          <w:rFonts w:ascii="宋体" w:hAnsi="宋体" w:cs="宋体" w:eastAsia="宋体" w:hint="default"/>
        </w:rPr>
        <w:t>21</w:t>
      </w:r>
      <w:r>
        <w:rPr/>
        <w:t>。</w:t>
      </w:r>
    </w:p>
    <w:p>
      <w:pPr>
        <w:spacing w:line="240" w:lineRule="auto" w:before="0"/>
        <w:rPr>
          <w:rFonts w:ascii="宋体" w:hAnsi="宋体" w:cs="宋体" w:eastAsia="宋体" w:hint="default"/>
          <w:sz w:val="24"/>
          <w:szCs w:val="24"/>
        </w:rPr>
      </w:pPr>
    </w:p>
    <w:p>
      <w:pPr>
        <w:spacing w:line="300" w:lineRule="auto" w:before="205"/>
        <w:ind w:left="618" w:right="0" w:hanging="480"/>
        <w:jc w:val="left"/>
        <w:rPr>
          <w:rFonts w:ascii="宋体" w:hAnsi="宋体" w:cs="宋体" w:eastAsia="宋体" w:hint="default"/>
          <w:sz w:val="24"/>
          <w:szCs w:val="24"/>
        </w:rPr>
      </w:pPr>
      <w:r>
        <w:rPr>
          <w:rFonts w:ascii="Calibri" w:hAnsi="Calibri" w:cs="Calibri" w:eastAsia="Calibri" w:hint="default"/>
          <w:b/>
          <w:bCs/>
          <w:sz w:val="24"/>
          <w:szCs w:val="24"/>
        </w:rPr>
        <w:t>14.</w:t>
      </w:r>
      <w:r>
        <w:rPr>
          <w:rFonts w:ascii="Calibri" w:hAnsi="Calibri" w:cs="Calibri" w:eastAsia="Calibri" w:hint="default"/>
          <w:b/>
          <w:bCs/>
          <w:spacing w:val="8"/>
          <w:sz w:val="24"/>
          <w:szCs w:val="24"/>
        </w:rPr>
        <w:t> </w:t>
      </w:r>
      <w:r>
        <w:rPr>
          <w:rFonts w:ascii="宋体" w:hAnsi="宋体" w:cs="宋体" w:eastAsia="宋体" w:hint="default"/>
          <w:b/>
          <w:bCs/>
          <w:sz w:val="24"/>
          <w:szCs w:val="24"/>
        </w:rPr>
        <w:t>投资性房地产</w:t>
      </w:r>
      <w:r>
        <w:rPr>
          <w:rFonts w:ascii="宋体" w:hAnsi="宋体" w:cs="宋体" w:eastAsia="宋体" w:hint="default"/>
          <w:b/>
          <w:bCs/>
          <w:w w:val="99"/>
          <w:sz w:val="24"/>
          <w:szCs w:val="24"/>
        </w:rPr>
        <w:t> </w:t>
      </w:r>
      <w:r>
        <w:rPr>
          <w:rFonts w:ascii="宋体" w:hAnsi="宋体" w:cs="宋体" w:eastAsia="宋体" w:hint="default"/>
          <w:spacing w:val="-2"/>
          <w:sz w:val="24"/>
          <w:szCs w:val="24"/>
        </w:rPr>
        <w:t>投资性房地产是指为赚取租金或资本增值，或两者兼有而持有的房地产。本集团</w:t>
      </w:r>
    </w:p>
    <w:p>
      <w:pPr>
        <w:pStyle w:val="BodyText"/>
        <w:spacing w:line="250" w:lineRule="exact"/>
        <w:ind w:right="0"/>
        <w:jc w:val="left"/>
      </w:pPr>
      <w:r>
        <w:rPr/>
        <w:t>投资性房地产包括已出租的土地使用权、持有并准备增值后转让的土地使用权、已出</w:t>
      </w:r>
    </w:p>
    <w:p>
      <w:pPr>
        <w:pStyle w:val="BodyText"/>
        <w:spacing w:line="313" w:lineRule="exact"/>
        <w:ind w:right="0"/>
        <w:jc w:val="left"/>
      </w:pPr>
      <w:r>
        <w:rPr/>
        <w:t>租的建筑物。</w:t>
      </w:r>
    </w:p>
    <w:p>
      <w:pPr>
        <w:pStyle w:val="BodyText"/>
        <w:spacing w:line="310" w:lineRule="exact" w:before="149"/>
        <w:ind w:right="0" w:firstLine="480"/>
        <w:jc w:val="left"/>
      </w:pPr>
      <w:r>
        <w:rPr>
          <w:spacing w:val="-2"/>
        </w:rPr>
        <w:t>本集团投资性房地产按照取得时的成本进行初始计量，并按照固定资产或无形资</w:t>
      </w:r>
      <w:r>
        <w:rPr/>
        <w:t> 产的有关规定，按期计提折旧或摊销。</w:t>
      </w:r>
    </w:p>
    <w:p>
      <w:pPr>
        <w:pStyle w:val="BodyText"/>
        <w:spacing w:line="328" w:lineRule="auto" w:before="89"/>
        <w:ind w:left="618" w:right="0"/>
        <w:jc w:val="left"/>
      </w:pPr>
      <w:r>
        <w:rPr/>
        <w:t>采用成本模式进行后续计量的投资性房地产，计提资产减值方法见附注三、</w:t>
      </w:r>
      <w:r>
        <w:rPr>
          <w:rFonts w:ascii="宋体" w:hAnsi="宋体" w:cs="宋体" w:eastAsia="宋体" w:hint="default"/>
        </w:rPr>
        <w:t>21</w:t>
      </w:r>
      <w:r>
        <w:rPr/>
        <w:t>。</w:t>
      </w:r>
      <w:r>
        <w:rPr>
          <w:spacing w:val="-57"/>
        </w:rPr>
        <w:t> </w:t>
      </w:r>
      <w:r>
        <w:rPr/>
        <w:t>投资性房地产出售、转让、报废或毁损的处置收入扣除其账面价值和相关税费后</w:t>
      </w:r>
    </w:p>
    <w:p>
      <w:pPr>
        <w:pStyle w:val="BodyText"/>
        <w:spacing w:line="222" w:lineRule="exact"/>
        <w:ind w:right="0"/>
        <w:jc w:val="left"/>
      </w:pPr>
      <w:r>
        <w:rPr/>
        <w:t>的差额计入当期损益。</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Heading2"/>
        <w:spacing w:line="240" w:lineRule="auto" w:before="0"/>
        <w:ind w:left="138" w:right="0"/>
        <w:jc w:val="left"/>
        <w:rPr>
          <w:b w:val="0"/>
          <w:bCs w:val="0"/>
        </w:rPr>
      </w:pPr>
      <w:r>
        <w:rPr>
          <w:rFonts w:ascii="Calibri" w:hAnsi="Calibri" w:cs="Calibri" w:eastAsia="Calibri" w:hint="default"/>
        </w:rPr>
        <w:t>15. </w:t>
      </w:r>
      <w:r>
        <w:rPr>
          <w:rFonts w:ascii="Calibri" w:hAnsi="Calibri" w:cs="Calibri" w:eastAsia="Calibri" w:hint="default"/>
          <w:spacing w:val="7"/>
        </w:rPr>
        <w:t> </w:t>
      </w:r>
      <w:r>
        <w:rPr/>
        <w:t>固定资产</w:t>
      </w:r>
      <w:r>
        <w:rPr>
          <w:b w:val="0"/>
          <w:bCs w:val="0"/>
        </w:rPr>
      </w:r>
    </w:p>
    <w:p>
      <w:pPr>
        <w:tabs>
          <w:tab w:pos="977" w:val="left" w:leader="none"/>
        </w:tabs>
        <w:spacing w:line="328" w:lineRule="auto" w:before="87"/>
        <w:ind w:left="618" w:right="233" w:hanging="480"/>
        <w:jc w:val="left"/>
        <w:rPr>
          <w:rFonts w:ascii="宋体" w:hAnsi="宋体" w:cs="宋体" w:eastAsia="宋体" w:hint="default"/>
          <w:sz w:val="24"/>
          <w:szCs w:val="24"/>
        </w:rPr>
      </w:pPr>
      <w:r>
        <w:rPr>
          <w:rFonts w:ascii="宋体" w:hAnsi="宋体" w:cs="宋体" w:eastAsia="宋体" w:hint="default"/>
          <w:b/>
          <w:bCs/>
          <w:w w:val="95"/>
          <w:sz w:val="24"/>
          <w:szCs w:val="24"/>
        </w:rPr>
        <w:t>(1).</w:t>
        <w:tab/>
      </w:r>
      <w:r>
        <w:rPr>
          <w:rFonts w:ascii="宋体" w:hAnsi="宋体" w:cs="宋体" w:eastAsia="宋体" w:hint="default"/>
          <w:b/>
          <w:bCs/>
          <w:sz w:val="24"/>
          <w:szCs w:val="24"/>
        </w:rPr>
        <w:t>确认条件</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本集团固定资产是指为生产商品、提供劳务、出租或经营管理而持有的，使用寿</w:t>
      </w:r>
    </w:p>
    <w:p>
      <w:pPr>
        <w:pStyle w:val="BodyText"/>
        <w:spacing w:line="222" w:lineRule="exact"/>
        <w:ind w:right="0"/>
        <w:jc w:val="left"/>
      </w:pPr>
      <w:r>
        <w:rPr/>
        <w:t>命超过一个会计年度的有形资产。</w:t>
      </w:r>
    </w:p>
    <w:p>
      <w:pPr>
        <w:pStyle w:val="BodyText"/>
        <w:spacing w:line="310" w:lineRule="exact" w:before="150"/>
        <w:ind w:right="0" w:firstLine="480"/>
        <w:jc w:val="left"/>
      </w:pPr>
      <w:r>
        <w:rPr>
          <w:spacing w:val="-2"/>
        </w:rPr>
        <w:t>与该固定资产有关的经济利益很可能流入企业，并且该固定资产的成本能够可靠</w:t>
      </w:r>
      <w:r>
        <w:rPr/>
        <w:t> 地计量时，固定资产才能予以确认。</w:t>
      </w:r>
    </w:p>
    <w:p>
      <w:pPr>
        <w:pStyle w:val="BodyText"/>
        <w:spacing w:line="240" w:lineRule="auto" w:before="88"/>
        <w:ind w:left="618" w:right="0"/>
        <w:jc w:val="left"/>
      </w:pPr>
      <w:r>
        <w:rPr/>
        <w:t>本集团固定资产按照取得时的实际成本进行初始计量。</w:t>
      </w:r>
    </w:p>
    <w:p>
      <w:pPr>
        <w:spacing w:before="121"/>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折旧方法</w:t>
      </w:r>
      <w:r>
        <w:rPr>
          <w:rFonts w:ascii="宋体" w:hAnsi="宋体" w:cs="宋体" w:eastAsia="宋体" w:hint="default"/>
          <w:sz w:val="21"/>
          <w:szCs w:val="21"/>
        </w:rPr>
      </w:r>
    </w:p>
    <w:p>
      <w:pPr>
        <w:pStyle w:val="BodyText"/>
        <w:spacing w:line="237" w:lineRule="auto" w:before="117"/>
        <w:ind w:right="233" w:firstLine="480"/>
        <w:jc w:val="both"/>
      </w:pPr>
      <w:r>
        <w:rPr>
          <w:spacing w:val="-2"/>
        </w:rPr>
        <w:t>本集团采用年限平均法计提折旧。固定资产自达到预定可使用状态时开始计提折</w:t>
      </w:r>
      <w:r>
        <w:rPr/>
        <w:t> </w:t>
      </w:r>
      <w:r>
        <w:rPr>
          <w:spacing w:val="-2"/>
        </w:rPr>
        <w:t>旧，终止确认时或划分为持有待售非流动资产时停止计提折旧。在不考虑减值准备的</w:t>
      </w:r>
      <w:r>
        <w:rPr>
          <w:spacing w:val="-94"/>
        </w:rPr>
        <w:t> </w:t>
      </w:r>
      <w:r>
        <w:rPr>
          <w:spacing w:val="-94"/>
        </w:rPr>
      </w:r>
      <w:r>
        <w:rPr>
          <w:spacing w:val="-2"/>
        </w:rPr>
        <w:t>情况下，按固定资产类别、预计使用寿命和预计残值，本集团确定各类固定资产的年</w:t>
      </w:r>
      <w:r>
        <w:rPr>
          <w:spacing w:val="-94"/>
        </w:rPr>
        <w:t> </w:t>
      </w:r>
      <w:r>
        <w:rPr>
          <w:spacing w:val="-94"/>
        </w:rPr>
      </w:r>
      <w:r>
        <w:rPr/>
        <w:t>折旧率如下：</w:t>
      </w:r>
    </w:p>
    <w:p>
      <w:pPr>
        <w:spacing w:after="0" w:line="237" w:lineRule="auto"/>
        <w:jc w:val="both"/>
        <w:sectPr>
          <w:pgSz w:w="11910" w:h="16840"/>
          <w:pgMar w:header="882" w:footer="1194" w:top="1120" w:bottom="1380" w:left="166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717"/>
        <w:gridCol w:w="1833"/>
        <w:gridCol w:w="2227"/>
        <w:gridCol w:w="1439"/>
        <w:gridCol w:w="1834"/>
      </w:tblGrid>
      <w:tr>
        <w:trPr>
          <w:trHeight w:val="282" w:hRule="exact"/>
        </w:trPr>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类别</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9"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3"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9"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2" w:hRule="exact"/>
        </w:trPr>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直线法</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37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个月、</w:t>
            </w:r>
            <w:r>
              <w:rPr>
                <w:rFonts w:ascii="宋体" w:hAnsi="宋体" w:cs="宋体" w:eastAsia="宋体" w:hint="default"/>
                <w:sz w:val="21"/>
                <w:szCs w:val="21"/>
              </w:rPr>
              <w:t>40</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0</w:t>
            </w:r>
            <w:r>
              <w:rPr>
                <w:rFonts w:ascii="宋体" w:hAnsi="宋体" w:cs="宋体" w:eastAsia="宋体" w:hint="default"/>
                <w:sz w:val="21"/>
                <w:szCs w:val="21"/>
              </w:rPr>
              <w:t>、</w:t>
            </w:r>
            <w:r>
              <w:rPr>
                <w:rFonts w:ascii="宋体" w:hAnsi="宋体" w:cs="宋体" w:eastAsia="宋体" w:hint="default"/>
                <w:sz w:val="21"/>
                <w:szCs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2.375-2.643</w:t>
            </w:r>
          </w:p>
        </w:tc>
      </w:tr>
      <w:tr>
        <w:trPr>
          <w:trHeight w:val="283" w:hRule="exact"/>
        </w:trPr>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直线法</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0</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18.00-33.33</w:t>
            </w:r>
          </w:p>
        </w:tc>
      </w:tr>
      <w:tr>
        <w:trPr>
          <w:trHeight w:val="282" w:hRule="exact"/>
        </w:trPr>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直线法</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0</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18.00-33.33</w:t>
            </w:r>
          </w:p>
        </w:tc>
      </w:tr>
      <w:tr>
        <w:trPr>
          <w:trHeight w:val="282" w:hRule="exact"/>
        </w:trPr>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直线法</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0</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18.00-20.00</w:t>
            </w:r>
          </w:p>
        </w:tc>
      </w:tr>
      <w:tr>
        <w:trPr>
          <w:trHeight w:val="283" w:hRule="exact"/>
        </w:trPr>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房屋装修</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直线法</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2-10</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10.00-50.00</w:t>
            </w:r>
          </w:p>
        </w:tc>
      </w:tr>
      <w:tr>
        <w:trPr>
          <w:trHeight w:val="282" w:hRule="exact"/>
        </w:trPr>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直线法</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9.50</w:t>
            </w:r>
          </w:p>
        </w:tc>
      </w:tr>
      <w:tr>
        <w:trPr>
          <w:trHeight w:val="282" w:hRule="exact"/>
        </w:trPr>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直线法</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0</w:t>
            </w:r>
            <w:r>
              <w:rPr>
                <w:rFonts w:ascii="宋体" w:hAnsi="宋体" w:cs="宋体" w:eastAsia="宋体" w:hint="default"/>
                <w:sz w:val="21"/>
                <w:szCs w:val="21"/>
              </w:rPr>
              <w:t>、</w:t>
            </w:r>
            <w:r>
              <w:rPr>
                <w:rFonts w:ascii="宋体" w:hAnsi="宋体" w:cs="宋体" w:eastAsia="宋体" w:hint="default"/>
                <w:sz w:val="21"/>
                <w:szCs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19.00-20.00</w:t>
            </w:r>
          </w:p>
        </w:tc>
      </w:tr>
    </w:tbl>
    <w:p>
      <w:pPr>
        <w:spacing w:line="240" w:lineRule="auto" w:before="0"/>
        <w:rPr>
          <w:rFonts w:ascii="宋体" w:hAnsi="宋体" w:cs="宋体" w:eastAsia="宋体" w:hint="default"/>
          <w:sz w:val="25"/>
          <w:szCs w:val="25"/>
        </w:rPr>
      </w:pPr>
    </w:p>
    <w:p>
      <w:pPr>
        <w:pStyle w:val="BodyText"/>
        <w:spacing w:line="312" w:lineRule="exact" w:before="56"/>
        <w:ind w:left="218" w:right="354" w:firstLine="480"/>
        <w:jc w:val="both"/>
      </w:pPr>
      <w:r>
        <w:rPr>
          <w:spacing w:val="-2"/>
        </w:rPr>
        <w:t>其中，已计提减值准备的固定资产，还应扣除已计提的固定资产减值准备累计金</w:t>
      </w:r>
      <w:r>
        <w:rPr/>
        <w:t> 额计算确定折旧率。</w:t>
      </w:r>
    </w:p>
    <w:p>
      <w:pPr>
        <w:pStyle w:val="Heading2"/>
        <w:tabs>
          <w:tab w:pos="1057" w:val="left" w:leader="none"/>
        </w:tabs>
        <w:spacing w:line="240" w:lineRule="auto" w:before="88"/>
        <w:ind w:right="113"/>
        <w:jc w:val="left"/>
        <w:rPr>
          <w:rFonts w:ascii="宋体" w:hAnsi="宋体" w:cs="宋体" w:eastAsia="宋体" w:hint="default"/>
          <w:b w:val="0"/>
          <w:bCs w:val="0"/>
        </w:rPr>
      </w:pPr>
      <w:r>
        <w:rPr>
          <w:rFonts w:ascii="宋体" w:hAnsi="宋体" w:cs="宋体" w:eastAsia="宋体" w:hint="default"/>
          <w:w w:val="95"/>
        </w:rPr>
        <w:t>(3).</w:t>
        <w:tab/>
      </w:r>
      <w:r>
        <w:rPr/>
        <w:t>固定资产的减值测试方法、减值准备计提方法见附注三、</w:t>
      </w:r>
      <w:r>
        <w:rPr>
          <w:rFonts w:ascii="宋体" w:hAnsi="宋体" w:cs="宋体" w:eastAsia="宋体" w:hint="default"/>
        </w:rPr>
        <w:t>21</w:t>
      </w:r>
      <w:r>
        <w:rPr>
          <w:rFonts w:ascii="宋体" w:hAnsi="宋体" w:cs="宋体" w:eastAsia="宋体" w:hint="default"/>
          <w:b w:val="0"/>
          <w:bCs w:val="0"/>
        </w:rPr>
      </w:r>
    </w:p>
    <w:p>
      <w:pPr>
        <w:tabs>
          <w:tab w:pos="1057" w:val="left" w:leader="none"/>
        </w:tabs>
        <w:spacing w:line="328" w:lineRule="auto" w:before="118"/>
        <w:ind w:left="698" w:right="113" w:hanging="480"/>
        <w:jc w:val="left"/>
        <w:rPr>
          <w:rFonts w:ascii="宋体" w:hAnsi="宋体" w:cs="宋体" w:eastAsia="宋体" w:hint="default"/>
          <w:sz w:val="24"/>
          <w:szCs w:val="24"/>
        </w:rPr>
      </w:pPr>
      <w:r>
        <w:rPr>
          <w:rFonts w:ascii="宋体" w:hAnsi="宋体" w:cs="宋体" w:eastAsia="宋体" w:hint="default"/>
          <w:b/>
          <w:bCs/>
          <w:w w:val="95"/>
          <w:sz w:val="24"/>
          <w:szCs w:val="24"/>
        </w:rPr>
        <w:t>(4).</w:t>
        <w:tab/>
      </w:r>
      <w:r>
        <w:rPr>
          <w:rFonts w:ascii="宋体" w:hAnsi="宋体" w:cs="宋体" w:eastAsia="宋体" w:hint="default"/>
          <w:b/>
          <w:bCs/>
          <w:sz w:val="24"/>
          <w:szCs w:val="24"/>
        </w:rPr>
        <w:t>融资租入固定资产的认定依据、计价和折旧方法</w:t>
      </w:r>
      <w:r>
        <w:rPr>
          <w:rFonts w:ascii="宋体" w:hAnsi="宋体" w:cs="宋体" w:eastAsia="宋体" w:hint="default"/>
          <w:b/>
          <w:bCs/>
          <w:w w:val="99"/>
          <w:sz w:val="24"/>
          <w:szCs w:val="24"/>
        </w:rPr>
        <w:t> </w:t>
      </w:r>
      <w:r>
        <w:rPr>
          <w:rFonts w:ascii="宋体" w:hAnsi="宋体" w:cs="宋体" w:eastAsia="宋体" w:hint="default"/>
          <w:spacing w:val="-2"/>
          <w:sz w:val="24"/>
          <w:szCs w:val="24"/>
        </w:rPr>
        <w:t>当本集团租入的固定资产符合下列一项或数项标准时，确认为融资租入固定资产：</w:t>
      </w:r>
    </w:p>
    <w:p>
      <w:pPr>
        <w:pStyle w:val="BodyText"/>
        <w:spacing w:line="240" w:lineRule="auto" w:before="28"/>
        <w:ind w:left="698" w:right="113"/>
        <w:jc w:val="left"/>
      </w:pPr>
      <w:r>
        <w:rPr/>
        <w:t>①在租赁期届满时，租赁资产的所有权转移给本集团。</w:t>
      </w:r>
    </w:p>
    <w:p>
      <w:pPr>
        <w:pStyle w:val="BodyText"/>
        <w:spacing w:line="310" w:lineRule="exact" w:before="150"/>
        <w:ind w:left="218" w:right="353" w:firstLine="480"/>
        <w:jc w:val="both"/>
      </w:pPr>
      <w:r>
        <w:rPr>
          <w:spacing w:val="-2"/>
        </w:rPr>
        <w:t>②本集团有购买租赁资产的选择权，所订立的购买价款预计将远低于行使选择权</w:t>
      </w:r>
      <w:r>
        <w:rPr/>
        <w:t> </w:t>
      </w:r>
      <w:r>
        <w:rPr>
          <w:spacing w:val="-2"/>
        </w:rPr>
        <w:t>时租赁资产的公允价值，因而在租赁开始日就可以合理确定本集团将会行使这种选择</w:t>
      </w:r>
      <w:r>
        <w:rPr>
          <w:spacing w:val="-93"/>
        </w:rPr>
        <w:t> </w:t>
      </w:r>
      <w:r>
        <w:rPr>
          <w:spacing w:val="-93"/>
        </w:rPr>
      </w:r>
      <w:r>
        <w:rPr/>
        <w:t>权。</w:t>
      </w:r>
    </w:p>
    <w:p>
      <w:pPr>
        <w:pStyle w:val="BodyText"/>
        <w:spacing w:line="240" w:lineRule="auto" w:before="89"/>
        <w:ind w:left="698" w:right="113"/>
        <w:jc w:val="left"/>
      </w:pPr>
      <w:r>
        <w:rPr/>
        <w:t>③即使资产的所有权不转移，但租赁期占租赁资产使用寿命的大部分。</w:t>
      </w:r>
    </w:p>
    <w:p>
      <w:pPr>
        <w:pStyle w:val="BodyText"/>
        <w:spacing w:line="240" w:lineRule="auto" w:before="116"/>
        <w:ind w:left="218" w:right="353" w:firstLine="480"/>
        <w:jc w:val="both"/>
      </w:pPr>
      <w:r>
        <w:rPr>
          <w:spacing w:val="-2"/>
        </w:rPr>
        <w:t>④本集团在租赁开始日的最低租赁付款额现值，几乎相当于租赁开始日租赁资产</w:t>
      </w:r>
      <w:r>
        <w:rPr/>
        <w:t> 公允价值。</w:t>
      </w:r>
    </w:p>
    <w:p>
      <w:pPr>
        <w:pStyle w:val="BodyText"/>
        <w:spacing w:line="328" w:lineRule="auto" w:before="116"/>
        <w:ind w:left="698" w:right="113"/>
        <w:jc w:val="left"/>
      </w:pPr>
      <w:r>
        <w:rPr/>
        <w:t>⑤租赁资产性质特殊，如果不作较大改造，只有本集团才能使用。 </w:t>
      </w:r>
      <w:r>
        <w:rPr>
          <w:spacing w:val="-2"/>
        </w:rPr>
        <w:t>融资租赁租入的固定资产，按租赁开始日租赁资产公允价值与最低租赁付款额的</w:t>
      </w:r>
    </w:p>
    <w:p>
      <w:pPr>
        <w:pStyle w:val="BodyText"/>
        <w:spacing w:line="222" w:lineRule="exact"/>
        <w:ind w:left="218" w:right="113"/>
        <w:jc w:val="left"/>
      </w:pPr>
      <w:r>
        <w:rPr/>
        <w:t>现值两者中较低者，作为入账价值。最低租赁付款额作为长期应付款的入账价值，其</w:t>
      </w:r>
    </w:p>
    <w:p>
      <w:pPr>
        <w:pStyle w:val="BodyText"/>
        <w:spacing w:line="237" w:lineRule="auto" w:before="1"/>
        <w:ind w:left="218" w:right="354"/>
        <w:jc w:val="both"/>
      </w:pPr>
      <w:r>
        <w:rPr>
          <w:spacing w:val="-2"/>
        </w:rPr>
        <w:t>差额作为未确认融资费用。在租赁谈判和签订租赁合同过程中发生的，可归属于租赁</w:t>
      </w:r>
      <w:r>
        <w:rPr>
          <w:spacing w:val="-94"/>
        </w:rPr>
        <w:t> </w:t>
      </w:r>
      <w:r>
        <w:rPr>
          <w:spacing w:val="-94"/>
        </w:rPr>
      </w:r>
      <w:r>
        <w:rPr>
          <w:spacing w:val="-2"/>
        </w:rPr>
        <w:t>项目的手续费、律师费、差旅费、印花税等初始直接费用，计入租入资产价值。未确</w:t>
      </w:r>
      <w:r>
        <w:rPr>
          <w:spacing w:val="-96"/>
        </w:rPr>
        <w:t> </w:t>
      </w:r>
      <w:r>
        <w:rPr>
          <w:spacing w:val="-96"/>
        </w:rPr>
      </w:r>
      <w:r>
        <w:rPr/>
        <w:t>认融资费用在租赁期内各个期间采用实际利率法进行分摊。</w:t>
      </w:r>
    </w:p>
    <w:p>
      <w:pPr>
        <w:pStyle w:val="BodyText"/>
        <w:spacing w:line="237" w:lineRule="auto" w:before="120"/>
        <w:ind w:left="218" w:right="353" w:firstLine="480"/>
        <w:jc w:val="both"/>
      </w:pPr>
      <w:r>
        <w:rPr>
          <w:spacing w:val="-2"/>
        </w:rPr>
        <w:t>融资租入的固定资产采用与自有固定资产一致的政策计提租赁资产折旧。能够合</w:t>
      </w:r>
      <w:r>
        <w:rPr/>
        <w:t> </w:t>
      </w:r>
      <w:r>
        <w:rPr>
          <w:spacing w:val="-2"/>
        </w:rPr>
        <w:t>理确定租赁期届满时将会取得租赁资产所有权的，在租赁资产尚可使用年限内计提折</w:t>
      </w:r>
      <w:r>
        <w:rPr>
          <w:spacing w:val="-93"/>
        </w:rPr>
        <w:t> </w:t>
      </w:r>
      <w:r>
        <w:rPr>
          <w:spacing w:val="-93"/>
        </w:rPr>
      </w:r>
      <w:r>
        <w:rPr>
          <w:spacing w:val="-2"/>
        </w:rPr>
        <w:t>旧；无法合理确定租赁期届满时能够取得租赁资产所有权的，在租赁期与租赁资产尚</w:t>
      </w:r>
      <w:r>
        <w:rPr>
          <w:spacing w:val="-94"/>
        </w:rPr>
        <w:t> </w:t>
      </w:r>
      <w:r>
        <w:rPr>
          <w:spacing w:val="-94"/>
        </w:rPr>
      </w:r>
      <w:r>
        <w:rPr/>
        <w:t>可使用年限两者中较短的期间内计提折旧。</w:t>
      </w:r>
    </w:p>
    <w:p>
      <w:pPr>
        <w:pStyle w:val="Heading2"/>
        <w:tabs>
          <w:tab w:pos="1057" w:val="left" w:leader="none"/>
        </w:tabs>
        <w:spacing w:line="310" w:lineRule="exact" w:before="150"/>
        <w:ind w:left="642" w:right="354" w:hanging="425"/>
        <w:jc w:val="left"/>
        <w:rPr>
          <w:b w:val="0"/>
          <w:bCs w:val="0"/>
        </w:rPr>
      </w:pPr>
      <w:r>
        <w:rPr>
          <w:rFonts w:ascii="宋体" w:hAnsi="宋体" w:cs="宋体" w:eastAsia="宋体" w:hint="default"/>
          <w:w w:val="95"/>
        </w:rPr>
        <w:t>(5).</w:t>
        <w:tab/>
      </w:r>
      <w:r>
        <w:rPr/>
        <w:t>每年年度终了，本公司对固定资产的使用寿命、预计净残值和折旧方法进行</w:t>
      </w:r>
      <w:r>
        <w:rPr>
          <w:spacing w:val="-100"/>
        </w:rPr>
        <w:t> </w:t>
      </w:r>
      <w:r>
        <w:rPr>
          <w:spacing w:val="-100"/>
        </w:rPr>
      </w:r>
      <w:r>
        <w:rPr/>
        <w:t>复核</w:t>
      </w:r>
      <w:r>
        <w:rPr>
          <w:b w:val="0"/>
          <w:bCs w:val="0"/>
        </w:rPr>
      </w:r>
    </w:p>
    <w:p>
      <w:pPr>
        <w:pStyle w:val="BodyText"/>
        <w:spacing w:line="312" w:lineRule="exact" w:before="119"/>
        <w:ind w:left="218" w:right="354" w:firstLine="480"/>
        <w:jc w:val="both"/>
      </w:pPr>
      <w:r>
        <w:rPr>
          <w:spacing w:val="-2"/>
        </w:rPr>
        <w:t>使用寿命预计数与原先估计数有差异的，调整固定资产使用寿命；预计净残值预</w:t>
      </w:r>
      <w:r>
        <w:rPr/>
        <w:t> 计数与原先估计数有差异的，调整预计净残值。</w:t>
      </w:r>
    </w:p>
    <w:p>
      <w:pPr>
        <w:tabs>
          <w:tab w:pos="1057" w:val="left" w:leader="none"/>
        </w:tabs>
        <w:spacing w:line="331" w:lineRule="auto" w:before="88"/>
        <w:ind w:left="698" w:right="353" w:hanging="480"/>
        <w:jc w:val="left"/>
        <w:rPr>
          <w:rFonts w:ascii="宋体" w:hAnsi="宋体" w:cs="宋体" w:eastAsia="宋体" w:hint="default"/>
          <w:sz w:val="24"/>
          <w:szCs w:val="24"/>
        </w:rPr>
      </w:pPr>
      <w:r>
        <w:rPr>
          <w:rFonts w:ascii="宋体" w:hAnsi="宋体" w:cs="宋体" w:eastAsia="宋体" w:hint="default"/>
          <w:b/>
          <w:bCs/>
          <w:w w:val="95"/>
          <w:sz w:val="24"/>
          <w:szCs w:val="24"/>
        </w:rPr>
        <w:t>(6).</w:t>
        <w:tab/>
      </w:r>
      <w:r>
        <w:rPr>
          <w:rFonts w:ascii="宋体" w:hAnsi="宋体" w:cs="宋体" w:eastAsia="宋体" w:hint="default"/>
          <w:b/>
          <w:bCs/>
          <w:sz w:val="24"/>
          <w:szCs w:val="24"/>
        </w:rPr>
        <w:t>大修理费用</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本公司对固定资产进行定期检查发生的大修理费用，有确凿证据表明符合固定资</w:t>
      </w:r>
    </w:p>
    <w:p>
      <w:pPr>
        <w:pStyle w:val="BodyText"/>
        <w:spacing w:line="218" w:lineRule="exact"/>
        <w:ind w:left="218" w:right="113"/>
        <w:jc w:val="left"/>
      </w:pPr>
      <w:r>
        <w:rPr/>
        <w:t>产确认条件的部分，计入固定资产成本，不符合固定资产确认条件的计入当期损益。</w:t>
      </w:r>
    </w:p>
    <w:p>
      <w:pPr>
        <w:pStyle w:val="BodyText"/>
        <w:spacing w:line="312" w:lineRule="exact"/>
        <w:ind w:left="218" w:right="113"/>
        <w:jc w:val="left"/>
      </w:pPr>
      <w:r>
        <w:rPr/>
        <w:t>固定资产在定期大修理间隔期间，照提折旧。</w:t>
      </w:r>
    </w:p>
    <w:p>
      <w:pPr>
        <w:spacing w:after="0" w:line="312" w:lineRule="exact"/>
        <w:jc w:val="left"/>
        <w:sectPr>
          <w:pgSz w:w="11910" w:h="16840"/>
          <w:pgMar w:header="882" w:footer="1194" w:top="1120" w:bottom="1380" w:left="15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2"/>
        <w:spacing w:line="240" w:lineRule="auto"/>
        <w:ind w:left="138" w:right="0"/>
        <w:jc w:val="left"/>
        <w:rPr>
          <w:b w:val="0"/>
          <w:bCs w:val="0"/>
        </w:rPr>
      </w:pPr>
      <w:r>
        <w:rPr>
          <w:rFonts w:ascii="宋体" w:hAnsi="宋体" w:cs="宋体" w:eastAsia="宋体" w:hint="default"/>
        </w:rPr>
        <w:t>16.</w:t>
      </w:r>
      <w:r>
        <w:rPr>
          <w:rFonts w:ascii="宋体" w:hAnsi="宋体" w:cs="宋体" w:eastAsia="宋体" w:hint="default"/>
          <w:spacing w:val="-60"/>
        </w:rPr>
        <w:t> </w:t>
      </w:r>
      <w:r>
        <w:rPr/>
        <w:t>在建工程</w:t>
      </w:r>
      <w:r>
        <w:rPr>
          <w:b w:val="0"/>
          <w:bCs w:val="0"/>
        </w:rPr>
      </w:r>
    </w:p>
    <w:p>
      <w:pPr>
        <w:pStyle w:val="BodyText"/>
        <w:spacing w:line="312" w:lineRule="exact" w:before="148"/>
        <w:ind w:right="0" w:firstLine="480"/>
        <w:jc w:val="left"/>
      </w:pPr>
      <w:r>
        <w:rPr>
          <w:spacing w:val="-2"/>
        </w:rPr>
        <w:t>本集团在建工程成本按实际工程支出确定，包括在建期间发生的各项必要工程支</w:t>
      </w:r>
      <w:r>
        <w:rPr/>
        <w:t> 出、工程达到预定可使用状态前的应予资本化的借款费用以及其他相关费用等。</w:t>
      </w:r>
    </w:p>
    <w:p>
      <w:pPr>
        <w:pStyle w:val="BodyText"/>
        <w:spacing w:line="331" w:lineRule="auto" w:before="88"/>
        <w:ind w:left="618" w:right="3408"/>
        <w:jc w:val="left"/>
      </w:pPr>
      <w:r>
        <w:rPr/>
        <w:t>在建工程在达到预定可使用状态时转入固定资产。 在建工程计提资产减值方法见附注三、</w:t>
      </w:r>
      <w:r>
        <w:rPr>
          <w:rFonts w:ascii="宋体" w:hAnsi="宋体" w:cs="宋体" w:eastAsia="宋体" w:hint="default"/>
        </w:rPr>
        <w:t>21</w:t>
      </w:r>
      <w:r>
        <w:rPr/>
        <w:t>。</w:t>
      </w:r>
    </w:p>
    <w:p>
      <w:pPr>
        <w:spacing w:line="240" w:lineRule="auto" w:before="11"/>
        <w:rPr>
          <w:rFonts w:ascii="宋体" w:hAnsi="宋体" w:cs="宋体" w:eastAsia="宋体" w:hint="default"/>
          <w:sz w:val="34"/>
          <w:szCs w:val="34"/>
        </w:rPr>
      </w:pPr>
    </w:p>
    <w:p>
      <w:pPr>
        <w:pStyle w:val="Heading2"/>
        <w:spacing w:line="240" w:lineRule="auto" w:before="0"/>
        <w:ind w:left="138" w:right="0"/>
        <w:jc w:val="left"/>
        <w:rPr>
          <w:b w:val="0"/>
          <w:bCs w:val="0"/>
        </w:rPr>
      </w:pPr>
      <w:r>
        <w:rPr>
          <w:rFonts w:ascii="宋体" w:hAnsi="宋体" w:cs="宋体" w:eastAsia="宋体" w:hint="default"/>
        </w:rPr>
        <w:t>17.</w:t>
      </w:r>
      <w:r>
        <w:rPr>
          <w:rFonts w:ascii="宋体" w:hAnsi="宋体" w:cs="宋体" w:eastAsia="宋体" w:hint="default"/>
          <w:spacing w:val="-60"/>
        </w:rPr>
        <w:t> </w:t>
      </w:r>
      <w:r>
        <w:rPr/>
        <w:t>借款费用</w:t>
      </w:r>
      <w:r>
        <w:rPr>
          <w:b w:val="0"/>
          <w:bCs w:val="0"/>
        </w:rPr>
      </w:r>
    </w:p>
    <w:p>
      <w:pPr>
        <w:pStyle w:val="BodyText"/>
        <w:spacing w:line="328" w:lineRule="auto" w:before="118"/>
        <w:ind w:left="618" w:right="0" w:hanging="420"/>
        <w:jc w:val="left"/>
      </w:pPr>
      <w:r>
        <w:rPr/>
        <w:t>（</w:t>
      </w:r>
      <w:r>
        <w:rPr>
          <w:rFonts w:ascii="宋体" w:hAnsi="宋体" w:cs="宋体" w:eastAsia="宋体" w:hint="default"/>
        </w:rPr>
        <w:t>1</w:t>
      </w:r>
      <w:r>
        <w:rPr/>
        <w:t>）借款费用资本化的确认原则 </w:t>
      </w:r>
      <w:r>
        <w:rPr>
          <w:spacing w:val="-2"/>
        </w:rPr>
        <w:t>本集团发生的借款费用，可直接归属于符合资本化条件的资产的购建或者生产的，</w:t>
      </w:r>
    </w:p>
    <w:p>
      <w:pPr>
        <w:pStyle w:val="BodyText"/>
        <w:spacing w:line="222" w:lineRule="exact"/>
        <w:ind w:right="0"/>
        <w:jc w:val="left"/>
      </w:pPr>
      <w:r>
        <w:rPr>
          <w:spacing w:val="-8"/>
        </w:rPr>
        <w:t>予以资本化，计入相关资产成本；其他借款费用，在发生时根据其发生额确认为费用，</w:t>
      </w:r>
    </w:p>
    <w:p>
      <w:pPr>
        <w:pStyle w:val="BodyText"/>
        <w:spacing w:line="312" w:lineRule="exact"/>
        <w:ind w:right="0"/>
        <w:jc w:val="left"/>
      </w:pPr>
      <w:r>
        <w:rPr/>
        <w:t>计入当期损益。借款费用同时满足下列条件的，开始资本化：</w:t>
      </w:r>
    </w:p>
    <w:p>
      <w:pPr>
        <w:pStyle w:val="BodyText"/>
        <w:spacing w:line="312" w:lineRule="exact" w:before="147"/>
        <w:ind w:right="0" w:firstLine="480"/>
        <w:jc w:val="left"/>
      </w:pPr>
      <w:r>
        <w:rPr>
          <w:spacing w:val="-2"/>
        </w:rPr>
        <w:t>①资产支出已经发生，资产支出包括为购建或者生产符合资本化条件的资产而以</w:t>
      </w:r>
      <w:r>
        <w:rPr/>
        <w:t> 支付现金、转移非现金资产或者承担带息债务形式发生的支出；</w:t>
      </w:r>
    </w:p>
    <w:p>
      <w:pPr>
        <w:pStyle w:val="BodyText"/>
        <w:spacing w:line="240" w:lineRule="auto" w:before="88"/>
        <w:ind w:left="618" w:right="0"/>
        <w:jc w:val="left"/>
      </w:pPr>
      <w:r>
        <w:rPr/>
        <w:t>②借款费用已经发生；</w:t>
      </w:r>
    </w:p>
    <w:p>
      <w:pPr>
        <w:pStyle w:val="BodyText"/>
        <w:spacing w:line="312" w:lineRule="exact" w:before="147"/>
        <w:ind w:right="528" w:firstLine="480"/>
        <w:jc w:val="left"/>
      </w:pPr>
      <w:r>
        <w:rPr/>
        <w:t>③为使资产达到预定可使用或者可销售状态所必要的购建或者生产活动已经开 始。</w:t>
      </w:r>
    </w:p>
    <w:p>
      <w:pPr>
        <w:pStyle w:val="BodyText"/>
        <w:spacing w:line="240" w:lineRule="auto" w:before="88"/>
        <w:ind w:left="198" w:right="0"/>
        <w:jc w:val="left"/>
      </w:pPr>
      <w:r>
        <w:rPr/>
        <w:t>（</w:t>
      </w:r>
      <w:r>
        <w:rPr>
          <w:rFonts w:ascii="宋体" w:hAnsi="宋体" w:cs="宋体" w:eastAsia="宋体" w:hint="default"/>
        </w:rPr>
        <w:t>2</w:t>
      </w:r>
      <w:r>
        <w:rPr/>
        <w:t>）借款费用资本化期间</w:t>
      </w:r>
    </w:p>
    <w:p>
      <w:pPr>
        <w:pStyle w:val="BodyText"/>
        <w:spacing w:line="310" w:lineRule="exact" w:before="150"/>
        <w:ind w:right="0" w:firstLine="480"/>
        <w:jc w:val="left"/>
      </w:pPr>
      <w:r>
        <w:rPr/>
        <w:t>本集团购建或者生产符合资本化条件的资产达到预定可使用或者可销售状态时，</w:t>
      </w:r>
      <w:r>
        <w:rPr>
          <w:spacing w:val="2"/>
        </w:rPr>
        <w:t> </w:t>
      </w:r>
      <w:r>
        <w:rPr/>
        <w:t>借款费用停止资本化。在符合资本化条件的资产达到预定可使用或者可销售状态之后</w:t>
      </w:r>
      <w:r>
        <w:rPr/>
        <w:t> 所发生的借款费用，在发生时根据其发生额确认为费用，计入当期损益。</w:t>
      </w:r>
    </w:p>
    <w:p>
      <w:pPr>
        <w:pStyle w:val="BodyText"/>
        <w:spacing w:line="310" w:lineRule="exact" w:before="122"/>
        <w:ind w:right="0" w:firstLine="480"/>
        <w:jc w:val="left"/>
      </w:pPr>
      <w:r>
        <w:rPr>
          <w:spacing w:val="-2"/>
        </w:rPr>
        <w:t>符合资本化条件的资产在购建或者生产过程中发生非正常中断、且中断时间连续</w:t>
      </w:r>
      <w:r>
        <w:rPr/>
        <w:t> 超过</w:t>
      </w:r>
      <w:r>
        <w:rPr>
          <w:spacing w:val="-60"/>
        </w:rPr>
        <w:t> </w:t>
      </w:r>
      <w:r>
        <w:rPr>
          <w:rFonts w:ascii="宋体" w:hAnsi="宋体" w:cs="宋体" w:eastAsia="宋体" w:hint="default"/>
        </w:rPr>
        <w:t>3</w:t>
      </w:r>
      <w:r>
        <w:rPr>
          <w:rFonts w:ascii="宋体" w:hAnsi="宋体" w:cs="宋体" w:eastAsia="宋体" w:hint="default"/>
          <w:spacing w:val="-60"/>
        </w:rPr>
        <w:t> </w:t>
      </w:r>
      <w:r>
        <w:rPr/>
        <w:t>个月的，暂停借款费用的资本化；正常中断期间的借款费用继续资本化。</w:t>
      </w:r>
    </w:p>
    <w:p>
      <w:pPr>
        <w:pStyle w:val="BodyText"/>
        <w:spacing w:line="331" w:lineRule="auto" w:before="88"/>
        <w:ind w:left="618" w:right="0" w:hanging="420"/>
        <w:jc w:val="left"/>
      </w:pPr>
      <w:r>
        <w:rPr/>
        <w:t>（</w:t>
      </w:r>
      <w:r>
        <w:rPr>
          <w:rFonts w:ascii="宋体" w:hAnsi="宋体" w:cs="宋体" w:eastAsia="宋体" w:hint="default"/>
        </w:rPr>
        <w:t>3</w:t>
      </w:r>
      <w:r>
        <w:rPr/>
        <w:t>）借款费用资本化率以及资本化金额的计算方法 </w:t>
      </w:r>
      <w:r>
        <w:rPr>
          <w:spacing w:val="-2"/>
        </w:rPr>
        <w:t>专门借款当期实际发生的利息费用，减去尚未动用的借款资金存入银行取得的利</w:t>
      </w:r>
    </w:p>
    <w:p>
      <w:pPr>
        <w:pStyle w:val="BodyText"/>
        <w:spacing w:line="219" w:lineRule="exact"/>
        <w:ind w:right="0"/>
        <w:jc w:val="left"/>
      </w:pPr>
      <w:r>
        <w:rPr/>
        <w:t>息收入或进行暂时性投资取得的投资收益后的金额予以资本化；一般借款根据累计资</w:t>
      </w:r>
    </w:p>
    <w:p>
      <w:pPr>
        <w:pStyle w:val="BodyText"/>
        <w:spacing w:line="310" w:lineRule="exact" w:before="31"/>
        <w:ind w:right="0"/>
        <w:jc w:val="left"/>
      </w:pPr>
      <w:r>
        <w:rPr>
          <w:spacing w:val="-2"/>
        </w:rPr>
        <w:t>产支出超过专门借款部分的资产支出加权平均数乘以所占用一般借款的资本化率，确</w:t>
      </w:r>
      <w:r>
        <w:rPr>
          <w:spacing w:val="-93"/>
        </w:rPr>
        <w:t> </w:t>
      </w:r>
      <w:r>
        <w:rPr>
          <w:spacing w:val="-93"/>
        </w:rPr>
      </w:r>
      <w:r>
        <w:rPr/>
        <w:t>定资本化金额。资本化率根据一般借款的加权平均利率计算确定。</w:t>
      </w:r>
    </w:p>
    <w:p>
      <w:pPr>
        <w:pStyle w:val="BodyText"/>
        <w:spacing w:line="312" w:lineRule="exact" w:before="119"/>
        <w:ind w:right="0" w:firstLine="480"/>
        <w:jc w:val="left"/>
      </w:pPr>
      <w:r>
        <w:rPr>
          <w:spacing w:val="-2"/>
        </w:rPr>
        <w:t>资本化期间内，外币专门借款的汇兑差额全部予以资本化；外币一般借款的汇兑</w:t>
      </w:r>
      <w:r>
        <w:rPr/>
        <w:t> 差额计入当期损益。</w:t>
      </w:r>
    </w:p>
    <w:p>
      <w:pPr>
        <w:spacing w:line="240" w:lineRule="auto" w:before="0"/>
        <w:rPr>
          <w:rFonts w:ascii="宋体" w:hAnsi="宋体" w:cs="宋体" w:eastAsia="宋体" w:hint="default"/>
          <w:sz w:val="24"/>
          <w:szCs w:val="24"/>
        </w:rPr>
      </w:pPr>
    </w:p>
    <w:p>
      <w:pPr>
        <w:pStyle w:val="Heading2"/>
        <w:spacing w:line="240" w:lineRule="auto" w:before="205"/>
        <w:ind w:left="138" w:right="0"/>
        <w:jc w:val="left"/>
        <w:rPr>
          <w:b w:val="0"/>
          <w:bCs w:val="0"/>
        </w:rPr>
      </w:pPr>
      <w:r>
        <w:rPr>
          <w:rFonts w:ascii="宋体" w:hAnsi="宋体" w:cs="宋体" w:eastAsia="宋体" w:hint="default"/>
        </w:rPr>
        <w:t>18.</w:t>
      </w:r>
      <w:r>
        <w:rPr>
          <w:rFonts w:ascii="宋体" w:hAnsi="宋体" w:cs="宋体" w:eastAsia="宋体" w:hint="default"/>
          <w:spacing w:val="-60"/>
        </w:rPr>
        <w:t> </w:t>
      </w:r>
      <w:r>
        <w:rPr/>
        <w:t>无形资产</w:t>
      </w:r>
      <w:r>
        <w:rPr>
          <w:b w:val="0"/>
          <w:bCs w:val="0"/>
        </w:rPr>
      </w:r>
    </w:p>
    <w:p>
      <w:pPr>
        <w:pStyle w:val="Heading2"/>
        <w:tabs>
          <w:tab w:pos="988" w:val="left" w:leader="none"/>
        </w:tabs>
        <w:spacing w:line="240" w:lineRule="auto" w:before="118"/>
        <w:ind w:left="138" w:right="0"/>
        <w:jc w:val="left"/>
        <w:rPr>
          <w:b w:val="0"/>
          <w:bCs w:val="0"/>
        </w:rPr>
      </w:pPr>
      <w:r>
        <w:rPr>
          <w:rFonts w:ascii="宋体" w:hAnsi="宋体" w:cs="宋体" w:eastAsia="宋体" w:hint="default"/>
          <w:w w:val="95"/>
        </w:rPr>
        <w:t>(1).</w:t>
        <w:tab/>
      </w:r>
      <w:r>
        <w:rPr/>
        <w:t>计价方法、使用寿命、减值测试</w:t>
      </w:r>
      <w:r>
        <w:rPr>
          <w:b w:val="0"/>
          <w:bCs w:val="0"/>
        </w:rPr>
      </w:r>
    </w:p>
    <w:p>
      <w:pPr>
        <w:pStyle w:val="BodyText"/>
        <w:spacing w:line="331" w:lineRule="auto" w:before="116"/>
        <w:ind w:left="618" w:right="0"/>
        <w:jc w:val="left"/>
      </w:pPr>
      <w:r>
        <w:rPr/>
        <w:t>本集团无形资产包括</w:t>
      </w:r>
      <w:r>
        <w:rPr>
          <w:spacing w:val="-60"/>
        </w:rPr>
        <w:t> </w:t>
      </w:r>
      <w:r>
        <w:rPr>
          <w:rFonts w:ascii="宋体" w:hAnsi="宋体" w:cs="宋体" w:eastAsia="宋体" w:hint="default"/>
        </w:rPr>
        <w:t>UCWEB</w:t>
      </w:r>
      <w:r>
        <w:rPr>
          <w:rFonts w:ascii="宋体" w:hAnsi="宋体" w:cs="宋体" w:eastAsia="宋体" w:hint="default"/>
          <w:spacing w:val="-60"/>
        </w:rPr>
        <w:t> </w:t>
      </w:r>
      <w:r>
        <w:rPr/>
        <w:t>软件、自有软件、土地使用权、其他软件。 </w:t>
      </w:r>
      <w:r>
        <w:rPr>
          <w:spacing w:val="-2"/>
        </w:rPr>
        <w:t>无形资产按照成本进行初始计量，并于取得无形资产时分析判断其使用寿命。使</w:t>
      </w:r>
    </w:p>
    <w:p>
      <w:pPr>
        <w:pStyle w:val="BodyText"/>
        <w:spacing w:line="220" w:lineRule="exact"/>
        <w:ind w:right="0"/>
        <w:jc w:val="left"/>
      </w:pPr>
      <w:r>
        <w:rPr/>
        <w:t>用寿命为有限的，自无形资产可供使用时起，采用能反映与该资产有关的经济利益的</w:t>
      </w:r>
    </w:p>
    <w:p>
      <w:pPr>
        <w:spacing w:after="0" w:line="220" w:lineRule="exact"/>
        <w:jc w:val="left"/>
        <w:sectPr>
          <w:pgSz w:w="11910" w:h="16840"/>
          <w:pgMar w:header="882" w:footer="1194" w:top="1120" w:bottom="1380" w:left="1660" w:right="920"/>
        </w:sectPr>
      </w:pPr>
    </w:p>
    <w:p>
      <w:pPr>
        <w:spacing w:line="240" w:lineRule="auto" w:before="9"/>
        <w:rPr>
          <w:rFonts w:ascii="宋体" w:hAnsi="宋体" w:cs="宋体" w:eastAsia="宋体" w:hint="default"/>
          <w:sz w:val="25"/>
          <w:szCs w:val="25"/>
        </w:rPr>
      </w:pPr>
    </w:p>
    <w:p>
      <w:pPr>
        <w:pStyle w:val="BodyText"/>
        <w:spacing w:line="310" w:lineRule="exact" w:before="58"/>
        <w:ind w:left="218" w:right="101"/>
        <w:jc w:val="left"/>
      </w:pPr>
      <w:r>
        <w:rPr/>
        <w:t>预期实现方式的摊销方法，在预计使用年限内摊销；无法可靠确定预期实现方式的，</w:t>
      </w:r>
      <w:r>
        <w:rPr>
          <w:spacing w:val="-57"/>
        </w:rPr>
        <w:t> </w:t>
      </w:r>
      <w:r>
        <w:rPr>
          <w:spacing w:val="-57"/>
        </w:rPr>
      </w:r>
      <w:r>
        <w:rPr/>
        <w:t>采用直线法摊销；使用寿命不确定的无形资产，不作摊销。</w:t>
      </w:r>
    </w:p>
    <w:p>
      <w:pPr>
        <w:pStyle w:val="BodyText"/>
        <w:spacing w:line="240" w:lineRule="auto" w:before="89"/>
        <w:ind w:left="698" w:right="101"/>
        <w:jc w:val="left"/>
      </w:pPr>
      <w:r>
        <w:rPr/>
        <w:t>使用寿命有限的无形资产摊销方法如下：</w:t>
      </w:r>
    </w:p>
    <w:p>
      <w:pPr>
        <w:spacing w:line="240" w:lineRule="auto" w:before="12"/>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3201"/>
        <w:gridCol w:w="3699"/>
        <w:gridCol w:w="2149"/>
      </w:tblGrid>
      <w:tr>
        <w:trPr>
          <w:trHeight w:val="358" w:hRule="exact"/>
        </w:trPr>
        <w:tc>
          <w:tcPr>
            <w:tcW w:w="3201" w:type="dxa"/>
            <w:tcBorders>
              <w:top w:val="single" w:sz="8" w:space="0" w:color="000000"/>
              <w:left w:val="nil" w:sz="6" w:space="0" w:color="auto"/>
              <w:bottom w:val="single" w:sz="6" w:space="0" w:color="000000"/>
              <w:right w:val="nil" w:sz="6" w:space="0" w:color="auto"/>
            </w:tcBorders>
          </w:tcPr>
          <w:p>
            <w:pPr>
              <w:pStyle w:val="TableParagraph"/>
              <w:spacing w:line="291" w:lineRule="exact"/>
              <w:ind w:left="108" w:right="0"/>
              <w:jc w:val="left"/>
              <w:rPr>
                <w:rFonts w:ascii="宋体" w:hAnsi="宋体" w:cs="宋体" w:eastAsia="宋体" w:hint="default"/>
                <w:sz w:val="24"/>
                <w:szCs w:val="24"/>
              </w:rPr>
            </w:pPr>
            <w:r>
              <w:rPr>
                <w:rFonts w:ascii="宋体" w:hAnsi="宋体" w:cs="宋体" w:eastAsia="宋体" w:hint="default"/>
                <w:b/>
                <w:bCs/>
                <w:sz w:val="24"/>
                <w:szCs w:val="24"/>
              </w:rPr>
              <w:t>类别</w:t>
            </w:r>
            <w:r>
              <w:rPr>
                <w:rFonts w:ascii="宋体" w:hAnsi="宋体" w:cs="宋体" w:eastAsia="宋体" w:hint="default"/>
                <w:sz w:val="24"/>
                <w:szCs w:val="24"/>
              </w:rPr>
            </w:r>
          </w:p>
        </w:tc>
        <w:tc>
          <w:tcPr>
            <w:tcW w:w="3699" w:type="dxa"/>
            <w:tcBorders>
              <w:top w:val="single" w:sz="8" w:space="0" w:color="000000"/>
              <w:left w:val="nil" w:sz="6" w:space="0" w:color="auto"/>
              <w:bottom w:val="single" w:sz="6" w:space="0" w:color="000000"/>
              <w:right w:val="nil" w:sz="6" w:space="0" w:color="auto"/>
            </w:tcBorders>
          </w:tcPr>
          <w:p>
            <w:pPr>
              <w:pStyle w:val="TableParagraph"/>
              <w:spacing w:line="291" w:lineRule="exact"/>
              <w:ind w:right="839"/>
              <w:jc w:val="right"/>
              <w:rPr>
                <w:rFonts w:ascii="宋体" w:hAnsi="宋体" w:cs="宋体" w:eastAsia="宋体" w:hint="default"/>
                <w:sz w:val="24"/>
                <w:szCs w:val="24"/>
              </w:rPr>
            </w:pPr>
            <w:r>
              <w:rPr>
                <w:rFonts w:ascii="宋体" w:hAnsi="宋体" w:cs="宋体" w:eastAsia="宋体" w:hint="default"/>
                <w:b/>
                <w:bCs/>
                <w:sz w:val="24"/>
                <w:szCs w:val="24"/>
              </w:rPr>
              <w:t>使用寿命</w:t>
            </w:r>
            <w:r>
              <w:rPr>
                <w:rFonts w:ascii="宋体" w:hAnsi="宋体" w:cs="宋体" w:eastAsia="宋体" w:hint="default"/>
                <w:sz w:val="24"/>
                <w:szCs w:val="24"/>
              </w:rPr>
            </w:r>
          </w:p>
        </w:tc>
        <w:tc>
          <w:tcPr>
            <w:tcW w:w="2149" w:type="dxa"/>
            <w:tcBorders>
              <w:top w:val="single" w:sz="8" w:space="0" w:color="000000"/>
              <w:left w:val="nil" w:sz="6" w:space="0" w:color="auto"/>
              <w:bottom w:val="single" w:sz="6" w:space="0" w:color="000000"/>
              <w:right w:val="nil" w:sz="6" w:space="0" w:color="auto"/>
            </w:tcBorders>
          </w:tcPr>
          <w:p>
            <w:pPr>
              <w:pStyle w:val="TableParagraph"/>
              <w:spacing w:line="291" w:lineRule="exact"/>
              <w:ind w:right="104"/>
              <w:jc w:val="right"/>
              <w:rPr>
                <w:rFonts w:ascii="宋体" w:hAnsi="宋体" w:cs="宋体" w:eastAsia="宋体" w:hint="default"/>
                <w:sz w:val="24"/>
                <w:szCs w:val="24"/>
              </w:rPr>
            </w:pPr>
            <w:r>
              <w:rPr>
                <w:rFonts w:ascii="宋体" w:hAnsi="宋体" w:cs="宋体" w:eastAsia="宋体" w:hint="default"/>
                <w:b/>
                <w:bCs/>
                <w:sz w:val="24"/>
                <w:szCs w:val="24"/>
              </w:rPr>
              <w:t>摊销方法</w:t>
            </w:r>
            <w:r>
              <w:rPr>
                <w:rFonts w:ascii="宋体" w:hAnsi="宋体" w:cs="宋体" w:eastAsia="宋体" w:hint="default"/>
                <w:sz w:val="24"/>
                <w:szCs w:val="24"/>
              </w:rPr>
            </w:r>
          </w:p>
        </w:tc>
      </w:tr>
      <w:tr>
        <w:trPr>
          <w:trHeight w:val="347" w:hRule="exact"/>
        </w:trPr>
        <w:tc>
          <w:tcPr>
            <w:tcW w:w="3201" w:type="dxa"/>
            <w:tcBorders>
              <w:top w:val="single" w:sz="6" w:space="0" w:color="000000"/>
              <w:left w:val="nil" w:sz="6" w:space="0" w:color="auto"/>
              <w:bottom w:val="nil" w:sz="6" w:space="0" w:color="auto"/>
              <w:right w:val="nil" w:sz="6" w:space="0" w:color="auto"/>
            </w:tcBorders>
          </w:tcPr>
          <w:p>
            <w:pPr>
              <w:pStyle w:val="TableParagraph"/>
              <w:spacing w:line="289" w:lineRule="exact"/>
              <w:ind w:left="108" w:right="0"/>
              <w:jc w:val="left"/>
              <w:rPr>
                <w:rFonts w:ascii="宋体" w:hAnsi="宋体" w:cs="宋体" w:eastAsia="宋体" w:hint="default"/>
                <w:sz w:val="24"/>
                <w:szCs w:val="24"/>
              </w:rPr>
            </w:pPr>
            <w:r>
              <w:rPr>
                <w:rFonts w:ascii="宋体" w:hAnsi="宋体" w:cs="宋体" w:eastAsia="宋体" w:hint="default"/>
                <w:sz w:val="24"/>
                <w:szCs w:val="24"/>
              </w:rPr>
              <w:t>UCWEB</w:t>
            </w:r>
            <w:r>
              <w:rPr>
                <w:rFonts w:ascii="宋体" w:hAnsi="宋体" w:cs="宋体" w:eastAsia="宋体" w:hint="default"/>
                <w:spacing w:val="-60"/>
                <w:sz w:val="24"/>
                <w:szCs w:val="24"/>
              </w:rPr>
              <w:t> </w:t>
            </w:r>
            <w:r>
              <w:rPr>
                <w:rFonts w:ascii="宋体" w:hAnsi="宋体" w:cs="宋体" w:eastAsia="宋体" w:hint="default"/>
                <w:sz w:val="24"/>
                <w:szCs w:val="24"/>
              </w:rPr>
              <w:t>软件</w:t>
            </w:r>
          </w:p>
        </w:tc>
        <w:tc>
          <w:tcPr>
            <w:tcW w:w="3699" w:type="dxa"/>
            <w:tcBorders>
              <w:top w:val="single" w:sz="6" w:space="0" w:color="000000"/>
              <w:left w:val="nil" w:sz="6" w:space="0" w:color="auto"/>
              <w:bottom w:val="nil" w:sz="6" w:space="0" w:color="auto"/>
              <w:right w:val="nil" w:sz="6" w:space="0" w:color="auto"/>
            </w:tcBorders>
          </w:tcPr>
          <w:p>
            <w:pPr>
              <w:pStyle w:val="TableParagraph"/>
              <w:spacing w:line="289" w:lineRule="exact"/>
              <w:ind w:right="840"/>
              <w:jc w:val="righ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149" w:type="dxa"/>
            <w:tcBorders>
              <w:top w:val="single" w:sz="6" w:space="0" w:color="000000"/>
              <w:left w:val="nil" w:sz="6" w:space="0" w:color="auto"/>
              <w:bottom w:val="nil" w:sz="6" w:space="0" w:color="auto"/>
              <w:right w:val="nil" w:sz="6" w:space="0" w:color="auto"/>
            </w:tcBorders>
          </w:tcPr>
          <w:p>
            <w:pPr>
              <w:pStyle w:val="TableParagraph"/>
              <w:spacing w:line="289" w:lineRule="exact"/>
              <w:ind w:right="107"/>
              <w:jc w:val="right"/>
              <w:rPr>
                <w:rFonts w:ascii="宋体" w:hAnsi="宋体" w:cs="宋体" w:eastAsia="宋体" w:hint="default"/>
                <w:sz w:val="24"/>
                <w:szCs w:val="24"/>
              </w:rPr>
            </w:pPr>
            <w:r>
              <w:rPr>
                <w:rFonts w:ascii="宋体" w:hAnsi="宋体" w:cs="宋体" w:eastAsia="宋体" w:hint="default"/>
                <w:sz w:val="24"/>
                <w:szCs w:val="24"/>
              </w:rPr>
              <w:t>直线法摊销</w:t>
            </w:r>
          </w:p>
        </w:tc>
      </w:tr>
      <w:tr>
        <w:trPr>
          <w:trHeight w:val="340" w:hRule="exact"/>
        </w:trPr>
        <w:tc>
          <w:tcPr>
            <w:tcW w:w="3201" w:type="dxa"/>
            <w:tcBorders>
              <w:top w:val="nil" w:sz="6" w:space="0" w:color="auto"/>
              <w:left w:val="nil" w:sz="6" w:space="0" w:color="auto"/>
              <w:bottom w:val="nil" w:sz="6" w:space="0" w:color="auto"/>
              <w:right w:val="nil" w:sz="6" w:space="0" w:color="auto"/>
            </w:tcBorders>
          </w:tcPr>
          <w:p>
            <w:pPr>
              <w:pStyle w:val="TableParagraph"/>
              <w:spacing w:line="290" w:lineRule="exact"/>
              <w:ind w:left="108" w:right="0"/>
              <w:jc w:val="left"/>
              <w:rPr>
                <w:rFonts w:ascii="宋体" w:hAnsi="宋体" w:cs="宋体" w:eastAsia="宋体" w:hint="default"/>
                <w:sz w:val="24"/>
                <w:szCs w:val="24"/>
              </w:rPr>
            </w:pPr>
            <w:r>
              <w:rPr>
                <w:rFonts w:ascii="宋体" w:hAnsi="宋体" w:cs="宋体" w:eastAsia="宋体" w:hint="default"/>
                <w:sz w:val="24"/>
                <w:szCs w:val="24"/>
              </w:rPr>
              <w:t>其他软件</w:t>
            </w:r>
          </w:p>
        </w:tc>
        <w:tc>
          <w:tcPr>
            <w:tcW w:w="3699" w:type="dxa"/>
            <w:tcBorders>
              <w:top w:val="nil" w:sz="6" w:space="0" w:color="auto"/>
              <w:left w:val="nil" w:sz="6" w:space="0" w:color="auto"/>
              <w:bottom w:val="nil" w:sz="6" w:space="0" w:color="auto"/>
              <w:right w:val="nil" w:sz="6" w:space="0" w:color="auto"/>
            </w:tcBorders>
          </w:tcPr>
          <w:p>
            <w:pPr>
              <w:pStyle w:val="TableParagraph"/>
              <w:spacing w:line="290" w:lineRule="exact"/>
              <w:ind w:right="840"/>
              <w:jc w:val="righ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149" w:type="dxa"/>
            <w:tcBorders>
              <w:top w:val="nil" w:sz="6" w:space="0" w:color="auto"/>
              <w:left w:val="nil" w:sz="6" w:space="0" w:color="auto"/>
              <w:bottom w:val="nil" w:sz="6" w:space="0" w:color="auto"/>
              <w:right w:val="nil" w:sz="6" w:space="0" w:color="auto"/>
            </w:tcBorders>
          </w:tcPr>
          <w:p>
            <w:pPr>
              <w:pStyle w:val="TableParagraph"/>
              <w:spacing w:line="290" w:lineRule="exact"/>
              <w:ind w:right="107"/>
              <w:jc w:val="right"/>
              <w:rPr>
                <w:rFonts w:ascii="宋体" w:hAnsi="宋体" w:cs="宋体" w:eastAsia="宋体" w:hint="default"/>
                <w:sz w:val="24"/>
                <w:szCs w:val="24"/>
              </w:rPr>
            </w:pPr>
            <w:r>
              <w:rPr>
                <w:rFonts w:ascii="宋体" w:hAnsi="宋体" w:cs="宋体" w:eastAsia="宋体" w:hint="default"/>
                <w:sz w:val="24"/>
                <w:szCs w:val="24"/>
              </w:rPr>
              <w:t>直线法摊销</w:t>
            </w:r>
          </w:p>
        </w:tc>
      </w:tr>
      <w:tr>
        <w:trPr>
          <w:trHeight w:val="340" w:hRule="exact"/>
        </w:trPr>
        <w:tc>
          <w:tcPr>
            <w:tcW w:w="3201" w:type="dxa"/>
            <w:tcBorders>
              <w:top w:val="nil" w:sz="6" w:space="0" w:color="auto"/>
              <w:left w:val="nil" w:sz="6" w:space="0" w:color="auto"/>
              <w:bottom w:val="nil" w:sz="6" w:space="0" w:color="auto"/>
              <w:right w:val="nil" w:sz="6" w:space="0" w:color="auto"/>
            </w:tcBorders>
          </w:tcPr>
          <w:p>
            <w:pPr>
              <w:pStyle w:val="TableParagraph"/>
              <w:spacing w:line="290" w:lineRule="exact"/>
              <w:ind w:left="108" w:right="0"/>
              <w:jc w:val="left"/>
              <w:rPr>
                <w:rFonts w:ascii="宋体" w:hAnsi="宋体" w:cs="宋体" w:eastAsia="宋体" w:hint="default"/>
                <w:sz w:val="24"/>
                <w:szCs w:val="24"/>
              </w:rPr>
            </w:pPr>
            <w:r>
              <w:rPr>
                <w:rFonts w:ascii="宋体" w:hAnsi="宋体" w:cs="宋体" w:eastAsia="宋体" w:hint="default"/>
                <w:sz w:val="24"/>
                <w:szCs w:val="24"/>
              </w:rPr>
              <w:t>土地使用权</w:t>
            </w:r>
          </w:p>
        </w:tc>
        <w:tc>
          <w:tcPr>
            <w:tcW w:w="3699" w:type="dxa"/>
            <w:tcBorders>
              <w:top w:val="nil" w:sz="6" w:space="0" w:color="auto"/>
              <w:left w:val="nil" w:sz="6" w:space="0" w:color="auto"/>
              <w:bottom w:val="nil" w:sz="6" w:space="0" w:color="auto"/>
              <w:right w:val="nil" w:sz="6" w:space="0" w:color="auto"/>
            </w:tcBorders>
          </w:tcPr>
          <w:p>
            <w:pPr>
              <w:pStyle w:val="TableParagraph"/>
              <w:spacing w:line="290" w:lineRule="exact"/>
              <w:ind w:right="840"/>
              <w:jc w:val="right"/>
              <w:rPr>
                <w:rFonts w:ascii="宋体" w:hAnsi="宋体" w:cs="宋体" w:eastAsia="宋体" w:hint="default"/>
                <w:sz w:val="24"/>
                <w:szCs w:val="24"/>
              </w:rPr>
            </w:pPr>
            <w:r>
              <w:rPr>
                <w:rFonts w:ascii="宋体" w:hAnsi="宋体" w:cs="宋体" w:eastAsia="宋体" w:hint="default"/>
                <w:sz w:val="24"/>
                <w:szCs w:val="24"/>
              </w:rPr>
              <w:t>50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149" w:type="dxa"/>
            <w:tcBorders>
              <w:top w:val="nil" w:sz="6" w:space="0" w:color="auto"/>
              <w:left w:val="nil" w:sz="6" w:space="0" w:color="auto"/>
              <w:bottom w:val="nil" w:sz="6" w:space="0" w:color="auto"/>
              <w:right w:val="nil" w:sz="6" w:space="0" w:color="auto"/>
            </w:tcBorders>
          </w:tcPr>
          <w:p>
            <w:pPr>
              <w:pStyle w:val="TableParagraph"/>
              <w:spacing w:line="290" w:lineRule="exact"/>
              <w:ind w:right="107"/>
              <w:jc w:val="right"/>
              <w:rPr>
                <w:rFonts w:ascii="宋体" w:hAnsi="宋体" w:cs="宋体" w:eastAsia="宋体" w:hint="default"/>
                <w:sz w:val="24"/>
                <w:szCs w:val="24"/>
              </w:rPr>
            </w:pPr>
            <w:r>
              <w:rPr>
                <w:rFonts w:ascii="宋体" w:hAnsi="宋体" w:cs="宋体" w:eastAsia="宋体" w:hint="default"/>
                <w:sz w:val="24"/>
                <w:szCs w:val="24"/>
              </w:rPr>
              <w:t>直线法摊销</w:t>
            </w:r>
          </w:p>
        </w:tc>
      </w:tr>
      <w:tr>
        <w:trPr>
          <w:trHeight w:val="351" w:hRule="exact"/>
        </w:trPr>
        <w:tc>
          <w:tcPr>
            <w:tcW w:w="3201" w:type="dxa"/>
            <w:tcBorders>
              <w:top w:val="nil" w:sz="6" w:space="0" w:color="auto"/>
              <w:left w:val="nil" w:sz="6" w:space="0" w:color="auto"/>
              <w:bottom w:val="single" w:sz="8" w:space="0" w:color="000000"/>
              <w:right w:val="nil" w:sz="6" w:space="0" w:color="auto"/>
            </w:tcBorders>
          </w:tcPr>
          <w:p>
            <w:pPr>
              <w:pStyle w:val="TableParagraph"/>
              <w:spacing w:line="290" w:lineRule="exact"/>
              <w:ind w:left="108" w:right="0"/>
              <w:jc w:val="left"/>
              <w:rPr>
                <w:rFonts w:ascii="宋体" w:hAnsi="宋体" w:cs="宋体" w:eastAsia="宋体" w:hint="default"/>
                <w:sz w:val="24"/>
                <w:szCs w:val="24"/>
              </w:rPr>
            </w:pPr>
            <w:r>
              <w:rPr>
                <w:rFonts w:ascii="宋体" w:hAnsi="宋体" w:cs="宋体" w:eastAsia="宋体" w:hint="default"/>
                <w:sz w:val="24"/>
                <w:szCs w:val="24"/>
              </w:rPr>
              <w:t>自有软件</w:t>
            </w:r>
          </w:p>
        </w:tc>
        <w:tc>
          <w:tcPr>
            <w:tcW w:w="3699" w:type="dxa"/>
            <w:tcBorders>
              <w:top w:val="nil" w:sz="6" w:space="0" w:color="auto"/>
              <w:left w:val="nil" w:sz="6" w:space="0" w:color="auto"/>
              <w:bottom w:val="single" w:sz="8" w:space="0" w:color="000000"/>
              <w:right w:val="nil" w:sz="6" w:space="0" w:color="auto"/>
            </w:tcBorders>
          </w:tcPr>
          <w:p>
            <w:pPr>
              <w:pStyle w:val="TableParagraph"/>
              <w:spacing w:line="290" w:lineRule="exact"/>
              <w:ind w:right="840"/>
              <w:jc w:val="right"/>
              <w:rPr>
                <w:rFonts w:ascii="宋体" w:hAnsi="宋体" w:cs="宋体" w:eastAsia="宋体" w:hint="default"/>
                <w:sz w:val="24"/>
                <w:szCs w:val="24"/>
              </w:rPr>
            </w:pPr>
            <w:r>
              <w:rPr>
                <w:rFonts w:ascii="宋体" w:hAnsi="宋体" w:cs="宋体" w:eastAsia="宋体" w:hint="default"/>
                <w:sz w:val="24"/>
                <w:szCs w:val="24"/>
              </w:rPr>
              <w:t>5-10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149" w:type="dxa"/>
            <w:tcBorders>
              <w:top w:val="nil" w:sz="6" w:space="0" w:color="auto"/>
              <w:left w:val="nil" w:sz="6" w:space="0" w:color="auto"/>
              <w:bottom w:val="single" w:sz="8" w:space="0" w:color="000000"/>
              <w:right w:val="nil" w:sz="6" w:space="0" w:color="auto"/>
            </w:tcBorders>
          </w:tcPr>
          <w:p>
            <w:pPr>
              <w:pStyle w:val="TableParagraph"/>
              <w:spacing w:line="290" w:lineRule="exact"/>
              <w:ind w:right="107"/>
              <w:jc w:val="right"/>
              <w:rPr>
                <w:rFonts w:ascii="宋体" w:hAnsi="宋体" w:cs="宋体" w:eastAsia="宋体" w:hint="default"/>
                <w:sz w:val="24"/>
                <w:szCs w:val="24"/>
              </w:rPr>
            </w:pPr>
            <w:r>
              <w:rPr>
                <w:rFonts w:ascii="宋体" w:hAnsi="宋体" w:cs="宋体" w:eastAsia="宋体" w:hint="default"/>
                <w:sz w:val="24"/>
                <w:szCs w:val="24"/>
              </w:rPr>
              <w:t>直线法摊销</w:t>
            </w:r>
          </w:p>
        </w:tc>
      </w:tr>
    </w:tbl>
    <w:p>
      <w:pPr>
        <w:pStyle w:val="BodyText"/>
        <w:spacing w:line="312" w:lineRule="exact" w:before="111"/>
        <w:ind w:left="218" w:right="233" w:firstLine="480"/>
        <w:jc w:val="both"/>
      </w:pPr>
      <w:r>
        <w:rPr>
          <w:spacing w:val="-2"/>
        </w:rPr>
        <w:t>本集团于每年年度终了，对使用寿命有限的无形资产的使用寿命及摊销方法进行</w:t>
      </w:r>
      <w:r>
        <w:rPr/>
        <w:t> 复核，与以前估计不同的，调整原先估计数，并按会计估计变更处理。</w:t>
      </w:r>
    </w:p>
    <w:p>
      <w:pPr>
        <w:pStyle w:val="BodyText"/>
        <w:spacing w:line="312" w:lineRule="exact" w:before="119"/>
        <w:ind w:left="218" w:right="233" w:firstLine="480"/>
        <w:jc w:val="both"/>
      </w:pPr>
      <w:r>
        <w:rPr>
          <w:spacing w:val="-2"/>
        </w:rPr>
        <w:t>资产负债表日预计某项无形资产已经不能给企业带来未来经济利益的，将该项无</w:t>
      </w:r>
      <w:r>
        <w:rPr/>
        <w:t> 形资产的账面价值全部转入当期损益。</w:t>
      </w:r>
    </w:p>
    <w:p>
      <w:pPr>
        <w:pStyle w:val="BodyText"/>
        <w:spacing w:line="240" w:lineRule="auto" w:before="88"/>
        <w:ind w:left="698" w:right="101"/>
        <w:jc w:val="left"/>
      </w:pPr>
      <w:r>
        <w:rPr/>
        <w:t>无形资产计提资产减值方法见附注三、</w:t>
      </w:r>
      <w:r>
        <w:rPr>
          <w:rFonts w:ascii="宋体" w:hAnsi="宋体" w:cs="宋体" w:eastAsia="宋体" w:hint="default"/>
        </w:rPr>
        <w:t>21</w:t>
      </w:r>
      <w:r>
        <w:rPr/>
        <w:t>。</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BodyText"/>
        <w:tabs>
          <w:tab w:pos="1068" w:val="left" w:leader="none"/>
        </w:tabs>
        <w:spacing w:line="328" w:lineRule="auto"/>
        <w:ind w:left="698" w:right="234" w:hanging="480"/>
        <w:jc w:val="left"/>
      </w:pPr>
      <w:r>
        <w:rPr>
          <w:rFonts w:ascii="宋体" w:hAnsi="宋体" w:cs="宋体" w:eastAsia="宋体" w:hint="default"/>
          <w:b/>
          <w:bCs/>
          <w:w w:val="95"/>
        </w:rPr>
        <w:t>(2).</w:t>
        <w:tab/>
      </w:r>
      <w:r>
        <w:rPr>
          <w:rFonts w:ascii="宋体" w:hAnsi="宋体" w:cs="宋体" w:eastAsia="宋体" w:hint="default"/>
          <w:b/>
          <w:bCs/>
        </w:rPr>
        <w:t>内部研究开发支出会计政策</w:t>
      </w:r>
      <w:r>
        <w:rPr>
          <w:rFonts w:ascii="宋体" w:hAnsi="宋体" w:cs="宋体" w:eastAsia="宋体" w:hint="default"/>
          <w:b/>
          <w:bCs/>
          <w:w w:val="99"/>
        </w:rPr>
        <w:t> </w:t>
      </w:r>
      <w:r>
        <w:rPr/>
        <w:t>本集团将内部研究开发项目的支出，区分为研究阶段支出和开发阶段支出。 研究阶段的支出，于发生时计入当期损益。 </w:t>
      </w:r>
      <w:r>
        <w:rPr>
          <w:spacing w:val="-2"/>
        </w:rPr>
        <w:t>开发阶段的支出，同时满足下列条件的，才能予以资本化，即：完成该无形资产</w:t>
      </w:r>
    </w:p>
    <w:p>
      <w:pPr>
        <w:pStyle w:val="BodyText"/>
        <w:spacing w:line="221" w:lineRule="exact"/>
        <w:ind w:left="218" w:right="101"/>
        <w:jc w:val="left"/>
      </w:pPr>
      <w:r>
        <w:rPr/>
        <w:t>以使其能够使用或出售在技术上具有可行性；具有完成该无形资产并使用或出售的意</w:t>
      </w:r>
    </w:p>
    <w:p>
      <w:pPr>
        <w:pStyle w:val="BodyText"/>
        <w:spacing w:line="237" w:lineRule="auto" w:before="1"/>
        <w:ind w:left="218" w:right="233"/>
        <w:jc w:val="both"/>
      </w:pPr>
      <w:r>
        <w:rPr>
          <w:spacing w:val="-2"/>
        </w:rPr>
        <w:t>图；无形资产产生经济利益的方式，包括能够证明运用该无形资产生产的产品存在市</w:t>
      </w:r>
      <w:r>
        <w:rPr>
          <w:spacing w:val="-94"/>
        </w:rPr>
        <w:t> </w:t>
      </w:r>
      <w:r>
        <w:rPr>
          <w:spacing w:val="-94"/>
        </w:rPr>
      </w:r>
      <w:r>
        <w:rPr>
          <w:spacing w:val="-2"/>
        </w:rPr>
        <w:t>场或无形资产自身存在市场，无形资产将在内部使用的，能够证明其有用性；有足够</w:t>
      </w:r>
      <w:r>
        <w:rPr>
          <w:spacing w:val="-94"/>
        </w:rPr>
        <w:t> </w:t>
      </w:r>
      <w:r>
        <w:rPr>
          <w:spacing w:val="-94"/>
        </w:rPr>
      </w:r>
      <w:r>
        <w:rPr>
          <w:spacing w:val="-2"/>
        </w:rPr>
        <w:t>的技术、财务资源和其他资源支持，以完成该无形资产的开发，并有能力使用或出售</w:t>
      </w:r>
      <w:r>
        <w:rPr>
          <w:spacing w:val="-94"/>
        </w:rPr>
        <w:t> </w:t>
      </w:r>
      <w:r>
        <w:rPr>
          <w:spacing w:val="-94"/>
        </w:rPr>
      </w:r>
      <w:r>
        <w:rPr>
          <w:spacing w:val="-2"/>
        </w:rPr>
        <w:t>该无形资产；归属于该无形资产开发阶段的支出能够可靠地计量。不满足上述条件的</w:t>
      </w:r>
      <w:r>
        <w:rPr>
          <w:spacing w:val="-94"/>
        </w:rPr>
        <w:t> </w:t>
      </w:r>
      <w:r>
        <w:rPr>
          <w:spacing w:val="-94"/>
        </w:rPr>
      </w:r>
      <w:r>
        <w:rPr/>
        <w:t>开发支出计入当期损益。</w:t>
      </w:r>
    </w:p>
    <w:p>
      <w:pPr>
        <w:pStyle w:val="BodyText"/>
        <w:spacing w:line="312" w:lineRule="exact" w:before="147"/>
        <w:ind w:left="218" w:right="234" w:firstLine="480"/>
        <w:jc w:val="both"/>
      </w:pPr>
      <w:r>
        <w:rPr>
          <w:spacing w:val="-2"/>
        </w:rPr>
        <w:t>本集团研究开发项目在满足上述条件，通过技术可行性及经济可行性研究，形成</w:t>
      </w:r>
      <w:r>
        <w:rPr/>
        <w:t> 项目立项后，进入开发阶段。</w:t>
      </w:r>
    </w:p>
    <w:p>
      <w:pPr>
        <w:pStyle w:val="BodyText"/>
        <w:spacing w:line="312" w:lineRule="exact" w:before="119"/>
        <w:ind w:left="218" w:right="233" w:firstLine="480"/>
        <w:jc w:val="both"/>
      </w:pPr>
      <w:r>
        <w:rPr>
          <w:spacing w:val="-2"/>
        </w:rPr>
        <w:t>已资本化的开发阶段的支出在资产负债表上列示为开发支出，自该项目达到预定</w:t>
      </w:r>
      <w:r>
        <w:rPr/>
        <w:t> 可使用状态之日转为无形资产。</w:t>
      </w:r>
    </w:p>
    <w:p>
      <w:pPr>
        <w:pStyle w:val="BodyText"/>
        <w:spacing w:line="328" w:lineRule="auto" w:before="88"/>
        <w:ind w:left="698" w:right="101"/>
        <w:jc w:val="left"/>
      </w:pPr>
      <w:r>
        <w:rPr/>
        <w:t>本集团开发支出资本化的具体方法： </w:t>
      </w:r>
      <w:r>
        <w:rPr>
          <w:spacing w:val="-2"/>
        </w:rPr>
        <w:t>本集团研究开发支出在研究阶段是探索性的，主要为进一步的开发活动进行资料</w:t>
      </w:r>
    </w:p>
    <w:p>
      <w:pPr>
        <w:pStyle w:val="BodyText"/>
        <w:spacing w:line="222" w:lineRule="exact"/>
        <w:ind w:left="218" w:right="101"/>
        <w:jc w:val="left"/>
      </w:pPr>
      <w:r>
        <w:rPr/>
        <w:t>以及相关方面准备，不形成阶段性成果，通过开发后是否形成无形资产也具有很大不</w:t>
      </w:r>
    </w:p>
    <w:p>
      <w:pPr>
        <w:pStyle w:val="BodyText"/>
        <w:spacing w:line="312" w:lineRule="exact"/>
        <w:ind w:left="0" w:right="232"/>
        <w:jc w:val="right"/>
      </w:pPr>
      <w:r>
        <w:rPr>
          <w:spacing w:val="-8"/>
        </w:rPr>
        <w:t>确定性，因此，不予立项审批，研究阶段的有关支出在发生时费用化，计入当期损益；</w:t>
      </w:r>
    </w:p>
    <w:p>
      <w:pPr>
        <w:pStyle w:val="BodyText"/>
        <w:spacing w:line="237" w:lineRule="auto" w:before="119"/>
        <w:ind w:left="215" w:right="232" w:firstLine="480"/>
        <w:jc w:val="both"/>
      </w:pPr>
      <w:r>
        <w:rPr>
          <w:spacing w:val="-2"/>
        </w:rPr>
        <w:t>本集团研究开发支出在开发阶段具有针对性，形成一项新产品或者新技术的基本</w:t>
      </w:r>
      <w:r>
        <w:rPr/>
        <w:t> </w:t>
      </w:r>
      <w:r>
        <w:rPr>
          <w:spacing w:val="-2"/>
        </w:rPr>
        <w:t>条件已经具备，且该阶段的支出能够可靠计量、未来经济利益流入能够可靠预计。此</w:t>
      </w:r>
      <w:r>
        <w:rPr>
          <w:spacing w:val="-94"/>
        </w:rPr>
        <w:t> </w:t>
      </w:r>
      <w:r>
        <w:rPr>
          <w:spacing w:val="-94"/>
        </w:rPr>
      </w:r>
      <w:r>
        <w:rPr>
          <w:spacing w:val="-2"/>
        </w:rPr>
        <w:t>阶段由项目组负责申请立项，项目管理部负责组织立项文档及各阶段产品评审，副总</w:t>
      </w:r>
      <w:r>
        <w:rPr>
          <w:spacing w:val="-92"/>
        </w:rPr>
        <w:t> </w:t>
      </w:r>
      <w:r>
        <w:rPr>
          <w:spacing w:val="-92"/>
        </w:rPr>
      </w:r>
      <w:r>
        <w:rPr>
          <w:spacing w:val="-2"/>
        </w:rPr>
        <w:t>裁及以上领导负责立项终审。经立项审批后，项目研究进入开发阶段，有关支出于发</w:t>
      </w:r>
      <w:r>
        <w:rPr>
          <w:spacing w:val="-96"/>
        </w:rPr>
        <w:t> </w:t>
      </w:r>
      <w:r>
        <w:rPr>
          <w:spacing w:val="-96"/>
        </w:rPr>
      </w:r>
      <w:r>
        <w:rPr/>
        <w:t>生时予以资本化。</w:t>
      </w:r>
    </w:p>
    <w:p>
      <w:pPr>
        <w:spacing w:after="0" w:line="237" w:lineRule="auto"/>
        <w:jc w:val="both"/>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331" w:lineRule="auto" w:before="26"/>
        <w:ind w:left="618" w:right="214" w:hanging="480"/>
        <w:jc w:val="left"/>
        <w:rPr>
          <w:rFonts w:ascii="宋体" w:hAnsi="宋体" w:cs="宋体" w:eastAsia="宋体" w:hint="default"/>
          <w:sz w:val="24"/>
          <w:szCs w:val="24"/>
        </w:rPr>
      </w:pPr>
      <w:r>
        <w:rPr>
          <w:rFonts w:ascii="宋体" w:hAnsi="宋体" w:cs="宋体" w:eastAsia="宋体" w:hint="default"/>
          <w:b/>
          <w:bCs/>
          <w:sz w:val="24"/>
          <w:szCs w:val="24"/>
        </w:rPr>
        <w:t>19.</w:t>
      </w:r>
      <w:r>
        <w:rPr>
          <w:rFonts w:ascii="宋体" w:hAnsi="宋体" w:cs="宋体" w:eastAsia="宋体" w:hint="default"/>
          <w:b/>
          <w:bCs/>
          <w:spacing w:val="-60"/>
          <w:sz w:val="24"/>
          <w:szCs w:val="24"/>
        </w:rPr>
        <w:t> </w:t>
      </w:r>
      <w:r>
        <w:rPr>
          <w:rFonts w:ascii="宋体" w:hAnsi="宋体" w:cs="宋体" w:eastAsia="宋体" w:hint="default"/>
          <w:b/>
          <w:bCs/>
          <w:sz w:val="24"/>
          <w:szCs w:val="24"/>
        </w:rPr>
        <w:t>长期资产减值</w:t>
      </w:r>
      <w:r>
        <w:rPr>
          <w:rFonts w:ascii="宋体" w:hAnsi="宋体" w:cs="宋体" w:eastAsia="宋体" w:hint="default"/>
          <w:b/>
          <w:bCs/>
          <w:w w:val="99"/>
          <w:sz w:val="24"/>
          <w:szCs w:val="24"/>
        </w:rPr>
        <w:t> </w:t>
      </w:r>
      <w:r>
        <w:rPr>
          <w:rFonts w:ascii="宋体" w:hAnsi="宋体" w:cs="宋体" w:eastAsia="宋体" w:hint="default"/>
          <w:spacing w:val="-2"/>
          <w:sz w:val="24"/>
          <w:szCs w:val="24"/>
        </w:rPr>
        <w:t>对子公司、联营企业和合营企业的长期股权投资、采用成本模式进行后续计量的</w:t>
      </w:r>
    </w:p>
    <w:p>
      <w:pPr>
        <w:pStyle w:val="BodyText"/>
        <w:spacing w:line="218" w:lineRule="exact"/>
        <w:ind w:right="101"/>
        <w:jc w:val="left"/>
      </w:pPr>
      <w:r>
        <w:rPr/>
        <w:t>投资性房地产、固定资产、在建工程、无形资产、商誉等（存货、递延所得税资产、</w:t>
      </w:r>
    </w:p>
    <w:p>
      <w:pPr>
        <w:pStyle w:val="BodyText"/>
        <w:spacing w:line="331" w:lineRule="auto"/>
        <w:ind w:left="618" w:right="214" w:hanging="480"/>
        <w:jc w:val="left"/>
      </w:pPr>
      <w:r>
        <w:rPr/>
        <w:t>金融资产除外）的资产减值，按以下方法确定： </w:t>
      </w:r>
      <w:r>
        <w:rPr>
          <w:spacing w:val="-2"/>
        </w:rPr>
        <w:t>于资产负债表日判断资产是否存在可能发生减值的迹象，存在减值迹象的，本集</w:t>
      </w:r>
    </w:p>
    <w:p>
      <w:pPr>
        <w:pStyle w:val="BodyText"/>
        <w:spacing w:line="218" w:lineRule="exact"/>
        <w:ind w:right="101"/>
        <w:jc w:val="left"/>
      </w:pPr>
      <w:r>
        <w:rPr/>
        <w:t>团将估计其可收回金额，进行减值测试。对因企业合并所形成的商誉、使用寿命不确</w:t>
      </w:r>
    </w:p>
    <w:p>
      <w:pPr>
        <w:pStyle w:val="BodyText"/>
        <w:spacing w:line="312" w:lineRule="exact" w:before="29"/>
        <w:ind w:right="101"/>
        <w:jc w:val="left"/>
      </w:pPr>
      <w:r>
        <w:rPr>
          <w:spacing w:val="-2"/>
        </w:rPr>
        <w:t>定的无形资产和尚未达到可使用状态的无形资产无论是否存在减值迹象，每年都进行</w:t>
      </w:r>
      <w:r>
        <w:rPr>
          <w:spacing w:val="-93"/>
        </w:rPr>
        <w:t> </w:t>
      </w:r>
      <w:r>
        <w:rPr>
          <w:spacing w:val="-93"/>
        </w:rPr>
      </w:r>
      <w:r>
        <w:rPr/>
        <w:t>减值测试。</w:t>
      </w:r>
    </w:p>
    <w:p>
      <w:pPr>
        <w:pStyle w:val="BodyText"/>
        <w:spacing w:line="237" w:lineRule="auto" w:before="91"/>
        <w:ind w:right="101" w:firstLine="480"/>
        <w:jc w:val="left"/>
      </w:pPr>
      <w:r>
        <w:rPr/>
        <w:t>可收回金额根据资产的公允价值减去处置费用后的净额与资产预计未来现金流 </w:t>
      </w:r>
      <w:r>
        <w:rPr>
          <w:spacing w:val="-2"/>
        </w:rPr>
        <w:t>量的现值两者之间较高者确定。本集团以单项资产为基础估计其可收回金额；难以对</w:t>
      </w:r>
      <w:r>
        <w:rPr>
          <w:spacing w:val="-94"/>
        </w:rPr>
        <w:t> </w:t>
      </w:r>
      <w:r>
        <w:rPr>
          <w:spacing w:val="-94"/>
        </w:rPr>
      </w:r>
      <w:r>
        <w:rPr>
          <w:spacing w:val="-2"/>
        </w:rPr>
        <w:t>单项资产的可收回金额进行估计的，以该资产所属的资产组为基础确定资产组的可收</w:t>
      </w:r>
      <w:r>
        <w:rPr>
          <w:spacing w:val="-93"/>
        </w:rPr>
        <w:t> </w:t>
      </w:r>
      <w:r>
        <w:rPr>
          <w:spacing w:val="-93"/>
        </w:rPr>
      </w:r>
      <w:r>
        <w:rPr>
          <w:spacing w:val="-2"/>
        </w:rPr>
        <w:t>回金额。资产组的认定，以资产组产生的主要现金流入是否独立于其他资产或者资产</w:t>
      </w:r>
      <w:r>
        <w:rPr>
          <w:spacing w:val="-94"/>
        </w:rPr>
        <w:t> </w:t>
      </w:r>
      <w:r>
        <w:rPr>
          <w:spacing w:val="-94"/>
        </w:rPr>
      </w:r>
      <w:r>
        <w:rPr/>
        <w:t>组的现金流入为依据。</w:t>
      </w:r>
    </w:p>
    <w:p>
      <w:pPr>
        <w:pStyle w:val="BodyText"/>
        <w:spacing w:line="310" w:lineRule="exact" w:before="149"/>
        <w:ind w:right="101" w:firstLine="480"/>
        <w:jc w:val="left"/>
      </w:pPr>
      <w:r>
        <w:rPr>
          <w:spacing w:val="-2"/>
        </w:rPr>
        <w:t>当资产或资产组的可收回金额低于其账面价值时，本集团将其账面价值减记至可</w:t>
      </w:r>
      <w:r>
        <w:rPr/>
        <w:t> 收回金额，减记的金额计入当期损益，同时计提相应的资产减值准备。</w:t>
      </w:r>
    </w:p>
    <w:p>
      <w:pPr>
        <w:pStyle w:val="BodyText"/>
        <w:spacing w:line="237" w:lineRule="auto" w:before="92"/>
        <w:ind w:right="214" w:firstLine="480"/>
        <w:jc w:val="both"/>
      </w:pPr>
      <w:r>
        <w:rPr>
          <w:spacing w:val="-2"/>
        </w:rPr>
        <w:t>就商誉的减值测试而言，对于因企业合并形成的商誉的账面价值，自购买日起按</w:t>
      </w:r>
      <w:r>
        <w:rPr/>
        <w:t> </w:t>
      </w:r>
      <w:r>
        <w:rPr>
          <w:spacing w:val="-2"/>
        </w:rPr>
        <w:t>照合理的方法分摊至相关的资产组；难以分摊至相关的资产组的，将其分摊至相关的</w:t>
      </w:r>
      <w:r>
        <w:rPr>
          <w:spacing w:val="-94"/>
        </w:rPr>
        <w:t> </w:t>
      </w:r>
      <w:r>
        <w:rPr>
          <w:spacing w:val="-94"/>
        </w:rPr>
      </w:r>
      <w:r>
        <w:rPr>
          <w:spacing w:val="-2"/>
        </w:rPr>
        <w:t>资产组组合。相关的资产组或资产组组合，是能够从企业合并的协同效应中受益的资</w:t>
      </w:r>
      <w:r>
        <w:rPr>
          <w:spacing w:val="-94"/>
        </w:rPr>
        <w:t> </w:t>
      </w:r>
      <w:r>
        <w:rPr>
          <w:spacing w:val="-94"/>
        </w:rPr>
      </w:r>
      <w:r>
        <w:rPr/>
        <w:t>产组或者资产组组合，且不大于本集团确定的报告分部。</w:t>
      </w:r>
    </w:p>
    <w:p>
      <w:pPr>
        <w:pStyle w:val="BodyText"/>
        <w:spacing w:line="237" w:lineRule="auto" w:before="120"/>
        <w:ind w:right="214" w:firstLine="480"/>
        <w:jc w:val="both"/>
      </w:pPr>
      <w:r>
        <w:rPr>
          <w:spacing w:val="-2"/>
        </w:rPr>
        <w:t>减值测试时，如与商誉相关的资产组或者资产组组合存在减值迹象的，首先对不</w:t>
      </w:r>
      <w:r>
        <w:rPr/>
        <w:t> </w:t>
      </w:r>
      <w:r>
        <w:rPr>
          <w:spacing w:val="-2"/>
        </w:rPr>
        <w:t>包含商誉的资产组或者资产组组合进行减值测试，计算可收回金额，确认相应的减值</w:t>
      </w:r>
      <w:r>
        <w:rPr>
          <w:spacing w:val="-94"/>
        </w:rPr>
        <w:t> </w:t>
      </w:r>
      <w:r>
        <w:rPr>
          <w:spacing w:val="-94"/>
        </w:rPr>
      </w:r>
      <w:r>
        <w:rPr>
          <w:spacing w:val="-2"/>
        </w:rPr>
        <w:t>损失。然后对包含商誉的资产组或者资产组组合进行减值测试，比较其账面价值与可</w:t>
      </w:r>
      <w:r>
        <w:rPr>
          <w:spacing w:val="-94"/>
        </w:rPr>
        <w:t> </w:t>
      </w:r>
      <w:r>
        <w:rPr>
          <w:spacing w:val="-94"/>
        </w:rPr>
      </w:r>
      <w:r>
        <w:rPr/>
        <w:t>收回金额，如可收回金额低于账面价值的，确认商誉的减值损失。</w:t>
      </w:r>
    </w:p>
    <w:p>
      <w:pPr>
        <w:pStyle w:val="BodyText"/>
        <w:spacing w:line="240" w:lineRule="auto" w:before="118"/>
        <w:ind w:left="618" w:right="214"/>
        <w:jc w:val="left"/>
      </w:pPr>
      <w:r>
        <w:rPr/>
        <w:t>资产减值损失一经确认，在以后会计期间不再转回。</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spacing w:line="328" w:lineRule="auto" w:before="0"/>
        <w:ind w:left="618" w:right="214" w:hanging="480"/>
        <w:jc w:val="left"/>
        <w:rPr>
          <w:rFonts w:ascii="宋体" w:hAnsi="宋体" w:cs="宋体" w:eastAsia="宋体" w:hint="default"/>
          <w:sz w:val="24"/>
          <w:szCs w:val="24"/>
        </w:rPr>
      </w:pPr>
      <w:r>
        <w:rPr>
          <w:rFonts w:ascii="宋体" w:hAnsi="宋体" w:cs="宋体" w:eastAsia="宋体" w:hint="default"/>
          <w:b/>
          <w:bCs/>
          <w:sz w:val="24"/>
          <w:szCs w:val="24"/>
        </w:rPr>
        <w:t>20.</w:t>
      </w:r>
      <w:r>
        <w:rPr>
          <w:rFonts w:ascii="宋体" w:hAnsi="宋体" w:cs="宋体" w:eastAsia="宋体" w:hint="default"/>
          <w:b/>
          <w:bCs/>
          <w:spacing w:val="-60"/>
          <w:sz w:val="24"/>
          <w:szCs w:val="24"/>
        </w:rPr>
        <w:t> </w:t>
      </w:r>
      <w:r>
        <w:rPr>
          <w:rFonts w:ascii="宋体" w:hAnsi="宋体" w:cs="宋体" w:eastAsia="宋体" w:hint="default"/>
          <w:b/>
          <w:bCs/>
          <w:sz w:val="24"/>
          <w:szCs w:val="24"/>
        </w:rPr>
        <w:t>长期待摊费用</w:t>
      </w:r>
      <w:r>
        <w:rPr>
          <w:rFonts w:ascii="宋体" w:hAnsi="宋体" w:cs="宋体" w:eastAsia="宋体" w:hint="default"/>
          <w:b/>
          <w:bCs/>
          <w:w w:val="99"/>
          <w:sz w:val="24"/>
          <w:szCs w:val="24"/>
        </w:rPr>
        <w:t> </w:t>
      </w:r>
      <w:r>
        <w:rPr>
          <w:rFonts w:ascii="宋体" w:hAnsi="宋体" w:cs="宋体" w:eastAsia="宋体" w:hint="default"/>
          <w:spacing w:val="-2"/>
          <w:sz w:val="24"/>
          <w:szCs w:val="24"/>
        </w:rPr>
        <w:t>本集团发生的长期待摊费用按实际成本计价，并按预计受益期限平均摊销。对不</w:t>
      </w:r>
    </w:p>
    <w:p>
      <w:pPr>
        <w:pStyle w:val="BodyText"/>
        <w:spacing w:line="222" w:lineRule="exact"/>
        <w:ind w:right="214"/>
        <w:jc w:val="left"/>
      </w:pPr>
      <w:r>
        <w:rPr/>
        <w:t>能使以后会计期间受益的长期待摊费用项目，其摊余价值全部计入当期损益。</w:t>
      </w:r>
    </w:p>
    <w:p>
      <w:pPr>
        <w:pStyle w:val="BodyText"/>
        <w:spacing w:line="240" w:lineRule="auto" w:before="118"/>
        <w:ind w:left="618" w:right="214"/>
        <w:jc w:val="left"/>
      </w:pPr>
      <w:r>
        <w:rPr/>
        <w:t>本公司会员会费采用直线法按</w:t>
      </w:r>
      <w:r>
        <w:rPr>
          <w:spacing w:val="-60"/>
        </w:rPr>
        <w:t> </w:t>
      </w:r>
      <w:r>
        <w:rPr>
          <w:rFonts w:ascii="宋体" w:hAnsi="宋体" w:cs="宋体" w:eastAsia="宋体" w:hint="default"/>
        </w:rPr>
        <w:t>10</w:t>
      </w:r>
      <w:r>
        <w:rPr>
          <w:rFonts w:ascii="宋体" w:hAnsi="宋体" w:cs="宋体" w:eastAsia="宋体" w:hint="default"/>
          <w:spacing w:val="-60"/>
        </w:rPr>
        <w:t> </w:t>
      </w:r>
      <w:r>
        <w:rPr/>
        <w:t>年分期摊销。</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pStyle w:val="Heading2"/>
        <w:spacing w:line="331" w:lineRule="auto" w:before="0"/>
        <w:ind w:left="138" w:right="6738"/>
        <w:jc w:val="left"/>
        <w:rPr>
          <w:b w:val="0"/>
          <w:bCs w:val="0"/>
        </w:rPr>
      </w:pPr>
      <w:r>
        <w:rPr>
          <w:rFonts w:ascii="宋体" w:hAnsi="宋体" w:cs="宋体" w:eastAsia="宋体" w:hint="default"/>
        </w:rPr>
        <w:t>21.</w:t>
      </w:r>
      <w:r>
        <w:rPr>
          <w:rFonts w:ascii="宋体" w:hAnsi="宋体" w:cs="宋体" w:eastAsia="宋体" w:hint="default"/>
          <w:spacing w:val="-60"/>
        </w:rPr>
        <w:t> </w:t>
      </w:r>
      <w:r>
        <w:rPr/>
        <w:t>职工薪酬</w:t>
      </w:r>
      <w:r>
        <w:rPr>
          <w:spacing w:val="1"/>
          <w:w w:val="99"/>
        </w:rPr>
        <w:t> </w:t>
      </w:r>
      <w:r>
        <w:rPr>
          <w:rFonts w:ascii="宋体" w:hAnsi="宋体" w:cs="宋体" w:eastAsia="宋体" w:hint="default"/>
        </w:rPr>
        <w:t>(1)</w:t>
      </w:r>
      <w:r>
        <w:rPr/>
        <w:t>、职工薪酬的范围</w:t>
      </w:r>
      <w:r>
        <w:rPr>
          <w:b w:val="0"/>
          <w:bCs w:val="0"/>
        </w:rPr>
      </w:r>
    </w:p>
    <w:p>
      <w:pPr>
        <w:pStyle w:val="BodyText"/>
        <w:spacing w:line="313" w:lineRule="exact" w:before="25"/>
        <w:ind w:left="618" w:right="101"/>
        <w:jc w:val="left"/>
      </w:pPr>
      <w:r>
        <w:rPr/>
        <w:t>职工薪酬，是指企业为获得职工提供的服务或解除劳动关系而给予的各种形式的</w:t>
      </w:r>
    </w:p>
    <w:p>
      <w:pPr>
        <w:pStyle w:val="BodyText"/>
        <w:spacing w:line="310" w:lineRule="exact" w:before="31"/>
        <w:ind w:right="101"/>
        <w:jc w:val="left"/>
      </w:pPr>
      <w:r>
        <w:rPr/>
        <w:t>报酬或补偿。职工薪酬包括短期薪酬、离职后福利、辞退福利和其他长期职工福利。</w:t>
      </w:r>
      <w:r>
        <w:rPr>
          <w:spacing w:val="-62"/>
        </w:rPr>
        <w:t> </w:t>
      </w:r>
      <w:r>
        <w:rPr>
          <w:spacing w:val="-62"/>
        </w:rPr>
      </w:r>
      <w:r>
        <w:rPr/>
        <w:t>企业提供给职工配偶、子女、受赡养人、已故员工遗属及其他受益人等的福利，也属</w:t>
      </w:r>
      <w:r>
        <w:rPr/>
        <w:t> 于职工薪酬。</w:t>
      </w:r>
    </w:p>
    <w:p>
      <w:pPr>
        <w:spacing w:after="0" w:line="310" w:lineRule="exact"/>
        <w:jc w:val="left"/>
        <w:sectPr>
          <w:pgSz w:w="11910" w:h="16840"/>
          <w:pgMar w:header="882" w:footer="1194" w:top="1120" w:bottom="1380" w:left="1660" w:right="1060"/>
        </w:sectPr>
      </w:pPr>
    </w:p>
    <w:p>
      <w:pPr>
        <w:spacing w:line="240" w:lineRule="auto" w:before="9"/>
        <w:rPr>
          <w:rFonts w:ascii="宋体" w:hAnsi="宋体" w:cs="宋体" w:eastAsia="宋体" w:hint="default"/>
          <w:sz w:val="25"/>
          <w:szCs w:val="25"/>
        </w:rPr>
      </w:pPr>
    </w:p>
    <w:p>
      <w:pPr>
        <w:pStyle w:val="BodyText"/>
        <w:spacing w:line="310" w:lineRule="exact" w:before="58"/>
        <w:ind w:right="0" w:firstLine="480"/>
        <w:jc w:val="left"/>
      </w:pPr>
      <w:r>
        <w:rPr>
          <w:spacing w:val="-2"/>
        </w:rPr>
        <w:t>根据流动性，职工薪酬分别列示于资产负债表的“应付职工薪酬”项目和“长期</w:t>
      </w:r>
      <w:r>
        <w:rPr/>
        <w:t> 应付职工薪酬”项目。</w:t>
      </w:r>
    </w:p>
    <w:p>
      <w:pPr>
        <w:spacing w:line="328" w:lineRule="auto" w:before="89"/>
        <w:ind w:left="618" w:right="0" w:hanging="48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、短期薪酬的会计处理方法</w:t>
      </w:r>
      <w:r>
        <w:rPr>
          <w:rFonts w:ascii="宋体" w:hAnsi="宋体" w:cs="宋体" w:eastAsia="宋体" w:hint="default"/>
          <w:b/>
          <w:bCs/>
          <w:w w:val="99"/>
          <w:sz w:val="24"/>
          <w:szCs w:val="24"/>
        </w:rPr>
        <w:t> </w:t>
      </w:r>
      <w:r>
        <w:rPr>
          <w:rFonts w:ascii="宋体" w:hAnsi="宋体" w:cs="宋体" w:eastAsia="宋体" w:hint="default"/>
          <w:spacing w:val="-2"/>
          <w:sz w:val="24"/>
          <w:szCs w:val="24"/>
        </w:rPr>
        <w:t>本集团在职工提供服务的会计期间，将实际发生的职工工资、奖金、按规定的基</w:t>
      </w:r>
    </w:p>
    <w:p>
      <w:pPr>
        <w:pStyle w:val="BodyText"/>
        <w:spacing w:line="221" w:lineRule="exact"/>
        <w:ind w:right="0"/>
        <w:jc w:val="left"/>
      </w:pPr>
      <w:r>
        <w:rPr/>
        <w:t>准和比例为职工缴纳的医疗保险费、工伤保险费和生育保险费等社会保险费和住房公</w:t>
      </w:r>
    </w:p>
    <w:p>
      <w:pPr>
        <w:pStyle w:val="BodyText"/>
        <w:spacing w:line="310" w:lineRule="exact" w:before="31"/>
        <w:ind w:right="233"/>
        <w:jc w:val="both"/>
      </w:pPr>
      <w:r>
        <w:rPr>
          <w:spacing w:val="-2"/>
        </w:rPr>
        <w:t>积金，确认为负债，并计入当期损益或相关资产成本。如果该负债预期在职工提供相</w:t>
      </w:r>
      <w:r>
        <w:rPr>
          <w:spacing w:val="-94"/>
        </w:rPr>
        <w:t> </w:t>
      </w:r>
      <w:r>
        <w:rPr>
          <w:spacing w:val="-94"/>
        </w:rPr>
      </w:r>
      <w:r>
        <w:rPr>
          <w:spacing w:val="-2"/>
        </w:rPr>
        <w:t>关服务的年度报告期结束后十二个月内不能完全支付，且财务影响重大的，则该负债</w:t>
      </w:r>
      <w:r>
        <w:rPr>
          <w:spacing w:val="-94"/>
        </w:rPr>
        <w:t> </w:t>
      </w:r>
      <w:r>
        <w:rPr>
          <w:spacing w:val="-94"/>
        </w:rPr>
      </w:r>
      <w:r>
        <w:rPr/>
        <w:t>将以折现后的金额计量。</w:t>
      </w:r>
    </w:p>
    <w:p>
      <w:pPr>
        <w:spacing w:line="328" w:lineRule="auto" w:before="89"/>
        <w:ind w:left="618" w:right="0" w:hanging="480"/>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、离职后福利的会计处理方法</w:t>
      </w:r>
      <w:r>
        <w:rPr>
          <w:rFonts w:ascii="宋体" w:hAnsi="宋体" w:cs="宋体" w:eastAsia="宋体" w:hint="default"/>
          <w:b/>
          <w:bCs/>
          <w:w w:val="99"/>
          <w:sz w:val="24"/>
          <w:szCs w:val="24"/>
        </w:rPr>
        <w:t> </w:t>
      </w:r>
      <w:r>
        <w:rPr>
          <w:rFonts w:ascii="宋体" w:hAnsi="宋体" w:cs="宋体" w:eastAsia="宋体" w:hint="default"/>
          <w:spacing w:val="-2"/>
          <w:sz w:val="24"/>
          <w:szCs w:val="24"/>
        </w:rPr>
        <w:t>离职后福利计划包括设定提存计划和设定受益计划。其中，设定提存计划，是指</w:t>
      </w:r>
    </w:p>
    <w:p>
      <w:pPr>
        <w:pStyle w:val="BodyText"/>
        <w:spacing w:line="222" w:lineRule="exact"/>
        <w:ind w:right="0"/>
        <w:jc w:val="left"/>
      </w:pPr>
      <w:r>
        <w:rPr/>
        <w:t>向独立的基金缴存固定费用后，企业不再承担进一步支付义务的离职后福利计划；设</w:t>
      </w:r>
    </w:p>
    <w:p>
      <w:pPr>
        <w:pStyle w:val="BodyText"/>
        <w:spacing w:line="328" w:lineRule="auto"/>
        <w:ind w:left="618" w:right="2328" w:hanging="480"/>
        <w:jc w:val="left"/>
      </w:pPr>
      <w:r>
        <w:rPr/>
        <w:t>定受益计划，是指除设定提存计划以外的离职后福利计划。 设定提存计划 设定提存计划包括基本养老保险、失业保险、强积金计划。</w:t>
      </w:r>
    </w:p>
    <w:p>
      <w:pPr>
        <w:pStyle w:val="BodyText"/>
        <w:spacing w:line="310" w:lineRule="exact" w:before="60"/>
        <w:ind w:right="0" w:firstLine="480"/>
        <w:jc w:val="left"/>
      </w:pPr>
      <w:r>
        <w:rPr/>
        <w:t>在职工提供服务的会计期间，根据设定提存计划计算的应缴存金额确认为负债，</w:t>
      </w:r>
      <w:r>
        <w:rPr>
          <w:spacing w:val="2"/>
        </w:rPr>
        <w:t> </w:t>
      </w:r>
      <w:r>
        <w:rPr/>
        <w:t>并计入当期损益或相关资产成本。</w:t>
      </w:r>
    </w:p>
    <w:p>
      <w:pPr>
        <w:spacing w:line="328" w:lineRule="auto" w:before="89"/>
        <w:ind w:left="618" w:right="0" w:hanging="480"/>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、辞退福利的会计处理方法</w:t>
      </w:r>
      <w:r>
        <w:rPr>
          <w:rFonts w:ascii="宋体" w:hAnsi="宋体" w:cs="宋体" w:eastAsia="宋体" w:hint="default"/>
          <w:b/>
          <w:bCs/>
          <w:w w:val="99"/>
          <w:sz w:val="24"/>
          <w:szCs w:val="24"/>
        </w:rPr>
        <w:t> </w:t>
      </w:r>
      <w:r>
        <w:rPr>
          <w:rFonts w:ascii="宋体" w:hAnsi="宋体" w:cs="宋体" w:eastAsia="宋体" w:hint="default"/>
          <w:spacing w:val="-2"/>
          <w:sz w:val="24"/>
          <w:szCs w:val="24"/>
        </w:rPr>
        <w:t>本集团向职工提供辞退福利的，在下列两者孰早日确认辞退福利产生的职工薪酬</w:t>
      </w:r>
    </w:p>
    <w:p>
      <w:pPr>
        <w:pStyle w:val="BodyText"/>
        <w:spacing w:line="222" w:lineRule="exact"/>
        <w:ind w:right="0"/>
        <w:jc w:val="left"/>
      </w:pPr>
      <w:r>
        <w:rPr/>
        <w:t>负债，并计入当期损益：本集团不能单方面撤回因解除劳动关系计划或裁减建议所提</w:t>
      </w:r>
    </w:p>
    <w:p>
      <w:pPr>
        <w:pStyle w:val="BodyText"/>
        <w:spacing w:line="328" w:lineRule="auto"/>
        <w:ind w:left="618" w:right="0" w:hanging="480"/>
        <w:jc w:val="left"/>
      </w:pPr>
      <w:r>
        <w:rPr/>
        <w:t>供的辞退福利时；本集团确认与涉及支付辞退福利的重组相关的成本或费用时。 </w:t>
      </w:r>
      <w:r>
        <w:rPr>
          <w:spacing w:val="-2"/>
        </w:rPr>
        <w:t>实行职工内部退休计划的，在正式退休日之前的经济补偿，属于辞退福利，自职</w:t>
      </w:r>
    </w:p>
    <w:p>
      <w:pPr>
        <w:pStyle w:val="BodyText"/>
        <w:spacing w:line="222" w:lineRule="exact"/>
        <w:ind w:right="0"/>
        <w:jc w:val="left"/>
      </w:pPr>
      <w:r>
        <w:rPr/>
        <w:t>工停止提供服务日至正常退休日期间，拟支付的内退职工工资和缴纳的社会保险费等</w:t>
      </w:r>
    </w:p>
    <w:p>
      <w:pPr>
        <w:pStyle w:val="BodyText"/>
        <w:spacing w:line="310" w:lineRule="exact" w:before="30"/>
        <w:ind w:right="234"/>
        <w:jc w:val="both"/>
      </w:pPr>
      <w:r>
        <w:rPr>
          <w:spacing w:val="-2"/>
        </w:rPr>
        <w:t>一次性计入当期损益。正式退休日期之后的经济补偿（如正常养老退休金），按照离</w:t>
      </w:r>
      <w:r>
        <w:rPr>
          <w:spacing w:val="-94"/>
        </w:rPr>
        <w:t> </w:t>
      </w:r>
      <w:r>
        <w:rPr>
          <w:spacing w:val="-94"/>
        </w:rPr>
      </w:r>
      <w:r>
        <w:rPr/>
        <w:t>职后福利处理。</w:t>
      </w:r>
    </w:p>
    <w:p>
      <w:pPr>
        <w:spacing w:line="328" w:lineRule="auto" w:before="89"/>
        <w:ind w:left="618" w:right="0" w:hanging="480"/>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z w:val="24"/>
          <w:szCs w:val="24"/>
        </w:rPr>
        <w:t>、其他长期职工福利的会计处理方法</w:t>
      </w:r>
      <w:r>
        <w:rPr>
          <w:rFonts w:ascii="宋体" w:hAnsi="宋体" w:cs="宋体" w:eastAsia="宋体" w:hint="default"/>
          <w:b/>
          <w:bCs/>
          <w:w w:val="99"/>
          <w:sz w:val="24"/>
          <w:szCs w:val="24"/>
        </w:rPr>
        <w:t> </w:t>
      </w:r>
      <w:r>
        <w:rPr>
          <w:rFonts w:ascii="宋体" w:hAnsi="宋体" w:cs="宋体" w:eastAsia="宋体" w:hint="default"/>
          <w:spacing w:val="-2"/>
          <w:sz w:val="24"/>
          <w:szCs w:val="24"/>
        </w:rPr>
        <w:t>本集团向职工提供的其他长期职工福利，符合设定提存计划条件的，按照上述关</w:t>
      </w:r>
    </w:p>
    <w:p>
      <w:pPr>
        <w:pStyle w:val="BodyText"/>
        <w:spacing w:line="222" w:lineRule="exact"/>
        <w:ind w:right="0"/>
        <w:jc w:val="left"/>
      </w:pPr>
      <w:r>
        <w:rPr/>
        <w:t>于设定提存计划的有关规定进行处理。符合设定受益计划的，按照上述关于设定受益</w:t>
      </w:r>
    </w:p>
    <w:p>
      <w:pPr>
        <w:pStyle w:val="BodyText"/>
        <w:spacing w:line="310" w:lineRule="exact" w:before="30"/>
        <w:ind w:right="232"/>
        <w:jc w:val="both"/>
      </w:pPr>
      <w:r>
        <w:rPr>
          <w:spacing w:val="-2"/>
        </w:rPr>
        <w:t>计划的有关规定进行处理，但相关职工薪酬成本中“重新计量设定受益计划净负债或</w:t>
      </w:r>
      <w:r>
        <w:rPr>
          <w:spacing w:val="-93"/>
        </w:rPr>
        <w:t> </w:t>
      </w:r>
      <w:r>
        <w:rPr>
          <w:spacing w:val="-93"/>
        </w:rPr>
      </w:r>
      <w:r>
        <w:rPr/>
        <w:t>净资产所产生的变动”部分计入当期损益或相关资产成本。</w:t>
      </w:r>
    </w:p>
    <w:p>
      <w:pPr>
        <w:spacing w:line="240" w:lineRule="auto" w:before="0"/>
        <w:rPr>
          <w:rFonts w:ascii="宋体" w:hAnsi="宋体" w:cs="宋体" w:eastAsia="宋体" w:hint="default"/>
          <w:sz w:val="24"/>
          <w:szCs w:val="24"/>
        </w:rPr>
      </w:pPr>
    </w:p>
    <w:p>
      <w:pPr>
        <w:pStyle w:val="Heading2"/>
        <w:spacing w:line="240" w:lineRule="auto" w:before="206"/>
        <w:ind w:left="138" w:right="0"/>
        <w:jc w:val="left"/>
        <w:rPr>
          <w:b w:val="0"/>
          <w:bCs w:val="0"/>
        </w:rPr>
      </w:pPr>
      <w:r>
        <w:rPr>
          <w:rFonts w:ascii="宋体" w:hAnsi="宋体" w:cs="宋体" w:eastAsia="宋体" w:hint="default"/>
        </w:rPr>
        <w:t>22.</w:t>
      </w:r>
      <w:r>
        <w:rPr>
          <w:rFonts w:ascii="宋体" w:hAnsi="宋体" w:cs="宋体" w:eastAsia="宋体" w:hint="default"/>
          <w:spacing w:val="-60"/>
        </w:rPr>
        <w:t> </w:t>
      </w:r>
      <w:r>
        <w:rPr/>
        <w:t>预计负债</w:t>
      </w:r>
      <w:r>
        <w:rPr>
          <w:b w:val="0"/>
          <w:bCs w:val="0"/>
        </w:rPr>
      </w:r>
    </w:p>
    <w:p>
      <w:pPr>
        <w:pStyle w:val="BodyText"/>
        <w:spacing w:line="240" w:lineRule="auto" w:before="116"/>
        <w:ind w:left="618" w:right="0"/>
        <w:jc w:val="left"/>
      </w:pPr>
      <w:r>
        <w:rPr/>
        <w:t>如果与或有事项相关的义务同时符合以下条件，本集团将其确认为预计负债：</w:t>
      </w:r>
    </w:p>
    <w:p>
      <w:pPr>
        <w:pStyle w:val="BodyText"/>
        <w:spacing w:line="240" w:lineRule="auto" w:before="118"/>
        <w:ind w:left="618" w:right="0"/>
        <w:jc w:val="left"/>
      </w:pPr>
      <w:r>
        <w:rPr/>
        <w:t>（</w:t>
      </w:r>
      <w:r>
        <w:rPr>
          <w:rFonts w:ascii="宋体" w:hAnsi="宋体" w:cs="宋体" w:eastAsia="宋体" w:hint="default"/>
        </w:rPr>
        <w:t>1</w:t>
      </w:r>
      <w:r>
        <w:rPr/>
        <w:t>）该义务是本集团承担的现时义务；</w:t>
      </w:r>
    </w:p>
    <w:p>
      <w:pPr>
        <w:pStyle w:val="BodyText"/>
        <w:spacing w:line="240" w:lineRule="auto" w:before="117"/>
        <w:ind w:left="618" w:right="0"/>
        <w:jc w:val="left"/>
      </w:pPr>
      <w:r>
        <w:rPr/>
        <w:t>（</w:t>
      </w:r>
      <w:r>
        <w:rPr>
          <w:rFonts w:ascii="宋体" w:hAnsi="宋体" w:cs="宋体" w:eastAsia="宋体" w:hint="default"/>
        </w:rPr>
        <w:t>2</w:t>
      </w:r>
      <w:r>
        <w:rPr/>
        <w:t>）该义务的履行很可能导致经济利益流出本集团；</w:t>
      </w:r>
    </w:p>
    <w:p>
      <w:pPr>
        <w:pStyle w:val="BodyText"/>
        <w:spacing w:line="328" w:lineRule="auto" w:before="118"/>
        <w:ind w:left="618" w:right="0"/>
        <w:jc w:val="left"/>
      </w:pPr>
      <w:r>
        <w:rPr/>
        <w:t>（</w:t>
      </w:r>
      <w:r>
        <w:rPr>
          <w:rFonts w:ascii="宋体" w:hAnsi="宋体" w:cs="宋体" w:eastAsia="宋体" w:hint="default"/>
        </w:rPr>
        <w:t>3</w:t>
      </w:r>
      <w:r>
        <w:rPr/>
        <w:t>）该义务的金额能够可靠地计量。 </w:t>
      </w:r>
      <w:r>
        <w:rPr>
          <w:spacing w:val="-2"/>
        </w:rPr>
        <w:t>预计负债按照履行相关现时义务所需支出的最佳估计数进行初始计量，并综合考</w:t>
      </w:r>
    </w:p>
    <w:p>
      <w:pPr>
        <w:pStyle w:val="BodyText"/>
        <w:spacing w:line="222" w:lineRule="exact"/>
        <w:ind w:right="0"/>
        <w:jc w:val="left"/>
      </w:pPr>
      <w:r>
        <w:rPr/>
        <w:t>虑与或有事项有关的风险、不确定性和货币时间价值等因素。货币时间价值影响重大</w:t>
      </w:r>
    </w:p>
    <w:p>
      <w:pPr>
        <w:spacing w:after="0" w:line="222" w:lineRule="exact"/>
        <w:jc w:val="left"/>
        <w:sectPr>
          <w:pgSz w:w="11910" w:h="16840"/>
          <w:pgMar w:header="882" w:footer="1194" w:top="1120" w:bottom="1380" w:left="1660" w:right="1040"/>
        </w:sectPr>
      </w:pPr>
    </w:p>
    <w:p>
      <w:pPr>
        <w:spacing w:line="240" w:lineRule="auto" w:before="9"/>
        <w:rPr>
          <w:rFonts w:ascii="宋体" w:hAnsi="宋体" w:cs="宋体" w:eastAsia="宋体" w:hint="default"/>
          <w:sz w:val="25"/>
          <w:szCs w:val="25"/>
        </w:rPr>
      </w:pPr>
    </w:p>
    <w:p>
      <w:pPr>
        <w:pStyle w:val="BodyText"/>
        <w:spacing w:line="310" w:lineRule="exact" w:before="58"/>
        <w:ind w:right="0"/>
        <w:jc w:val="left"/>
      </w:pPr>
      <w:r>
        <w:rPr>
          <w:spacing w:val="-2"/>
        </w:rPr>
        <w:t>的，通过对相关未来现金流出进行折现后确定最佳估计数。本集团于资产负债表日对</w:t>
      </w:r>
      <w:r>
        <w:rPr>
          <w:spacing w:val="-94"/>
        </w:rPr>
        <w:t> </w:t>
      </w:r>
      <w:r>
        <w:rPr>
          <w:spacing w:val="-94"/>
        </w:rPr>
      </w:r>
      <w:r>
        <w:rPr/>
        <w:t>预计负债的账面价值进行复核，并对账面价值进行调整以反映当前最佳估计数。</w:t>
      </w:r>
    </w:p>
    <w:p>
      <w:pPr>
        <w:pStyle w:val="BodyText"/>
        <w:spacing w:line="312" w:lineRule="exact" w:before="120"/>
        <w:ind w:right="353" w:firstLine="480"/>
        <w:jc w:val="both"/>
      </w:pPr>
      <w:r>
        <w:rPr>
          <w:spacing w:val="-2"/>
        </w:rPr>
        <w:t>如果清偿已确认预计负债所需支出全部或部分预期由第三方或其他方补偿，则补</w:t>
      </w:r>
      <w:r>
        <w:rPr/>
        <w:t> </w:t>
      </w:r>
      <w:r>
        <w:rPr>
          <w:spacing w:val="-2"/>
        </w:rPr>
        <w:t>偿金额只能在基本确定能收到时，作为资产单独确认。确认的补偿金额不超过所确认</w:t>
      </w:r>
      <w:r>
        <w:rPr>
          <w:spacing w:val="-94"/>
        </w:rPr>
        <w:t> </w:t>
      </w:r>
      <w:r>
        <w:rPr>
          <w:spacing w:val="-94"/>
        </w:rPr>
      </w:r>
      <w:r>
        <w:rPr/>
        <w:t>负债的账面价值。</w:t>
      </w:r>
    </w:p>
    <w:p>
      <w:pPr>
        <w:spacing w:line="240" w:lineRule="auto" w:before="0"/>
        <w:rPr>
          <w:rFonts w:ascii="宋体" w:hAnsi="宋体" w:cs="宋体" w:eastAsia="宋体" w:hint="default"/>
          <w:sz w:val="24"/>
          <w:szCs w:val="24"/>
        </w:rPr>
      </w:pPr>
    </w:p>
    <w:p>
      <w:pPr>
        <w:pStyle w:val="Heading2"/>
        <w:spacing w:line="240" w:lineRule="auto" w:before="206"/>
        <w:ind w:left="138" w:right="0"/>
        <w:jc w:val="left"/>
        <w:rPr>
          <w:b w:val="0"/>
          <w:bCs w:val="0"/>
        </w:rPr>
      </w:pPr>
      <w:r>
        <w:rPr>
          <w:rFonts w:ascii="宋体" w:hAnsi="宋体" w:cs="宋体" w:eastAsia="宋体" w:hint="default"/>
        </w:rPr>
        <w:t>23.</w:t>
      </w:r>
      <w:r>
        <w:rPr>
          <w:rFonts w:ascii="宋体" w:hAnsi="宋体" w:cs="宋体" w:eastAsia="宋体" w:hint="default"/>
          <w:spacing w:val="-60"/>
        </w:rPr>
        <w:t> </w:t>
      </w:r>
      <w:r>
        <w:rPr/>
        <w:t>股份支付</w:t>
      </w:r>
      <w:r>
        <w:rPr>
          <w:b w:val="0"/>
          <w:bCs w:val="0"/>
        </w:rPr>
      </w:r>
    </w:p>
    <w:p>
      <w:pPr>
        <w:pStyle w:val="BodyText"/>
        <w:spacing w:line="331" w:lineRule="auto" w:before="116"/>
        <w:ind w:left="618" w:right="1248" w:hanging="420"/>
        <w:jc w:val="left"/>
      </w:pPr>
      <w:r>
        <w:rPr/>
        <w:t>（</w:t>
      </w:r>
      <w:r>
        <w:rPr>
          <w:rFonts w:ascii="宋体" w:hAnsi="宋体" w:cs="宋体" w:eastAsia="宋体" w:hint="default"/>
        </w:rPr>
        <w:t>1</w:t>
      </w:r>
      <w:r>
        <w:rPr/>
        <w:t>）股份支付的种类 本集团股份支付分为以权益结算的股份支付和以现金结算的股份支付。</w:t>
      </w:r>
    </w:p>
    <w:p>
      <w:pPr>
        <w:pStyle w:val="BodyText"/>
        <w:spacing w:line="331" w:lineRule="auto" w:before="25"/>
        <w:ind w:left="618" w:right="0" w:hanging="420"/>
        <w:jc w:val="left"/>
      </w:pPr>
      <w:r>
        <w:rPr/>
        <w:t>（</w:t>
      </w:r>
      <w:r>
        <w:rPr>
          <w:rFonts w:ascii="宋体" w:hAnsi="宋体" w:cs="宋体" w:eastAsia="宋体" w:hint="default"/>
        </w:rPr>
        <w:t>2</w:t>
      </w:r>
      <w:r>
        <w:rPr/>
        <w:t>）权益工具公允价值的确定方法 </w:t>
      </w:r>
      <w:r>
        <w:rPr>
          <w:spacing w:val="-2"/>
        </w:rPr>
        <w:t>本集团对于授予的存在活跃市场的期权等权益工具，按照活跃市场中的报价确定</w:t>
      </w:r>
    </w:p>
    <w:p>
      <w:pPr>
        <w:pStyle w:val="BodyText"/>
        <w:spacing w:line="218" w:lineRule="exact"/>
        <w:ind w:right="0"/>
        <w:jc w:val="left"/>
      </w:pPr>
      <w:r>
        <w:rPr/>
        <w:t>其公允价值。对于授予的不存在活跃市场的期权等权益工具，采用期权定价模型等确</w:t>
      </w:r>
    </w:p>
    <w:p>
      <w:pPr>
        <w:pStyle w:val="BodyText"/>
        <w:spacing w:line="237" w:lineRule="auto" w:before="1"/>
        <w:ind w:right="353"/>
        <w:jc w:val="both"/>
      </w:pPr>
      <w:r>
        <w:rPr>
          <w:spacing w:val="-2"/>
        </w:rPr>
        <w:t>定其公允价值。选用的期权定价模型考虑以下因素：</w:t>
      </w:r>
      <w:r>
        <w:rPr>
          <w:rFonts w:ascii="宋体" w:hAnsi="宋体" w:cs="宋体" w:eastAsia="宋体" w:hint="default"/>
          <w:spacing w:val="-2"/>
        </w:rPr>
        <w:t>A</w:t>
      </w:r>
      <w:r>
        <w:rPr>
          <w:spacing w:val="-2"/>
        </w:rPr>
        <w:t>、期权的行权价格；</w:t>
      </w:r>
      <w:r>
        <w:rPr>
          <w:rFonts w:ascii="宋体" w:hAnsi="宋体" w:cs="宋体" w:eastAsia="宋体" w:hint="default"/>
          <w:spacing w:val="-2"/>
        </w:rPr>
        <w:t>B</w:t>
      </w:r>
      <w:r>
        <w:rPr>
          <w:spacing w:val="-2"/>
        </w:rPr>
        <w:t>、期权的</w:t>
      </w:r>
      <w:r>
        <w:rPr>
          <w:spacing w:val="-94"/>
        </w:rPr>
        <w:t> </w:t>
      </w:r>
      <w:r>
        <w:rPr>
          <w:spacing w:val="-94"/>
        </w:rPr>
      </w:r>
      <w:r>
        <w:rPr>
          <w:spacing w:val="-2"/>
        </w:rPr>
        <w:t>有效期；</w:t>
      </w:r>
      <w:r>
        <w:rPr>
          <w:rFonts w:ascii="宋体" w:hAnsi="宋体" w:cs="宋体" w:eastAsia="宋体" w:hint="default"/>
          <w:spacing w:val="-2"/>
        </w:rPr>
        <w:t>C</w:t>
      </w:r>
      <w:r>
        <w:rPr>
          <w:spacing w:val="-2"/>
        </w:rPr>
        <w:t>、标的股份的现行价格；</w:t>
      </w:r>
      <w:r>
        <w:rPr>
          <w:rFonts w:ascii="宋体" w:hAnsi="宋体" w:cs="宋体" w:eastAsia="宋体" w:hint="default"/>
          <w:spacing w:val="-2"/>
        </w:rPr>
        <w:t>D</w:t>
      </w:r>
      <w:r>
        <w:rPr>
          <w:spacing w:val="-2"/>
        </w:rPr>
        <w:t>、股价预计波动率；</w:t>
      </w:r>
      <w:r>
        <w:rPr>
          <w:rFonts w:ascii="宋体" w:hAnsi="宋体" w:cs="宋体" w:eastAsia="宋体" w:hint="default"/>
          <w:spacing w:val="-2"/>
        </w:rPr>
        <w:t>E</w:t>
      </w:r>
      <w:r>
        <w:rPr>
          <w:spacing w:val="-2"/>
        </w:rPr>
        <w:t>、股份的预计股利；</w:t>
      </w:r>
      <w:r>
        <w:rPr>
          <w:rFonts w:ascii="宋体" w:hAnsi="宋体" w:cs="宋体" w:eastAsia="宋体" w:hint="default"/>
          <w:spacing w:val="-2"/>
        </w:rPr>
        <w:t>F</w:t>
      </w:r>
      <w:r>
        <w:rPr>
          <w:spacing w:val="-2"/>
        </w:rPr>
        <w:t>、期</w:t>
      </w:r>
      <w:r>
        <w:rPr>
          <w:spacing w:val="-96"/>
        </w:rPr>
        <w:t> </w:t>
      </w:r>
      <w:r>
        <w:rPr/>
        <w:t>权有效期内的无风险利率。</w:t>
      </w:r>
    </w:p>
    <w:p>
      <w:pPr>
        <w:pStyle w:val="BodyText"/>
        <w:spacing w:line="331" w:lineRule="auto" w:before="117"/>
        <w:ind w:left="618" w:right="0" w:hanging="420"/>
        <w:jc w:val="left"/>
      </w:pPr>
      <w:r>
        <w:rPr/>
        <w:t>（</w:t>
      </w:r>
      <w:r>
        <w:rPr>
          <w:rFonts w:ascii="宋体" w:hAnsi="宋体" w:cs="宋体" w:eastAsia="宋体" w:hint="default"/>
        </w:rPr>
        <w:t>3</w:t>
      </w:r>
      <w:r>
        <w:rPr/>
        <w:t>）确认可行权权益工具最佳估计的依据 </w:t>
      </w:r>
      <w:r>
        <w:rPr>
          <w:spacing w:val="-2"/>
        </w:rPr>
        <w:t>等待期内每个资产负债表日，本集团根据最新取得的可行权职工人数变动等后续</w:t>
      </w:r>
    </w:p>
    <w:p>
      <w:pPr>
        <w:pStyle w:val="BodyText"/>
        <w:spacing w:line="219" w:lineRule="exact"/>
        <w:ind w:right="0"/>
        <w:jc w:val="left"/>
      </w:pPr>
      <w:r>
        <w:rPr/>
        <w:t>信息作出最佳估计，修正预计可行权的权益工具数量。在可行权日，最终预计可行权</w:t>
      </w:r>
    </w:p>
    <w:p>
      <w:pPr>
        <w:pStyle w:val="BodyText"/>
        <w:spacing w:line="313" w:lineRule="exact"/>
        <w:ind w:right="0"/>
        <w:jc w:val="left"/>
      </w:pPr>
      <w:r>
        <w:rPr/>
        <w:t>权益工具的数量应当与实际可行权数量一致。</w:t>
      </w:r>
    </w:p>
    <w:p>
      <w:pPr>
        <w:pStyle w:val="BodyText"/>
        <w:spacing w:line="328" w:lineRule="auto" w:before="116"/>
        <w:ind w:left="618" w:right="0" w:hanging="420"/>
        <w:jc w:val="left"/>
      </w:pPr>
      <w:r>
        <w:rPr/>
        <w:t>（</w:t>
      </w:r>
      <w:r>
        <w:rPr>
          <w:rFonts w:ascii="宋体" w:hAnsi="宋体" w:cs="宋体" w:eastAsia="宋体" w:hint="default"/>
        </w:rPr>
        <w:t>4</w:t>
      </w:r>
      <w:r>
        <w:rPr/>
        <w:t>）实施、修改、终止股份支付计划的相关会计处理 </w:t>
      </w:r>
      <w:r>
        <w:rPr>
          <w:spacing w:val="-2"/>
        </w:rPr>
        <w:t>以权益结算的股份支付，按授予职工权益工具的公允价值计量。授予后立即可行</w:t>
      </w:r>
    </w:p>
    <w:p>
      <w:pPr>
        <w:pStyle w:val="BodyText"/>
        <w:spacing w:line="222" w:lineRule="exact"/>
        <w:ind w:right="0"/>
        <w:jc w:val="left"/>
      </w:pPr>
      <w:r>
        <w:rPr/>
        <w:t>权的，在授予日按照权益工具的公允价值计入相关成本或费用，相应增加资本公积。</w:t>
      </w:r>
    </w:p>
    <w:p>
      <w:pPr>
        <w:pStyle w:val="BodyText"/>
        <w:spacing w:line="237" w:lineRule="auto" w:before="1"/>
        <w:ind w:right="0"/>
        <w:jc w:val="left"/>
      </w:pPr>
      <w:r>
        <w:rPr/>
        <w:t>在完成等待期内的服务或达到规定业绩条件才可行权的，在等待期内的每个资产负债 </w:t>
      </w:r>
      <w:r>
        <w:rPr>
          <w:spacing w:val="-5"/>
        </w:rPr>
        <w:t>表日，以对可行权权益工具数量的最佳估计为基础，按照权益工具授予日的公允价值，</w:t>
      </w:r>
      <w:r>
        <w:rPr>
          <w:spacing w:val="-98"/>
        </w:rPr>
        <w:t> </w:t>
      </w:r>
      <w:r>
        <w:rPr>
          <w:spacing w:val="-98"/>
        </w:rPr>
      </w:r>
      <w:r>
        <w:rPr/>
        <w:t>将当期取得的服务计入相关成本或费用和资本公积。在可行权日之后不再对已确认的</w:t>
      </w:r>
      <w:r>
        <w:rPr/>
        <w:t> 相关成本或费用和所有者权益总额进行调整。</w:t>
      </w:r>
    </w:p>
    <w:p>
      <w:pPr>
        <w:pStyle w:val="BodyText"/>
        <w:spacing w:line="237" w:lineRule="auto" w:before="121"/>
        <w:ind w:right="0" w:firstLine="480"/>
        <w:jc w:val="left"/>
      </w:pPr>
      <w:r>
        <w:rPr/>
        <w:t>以现金结算的股份支付，按照本集团承担的以股份或其他权益工具为基础计算确 定的负债的公允价值计量。授予后立即可行权的，在授予日以本集团承担负债的公允 价值计入相关成本或费用，相应增加负债。在完成等待期内的服务或达到规定业绩条 件以后才可行权的以现金结算的股份支付，在等待期内的每个资产负债表日，以对可 行权情况的最佳估计为基础，按照本集团承担负债的公允价值金额，将当期取得的服 </w:t>
      </w:r>
      <w:r>
        <w:rPr>
          <w:spacing w:val="-2"/>
        </w:rPr>
        <w:t>务计入成本或费用和相应的负债。在相关负债结算前的每个资产负债表日以及结算日，</w:t>
      </w:r>
      <w:r>
        <w:rPr>
          <w:spacing w:val="-91"/>
        </w:rPr>
        <w:t> </w:t>
      </w:r>
      <w:r>
        <w:rPr>
          <w:spacing w:val="-91"/>
        </w:rPr>
      </w:r>
      <w:r>
        <w:rPr/>
        <w:t>对负债的公允价值重新计量，其变动计入当期损益。</w:t>
      </w:r>
    </w:p>
    <w:p>
      <w:pPr>
        <w:pStyle w:val="BodyText"/>
        <w:spacing w:line="237" w:lineRule="auto" w:before="120"/>
        <w:ind w:right="0" w:firstLine="480"/>
        <w:jc w:val="left"/>
      </w:pPr>
      <w:r>
        <w:rPr/>
        <w:t>本集团对股份支付计划进行修改时，若修改增加了所授予权益工具的公允价值， 按照权益工具公允价值的增加相应地确认取得服务的增加；若修改增加了所授予权益 工具的数量，则将增加的权益工具的公允价值相应地确认为取得服务的增加。权益工 具公允价值的增加是指修改前后的权益工具在修改日的公允价值之间的差额。若修改 减少了股份支付公允价值总额或采用了其他不利于职工的方式修改股份支付计划的</w:t>
      </w:r>
    </w:p>
    <w:p>
      <w:pPr>
        <w:spacing w:after="0" w:line="237" w:lineRule="auto"/>
        <w:jc w:val="left"/>
        <w:sectPr>
          <w:pgSz w:w="11910" w:h="16840"/>
          <w:pgMar w:header="882" w:footer="1194" w:top="1120" w:bottom="1380" w:left="1660" w:right="920"/>
        </w:sectPr>
      </w:pPr>
    </w:p>
    <w:p>
      <w:pPr>
        <w:spacing w:line="240" w:lineRule="auto" w:before="9"/>
        <w:rPr>
          <w:rFonts w:ascii="宋体" w:hAnsi="宋体" w:cs="宋体" w:eastAsia="宋体" w:hint="default"/>
          <w:sz w:val="25"/>
          <w:szCs w:val="25"/>
        </w:rPr>
      </w:pPr>
    </w:p>
    <w:p>
      <w:pPr>
        <w:pStyle w:val="BodyText"/>
        <w:spacing w:line="310" w:lineRule="exact" w:before="58"/>
        <w:ind w:right="0"/>
        <w:jc w:val="left"/>
      </w:pPr>
      <w:r>
        <w:rPr>
          <w:spacing w:val="-2"/>
        </w:rPr>
        <w:t>条款和条件，则仍继续对取得的服务进行会计处理，视同该变更从未发生，除非本集</w:t>
      </w:r>
      <w:r>
        <w:rPr>
          <w:spacing w:val="-94"/>
        </w:rPr>
        <w:t> </w:t>
      </w:r>
      <w:r>
        <w:rPr>
          <w:spacing w:val="-94"/>
        </w:rPr>
      </w:r>
      <w:r>
        <w:rPr/>
        <w:t>团取消了部分或全部已授予的权益工具。</w:t>
      </w:r>
    </w:p>
    <w:p>
      <w:pPr>
        <w:pStyle w:val="BodyText"/>
        <w:spacing w:line="312" w:lineRule="exact" w:before="120"/>
        <w:ind w:right="233" w:firstLine="480"/>
        <w:jc w:val="both"/>
      </w:pPr>
      <w:r>
        <w:rPr>
          <w:spacing w:val="-2"/>
        </w:rPr>
        <w:t>在等待期内，如果取消了授予的权益工具（因未满足可行权条件的非市场条件而</w:t>
      </w:r>
      <w:r>
        <w:rPr/>
        <w:t> </w:t>
      </w:r>
      <w:r>
        <w:rPr>
          <w:spacing w:val="-2"/>
        </w:rPr>
        <w:t>被取消的除外），本集团对取消所授予的权益性工具作为加速行权处理，将剩余等待</w:t>
      </w:r>
      <w:r>
        <w:rPr>
          <w:spacing w:val="-94"/>
        </w:rPr>
        <w:t> </w:t>
      </w:r>
      <w:r>
        <w:rPr>
          <w:spacing w:val="-94"/>
        </w:rPr>
      </w:r>
      <w:r>
        <w:rPr>
          <w:spacing w:val="-2"/>
        </w:rPr>
        <w:t>期内应确认的金额立即计入当期损益，同时确认资本公积。职工或其他方能够选择满</w:t>
      </w:r>
    </w:p>
    <w:p>
      <w:pPr>
        <w:pStyle w:val="BodyText"/>
        <w:spacing w:line="283" w:lineRule="exact"/>
        <w:ind w:right="0"/>
        <w:jc w:val="left"/>
      </w:pPr>
      <w:r>
        <w:rPr/>
        <w:t>足非可行权条件但在等待期内未满足的，本集团将其作为授予权益工具的取消处理。</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pStyle w:val="Heading2"/>
        <w:spacing w:line="240" w:lineRule="auto" w:before="0"/>
        <w:ind w:left="138" w:right="0"/>
        <w:jc w:val="left"/>
        <w:rPr>
          <w:b w:val="0"/>
          <w:bCs w:val="0"/>
        </w:rPr>
      </w:pPr>
      <w:r>
        <w:rPr>
          <w:rFonts w:ascii="宋体" w:hAnsi="宋体" w:cs="宋体" w:eastAsia="宋体" w:hint="default"/>
        </w:rPr>
        <w:t>24.</w:t>
      </w:r>
      <w:r>
        <w:rPr>
          <w:rFonts w:ascii="宋体" w:hAnsi="宋体" w:cs="宋体" w:eastAsia="宋体" w:hint="default"/>
          <w:spacing w:val="-60"/>
        </w:rPr>
        <w:t> </w:t>
      </w:r>
      <w:r>
        <w:rPr/>
        <w:t>收入</w:t>
      </w:r>
      <w:r>
        <w:rPr>
          <w:b w:val="0"/>
          <w:bCs w:val="0"/>
        </w:rPr>
      </w:r>
    </w:p>
    <w:p>
      <w:pPr>
        <w:pStyle w:val="BodyText"/>
        <w:spacing w:line="240" w:lineRule="auto" w:before="118"/>
        <w:ind w:left="198" w:right="0"/>
        <w:jc w:val="left"/>
      </w:pPr>
      <w:r>
        <w:rPr/>
        <w:t>（</w:t>
      </w:r>
      <w:r>
        <w:rPr>
          <w:rFonts w:ascii="宋体" w:hAnsi="宋体" w:cs="宋体" w:eastAsia="宋体" w:hint="default"/>
        </w:rPr>
        <w:t>1</w:t>
      </w:r>
      <w:r>
        <w:rPr/>
        <w:t>）一般原则</w:t>
      </w:r>
    </w:p>
    <w:p>
      <w:pPr>
        <w:pStyle w:val="BodyText"/>
        <w:spacing w:line="331" w:lineRule="auto" w:before="116"/>
        <w:ind w:left="618" w:right="0"/>
        <w:jc w:val="left"/>
      </w:pPr>
      <w:r>
        <w:rPr/>
        <w:t>①销售商品 </w:t>
      </w:r>
      <w:r>
        <w:rPr>
          <w:spacing w:val="-2"/>
        </w:rPr>
        <w:t>在已将商品所有权上的主要风险和报酬转移给购货方，既没有保留通常与所有权</w:t>
      </w:r>
    </w:p>
    <w:p>
      <w:pPr>
        <w:pStyle w:val="BodyText"/>
        <w:spacing w:line="218" w:lineRule="exact"/>
        <w:ind w:right="0"/>
        <w:jc w:val="left"/>
      </w:pPr>
      <w:r>
        <w:rPr>
          <w:spacing w:val="-5"/>
        </w:rPr>
        <w:t>相联系的继续管理权，也没有对已售商品实施有效控制，收入的金额能够可靠地计量，</w:t>
      </w:r>
    </w:p>
    <w:p>
      <w:pPr>
        <w:pStyle w:val="BodyText"/>
        <w:spacing w:line="312" w:lineRule="exact" w:before="29"/>
        <w:ind w:right="0"/>
        <w:jc w:val="left"/>
      </w:pPr>
      <w:r>
        <w:rPr/>
        <w:t>相关的经济利益很可能流入企业，相关的已发生或将发生的成本能够可靠地计量时，</w:t>
      </w:r>
      <w:r>
        <w:rPr>
          <w:spacing w:val="-62"/>
        </w:rPr>
        <w:t> </w:t>
      </w:r>
      <w:r>
        <w:rPr>
          <w:spacing w:val="-62"/>
        </w:rPr>
      </w:r>
      <w:r>
        <w:rPr/>
        <w:t>确认商品销售收入的实现。</w:t>
      </w:r>
    </w:p>
    <w:p>
      <w:pPr>
        <w:pStyle w:val="BodyText"/>
        <w:spacing w:line="328" w:lineRule="auto" w:before="88"/>
        <w:ind w:left="618" w:right="0"/>
        <w:jc w:val="left"/>
      </w:pPr>
      <w:r>
        <w:rPr/>
        <w:t>②提供劳务 </w:t>
      </w:r>
      <w:r>
        <w:rPr>
          <w:spacing w:val="-2"/>
        </w:rPr>
        <w:t>对在提供劳务交易的结果能够可靠估计的情况下，本集团于资产负债表日按完工</w:t>
      </w:r>
    </w:p>
    <w:p>
      <w:pPr>
        <w:pStyle w:val="BodyText"/>
        <w:spacing w:line="223" w:lineRule="exact"/>
        <w:ind w:right="0"/>
        <w:jc w:val="left"/>
      </w:pPr>
      <w:r>
        <w:rPr/>
        <w:t>百分比法确认收入。</w:t>
      </w:r>
    </w:p>
    <w:p>
      <w:pPr>
        <w:pStyle w:val="BodyText"/>
        <w:spacing w:line="331" w:lineRule="auto" w:before="116"/>
        <w:ind w:left="618" w:right="288"/>
        <w:jc w:val="left"/>
      </w:pPr>
      <w:r>
        <w:rPr/>
        <w:t>劳务交易的完工进度按已经发生的劳务成本占估计总成本的比例确定。 提供劳务交易的结果能够可靠估计是指同时满足：</w:t>
      </w:r>
      <w:r>
        <w:rPr>
          <w:rFonts w:ascii="宋体" w:hAnsi="宋体" w:cs="宋体" w:eastAsia="宋体" w:hint="default"/>
        </w:rPr>
        <w:t>A</w:t>
      </w:r>
      <w:r>
        <w:rPr/>
        <w:t>、收入的金额能够可靠地计</w:t>
      </w:r>
    </w:p>
    <w:p>
      <w:pPr>
        <w:pStyle w:val="BodyText"/>
        <w:spacing w:line="218" w:lineRule="exact"/>
        <w:ind w:right="0"/>
        <w:jc w:val="left"/>
      </w:pPr>
      <w:r>
        <w:rPr/>
        <w:t>量；</w:t>
      </w:r>
      <w:r>
        <w:rPr>
          <w:rFonts w:ascii="宋体" w:hAnsi="宋体" w:cs="宋体" w:eastAsia="宋体" w:hint="default"/>
        </w:rPr>
        <w:t>B</w:t>
      </w:r>
      <w:r>
        <w:rPr/>
        <w:t>、相关的经济利益很可能流入企业；</w:t>
      </w:r>
      <w:r>
        <w:rPr>
          <w:rFonts w:ascii="宋体" w:hAnsi="宋体" w:cs="宋体" w:eastAsia="宋体" w:hint="default"/>
        </w:rPr>
        <w:t>C</w:t>
      </w:r>
      <w:r>
        <w:rPr/>
        <w:t>、交易的完工程度能够可靠地确定；</w:t>
      </w:r>
      <w:r>
        <w:rPr>
          <w:rFonts w:ascii="宋体" w:hAnsi="宋体" w:cs="宋体" w:eastAsia="宋体" w:hint="default"/>
        </w:rPr>
        <w:t>D</w:t>
      </w:r>
      <w:r>
        <w:rPr/>
        <w:t>、</w:t>
      </w:r>
    </w:p>
    <w:p>
      <w:pPr>
        <w:pStyle w:val="BodyText"/>
        <w:spacing w:line="331" w:lineRule="auto"/>
        <w:ind w:left="618" w:right="0" w:hanging="480"/>
        <w:jc w:val="left"/>
      </w:pPr>
      <w:r>
        <w:rPr/>
        <w:t>交易中已发生和将发生的成本能够可靠地计量。 </w:t>
      </w:r>
      <w:r>
        <w:rPr>
          <w:spacing w:val="-2"/>
        </w:rPr>
        <w:t>如果提供劳务交易的结果不能够可靠估计，则按已经发生并预计能够得到补偿的</w:t>
      </w:r>
    </w:p>
    <w:p>
      <w:pPr>
        <w:pStyle w:val="BodyText"/>
        <w:spacing w:line="218" w:lineRule="exact"/>
        <w:ind w:right="0"/>
        <w:jc w:val="left"/>
      </w:pPr>
      <w:r>
        <w:rPr/>
        <w:t>劳务成本金额确认提供的劳务收入，并将已发生的劳务成本作为当期费用。已经发生</w:t>
      </w:r>
    </w:p>
    <w:p>
      <w:pPr>
        <w:pStyle w:val="BodyText"/>
        <w:spacing w:line="312" w:lineRule="exact"/>
        <w:ind w:right="0"/>
        <w:jc w:val="left"/>
      </w:pPr>
      <w:r>
        <w:rPr/>
        <w:t>的劳务成本如预计不能得到补偿的，则不确认收入。</w:t>
      </w:r>
    </w:p>
    <w:p>
      <w:pPr>
        <w:pStyle w:val="BodyText"/>
        <w:spacing w:line="328" w:lineRule="auto" w:before="118"/>
        <w:ind w:left="618" w:right="0"/>
        <w:jc w:val="left"/>
      </w:pPr>
      <w:r>
        <w:rPr/>
        <w:t>③让渡资产使用权 </w:t>
      </w:r>
      <w:r>
        <w:rPr>
          <w:spacing w:val="-2"/>
        </w:rPr>
        <w:t>与资产使用权让渡相关的经济利益能够流入及收入的金额能够可靠地计量时，本</w:t>
      </w:r>
    </w:p>
    <w:p>
      <w:pPr>
        <w:pStyle w:val="BodyText"/>
        <w:spacing w:line="223" w:lineRule="exact"/>
        <w:ind w:right="0"/>
        <w:jc w:val="left"/>
      </w:pPr>
      <w:r>
        <w:rPr/>
        <w:t>集团确认收入。</w:t>
      </w:r>
    </w:p>
    <w:p>
      <w:pPr>
        <w:pStyle w:val="BodyText"/>
        <w:spacing w:line="240" w:lineRule="auto" w:before="116"/>
        <w:ind w:left="198" w:right="0"/>
        <w:jc w:val="left"/>
      </w:pPr>
      <w:r>
        <w:rPr/>
        <w:t>（</w:t>
      </w:r>
      <w:r>
        <w:rPr>
          <w:rFonts w:ascii="宋体" w:hAnsi="宋体" w:cs="宋体" w:eastAsia="宋体" w:hint="default"/>
        </w:rPr>
        <w:t>2</w:t>
      </w:r>
      <w:r>
        <w:rPr/>
        <w:t>）收入确认的具体方法</w:t>
      </w:r>
    </w:p>
    <w:p>
      <w:pPr>
        <w:pStyle w:val="BodyText"/>
        <w:spacing w:line="331" w:lineRule="auto" w:before="116"/>
        <w:ind w:left="618" w:right="0"/>
        <w:jc w:val="left"/>
      </w:pPr>
      <w:r>
        <w:rPr/>
        <w:t>①简单系统集成 </w:t>
      </w:r>
      <w:r>
        <w:rPr>
          <w:spacing w:val="-2"/>
        </w:rPr>
        <w:t>对于不需要安装验收或只需简单测试的系统集成销售，在合同已签订，货物已交</w:t>
      </w:r>
    </w:p>
    <w:p>
      <w:pPr>
        <w:pStyle w:val="BodyText"/>
        <w:spacing w:line="220" w:lineRule="exact"/>
        <w:ind w:right="0"/>
        <w:jc w:val="left"/>
      </w:pPr>
      <w:r>
        <w:rPr/>
        <w:t>付并取得买方确认的货物签收单时确认收入。</w:t>
      </w:r>
    </w:p>
    <w:p>
      <w:pPr>
        <w:pStyle w:val="BodyText"/>
        <w:spacing w:line="331" w:lineRule="auto" w:before="116"/>
        <w:ind w:left="618" w:right="0"/>
        <w:jc w:val="left"/>
      </w:pPr>
      <w:r>
        <w:rPr/>
        <w:t>②复杂系统集成 </w:t>
      </w:r>
      <w:r>
        <w:rPr>
          <w:spacing w:val="-2"/>
        </w:rPr>
        <w:t>对于需要安装验收的系统集成销售，在合同已签订，货物已交付并取得买方确认</w:t>
      </w:r>
    </w:p>
    <w:p>
      <w:pPr>
        <w:pStyle w:val="BodyText"/>
        <w:spacing w:line="220" w:lineRule="exact"/>
        <w:ind w:right="0"/>
        <w:jc w:val="left"/>
      </w:pPr>
      <w:r>
        <w:rPr/>
        <w:t>的安装验收报告时确认收入。</w:t>
      </w:r>
    </w:p>
    <w:p>
      <w:pPr>
        <w:pStyle w:val="BodyText"/>
        <w:spacing w:line="240" w:lineRule="auto" w:before="118"/>
        <w:ind w:left="618" w:right="0"/>
        <w:jc w:val="left"/>
      </w:pPr>
      <w:r>
        <w:rPr/>
        <w:t>③开发服务收入</w:t>
      </w:r>
    </w:p>
    <w:p>
      <w:pPr>
        <w:pStyle w:val="BodyText"/>
        <w:spacing w:line="240" w:lineRule="auto" w:before="116"/>
        <w:ind w:left="618" w:right="0"/>
        <w:jc w:val="left"/>
      </w:pPr>
      <w:r>
        <w:rPr/>
        <w:t>对于开发服务在交易结果能够可靠估计的情况下，采用完工百分比法确认收入。</w:t>
      </w:r>
    </w:p>
    <w:p>
      <w:pPr>
        <w:spacing w:after="0" w:line="240" w:lineRule="auto"/>
        <w:jc w:val="left"/>
        <w:sectPr>
          <w:pgSz w:w="11910" w:h="16840"/>
          <w:pgMar w:header="882" w:footer="1194" w:top="1120" w:bottom="1380" w:left="1660" w:right="1040"/>
        </w:sectPr>
      </w:pPr>
    </w:p>
    <w:p>
      <w:pPr>
        <w:spacing w:line="240" w:lineRule="auto" w:before="9"/>
        <w:rPr>
          <w:rFonts w:ascii="宋体" w:hAnsi="宋体" w:cs="宋体" w:eastAsia="宋体" w:hint="default"/>
          <w:sz w:val="25"/>
          <w:szCs w:val="25"/>
        </w:rPr>
      </w:pPr>
    </w:p>
    <w:p>
      <w:pPr>
        <w:pStyle w:val="BodyText"/>
        <w:spacing w:line="328" w:lineRule="auto" w:before="26"/>
        <w:ind w:left="618" w:right="0"/>
        <w:jc w:val="left"/>
      </w:pPr>
      <w:r>
        <w:rPr/>
        <w:t>④专业服务收入 </w:t>
      </w:r>
      <w:r>
        <w:rPr>
          <w:spacing w:val="-2"/>
        </w:rPr>
        <w:t>对于一次性提供的专业服务，在服务已经提供，收入已经取得或取得了收款的凭</w:t>
      </w:r>
    </w:p>
    <w:p>
      <w:pPr>
        <w:pStyle w:val="BodyText"/>
        <w:spacing w:line="222" w:lineRule="exact"/>
        <w:ind w:right="0"/>
        <w:jc w:val="left"/>
      </w:pPr>
      <w:r>
        <w:rPr/>
        <w:t>据时确认收入；对于需在一定期限内（不跨年度）提供的专业服务，在服务期满时，</w:t>
      </w:r>
    </w:p>
    <w:p>
      <w:pPr>
        <w:pStyle w:val="BodyText"/>
        <w:spacing w:line="310" w:lineRule="exact" w:before="31"/>
        <w:ind w:right="0"/>
        <w:jc w:val="left"/>
      </w:pPr>
      <w:r>
        <w:rPr/>
        <w:t>根据已签订的专业服务合同总金额确认收入；对于需在一定期限内（跨年度）提供的 </w:t>
      </w:r>
      <w:r>
        <w:rPr>
          <w:spacing w:val="-5"/>
        </w:rPr>
        <w:t>专业服务，在资产负债表日，根据已签订的专业服务合同总金额及时间比例确认收入。</w:t>
      </w:r>
    </w:p>
    <w:p>
      <w:pPr>
        <w:pStyle w:val="BodyText"/>
        <w:spacing w:line="328" w:lineRule="auto" w:before="89"/>
        <w:ind w:left="618" w:right="0"/>
        <w:jc w:val="left"/>
      </w:pPr>
      <w:r>
        <w:rPr/>
        <w:t>⑤金融服务类收入 </w:t>
      </w:r>
      <w:r>
        <w:rPr>
          <w:spacing w:val="-2"/>
        </w:rPr>
        <w:t>融资租赁收入，自租赁开始日，将未确认融资收益按实际利率法确认为当期的融</w:t>
      </w:r>
    </w:p>
    <w:p>
      <w:pPr>
        <w:pStyle w:val="BodyText"/>
        <w:spacing w:line="222" w:lineRule="exact"/>
        <w:ind w:right="0"/>
        <w:jc w:val="left"/>
      </w:pPr>
      <w:r>
        <w:rPr/>
        <w:t>资租赁收入。</w:t>
      </w:r>
    </w:p>
    <w:p>
      <w:pPr>
        <w:pStyle w:val="BodyText"/>
        <w:spacing w:line="310" w:lineRule="exact" w:before="150"/>
        <w:ind w:right="0" w:firstLine="480"/>
        <w:jc w:val="left"/>
      </w:pPr>
      <w:r>
        <w:rPr>
          <w:spacing w:val="-2"/>
        </w:rPr>
        <w:t>其他金融服务类收入，在服务已经提供，收入已经取得或取得了收款的凭据时确</w:t>
      </w:r>
      <w:r>
        <w:rPr/>
        <w:t> 认收入。</w:t>
      </w:r>
    </w:p>
    <w:p>
      <w:pPr>
        <w:spacing w:line="240" w:lineRule="auto" w:before="0"/>
        <w:rPr>
          <w:rFonts w:ascii="宋体" w:hAnsi="宋体" w:cs="宋体" w:eastAsia="宋体" w:hint="default"/>
          <w:sz w:val="24"/>
          <w:szCs w:val="24"/>
        </w:rPr>
      </w:pPr>
    </w:p>
    <w:p>
      <w:pPr>
        <w:pStyle w:val="Heading2"/>
        <w:spacing w:line="328" w:lineRule="auto" w:before="206"/>
        <w:ind w:left="138" w:right="2958"/>
        <w:jc w:val="left"/>
        <w:rPr>
          <w:b w:val="0"/>
          <w:bCs w:val="0"/>
        </w:rPr>
      </w:pPr>
      <w:r>
        <w:rPr>
          <w:rFonts w:ascii="宋体" w:hAnsi="宋体" w:cs="宋体" w:eastAsia="宋体" w:hint="default"/>
        </w:rPr>
        <w:t>25.</w:t>
      </w:r>
      <w:r>
        <w:rPr>
          <w:rFonts w:ascii="宋体" w:hAnsi="宋体" w:cs="宋体" w:eastAsia="宋体" w:hint="default"/>
          <w:spacing w:val="-59"/>
        </w:rPr>
        <w:t> </w:t>
      </w:r>
      <w:r>
        <w:rPr/>
        <w:t>政府补助</w:t>
      </w:r>
      <w:r>
        <w:rPr>
          <w:spacing w:val="1"/>
          <w:w w:val="99"/>
        </w:rPr>
        <w:t> </w:t>
      </w:r>
      <w:r>
        <w:rPr>
          <w:rFonts w:ascii="宋体" w:hAnsi="宋体" w:cs="宋体" w:eastAsia="宋体" w:hint="default"/>
          <w:w w:val="95"/>
        </w:rPr>
        <w:t>(1)</w:t>
      </w:r>
      <w:r>
        <w:rPr>
          <w:w w:val="95"/>
        </w:rPr>
        <w:t>、与资产相关的政府补助判断依据及会计处理方法</w:t>
      </w:r>
      <w:r>
        <w:rPr>
          <w:b w:val="0"/>
          <w:bCs w:val="0"/>
        </w:rPr>
      </w:r>
    </w:p>
    <w:p>
      <w:pPr>
        <w:pStyle w:val="BodyText"/>
        <w:spacing w:line="328" w:lineRule="auto" w:before="29"/>
        <w:ind w:left="618" w:right="0"/>
        <w:jc w:val="left"/>
      </w:pPr>
      <w:r>
        <w:rPr/>
        <w:t>政府补助在满足政府补助所附条件并能够收到时确认。 </w:t>
      </w:r>
      <w:r>
        <w:rPr>
          <w:spacing w:val="-2"/>
        </w:rPr>
        <w:t>对于货币性资产的政府补助，按照收到或应收的金额计量。其中，对期末有确凿</w:t>
      </w:r>
    </w:p>
    <w:p>
      <w:pPr>
        <w:pStyle w:val="BodyText"/>
        <w:spacing w:line="221" w:lineRule="exact"/>
        <w:ind w:right="0"/>
        <w:jc w:val="left"/>
      </w:pPr>
      <w:r>
        <w:rPr/>
        <w:t>证据表明能够符合财政扶持政策规定的相关条件且预计能够收到财政扶持资金时，按</w:t>
      </w:r>
    </w:p>
    <w:p>
      <w:pPr>
        <w:pStyle w:val="BodyText"/>
        <w:spacing w:line="310" w:lineRule="exact" w:before="31"/>
        <w:ind w:right="0"/>
        <w:jc w:val="left"/>
      </w:pPr>
      <w:r>
        <w:rPr>
          <w:spacing w:val="-2"/>
        </w:rPr>
        <w:t>应收金额计量；否则，按照实际收到的金额计量。对于非货币性资产的政府补助，按</w:t>
      </w:r>
      <w:r>
        <w:rPr>
          <w:spacing w:val="-94"/>
        </w:rPr>
        <w:t> </w:t>
      </w:r>
      <w:r>
        <w:rPr>
          <w:spacing w:val="-94"/>
        </w:rPr>
      </w:r>
      <w:r>
        <w:rPr/>
        <w:t>照公允价值计量；公允价值不能够可靠取得的，按照名义金额</w:t>
      </w:r>
      <w:r>
        <w:rPr>
          <w:spacing w:val="-60"/>
        </w:rPr>
        <w:t> </w:t>
      </w:r>
      <w:r>
        <w:rPr>
          <w:rFonts w:ascii="宋体" w:hAnsi="宋体" w:cs="宋体" w:eastAsia="宋体" w:hint="default"/>
        </w:rPr>
        <w:t>1</w:t>
      </w:r>
      <w:r>
        <w:rPr>
          <w:rFonts w:ascii="宋体" w:hAnsi="宋体" w:cs="宋体" w:eastAsia="宋体" w:hint="default"/>
          <w:spacing w:val="-60"/>
        </w:rPr>
        <w:t> </w:t>
      </w:r>
      <w:r>
        <w:rPr/>
        <w:t>元计量。</w:t>
      </w:r>
    </w:p>
    <w:p>
      <w:pPr>
        <w:pStyle w:val="BodyText"/>
        <w:spacing w:line="310" w:lineRule="exact" w:before="122"/>
        <w:ind w:right="0" w:firstLine="480"/>
        <w:jc w:val="left"/>
      </w:pPr>
      <w:r>
        <w:rPr>
          <w:spacing w:val="-2"/>
        </w:rPr>
        <w:t>与资产相关的政府补助，是指本集团取得的、用于购建或以其他方式形成长期资</w:t>
      </w:r>
      <w:r>
        <w:rPr/>
        <w:t> 产的政府补助；除此之外，作为与收益相关的政府补助。</w:t>
      </w:r>
    </w:p>
    <w:p>
      <w:pPr>
        <w:pStyle w:val="BodyText"/>
        <w:spacing w:line="313" w:lineRule="exact" w:before="88"/>
        <w:ind w:left="618" w:right="0"/>
        <w:jc w:val="left"/>
      </w:pPr>
      <w:r>
        <w:rPr/>
        <w:t>对于政府文件未明确规定补助对象的，能够形成长期资产的，与资产价值相对应</w:t>
      </w:r>
    </w:p>
    <w:p>
      <w:pPr>
        <w:pStyle w:val="BodyText"/>
        <w:spacing w:line="310" w:lineRule="exact" w:before="31"/>
        <w:ind w:right="0"/>
        <w:jc w:val="left"/>
      </w:pPr>
      <w:r>
        <w:rPr/>
        <w:t>的政府补助部分作为与资产相关的政府补助，其余部分作为与收益相关的政府补助；</w:t>
      </w:r>
      <w:r>
        <w:rPr>
          <w:spacing w:val="-59"/>
        </w:rPr>
        <w:t> </w:t>
      </w:r>
      <w:r>
        <w:rPr>
          <w:spacing w:val="-59"/>
        </w:rPr>
      </w:r>
      <w:r>
        <w:rPr/>
        <w:t>难以区分的，将政府补助整体作为与收益相关的政府补助。</w:t>
      </w:r>
    </w:p>
    <w:p>
      <w:pPr>
        <w:pStyle w:val="BodyText"/>
        <w:spacing w:line="237" w:lineRule="auto" w:before="91"/>
        <w:ind w:right="0" w:firstLine="480"/>
        <w:jc w:val="left"/>
      </w:pPr>
      <w:r>
        <w:rPr/>
        <w:t>与资产相关的政府补助，确认为递延收益，并在相关资产使用期限内平均分配， 计入当期损益。与收益相关的政府补助，如果用于补偿已发生的相关费用或损失，则 计入当期损益；如果用于补偿以后期间的相关费用或损失，则计入递延收益，于费用 确认期间计入当期损益。按照名义金额计量的政府补助，直接计入当期损益。</w:t>
      </w:r>
    </w:p>
    <w:p>
      <w:pPr>
        <w:spacing w:line="328" w:lineRule="auto" w:before="117"/>
        <w:ind w:left="618" w:right="0" w:hanging="48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、与收益相关的政府补助判断依据及会计处理方法</w:t>
      </w:r>
      <w:r>
        <w:rPr>
          <w:rFonts w:ascii="宋体" w:hAnsi="宋体" w:cs="宋体" w:eastAsia="宋体" w:hint="default"/>
          <w:b/>
          <w:bCs/>
          <w:w w:val="99"/>
          <w:sz w:val="24"/>
          <w:szCs w:val="24"/>
        </w:rPr>
        <w:t> </w:t>
      </w:r>
      <w:r>
        <w:rPr>
          <w:rFonts w:ascii="宋体" w:hAnsi="宋体" w:cs="宋体" w:eastAsia="宋体" w:hint="default"/>
          <w:spacing w:val="-2"/>
          <w:sz w:val="24"/>
          <w:szCs w:val="24"/>
        </w:rPr>
        <w:t>已确认的政府补助需要返还时，存在相关递延收益余额的，冲减相关递延收益账</w:t>
      </w:r>
    </w:p>
    <w:p>
      <w:pPr>
        <w:pStyle w:val="BodyText"/>
        <w:spacing w:line="223" w:lineRule="exact"/>
        <w:ind w:right="0"/>
        <w:jc w:val="left"/>
      </w:pPr>
      <w:r>
        <w:rPr/>
        <w:t>面余额，超出部分计入当期损益；不存在相关递延收益的，直接计入当期损益。</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spacing w:line="331" w:lineRule="auto" w:before="0"/>
        <w:ind w:left="618" w:right="0" w:hanging="480"/>
        <w:jc w:val="left"/>
        <w:rPr>
          <w:rFonts w:ascii="宋体" w:hAnsi="宋体" w:cs="宋体" w:eastAsia="宋体" w:hint="default"/>
          <w:sz w:val="24"/>
          <w:szCs w:val="24"/>
        </w:rPr>
      </w:pPr>
      <w:r>
        <w:rPr>
          <w:rFonts w:ascii="宋体" w:hAnsi="宋体" w:cs="宋体" w:eastAsia="宋体" w:hint="default"/>
          <w:b/>
          <w:bCs/>
          <w:sz w:val="24"/>
          <w:szCs w:val="24"/>
        </w:rPr>
        <w:t>26.</w:t>
      </w:r>
      <w:r>
        <w:rPr>
          <w:rFonts w:ascii="宋体" w:hAnsi="宋体" w:cs="宋体" w:eastAsia="宋体" w:hint="default"/>
          <w:b/>
          <w:bCs/>
          <w:spacing w:val="-60"/>
          <w:sz w:val="24"/>
          <w:szCs w:val="24"/>
        </w:rPr>
        <w:t> </w:t>
      </w:r>
      <w:r>
        <w:rPr>
          <w:rFonts w:ascii="宋体" w:hAnsi="宋体" w:cs="宋体" w:eastAsia="宋体" w:hint="default"/>
          <w:b/>
          <w:bCs/>
          <w:sz w:val="24"/>
          <w:szCs w:val="24"/>
        </w:rPr>
        <w:t>递延所得税资产</w:t>
      </w:r>
      <w:r>
        <w:rPr>
          <w:rFonts w:ascii="宋体" w:hAnsi="宋体" w:cs="宋体" w:eastAsia="宋体" w:hint="default"/>
          <w:b/>
          <w:bCs/>
          <w:sz w:val="24"/>
          <w:szCs w:val="24"/>
        </w:rPr>
        <w:t>/</w:t>
      </w:r>
      <w:r>
        <w:rPr>
          <w:rFonts w:ascii="宋体" w:hAnsi="宋体" w:cs="宋体" w:eastAsia="宋体" w:hint="default"/>
          <w:b/>
          <w:bCs/>
          <w:sz w:val="24"/>
          <w:szCs w:val="24"/>
        </w:rPr>
        <w:t>递延所得税负债</w:t>
      </w:r>
      <w:r>
        <w:rPr>
          <w:rFonts w:ascii="宋体" w:hAnsi="宋体" w:cs="宋体" w:eastAsia="宋体" w:hint="default"/>
          <w:b/>
          <w:bCs/>
          <w:w w:val="99"/>
          <w:sz w:val="24"/>
          <w:szCs w:val="24"/>
        </w:rPr>
        <w:t> </w:t>
      </w:r>
      <w:r>
        <w:rPr>
          <w:rFonts w:ascii="宋体" w:hAnsi="宋体" w:cs="宋体" w:eastAsia="宋体" w:hint="default"/>
          <w:spacing w:val="-2"/>
          <w:sz w:val="24"/>
          <w:szCs w:val="24"/>
        </w:rPr>
        <w:t>所得税包括当期所得税和递延所得税。除由于企业合并产生的调整商誉，或与直</w:t>
      </w:r>
    </w:p>
    <w:p>
      <w:pPr>
        <w:pStyle w:val="BodyText"/>
        <w:spacing w:line="219" w:lineRule="exact"/>
        <w:ind w:right="0"/>
        <w:jc w:val="left"/>
      </w:pPr>
      <w:r>
        <w:rPr/>
        <w:t>接计入所有者权益的交易或者事项相关的递延所得税计入所有者权益外，均作为所得</w:t>
      </w:r>
    </w:p>
    <w:p>
      <w:pPr>
        <w:pStyle w:val="BodyText"/>
        <w:spacing w:line="328" w:lineRule="auto"/>
        <w:ind w:left="618" w:right="0" w:hanging="480"/>
        <w:jc w:val="left"/>
      </w:pPr>
      <w:r>
        <w:rPr/>
        <w:t>税费用计入当期损益。 </w:t>
      </w:r>
      <w:r>
        <w:rPr>
          <w:spacing w:val="-2"/>
        </w:rPr>
        <w:t>本集团根据资产、负债于资产负债表日的账面价值与计税基础之间的暂时性差异，</w:t>
      </w:r>
    </w:p>
    <w:p>
      <w:pPr>
        <w:pStyle w:val="BodyText"/>
        <w:spacing w:line="222" w:lineRule="exact"/>
        <w:ind w:right="0"/>
        <w:jc w:val="left"/>
      </w:pPr>
      <w:r>
        <w:rPr/>
        <w:t>采用资产负债表债务法确认递延所得税。</w:t>
      </w:r>
    </w:p>
    <w:p>
      <w:pPr>
        <w:spacing w:after="0" w:line="222" w:lineRule="exact"/>
        <w:jc w:val="left"/>
        <w:sectPr>
          <w:footerReference w:type="default" r:id="rId39"/>
          <w:pgSz w:w="11910" w:h="16840"/>
          <w:pgMar w:footer="1194" w:header="882" w:top="1120" w:bottom="1380" w:left="1660" w:right="920"/>
        </w:sectPr>
      </w:pPr>
    </w:p>
    <w:p>
      <w:pPr>
        <w:spacing w:line="240" w:lineRule="auto" w:before="9"/>
        <w:rPr>
          <w:rFonts w:ascii="宋体" w:hAnsi="宋体" w:cs="宋体" w:eastAsia="宋体" w:hint="default"/>
          <w:sz w:val="25"/>
          <w:szCs w:val="25"/>
        </w:rPr>
      </w:pPr>
    </w:p>
    <w:p>
      <w:pPr>
        <w:pStyle w:val="BodyText"/>
        <w:spacing w:line="310" w:lineRule="exact" w:before="58"/>
        <w:ind w:right="352" w:firstLine="480"/>
        <w:jc w:val="both"/>
      </w:pPr>
      <w:r>
        <w:rPr>
          <w:spacing w:val="-2"/>
        </w:rPr>
        <w:t>各项应纳税暂时性差异均确认相关的递延所得税负债，除非该应纳税暂时性差异</w:t>
      </w:r>
      <w:r>
        <w:rPr/>
        <w:t> 是在以下交易中产生的：</w:t>
      </w:r>
    </w:p>
    <w:p>
      <w:pPr>
        <w:pStyle w:val="BodyText"/>
        <w:spacing w:line="312" w:lineRule="exact" w:before="120"/>
        <w:ind w:right="0" w:firstLine="480"/>
        <w:jc w:val="left"/>
      </w:pPr>
      <w:r>
        <w:rPr/>
        <w:t>（</w:t>
      </w:r>
      <w:r>
        <w:rPr>
          <w:rFonts w:ascii="宋体" w:hAnsi="宋体" w:cs="宋体" w:eastAsia="宋体" w:hint="default"/>
        </w:rPr>
        <w:t>1</w:t>
      </w:r>
      <w:r>
        <w:rPr/>
        <w:t>）商誉的初始确认，或者具有以下特征的交易中产生的资产或负债的初始确 </w:t>
      </w:r>
      <w:r>
        <w:rPr>
          <w:spacing w:val="-5"/>
        </w:rPr>
        <w:t>认：该交易不是企业合并，并且交易发生时既不影响会计利润也不影响应纳税所得额；</w:t>
      </w:r>
    </w:p>
    <w:p>
      <w:pPr>
        <w:pStyle w:val="BodyText"/>
        <w:spacing w:line="312" w:lineRule="exact" w:before="119"/>
        <w:ind w:right="426" w:firstLine="480"/>
        <w:jc w:val="both"/>
      </w:pPr>
      <w:r>
        <w:rPr/>
        <w:t>（</w:t>
      </w:r>
      <w:r>
        <w:rPr>
          <w:rFonts w:ascii="宋体" w:hAnsi="宋体" w:cs="宋体" w:eastAsia="宋体" w:hint="default"/>
        </w:rPr>
        <w:t>2</w:t>
      </w:r>
      <w:r>
        <w:rPr/>
        <w:t>）对于与子公司、合营企业及联营企业投资相关的应纳税暂时性差异，该暂 时性差异转回的时间能够控制并且该暂时性差异在可预见的未来很可能不会转回。</w:t>
      </w:r>
    </w:p>
    <w:p>
      <w:pPr>
        <w:pStyle w:val="BodyText"/>
        <w:spacing w:line="237" w:lineRule="auto" w:before="91"/>
        <w:ind w:right="353" w:firstLine="480"/>
        <w:jc w:val="both"/>
      </w:pPr>
      <w:r>
        <w:rPr>
          <w:spacing w:val="-2"/>
        </w:rPr>
        <w:t>对于可抵扣暂时性差异、能够结转以后年度的可抵扣亏损和税款抵减，本集团以</w:t>
      </w:r>
      <w:r>
        <w:rPr/>
        <w:t> </w:t>
      </w:r>
      <w:r>
        <w:rPr>
          <w:spacing w:val="-2"/>
        </w:rPr>
        <w:t>很可能取得用来抵扣可抵扣暂时性差异、可抵扣亏损和税款抵减的未来应纳税所得额</w:t>
      </w:r>
      <w:r>
        <w:rPr>
          <w:spacing w:val="-93"/>
        </w:rPr>
        <w:t> </w:t>
      </w:r>
      <w:r>
        <w:rPr>
          <w:spacing w:val="-93"/>
        </w:rPr>
      </w:r>
      <w:r>
        <w:rPr>
          <w:spacing w:val="-2"/>
        </w:rPr>
        <w:t>为限，确认由此产生的递延所得税资产，除非该可抵扣暂时性差异是在以下交易中产</w:t>
      </w:r>
      <w:r>
        <w:rPr>
          <w:spacing w:val="-94"/>
        </w:rPr>
        <w:t> </w:t>
      </w:r>
      <w:r>
        <w:rPr>
          <w:spacing w:val="-94"/>
        </w:rPr>
      </w:r>
      <w:r>
        <w:rPr/>
        <w:t>生的：</w:t>
      </w:r>
    </w:p>
    <w:p>
      <w:pPr>
        <w:pStyle w:val="BodyText"/>
        <w:spacing w:line="310" w:lineRule="exact" w:before="150"/>
        <w:ind w:right="426" w:firstLine="480"/>
        <w:jc w:val="both"/>
      </w:pPr>
      <w:r>
        <w:rPr/>
        <w:t>（</w:t>
      </w:r>
      <w:r>
        <w:rPr>
          <w:rFonts w:ascii="宋体" w:hAnsi="宋体" w:cs="宋体" w:eastAsia="宋体" w:hint="default"/>
        </w:rPr>
        <w:t>1</w:t>
      </w:r>
      <w:r>
        <w:rPr/>
        <w:t>）该交易不是企业合并，并且交易发生时既不影响会计利润也不影响应纳税 所得额；</w:t>
      </w:r>
    </w:p>
    <w:p>
      <w:pPr>
        <w:pStyle w:val="BodyText"/>
        <w:spacing w:line="237" w:lineRule="auto" w:before="91"/>
        <w:ind w:right="354" w:firstLine="480"/>
        <w:jc w:val="both"/>
      </w:pPr>
      <w:r>
        <w:rPr/>
        <w:t>（</w:t>
      </w:r>
      <w:r>
        <w:rPr>
          <w:rFonts w:ascii="宋体" w:hAnsi="宋体" w:cs="宋体" w:eastAsia="宋体" w:hint="default"/>
        </w:rPr>
        <w:t>2</w:t>
      </w:r>
      <w:r>
        <w:rPr/>
        <w:t>）对于与子公司、合营企业及联营企业投资相关的可抵扣暂时性差异，同时 </w:t>
      </w:r>
      <w:r>
        <w:rPr>
          <w:spacing w:val="-2"/>
        </w:rPr>
        <w:t>满足下列条件的，确认相应的递延所得税资产：暂时性差异在可预见的未来很可能转</w:t>
      </w:r>
      <w:r>
        <w:rPr>
          <w:spacing w:val="-94"/>
        </w:rPr>
        <w:t> </w:t>
      </w:r>
      <w:r>
        <w:rPr>
          <w:spacing w:val="-94"/>
        </w:rPr>
      </w:r>
      <w:r>
        <w:rPr/>
        <w:t>回，且未来很可能获得用来抵扣可抵扣暂时性差异的应纳税所得额。</w:t>
      </w:r>
    </w:p>
    <w:p>
      <w:pPr>
        <w:pStyle w:val="BodyText"/>
        <w:spacing w:line="237" w:lineRule="auto" w:before="120"/>
        <w:ind w:right="353" w:firstLine="480"/>
        <w:jc w:val="both"/>
      </w:pPr>
      <w:r>
        <w:rPr>
          <w:spacing w:val="-2"/>
        </w:rPr>
        <w:t>于资产负债表日，本集团对递延所得税资产和递延所得税负债，按照预期收回该</w:t>
      </w:r>
      <w:r>
        <w:rPr/>
        <w:t> </w:t>
      </w:r>
      <w:r>
        <w:rPr>
          <w:spacing w:val="-2"/>
        </w:rPr>
        <w:t>资产或清偿该负债期间的适用税率计量，并反映资产负债表日预期收回资产或清偿负</w:t>
      </w:r>
      <w:r>
        <w:rPr>
          <w:spacing w:val="-93"/>
        </w:rPr>
        <w:t> </w:t>
      </w:r>
      <w:r>
        <w:rPr>
          <w:spacing w:val="-93"/>
        </w:rPr>
      </w:r>
      <w:r>
        <w:rPr/>
        <w:t>债方式的所得税影响。</w:t>
      </w:r>
    </w:p>
    <w:p>
      <w:pPr>
        <w:pStyle w:val="BodyText"/>
        <w:spacing w:line="312" w:lineRule="exact" w:before="149"/>
        <w:ind w:right="353" w:firstLine="480"/>
        <w:jc w:val="both"/>
      </w:pPr>
      <w:r>
        <w:rPr>
          <w:spacing w:val="-2"/>
        </w:rPr>
        <w:t>于资产负债表日，本集团对递延所得税资产的账面价值进行复核。如果未来期间</w:t>
      </w:r>
      <w:r>
        <w:rPr/>
        <w:t> </w:t>
      </w:r>
      <w:r>
        <w:rPr>
          <w:spacing w:val="-2"/>
        </w:rPr>
        <w:t>很可能无法获得足够的应纳税所得额用以抵扣递延所得税资产的利益，减记递延所得</w:t>
      </w:r>
      <w:r>
        <w:rPr>
          <w:spacing w:val="-93"/>
        </w:rPr>
        <w:t> </w:t>
      </w:r>
      <w:r>
        <w:rPr>
          <w:spacing w:val="-93"/>
        </w:rPr>
      </w:r>
      <w:r>
        <w:rPr/>
        <w:t>税资产的账面价值。在很可能获得足够的应纳税所得额时，减记的金额予以转回。</w:t>
      </w:r>
    </w:p>
    <w:p>
      <w:pPr>
        <w:spacing w:line="240" w:lineRule="auto" w:before="0"/>
        <w:rPr>
          <w:rFonts w:ascii="宋体" w:hAnsi="宋体" w:cs="宋体" w:eastAsia="宋体" w:hint="default"/>
          <w:sz w:val="24"/>
          <w:szCs w:val="24"/>
        </w:rPr>
      </w:pPr>
    </w:p>
    <w:p>
      <w:pPr>
        <w:pStyle w:val="Heading2"/>
        <w:spacing w:line="328" w:lineRule="auto" w:before="206"/>
        <w:ind w:left="138" w:right="5208"/>
        <w:jc w:val="left"/>
        <w:rPr>
          <w:b w:val="0"/>
          <w:bCs w:val="0"/>
        </w:rPr>
      </w:pPr>
      <w:r>
        <w:rPr>
          <w:rFonts w:ascii="宋体" w:hAnsi="宋体" w:cs="宋体" w:eastAsia="宋体" w:hint="default"/>
        </w:rPr>
        <w:t>27.</w:t>
      </w:r>
      <w:r>
        <w:rPr>
          <w:rFonts w:ascii="宋体" w:hAnsi="宋体" w:cs="宋体" w:eastAsia="宋体" w:hint="default"/>
          <w:spacing w:val="-60"/>
        </w:rPr>
        <w:t> </w:t>
      </w:r>
      <w:r>
        <w:rPr/>
        <w:t>经营租赁与融资租赁</w:t>
      </w:r>
      <w:r>
        <w:rPr>
          <w:w w:val="99"/>
        </w:rPr>
        <w:t> </w:t>
      </w:r>
      <w:r>
        <w:rPr>
          <w:rFonts w:ascii="宋体" w:hAnsi="宋体" w:cs="宋体" w:eastAsia="宋体" w:hint="default"/>
          <w:w w:val="95"/>
        </w:rPr>
        <w:t>(1)</w:t>
      </w:r>
      <w:r>
        <w:rPr>
          <w:w w:val="95"/>
        </w:rPr>
        <w:t>、经营租赁的会计处理方法</w:t>
      </w:r>
      <w:r>
        <w:rPr>
          <w:b w:val="0"/>
          <w:bCs w:val="0"/>
        </w:rPr>
      </w:r>
    </w:p>
    <w:p>
      <w:pPr>
        <w:pStyle w:val="BodyText"/>
        <w:spacing w:line="310" w:lineRule="exact" w:before="61"/>
        <w:ind w:right="528" w:firstLine="480"/>
        <w:jc w:val="left"/>
      </w:pPr>
      <w:r>
        <w:rPr/>
        <w:t>本集团将实质上转移了与资产所有权有关的全部风险和报酬的租赁确认为融资 租赁，除融资租赁之外的其他租赁确认为经营租赁。</w:t>
      </w:r>
    </w:p>
    <w:p>
      <w:pPr>
        <w:pStyle w:val="BodyText"/>
        <w:spacing w:line="328" w:lineRule="auto" w:before="89"/>
        <w:ind w:left="618" w:right="0" w:hanging="420"/>
        <w:jc w:val="left"/>
      </w:pPr>
      <w:r>
        <w:rPr/>
        <w:t>（</w:t>
      </w:r>
      <w:r>
        <w:rPr>
          <w:rFonts w:ascii="宋体" w:hAnsi="宋体" w:cs="宋体" w:eastAsia="宋体" w:hint="default"/>
        </w:rPr>
        <w:t>1</w:t>
      </w:r>
      <w:r>
        <w:rPr/>
        <w:t>）本集团作为出租人 </w:t>
      </w:r>
      <w:r>
        <w:rPr>
          <w:spacing w:val="-2"/>
        </w:rPr>
        <w:t>融资租赁中，在租赁开始日本集团按最低租赁收款额与初始直接费用之和作为应</w:t>
      </w:r>
    </w:p>
    <w:p>
      <w:pPr>
        <w:pStyle w:val="BodyText"/>
        <w:spacing w:line="221" w:lineRule="exact"/>
        <w:ind w:right="0"/>
        <w:jc w:val="left"/>
      </w:pPr>
      <w:r>
        <w:rPr/>
        <w:t>收融资租赁款的入账价值，同时记录未担保余值；将最低租赁收款额、初始直接费用</w:t>
      </w:r>
    </w:p>
    <w:p>
      <w:pPr>
        <w:pStyle w:val="BodyText"/>
        <w:spacing w:line="310" w:lineRule="exact" w:before="31"/>
        <w:ind w:right="0"/>
        <w:jc w:val="left"/>
      </w:pPr>
      <w:r>
        <w:rPr>
          <w:spacing w:val="-2"/>
        </w:rPr>
        <w:t>及未担保余值之和与其现值之和的差额确认为未实现融资收益。未实现融资收益在租</w:t>
      </w:r>
      <w:r>
        <w:rPr>
          <w:spacing w:val="-93"/>
        </w:rPr>
        <w:t> </w:t>
      </w:r>
      <w:r>
        <w:rPr>
          <w:spacing w:val="-93"/>
        </w:rPr>
      </w:r>
      <w:r>
        <w:rPr/>
        <w:t>赁期内各个期间采用实际利率法计算确认当期的融资收入。</w:t>
      </w:r>
    </w:p>
    <w:p>
      <w:pPr>
        <w:pStyle w:val="BodyText"/>
        <w:spacing w:line="312" w:lineRule="exact" w:before="119"/>
        <w:ind w:right="354" w:firstLine="480"/>
        <w:jc w:val="both"/>
      </w:pPr>
      <w:r>
        <w:rPr>
          <w:spacing w:val="-2"/>
        </w:rPr>
        <w:t>经营租赁中的租金，本集团在租赁期内各个期间按照直线法确认当期损益。发生</w:t>
      </w:r>
      <w:r>
        <w:rPr/>
        <w:t> 的初始直接费用，计入当期损益。</w:t>
      </w:r>
    </w:p>
    <w:p>
      <w:pPr>
        <w:pStyle w:val="BodyText"/>
        <w:spacing w:line="331" w:lineRule="auto" w:before="88"/>
        <w:ind w:left="618" w:right="0" w:hanging="420"/>
        <w:jc w:val="left"/>
      </w:pPr>
      <w:r>
        <w:rPr/>
        <w:t>（</w:t>
      </w:r>
      <w:r>
        <w:rPr>
          <w:rFonts w:ascii="宋体" w:hAnsi="宋体" w:cs="宋体" w:eastAsia="宋体" w:hint="default"/>
        </w:rPr>
        <w:t>2</w:t>
      </w:r>
      <w:r>
        <w:rPr/>
        <w:t>）本集团作为承租人 </w:t>
      </w:r>
      <w:r>
        <w:rPr>
          <w:spacing w:val="-2"/>
        </w:rPr>
        <w:t>融资租赁中，在租赁开始日本集团将租赁资产公允价值与最低租赁付款额现值两</w:t>
      </w:r>
    </w:p>
    <w:p>
      <w:pPr>
        <w:pStyle w:val="BodyText"/>
        <w:spacing w:line="218" w:lineRule="exact"/>
        <w:ind w:right="0"/>
        <w:jc w:val="left"/>
      </w:pPr>
      <w:r>
        <w:rPr/>
        <w:t>者中较低者作为租入资产的入账价值，将最低租赁付款额作为长期应付款的入账价值，</w:t>
      </w:r>
    </w:p>
    <w:p>
      <w:pPr>
        <w:pStyle w:val="BodyText"/>
        <w:spacing w:line="312" w:lineRule="exact"/>
        <w:ind w:right="0"/>
        <w:jc w:val="left"/>
      </w:pPr>
      <w:r>
        <w:rPr/>
        <w:t>其差额作为未确认融资费用。初始直接费用计入租入资产价值。未确认融资费用在租</w:t>
      </w:r>
    </w:p>
    <w:p>
      <w:pPr>
        <w:spacing w:after="0" w:line="312" w:lineRule="exact"/>
        <w:jc w:val="left"/>
        <w:sectPr>
          <w:footerReference w:type="default" r:id="rId40"/>
          <w:pgSz w:w="11910" w:h="16840"/>
          <w:pgMar w:footer="1194" w:header="882" w:top="1120" w:bottom="1380" w:left="1660" w:right="920"/>
          <w:pgNumType w:start="111"/>
        </w:sectPr>
      </w:pPr>
    </w:p>
    <w:p>
      <w:pPr>
        <w:spacing w:line="240" w:lineRule="auto" w:before="9"/>
        <w:rPr>
          <w:rFonts w:ascii="宋体" w:hAnsi="宋体" w:cs="宋体" w:eastAsia="宋体" w:hint="default"/>
          <w:sz w:val="25"/>
          <w:szCs w:val="25"/>
        </w:rPr>
      </w:pPr>
    </w:p>
    <w:p>
      <w:pPr>
        <w:pStyle w:val="BodyText"/>
        <w:spacing w:line="310" w:lineRule="exact" w:before="58"/>
        <w:ind w:right="0"/>
        <w:jc w:val="left"/>
      </w:pPr>
      <w:r>
        <w:rPr>
          <w:spacing w:val="-2"/>
        </w:rPr>
        <w:t>赁期内各个期间采用实际利率法计算确认当期的融资费用。本集团采用与自有固定资</w:t>
      </w:r>
      <w:r>
        <w:rPr>
          <w:spacing w:val="-93"/>
        </w:rPr>
        <w:t> </w:t>
      </w:r>
      <w:r>
        <w:rPr>
          <w:spacing w:val="-93"/>
        </w:rPr>
      </w:r>
      <w:r>
        <w:rPr/>
        <w:t>产相一致的折旧政策计提租赁资产折旧。</w:t>
      </w:r>
    </w:p>
    <w:p>
      <w:pPr>
        <w:pStyle w:val="BodyText"/>
        <w:spacing w:line="312" w:lineRule="exact" w:before="120"/>
        <w:ind w:right="0" w:firstLine="480"/>
        <w:jc w:val="left"/>
      </w:pPr>
      <w:r>
        <w:rPr>
          <w:spacing w:val="-2"/>
        </w:rPr>
        <w:t>经营租赁中的租金，本集团在租赁期内各个期间按照直线法计入相关资产成本或</w:t>
      </w:r>
      <w:r>
        <w:rPr/>
        <w:t> 当期损益；发生的初始直接费用，计入当期损益。</w:t>
      </w:r>
    </w:p>
    <w:p>
      <w:pPr>
        <w:spacing w:line="240" w:lineRule="auto" w:before="0"/>
        <w:rPr>
          <w:rFonts w:ascii="宋体" w:hAnsi="宋体" w:cs="宋体" w:eastAsia="宋体" w:hint="default"/>
          <w:sz w:val="24"/>
          <w:szCs w:val="24"/>
        </w:rPr>
      </w:pPr>
    </w:p>
    <w:p>
      <w:pPr>
        <w:pStyle w:val="Heading2"/>
        <w:spacing w:line="240" w:lineRule="auto" w:before="206"/>
        <w:ind w:left="138" w:right="0"/>
        <w:jc w:val="left"/>
        <w:rPr>
          <w:b w:val="0"/>
          <w:bCs w:val="0"/>
        </w:rPr>
      </w:pPr>
      <w:r>
        <w:rPr>
          <w:rFonts w:ascii="宋体" w:hAnsi="宋体" w:cs="宋体" w:eastAsia="宋体" w:hint="default"/>
        </w:rPr>
        <w:t>28.</w:t>
      </w:r>
      <w:r>
        <w:rPr>
          <w:rFonts w:ascii="宋体" w:hAnsi="宋体" w:cs="宋体" w:eastAsia="宋体" w:hint="default"/>
          <w:spacing w:val="-73"/>
        </w:rPr>
        <w:t> </w:t>
      </w:r>
      <w:r>
        <w:rPr/>
        <w:t>其他重要的会计政策和会计估计</w:t>
      </w:r>
      <w:r>
        <w:rPr>
          <w:b w:val="0"/>
          <w:bCs w:val="0"/>
        </w:rPr>
      </w:r>
    </w:p>
    <w:p>
      <w:pPr>
        <w:pStyle w:val="BodyText"/>
        <w:spacing w:line="328" w:lineRule="auto" w:before="116"/>
        <w:ind w:left="618" w:right="0" w:hanging="420"/>
        <w:jc w:val="left"/>
      </w:pPr>
      <w:r>
        <w:rPr>
          <w:rFonts w:ascii="宋体" w:hAnsi="宋体" w:cs="宋体" w:eastAsia="宋体" w:hint="default"/>
        </w:rPr>
        <w:t>11</w:t>
      </w:r>
      <w:r>
        <w:rPr/>
        <w:t>、公允价值计量 </w:t>
      </w:r>
      <w:r>
        <w:rPr>
          <w:spacing w:val="-2"/>
        </w:rPr>
        <w:t>公允价值是指市场参与者在计量日发生的有序交易中，出售一项资产所能收到或</w:t>
      </w:r>
    </w:p>
    <w:p>
      <w:pPr>
        <w:pStyle w:val="BodyText"/>
        <w:spacing w:line="223" w:lineRule="exact"/>
        <w:ind w:right="0"/>
        <w:jc w:val="left"/>
      </w:pPr>
      <w:r>
        <w:rPr/>
        <w:t>者转移一项负债所需支付的价格。</w:t>
      </w:r>
    </w:p>
    <w:p>
      <w:pPr>
        <w:pStyle w:val="BodyText"/>
        <w:spacing w:line="237" w:lineRule="auto" w:before="119"/>
        <w:ind w:right="353" w:firstLine="480"/>
        <w:jc w:val="both"/>
      </w:pPr>
      <w:r>
        <w:rPr>
          <w:spacing w:val="-2"/>
        </w:rPr>
        <w:t>本集团以公允价值计量相关资产或负债，假定出售资产或者转移负债的有序交易</w:t>
      </w:r>
      <w:r>
        <w:rPr/>
        <w:t> </w:t>
      </w:r>
      <w:r>
        <w:rPr>
          <w:spacing w:val="-2"/>
        </w:rPr>
        <w:t>在相关资产或负债的主要市场进行；不存在主要市场的，本集团假定该交易在相关资</w:t>
      </w:r>
      <w:r>
        <w:rPr>
          <w:spacing w:val="-94"/>
        </w:rPr>
        <w:t> </w:t>
      </w:r>
      <w:r>
        <w:rPr>
          <w:spacing w:val="-94"/>
        </w:rPr>
      </w:r>
      <w:r>
        <w:rPr>
          <w:spacing w:val="-2"/>
        </w:rPr>
        <w:t>产或负债的最有利市场进行。主要市场（或最有利市场）是本集团在计量日能够进入</w:t>
      </w:r>
      <w:r>
        <w:rPr>
          <w:spacing w:val="-94"/>
        </w:rPr>
        <w:t> </w:t>
      </w:r>
      <w:r>
        <w:rPr>
          <w:spacing w:val="-94"/>
        </w:rPr>
      </w:r>
      <w:r>
        <w:rPr>
          <w:spacing w:val="-2"/>
        </w:rPr>
        <w:t>的交易市场。本集团采用市场参与者在对该资产或负债定价时为实现其经济利益最大</w:t>
      </w:r>
      <w:r>
        <w:rPr>
          <w:spacing w:val="-93"/>
        </w:rPr>
        <w:t> </w:t>
      </w:r>
      <w:r>
        <w:rPr>
          <w:spacing w:val="-93"/>
        </w:rPr>
      </w:r>
      <w:r>
        <w:rPr/>
        <w:t>化所使用的假设。</w:t>
      </w:r>
    </w:p>
    <w:p>
      <w:pPr>
        <w:pStyle w:val="BodyText"/>
        <w:spacing w:line="310" w:lineRule="exact" w:before="149"/>
        <w:ind w:right="0" w:firstLine="480"/>
        <w:jc w:val="left"/>
      </w:pPr>
      <w:r>
        <w:rPr>
          <w:spacing w:val="-2"/>
        </w:rPr>
        <w:t>存在活跃市场的金融资产或金融负债，本集团采用活跃市场中的报价确定其公允</w:t>
      </w:r>
      <w:r>
        <w:rPr/>
        <w:t> 价值。金融工具不存在活跃市场的，本集团采用估值技术确定其公允价值。</w:t>
      </w:r>
    </w:p>
    <w:p>
      <w:pPr>
        <w:pStyle w:val="BodyText"/>
        <w:spacing w:line="237" w:lineRule="auto" w:before="92"/>
        <w:ind w:right="352" w:firstLine="480"/>
        <w:jc w:val="both"/>
      </w:pPr>
      <w:r>
        <w:rPr>
          <w:spacing w:val="-2"/>
        </w:rPr>
        <w:t>以公允价值计量非金融资产的，考虑市场参与者将该资产用于最佳用途产生经济</w:t>
      </w:r>
      <w:r>
        <w:rPr/>
        <w:t> </w:t>
      </w:r>
      <w:r>
        <w:rPr>
          <w:spacing w:val="-2"/>
        </w:rPr>
        <w:t>利益的能力，或者将该资产出售给能够用于最佳用途的其他市场参与者产生经济利益</w:t>
      </w:r>
      <w:r>
        <w:rPr>
          <w:spacing w:val="-93"/>
        </w:rPr>
        <w:t> </w:t>
      </w:r>
      <w:r>
        <w:rPr>
          <w:spacing w:val="-93"/>
        </w:rPr>
      </w:r>
      <w:r>
        <w:rPr/>
        <w:t>的能力。</w:t>
      </w:r>
    </w:p>
    <w:p>
      <w:pPr>
        <w:pStyle w:val="BodyText"/>
        <w:spacing w:line="237" w:lineRule="auto" w:before="120"/>
        <w:ind w:right="0" w:firstLine="480"/>
        <w:jc w:val="left"/>
      </w:pPr>
      <w:r>
        <w:rPr/>
        <w:t>本集团采用在当前情况下适用并且有足够可利用数据和其他信息支持的估值技 </w:t>
      </w:r>
      <w:r>
        <w:rPr>
          <w:spacing w:val="-2"/>
        </w:rPr>
        <w:t>术，优先使用相关可观察输入值，只有在可观察输入值无法取得或取得不切实可行的</w:t>
      </w:r>
      <w:r>
        <w:rPr>
          <w:spacing w:val="-94"/>
        </w:rPr>
        <w:t> </w:t>
      </w:r>
      <w:r>
        <w:rPr>
          <w:spacing w:val="-94"/>
        </w:rPr>
      </w:r>
      <w:r>
        <w:rPr/>
        <w:t>情况下，才使用不可观察输入值。</w:t>
      </w:r>
    </w:p>
    <w:p>
      <w:pPr>
        <w:pStyle w:val="BodyText"/>
        <w:spacing w:line="237" w:lineRule="auto" w:before="120"/>
        <w:ind w:right="0" w:firstLine="480"/>
        <w:jc w:val="left"/>
      </w:pPr>
      <w:r>
        <w:rPr/>
        <w:t>在财务报表中以公允价值计量或披露的资产和负债，根据对公允价值计量整体而 言具有重要意义的最低层次输入值，确定所属的公允价值层次：第一层次输入值，是 </w:t>
      </w:r>
      <w:r>
        <w:rPr>
          <w:spacing w:val="-2"/>
        </w:rPr>
        <w:t>在计量日能够取得的相同资产或负债在活跃市场上未经调整的报价；第二层次输入值，</w:t>
      </w:r>
      <w:r>
        <w:rPr>
          <w:spacing w:val="-91"/>
        </w:rPr>
        <w:t> </w:t>
      </w:r>
      <w:r>
        <w:rPr>
          <w:spacing w:val="-91"/>
        </w:rPr>
      </w:r>
      <w:r>
        <w:rPr>
          <w:spacing w:val="-2"/>
        </w:rPr>
        <w:t>是除第一层次输入值外相关资产或负债直接或间接可观察的输入值；第三层次输入值，</w:t>
      </w:r>
      <w:r>
        <w:rPr>
          <w:spacing w:val="-91"/>
        </w:rPr>
        <w:t> </w:t>
      </w:r>
      <w:r>
        <w:rPr>
          <w:spacing w:val="-91"/>
        </w:rPr>
      </w:r>
      <w:r>
        <w:rPr/>
        <w:t>是相关资产或负债的不可观察输入值。</w:t>
      </w:r>
    </w:p>
    <w:p>
      <w:pPr>
        <w:pStyle w:val="BodyText"/>
        <w:spacing w:line="310" w:lineRule="exact" w:before="149"/>
        <w:ind w:right="0" w:firstLine="480"/>
        <w:jc w:val="left"/>
      </w:pPr>
      <w:r>
        <w:rPr>
          <w:spacing w:val="-2"/>
        </w:rPr>
        <w:t>每个资产负债表日，本集团对在财务报表中确认的持续以公允价值计量的资产和</w:t>
      </w:r>
      <w:r>
        <w:rPr/>
        <w:t> 负债进行重新评估，以确定是否在公允价值计量层次之间发生转换。</w:t>
      </w:r>
    </w:p>
    <w:p>
      <w:pPr>
        <w:spacing w:line="240" w:lineRule="auto" w:before="0"/>
        <w:rPr>
          <w:rFonts w:ascii="宋体" w:hAnsi="宋体" w:cs="宋体" w:eastAsia="宋体" w:hint="default"/>
          <w:sz w:val="24"/>
          <w:szCs w:val="24"/>
        </w:rPr>
      </w:pPr>
    </w:p>
    <w:p>
      <w:pPr>
        <w:pStyle w:val="BodyText"/>
        <w:spacing w:line="328" w:lineRule="auto" w:before="206"/>
        <w:ind w:left="618" w:right="0" w:hanging="420"/>
        <w:jc w:val="left"/>
      </w:pPr>
      <w:r>
        <w:rPr>
          <w:rFonts w:ascii="宋体" w:hAnsi="宋体" w:cs="宋体" w:eastAsia="宋体" w:hint="default"/>
        </w:rPr>
        <w:t>30</w:t>
      </w:r>
      <w:r>
        <w:rPr/>
        <w:t>、回购股份 </w:t>
      </w:r>
      <w:r>
        <w:rPr>
          <w:spacing w:val="-2"/>
        </w:rPr>
        <w:t>本公司回购的股份在注销或者转让之前，作为库存股管理，回购股份的全部支出</w:t>
      </w:r>
    </w:p>
    <w:p>
      <w:pPr>
        <w:pStyle w:val="BodyText"/>
        <w:spacing w:line="222" w:lineRule="exact"/>
        <w:ind w:right="0"/>
        <w:jc w:val="left"/>
      </w:pPr>
      <w:r>
        <w:rPr/>
        <w:t>转作库存股成本。股份回购中支付的对价和交易费用减少所有者权益，回购、转上或</w:t>
      </w:r>
    </w:p>
    <w:p>
      <w:pPr>
        <w:pStyle w:val="BodyText"/>
        <w:spacing w:line="331" w:lineRule="auto"/>
        <w:ind w:left="618" w:right="0" w:hanging="480"/>
        <w:jc w:val="left"/>
      </w:pPr>
      <w:r>
        <w:rPr/>
        <w:t>注销本公司股份时，不确认利得或损失。 </w:t>
      </w:r>
      <w:r>
        <w:rPr>
          <w:spacing w:val="-2"/>
        </w:rPr>
        <w:t>转让库存股，按实际收到的金额与库存股账面金额的差额，计入资本公积，资本</w:t>
      </w:r>
    </w:p>
    <w:p>
      <w:pPr>
        <w:pStyle w:val="BodyText"/>
        <w:spacing w:line="218" w:lineRule="exact"/>
        <w:ind w:right="0"/>
        <w:jc w:val="left"/>
      </w:pPr>
      <w:r>
        <w:rPr/>
        <w:t>公积不足冲减的，冲减盈余公积和未分配利润。注销库存股，按股票面值和注销股数</w:t>
      </w:r>
    </w:p>
    <w:p>
      <w:pPr>
        <w:pStyle w:val="BodyText"/>
        <w:spacing w:line="312" w:lineRule="exact" w:before="29"/>
        <w:ind w:right="0"/>
        <w:jc w:val="left"/>
      </w:pPr>
      <w:r>
        <w:rPr>
          <w:spacing w:val="-2"/>
        </w:rPr>
        <w:t>减少股本，按注销库存股的账面余额与面值的差额，冲减资本公积，资本公积不足冲</w:t>
      </w:r>
      <w:r>
        <w:rPr>
          <w:spacing w:val="-94"/>
        </w:rPr>
        <w:t> </w:t>
      </w:r>
      <w:r>
        <w:rPr>
          <w:spacing w:val="-94"/>
        </w:rPr>
      </w:r>
      <w:r>
        <w:rPr/>
        <w:t>减的，冲减盈余公积和未分配利润。</w:t>
      </w:r>
    </w:p>
    <w:p>
      <w:pPr>
        <w:spacing w:after="0" w:line="312" w:lineRule="exact"/>
        <w:jc w:val="left"/>
        <w:sectPr>
          <w:pgSz w:w="11910" w:h="16840"/>
          <w:pgMar w:header="882" w:footer="1194" w:top="1120" w:bottom="1380" w:left="1660" w:right="920"/>
        </w:sectPr>
      </w:pPr>
    </w:p>
    <w:p>
      <w:pPr>
        <w:spacing w:line="240" w:lineRule="auto" w:before="9"/>
        <w:rPr>
          <w:rFonts w:ascii="宋体" w:hAnsi="宋体" w:cs="宋体" w:eastAsia="宋体" w:hint="default"/>
          <w:sz w:val="25"/>
          <w:szCs w:val="25"/>
        </w:rPr>
      </w:pPr>
    </w:p>
    <w:p>
      <w:pPr>
        <w:pStyle w:val="BodyText"/>
        <w:spacing w:line="328" w:lineRule="auto" w:before="26"/>
        <w:ind w:left="698" w:right="0" w:hanging="420"/>
        <w:jc w:val="left"/>
      </w:pPr>
      <w:r>
        <w:rPr>
          <w:rFonts w:ascii="宋体" w:hAnsi="宋体" w:cs="宋体" w:eastAsia="宋体" w:hint="default"/>
        </w:rPr>
        <w:t>31</w:t>
      </w:r>
      <w:r>
        <w:rPr/>
        <w:t>、重大会计判断和估计 </w:t>
      </w:r>
      <w:r>
        <w:rPr>
          <w:spacing w:val="-2"/>
        </w:rPr>
        <w:t>本集团根据历史经验和其它因素，包括对未来事项的合理预期，对所采用的重要</w:t>
      </w:r>
    </w:p>
    <w:p>
      <w:pPr>
        <w:pStyle w:val="BodyText"/>
        <w:spacing w:line="223" w:lineRule="exact"/>
        <w:ind w:left="218" w:right="0"/>
        <w:jc w:val="left"/>
      </w:pPr>
      <w:r>
        <w:rPr/>
        <w:t>会计估计和关键假设进行持续的评价。</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pStyle w:val="Heading2"/>
        <w:spacing w:line="331" w:lineRule="auto" w:before="0"/>
        <w:ind w:right="6298"/>
        <w:jc w:val="left"/>
        <w:rPr>
          <w:b w:val="0"/>
          <w:bCs w:val="0"/>
        </w:rPr>
      </w:pPr>
      <w:r>
        <w:rPr>
          <w:rFonts w:ascii="宋体" w:hAnsi="宋体" w:cs="宋体" w:eastAsia="宋体" w:hint="default"/>
        </w:rPr>
        <w:t>29.</w:t>
      </w:r>
      <w:r>
        <w:rPr>
          <w:rFonts w:ascii="宋体" w:hAnsi="宋体" w:cs="宋体" w:eastAsia="宋体" w:hint="default"/>
          <w:spacing w:val="-67"/>
        </w:rPr>
        <w:t> </w:t>
      </w:r>
      <w:r>
        <w:rPr/>
        <w:t>重要会计政策和会计估计的变更</w:t>
      </w:r>
      <w:r>
        <w:rPr>
          <w:w w:val="99"/>
        </w:rPr>
        <w:t> </w:t>
      </w:r>
      <w:r>
        <w:rPr>
          <w:rFonts w:ascii="宋体" w:hAnsi="宋体" w:cs="宋体" w:eastAsia="宋体" w:hint="default"/>
        </w:rPr>
        <w:t>(1)</w:t>
      </w:r>
      <w:r>
        <w:rPr/>
        <w:t>、重要会计政策变更</w:t>
      </w:r>
      <w:r>
        <w:rPr>
          <w:b w:val="0"/>
          <w:bCs w:val="0"/>
        </w:rPr>
      </w:r>
    </w:p>
    <w:p>
      <w:pPr>
        <w:pStyle w:val="BodyText"/>
        <w:spacing w:line="240" w:lineRule="auto" w:before="25"/>
        <w:ind w:left="218" w:right="0"/>
        <w:jc w:val="left"/>
      </w:pPr>
      <w:r>
        <w:rPr/>
        <w:t>√适用 □不适用</w:t>
      </w:r>
    </w:p>
    <w:p>
      <w:pPr>
        <w:pStyle w:val="BodyText"/>
        <w:spacing w:line="313" w:lineRule="exact" w:before="116"/>
        <w:ind w:left="698" w:right="0"/>
        <w:jc w:val="left"/>
      </w:pP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月至</w:t>
      </w:r>
      <w:r>
        <w:rPr>
          <w:spacing w:val="-60"/>
        </w:rPr>
        <w:t> </w:t>
      </w:r>
      <w:r>
        <w:rPr>
          <w:rFonts w:ascii="宋体" w:hAnsi="宋体" w:cs="宋体" w:eastAsia="宋体" w:hint="default"/>
        </w:rPr>
        <w:t>7</w:t>
      </w:r>
      <w:r>
        <w:rPr>
          <w:rFonts w:ascii="宋体" w:hAnsi="宋体" w:cs="宋体" w:eastAsia="宋体" w:hint="default"/>
          <w:spacing w:val="-60"/>
        </w:rPr>
        <w:t> </w:t>
      </w:r>
      <w:r>
        <w:rPr/>
        <w:t>月，财政部发布了《企业会计准则第</w:t>
      </w:r>
      <w:r>
        <w:rPr>
          <w:spacing w:val="-60"/>
        </w:rPr>
        <w:t> </w:t>
      </w:r>
      <w:r>
        <w:rPr>
          <w:rFonts w:ascii="宋体" w:hAnsi="宋体" w:cs="宋体" w:eastAsia="宋体" w:hint="default"/>
        </w:rPr>
        <w:t>39</w:t>
      </w:r>
      <w:r>
        <w:rPr>
          <w:rFonts w:ascii="宋体" w:hAnsi="宋体" w:cs="宋体" w:eastAsia="宋体" w:hint="default"/>
          <w:spacing w:val="-60"/>
        </w:rPr>
        <w:t> </w:t>
      </w:r>
      <w:r>
        <w:rPr/>
        <w:t>号——公允价值计量》</w:t>
      </w:r>
    </w:p>
    <w:p>
      <w:pPr>
        <w:pStyle w:val="BodyText"/>
        <w:spacing w:line="310" w:lineRule="exact" w:before="31"/>
        <w:ind w:left="218" w:right="1257"/>
        <w:jc w:val="left"/>
      </w:pPr>
      <w:r>
        <w:rPr/>
        <w:t>（简称</w:t>
      </w:r>
      <w:r>
        <w:rPr>
          <w:spacing w:val="-5"/>
        </w:rPr>
        <w:t> </w:t>
      </w:r>
      <w:r>
        <w:rPr/>
        <w:t>企业会计准则第</w:t>
      </w:r>
      <w:r>
        <w:rPr>
          <w:spacing w:val="-63"/>
        </w:rPr>
        <w:t> </w:t>
      </w:r>
      <w:r>
        <w:rPr>
          <w:rFonts w:ascii="宋体" w:hAnsi="宋体" w:cs="宋体" w:eastAsia="宋体" w:hint="default"/>
        </w:rPr>
        <w:t>39</w:t>
      </w:r>
      <w:r>
        <w:rPr>
          <w:rFonts w:ascii="宋体" w:hAnsi="宋体" w:cs="宋体" w:eastAsia="宋体" w:hint="default"/>
          <w:spacing w:val="-63"/>
        </w:rPr>
        <w:t> </w:t>
      </w:r>
      <w:r>
        <w:rPr>
          <w:spacing w:val="-3"/>
        </w:rPr>
        <w:t>号）、《企业会计准则第</w:t>
      </w:r>
      <w:r>
        <w:rPr>
          <w:spacing w:val="-63"/>
        </w:rPr>
        <w:t> </w:t>
      </w:r>
      <w:r>
        <w:rPr>
          <w:rFonts w:ascii="宋体" w:hAnsi="宋体" w:cs="宋体" w:eastAsia="宋体" w:hint="default"/>
        </w:rPr>
        <w:t>40</w:t>
      </w:r>
      <w:r>
        <w:rPr>
          <w:rFonts w:ascii="宋体" w:hAnsi="宋体" w:cs="宋体" w:eastAsia="宋体" w:hint="default"/>
          <w:spacing w:val="-63"/>
        </w:rPr>
        <w:t> </w:t>
      </w:r>
      <w:r>
        <w:rPr/>
        <w:t>号——合营安排》（简称</w:t>
      </w:r>
      <w:r>
        <w:rPr>
          <w:spacing w:val="-5"/>
        </w:rPr>
        <w:t> </w:t>
      </w:r>
      <w:r>
        <w:rPr/>
        <w:t>企</w:t>
      </w:r>
      <w:r>
        <w:rPr/>
        <w:t> 业会计准则第</w:t>
      </w:r>
      <w:r>
        <w:rPr>
          <w:spacing w:val="-64"/>
        </w:rPr>
        <w:t> </w:t>
      </w:r>
      <w:r>
        <w:rPr>
          <w:rFonts w:ascii="宋体" w:hAnsi="宋体" w:cs="宋体" w:eastAsia="宋体" w:hint="default"/>
        </w:rPr>
        <w:t>40</w:t>
      </w:r>
      <w:r>
        <w:rPr>
          <w:rFonts w:ascii="宋体" w:hAnsi="宋体" w:cs="宋体" w:eastAsia="宋体" w:hint="default"/>
          <w:spacing w:val="-64"/>
        </w:rPr>
        <w:t> </w:t>
      </w:r>
      <w:r>
        <w:rPr>
          <w:spacing w:val="-3"/>
        </w:rPr>
        <w:t>号）和《企业会计准则第</w:t>
      </w:r>
      <w:r>
        <w:rPr>
          <w:spacing w:val="-64"/>
        </w:rPr>
        <w:t> </w:t>
      </w:r>
      <w:r>
        <w:rPr>
          <w:rFonts w:ascii="宋体" w:hAnsi="宋体" w:cs="宋体" w:eastAsia="宋体" w:hint="default"/>
        </w:rPr>
        <w:t>41</w:t>
      </w:r>
      <w:r>
        <w:rPr>
          <w:rFonts w:ascii="宋体" w:hAnsi="宋体" w:cs="宋体" w:eastAsia="宋体" w:hint="default"/>
          <w:spacing w:val="-64"/>
        </w:rPr>
        <w:t> </w:t>
      </w:r>
      <w:r>
        <w:rPr/>
        <w:t>号——在其他主体中权益的披露》（简</w:t>
      </w:r>
    </w:p>
    <w:p>
      <w:pPr>
        <w:pStyle w:val="BodyText"/>
        <w:spacing w:line="310" w:lineRule="exact" w:before="2"/>
        <w:ind w:left="218" w:right="1273"/>
        <w:jc w:val="both"/>
      </w:pPr>
      <w:r>
        <w:rPr/>
        <w:t>称</w:t>
      </w:r>
      <w:r>
        <w:rPr>
          <w:spacing w:val="-3"/>
        </w:rPr>
        <w:t> </w:t>
      </w:r>
      <w:r>
        <w:rPr/>
        <w:t>企业会计准则第</w:t>
      </w:r>
      <w:r>
        <w:rPr>
          <w:spacing w:val="-62"/>
        </w:rPr>
        <w:t> </w:t>
      </w:r>
      <w:r>
        <w:rPr>
          <w:rFonts w:ascii="宋体" w:hAnsi="宋体" w:cs="宋体" w:eastAsia="宋体" w:hint="default"/>
        </w:rPr>
        <w:t>41</w:t>
      </w:r>
      <w:r>
        <w:rPr>
          <w:rFonts w:ascii="宋体" w:hAnsi="宋体" w:cs="宋体" w:eastAsia="宋体" w:hint="default"/>
          <w:spacing w:val="-62"/>
        </w:rPr>
        <w:t> </w:t>
      </w:r>
      <w:r>
        <w:rPr>
          <w:spacing w:val="-3"/>
        </w:rPr>
        <w:t>号），修订了《企业会计准则第</w:t>
      </w:r>
      <w:r>
        <w:rPr>
          <w:spacing w:val="-62"/>
        </w:rPr>
        <w:t> </w:t>
      </w:r>
      <w:r>
        <w:rPr>
          <w:rFonts w:ascii="宋体" w:hAnsi="宋体" w:cs="宋体" w:eastAsia="宋体" w:hint="default"/>
        </w:rPr>
        <w:t>2</w:t>
      </w:r>
      <w:r>
        <w:rPr>
          <w:rFonts w:ascii="宋体" w:hAnsi="宋体" w:cs="宋体" w:eastAsia="宋体" w:hint="default"/>
          <w:spacing w:val="-62"/>
        </w:rPr>
        <w:t> </w:t>
      </w:r>
      <w:r>
        <w:rPr/>
        <w:t>号——长期股权投资》（简 称</w:t>
      </w:r>
      <w:r>
        <w:rPr>
          <w:spacing w:val="-5"/>
        </w:rPr>
        <w:t> </w:t>
      </w:r>
      <w:r>
        <w:rPr/>
        <w:t>企业会计准则第</w:t>
      </w:r>
      <w:r>
        <w:rPr>
          <w:spacing w:val="-63"/>
        </w:rPr>
        <w:t> </w:t>
      </w:r>
      <w:r>
        <w:rPr>
          <w:rFonts w:ascii="宋体" w:hAnsi="宋体" w:cs="宋体" w:eastAsia="宋体" w:hint="default"/>
        </w:rPr>
        <w:t>2</w:t>
      </w:r>
      <w:r>
        <w:rPr>
          <w:rFonts w:ascii="宋体" w:hAnsi="宋体" w:cs="宋体" w:eastAsia="宋体" w:hint="default"/>
          <w:spacing w:val="-63"/>
        </w:rPr>
        <w:t> </w:t>
      </w:r>
      <w:r>
        <w:rPr>
          <w:spacing w:val="-3"/>
        </w:rPr>
        <w:t>号）、《企业会计准则第</w:t>
      </w:r>
      <w:r>
        <w:rPr>
          <w:spacing w:val="-63"/>
        </w:rPr>
        <w:t> </w:t>
      </w:r>
      <w:r>
        <w:rPr>
          <w:rFonts w:ascii="宋体" w:hAnsi="宋体" w:cs="宋体" w:eastAsia="宋体" w:hint="default"/>
        </w:rPr>
        <w:t>9</w:t>
      </w:r>
      <w:r>
        <w:rPr>
          <w:rFonts w:ascii="宋体" w:hAnsi="宋体" w:cs="宋体" w:eastAsia="宋体" w:hint="default"/>
          <w:spacing w:val="-63"/>
        </w:rPr>
        <w:t> </w:t>
      </w:r>
      <w:r>
        <w:rPr/>
        <w:t>号——职工薪酬》（简称</w:t>
      </w:r>
      <w:r>
        <w:rPr>
          <w:spacing w:val="-5"/>
        </w:rPr>
        <w:t> </w:t>
      </w:r>
      <w:r>
        <w:rPr/>
        <w:t>企业会计</w:t>
      </w:r>
      <w:r>
        <w:rPr/>
        <w:t> 准则第</w:t>
      </w:r>
      <w:r>
        <w:rPr>
          <w:spacing w:val="-63"/>
        </w:rPr>
        <w:t> </w:t>
      </w:r>
      <w:r>
        <w:rPr>
          <w:rFonts w:ascii="宋体" w:hAnsi="宋体" w:cs="宋体" w:eastAsia="宋体" w:hint="default"/>
        </w:rPr>
        <w:t>9</w:t>
      </w:r>
      <w:r>
        <w:rPr>
          <w:rFonts w:ascii="宋体" w:hAnsi="宋体" w:cs="宋体" w:eastAsia="宋体" w:hint="default"/>
          <w:spacing w:val="-63"/>
        </w:rPr>
        <w:t> </w:t>
      </w:r>
      <w:r>
        <w:rPr>
          <w:spacing w:val="-3"/>
        </w:rPr>
        <w:t>号）、《企业会计准则第</w:t>
      </w:r>
      <w:r>
        <w:rPr>
          <w:spacing w:val="-63"/>
        </w:rPr>
        <w:t> </w:t>
      </w:r>
      <w:r>
        <w:rPr>
          <w:rFonts w:ascii="宋体" w:hAnsi="宋体" w:cs="宋体" w:eastAsia="宋体" w:hint="default"/>
        </w:rPr>
        <w:t>30</w:t>
      </w:r>
      <w:r>
        <w:rPr>
          <w:rFonts w:ascii="宋体" w:hAnsi="宋体" w:cs="宋体" w:eastAsia="宋体" w:hint="default"/>
          <w:spacing w:val="-63"/>
        </w:rPr>
        <w:t> </w:t>
      </w:r>
      <w:r>
        <w:rPr/>
        <w:t>号——财务报表列报》（简称</w:t>
      </w:r>
      <w:r>
        <w:rPr>
          <w:spacing w:val="-6"/>
        </w:rPr>
        <w:t> </w:t>
      </w:r>
      <w:r>
        <w:rPr/>
        <w:t>企业会计准则第</w:t>
      </w:r>
    </w:p>
    <w:p>
      <w:pPr>
        <w:pStyle w:val="BodyText"/>
        <w:spacing w:line="282" w:lineRule="exact"/>
        <w:ind w:left="218" w:right="0"/>
        <w:jc w:val="left"/>
      </w:pPr>
      <w:r>
        <w:rPr>
          <w:rFonts w:ascii="宋体" w:hAnsi="宋体" w:cs="宋体" w:eastAsia="宋体" w:hint="default"/>
        </w:rPr>
        <w:t>30</w:t>
      </w:r>
      <w:r>
        <w:rPr>
          <w:rFonts w:ascii="宋体" w:hAnsi="宋体" w:cs="宋体" w:eastAsia="宋体" w:hint="default"/>
          <w:spacing w:val="-58"/>
        </w:rPr>
        <w:t> </w:t>
      </w:r>
      <w:r>
        <w:rPr>
          <w:spacing w:val="-13"/>
        </w:rPr>
        <w:t>号）、《企业会计准则第</w:t>
      </w:r>
      <w:r>
        <w:rPr>
          <w:spacing w:val="-58"/>
        </w:rPr>
        <w:t> </w:t>
      </w:r>
      <w:r>
        <w:rPr>
          <w:rFonts w:ascii="宋体" w:hAnsi="宋体" w:cs="宋体" w:eastAsia="宋体" w:hint="default"/>
        </w:rPr>
        <w:t>33</w:t>
      </w:r>
      <w:r>
        <w:rPr>
          <w:rFonts w:ascii="宋体" w:hAnsi="宋体" w:cs="宋体" w:eastAsia="宋体" w:hint="default"/>
          <w:spacing w:val="-58"/>
        </w:rPr>
        <w:t> </w:t>
      </w:r>
      <w:r>
        <w:rPr>
          <w:spacing w:val="-8"/>
        </w:rPr>
        <w:t>号——合并财务报表》（简称</w:t>
      </w:r>
      <w:r>
        <w:rPr>
          <w:spacing w:val="4"/>
        </w:rPr>
        <w:t> </w:t>
      </w:r>
      <w:r>
        <w:rPr/>
        <w:t>企业会计准则第</w:t>
      </w:r>
      <w:r>
        <w:rPr>
          <w:spacing w:val="-58"/>
        </w:rPr>
        <w:t> </w:t>
      </w:r>
      <w:r>
        <w:rPr>
          <w:rFonts w:ascii="宋体" w:hAnsi="宋体" w:cs="宋体" w:eastAsia="宋体" w:hint="default"/>
        </w:rPr>
        <w:t>33</w:t>
      </w:r>
      <w:r>
        <w:rPr>
          <w:rFonts w:ascii="宋体" w:hAnsi="宋体" w:cs="宋体" w:eastAsia="宋体" w:hint="default"/>
          <w:spacing w:val="-58"/>
        </w:rPr>
        <w:t> </w:t>
      </w:r>
      <w:r>
        <w:rPr/>
        <w:t>号）</w:t>
      </w:r>
    </w:p>
    <w:p>
      <w:pPr>
        <w:pStyle w:val="BodyText"/>
        <w:spacing w:line="311" w:lineRule="exact"/>
        <w:ind w:left="218" w:right="0"/>
        <w:jc w:val="left"/>
      </w:pPr>
      <w:r>
        <w:rPr/>
        <w:t>和《企业会计准则第</w:t>
      </w:r>
      <w:r>
        <w:rPr>
          <w:spacing w:val="-60"/>
        </w:rPr>
        <w:t> </w:t>
      </w:r>
      <w:r>
        <w:rPr>
          <w:rFonts w:ascii="宋体" w:hAnsi="宋体" w:cs="宋体" w:eastAsia="宋体" w:hint="default"/>
        </w:rPr>
        <w:t>37</w:t>
      </w:r>
      <w:r>
        <w:rPr>
          <w:rFonts w:ascii="宋体" w:hAnsi="宋体" w:cs="宋体" w:eastAsia="宋体" w:hint="default"/>
          <w:spacing w:val="-60"/>
        </w:rPr>
        <w:t> </w:t>
      </w:r>
      <w:r>
        <w:rPr/>
        <w:t>号——金融工具栏报》（简称 企业会计准则第</w:t>
      </w:r>
      <w:r>
        <w:rPr>
          <w:spacing w:val="-60"/>
        </w:rPr>
        <w:t> </w:t>
      </w:r>
      <w:r>
        <w:rPr>
          <w:rFonts w:ascii="宋体" w:hAnsi="宋体" w:cs="宋体" w:eastAsia="宋体" w:hint="default"/>
        </w:rPr>
        <w:t>37</w:t>
      </w:r>
      <w:r>
        <w:rPr>
          <w:rFonts w:ascii="宋体" w:hAnsi="宋体" w:cs="宋体" w:eastAsia="宋体" w:hint="default"/>
          <w:spacing w:val="-60"/>
        </w:rPr>
        <w:t> </w:t>
      </w:r>
      <w:r>
        <w:rPr/>
        <w:t>号），除</w:t>
      </w:r>
    </w:p>
    <w:p>
      <w:pPr>
        <w:pStyle w:val="BodyText"/>
        <w:spacing w:line="311" w:lineRule="exact"/>
        <w:ind w:left="218" w:right="0"/>
        <w:jc w:val="left"/>
      </w:pPr>
      <w:r>
        <w:rPr/>
        <w:t>企业会计准则第</w:t>
      </w:r>
      <w:r>
        <w:rPr>
          <w:spacing w:val="-72"/>
        </w:rPr>
        <w:t> </w:t>
      </w:r>
      <w:r>
        <w:rPr>
          <w:rFonts w:ascii="宋体" w:hAnsi="宋体" w:cs="宋体" w:eastAsia="宋体" w:hint="default"/>
        </w:rPr>
        <w:t>37</w:t>
      </w:r>
      <w:r>
        <w:rPr>
          <w:rFonts w:ascii="宋体" w:hAnsi="宋体" w:cs="宋体" w:eastAsia="宋体" w:hint="default"/>
          <w:spacing w:val="-72"/>
        </w:rPr>
        <w:t> </w:t>
      </w:r>
      <w:r>
        <w:rPr/>
        <w:t>号在</w:t>
      </w:r>
      <w:r>
        <w:rPr>
          <w:spacing w:val="-72"/>
        </w:rPr>
        <w:t> </w:t>
      </w:r>
      <w:r>
        <w:rPr>
          <w:rFonts w:ascii="宋体" w:hAnsi="宋体" w:cs="宋体" w:eastAsia="宋体" w:hint="default"/>
        </w:rPr>
        <w:t>2014</w:t>
      </w:r>
      <w:r>
        <w:rPr>
          <w:rFonts w:ascii="宋体" w:hAnsi="宋体" w:cs="宋体" w:eastAsia="宋体" w:hint="default"/>
          <w:spacing w:val="-72"/>
        </w:rPr>
        <w:t> </w:t>
      </w:r>
      <w:r>
        <w:rPr/>
        <w:t>年年度及以后期间的财务报告中使用外，上述其他准则</w:t>
      </w:r>
    </w:p>
    <w:p>
      <w:pPr>
        <w:pStyle w:val="BodyText"/>
        <w:spacing w:line="328" w:lineRule="auto"/>
        <w:ind w:left="698" w:right="3608" w:hanging="480"/>
        <w:jc w:val="left"/>
      </w:pPr>
      <w:r>
        <w:rPr/>
        <w:pict>
          <v:shape style="position:absolute;margin-left:84.260002pt;margin-top:66.655602pt;width:511.55pt;height:342.9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34"/>
                    <w:gridCol w:w="1134"/>
                    <w:gridCol w:w="2268"/>
                    <w:gridCol w:w="2880"/>
                  </w:tblGrid>
                  <w:tr>
                    <w:trPr>
                      <w:trHeight w:val="554" w:hRule="exact"/>
                    </w:trPr>
                    <w:tc>
                      <w:tcPr>
                        <w:tcW w:w="3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01"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1"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表项目名称和金额</w:t>
                        </w:r>
                        <w:r>
                          <w:rPr>
                            <w:rFonts w:ascii="宋体" w:hAnsi="宋体" w:cs="宋体" w:eastAsia="宋体" w:hint="default"/>
                            <w:sz w:val="21"/>
                            <w:szCs w:val="21"/>
                          </w:rPr>
                          <w:t>)</w:t>
                        </w:r>
                      </w:p>
                    </w:tc>
                    <w:tc>
                      <w:tcPr>
                        <w:tcW w:w="2880" w:type="dxa"/>
                        <w:tcBorders>
                          <w:top w:val="single" w:sz="4" w:space="0" w:color="000000"/>
                          <w:left w:val="single" w:sz="4" w:space="0" w:color="000000"/>
                          <w:bottom w:val="single" w:sz="4" w:space="0" w:color="000000"/>
                          <w:right w:val="nil" w:sz="6" w:space="0" w:color="auto"/>
                        </w:tcBorders>
                      </w:tcPr>
                      <w:p>
                        <w:pPr/>
                      </w:p>
                    </w:tc>
                  </w:tr>
                  <w:tr>
                    <w:trPr>
                      <w:trHeight w:val="2189" w:hRule="exact"/>
                    </w:trPr>
                    <w:tc>
                      <w:tcPr>
                        <w:tcW w:w="39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1"/>
                          <w:jc w:val="left"/>
                          <w:rPr>
                            <w:rFonts w:ascii="宋体" w:hAnsi="宋体" w:cs="宋体" w:eastAsia="宋体" w:hint="default"/>
                            <w:sz w:val="21"/>
                            <w:szCs w:val="21"/>
                          </w:rPr>
                        </w:pPr>
                        <w:r>
                          <w:rPr>
                            <w:rFonts w:ascii="宋体" w:hAnsi="宋体" w:cs="宋体" w:eastAsia="宋体" w:hint="default"/>
                            <w:spacing w:val="-7"/>
                            <w:sz w:val="21"/>
                            <w:szCs w:val="21"/>
                          </w:rPr>
                          <w:t>根据《企业会计准则第</w:t>
                        </w:r>
                        <w:r>
                          <w:rPr>
                            <w:rFonts w:ascii="宋体" w:hAnsi="宋体" w:cs="宋体" w:eastAsia="宋体" w:hint="default"/>
                            <w:spacing w:val="-50"/>
                            <w:sz w:val="21"/>
                            <w:szCs w:val="21"/>
                          </w:rPr>
                          <w:t> </w:t>
                        </w:r>
                        <w:r>
                          <w:rPr>
                            <w:rFonts w:ascii="宋体" w:hAnsi="宋体" w:cs="宋体" w:eastAsia="宋体" w:hint="default"/>
                            <w:sz w:val="21"/>
                            <w:szCs w:val="21"/>
                          </w:rPr>
                          <w:t>2</w:t>
                        </w:r>
                        <w:r>
                          <w:rPr>
                            <w:rFonts w:ascii="宋体" w:hAnsi="宋体" w:cs="宋体" w:eastAsia="宋体" w:hint="default"/>
                            <w:spacing w:val="-50"/>
                            <w:sz w:val="21"/>
                            <w:szCs w:val="21"/>
                          </w:rPr>
                          <w:t> </w:t>
                        </w:r>
                        <w:r>
                          <w:rPr>
                            <w:rFonts w:ascii="宋体" w:hAnsi="宋体" w:cs="宋体" w:eastAsia="宋体" w:hint="default"/>
                            <w:sz w:val="21"/>
                            <w:szCs w:val="21"/>
                          </w:rPr>
                          <w:t>号——长期股权</w:t>
                        </w:r>
                      </w:p>
                      <w:p>
                        <w:pPr>
                          <w:pStyle w:val="TableParagraph"/>
                          <w:spacing w:line="272" w:lineRule="exact" w:before="26"/>
                          <w:ind w:left="103" w:right="-1"/>
                          <w:jc w:val="left"/>
                          <w:rPr>
                            <w:rFonts w:ascii="宋体" w:hAnsi="宋体" w:cs="宋体" w:eastAsia="宋体" w:hint="default"/>
                            <w:sz w:val="21"/>
                            <w:szCs w:val="21"/>
                          </w:rPr>
                        </w:pPr>
                        <w:r>
                          <w:rPr>
                            <w:rFonts w:ascii="宋体" w:hAnsi="宋体" w:cs="宋体" w:eastAsia="宋体" w:hint="default"/>
                            <w:spacing w:val="-9"/>
                            <w:sz w:val="21"/>
                            <w:szCs w:val="21"/>
                          </w:rPr>
                          <w:t>投资》的要求：对被投资单位不具有控制、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共同控制或重大影响，并且在活跃市场中</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4"/>
                            <w:sz w:val="21"/>
                            <w:szCs w:val="21"/>
                          </w:rPr>
                          <w:t>没有报价、公允价值不能可靠计量的权益</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性投资，按《企业会计准则第</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号—— </w:t>
                        </w:r>
                        <w:r>
                          <w:rPr>
                            <w:rFonts w:ascii="宋体" w:hAnsi="宋体" w:cs="宋体" w:eastAsia="宋体" w:hint="default"/>
                            <w:spacing w:val="-4"/>
                            <w:sz w:val="21"/>
                            <w:szCs w:val="21"/>
                          </w:rPr>
                          <w:t>金融工具确认和计量》进行处理。本集团</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对上述会计政策变更采用追溯调整法处 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z w:val="21"/>
                            <w:szCs w:val="21"/>
                          </w:rPr>
                          <w:t>①长期股权投资</w:t>
                        </w:r>
                      </w:p>
                      <w:p>
                        <w:pPr>
                          <w:pStyle w:val="TableParagraph"/>
                          <w:spacing w:line="273" w:lineRule="exact"/>
                          <w:ind w:left="102" w:right="0"/>
                          <w:jc w:val="left"/>
                          <w:rPr>
                            <w:rFonts w:ascii="宋体" w:hAnsi="宋体" w:cs="宋体" w:eastAsia="宋体" w:hint="default"/>
                            <w:sz w:val="21"/>
                            <w:szCs w:val="21"/>
                          </w:rPr>
                        </w:pPr>
                        <w:r>
                          <w:rPr>
                            <w:rFonts w:ascii="宋体" w:hAnsi="宋体" w:cs="宋体" w:eastAsia="宋体" w:hint="default"/>
                            <w:sz w:val="21"/>
                            <w:szCs w:val="21"/>
                          </w:rPr>
                          <w:t>②可供出售金额资产</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z w:val="21"/>
                            <w:szCs w:val="21"/>
                          </w:rPr>
                          <w:t>-300,000.00</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②300,000.00</w:t>
                        </w:r>
                      </w:p>
                    </w:tc>
                  </w:tr>
                  <w:tr>
                    <w:trPr>
                      <w:trHeight w:val="3006" w:hRule="exact"/>
                    </w:trPr>
                    <w:tc>
                      <w:tcPr>
                        <w:tcW w:w="39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根据企业会计准则第</w:t>
                        </w:r>
                        <w:r>
                          <w:rPr>
                            <w:rFonts w:ascii="宋体" w:hAnsi="宋体" w:cs="宋体" w:eastAsia="宋体" w:hint="default"/>
                            <w:spacing w:val="-54"/>
                            <w:sz w:val="21"/>
                            <w:szCs w:val="21"/>
                          </w:rPr>
                          <w:t> </w:t>
                        </w:r>
                        <w:r>
                          <w:rPr>
                            <w:rFonts w:ascii="宋体" w:hAnsi="宋体" w:cs="宋体" w:eastAsia="宋体" w:hint="default"/>
                            <w:sz w:val="21"/>
                            <w:szCs w:val="21"/>
                          </w:rPr>
                          <w:t>33</w:t>
                        </w:r>
                        <w:r>
                          <w:rPr>
                            <w:rFonts w:ascii="宋体" w:hAnsi="宋体" w:cs="宋体" w:eastAsia="宋体" w:hint="default"/>
                            <w:spacing w:val="-54"/>
                            <w:sz w:val="21"/>
                            <w:szCs w:val="21"/>
                          </w:rPr>
                          <w:t> </w:t>
                        </w:r>
                        <w:r>
                          <w:rPr>
                            <w:rFonts w:ascii="宋体" w:hAnsi="宋体" w:cs="宋体" w:eastAsia="宋体" w:hint="default"/>
                            <w:sz w:val="21"/>
                            <w:szCs w:val="21"/>
                          </w:rPr>
                          <w:t>号的要求：合并</w:t>
                        </w:r>
                      </w:p>
                      <w:p>
                        <w:pPr>
                          <w:pStyle w:val="TableParagraph"/>
                          <w:spacing w:line="237" w:lineRule="auto" w:before="1"/>
                          <w:ind w:left="103" w:right="101"/>
                          <w:jc w:val="left"/>
                          <w:rPr>
                            <w:rFonts w:ascii="宋体" w:hAnsi="宋体" w:cs="宋体" w:eastAsia="宋体" w:hint="default"/>
                            <w:sz w:val="21"/>
                            <w:szCs w:val="21"/>
                          </w:rPr>
                        </w:pPr>
                        <w:r>
                          <w:rPr>
                            <w:rFonts w:ascii="宋体" w:hAnsi="宋体" w:cs="宋体" w:eastAsia="宋体" w:hint="default"/>
                            <w:sz w:val="21"/>
                            <w:szCs w:val="21"/>
                          </w:rPr>
                          <w:t>财务报表的合并范围以控制为基础予以 </w:t>
                        </w:r>
                        <w:r>
                          <w:rPr>
                            <w:rFonts w:ascii="宋体" w:hAnsi="宋体" w:cs="宋体" w:eastAsia="宋体" w:hint="default"/>
                            <w:spacing w:val="-4"/>
                            <w:sz w:val="21"/>
                            <w:szCs w:val="21"/>
                          </w:rPr>
                          <w:t>确定。控制是指本集团拥有对被投资方的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4"/>
                            <w:sz w:val="21"/>
                            <w:szCs w:val="21"/>
                          </w:rPr>
                          <w:t>权力，通过参与被投资方的相关活动而享</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4"/>
                            <w:sz w:val="21"/>
                            <w:szCs w:val="21"/>
                          </w:rPr>
                          <w:t>有可变回报，并且有能力运用对被投资方</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4"/>
                            <w:sz w:val="21"/>
                            <w:szCs w:val="21"/>
                          </w:rPr>
                          <w:t>的权力影响其回报金额。本集团在综合考</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虑所有相关事实和情况的基础上对是否 </w:t>
                        </w:r>
                        <w:r>
                          <w:rPr>
                            <w:rFonts w:ascii="宋体" w:hAnsi="宋体" w:cs="宋体" w:eastAsia="宋体" w:hint="default"/>
                            <w:spacing w:val="-4"/>
                            <w:sz w:val="21"/>
                            <w:szCs w:val="21"/>
                          </w:rPr>
                          <w:t>控制被投资方进行重新评估。对合并范围</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4"/>
                            <w:sz w:val="21"/>
                            <w:szCs w:val="21"/>
                          </w:rPr>
                          <w:t>发生的变化采用追溯调整法处理。比较财</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4"/>
                            <w:sz w:val="21"/>
                            <w:szCs w:val="21"/>
                          </w:rPr>
                          <w:t>务报表中已丧失控制权的原子公司，不再</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追溯调整。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①其他非流动资产②</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z w:val="21"/>
                            <w:szCs w:val="21"/>
                          </w:rPr>
                          <w:t>-16,500,000.00</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②16,500,000.00</w:t>
                        </w:r>
                      </w:p>
                    </w:tc>
                  </w:tr>
                  <w:tr>
                    <w:trPr>
                      <w:trHeight w:val="1099" w:hRule="exact"/>
                    </w:trPr>
                    <w:tc>
                      <w:tcPr>
                        <w:tcW w:w="39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根据企业会计准则第</w:t>
                        </w:r>
                        <w:r>
                          <w:rPr>
                            <w:rFonts w:ascii="宋体" w:hAnsi="宋体" w:cs="宋体" w:eastAsia="宋体" w:hint="default"/>
                            <w:spacing w:val="-54"/>
                            <w:sz w:val="21"/>
                            <w:szCs w:val="21"/>
                          </w:rPr>
                          <w:t> </w:t>
                        </w:r>
                        <w:r>
                          <w:rPr>
                            <w:rFonts w:ascii="宋体" w:hAnsi="宋体" w:cs="宋体" w:eastAsia="宋体" w:hint="default"/>
                            <w:sz w:val="21"/>
                            <w:szCs w:val="21"/>
                          </w:rPr>
                          <w:t>33</w:t>
                        </w:r>
                        <w:r>
                          <w:rPr>
                            <w:rFonts w:ascii="宋体" w:hAnsi="宋体" w:cs="宋体" w:eastAsia="宋体" w:hint="default"/>
                            <w:spacing w:val="-54"/>
                            <w:sz w:val="21"/>
                            <w:szCs w:val="21"/>
                          </w:rPr>
                          <w:t> </w:t>
                        </w:r>
                        <w:r>
                          <w:rPr>
                            <w:rFonts w:ascii="宋体" w:hAnsi="宋体" w:cs="宋体" w:eastAsia="宋体" w:hint="default"/>
                            <w:sz w:val="21"/>
                            <w:szCs w:val="21"/>
                          </w:rPr>
                          <w:t>号的要求：母公</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司向子公司出售资产所发生的未实现内 </w:t>
                        </w:r>
                        <w:r>
                          <w:rPr>
                            <w:rFonts w:ascii="宋体" w:hAnsi="宋体" w:cs="宋体" w:eastAsia="宋体" w:hint="default"/>
                            <w:spacing w:val="-4"/>
                            <w:sz w:val="21"/>
                            <w:szCs w:val="21"/>
                          </w:rPr>
                          <w:t>部交易损益，应当全额抵销“归属于母公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4"/>
                            <w:sz w:val="21"/>
                            <w:szCs w:val="21"/>
                          </w:rPr>
                          <w:t>司所有者的净利润”。子公司向母公司出</w:t>
                        </w:r>
                      </w:p>
                    </w:tc>
                    <w:tc>
                      <w:tcPr>
                        <w:tcW w:w="113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①未分配利润</w:t>
                        </w:r>
                      </w:p>
                      <w:p>
                        <w:pPr>
                          <w:pStyle w:val="TableParagraph"/>
                          <w:spacing w:line="272" w:lineRule="exact"/>
                          <w:ind w:left="102" w:right="0"/>
                          <w:jc w:val="left"/>
                          <w:rPr>
                            <w:rFonts w:ascii="宋体" w:hAnsi="宋体" w:cs="宋体" w:eastAsia="宋体" w:hint="default"/>
                            <w:sz w:val="21"/>
                            <w:szCs w:val="21"/>
                          </w:rPr>
                        </w:pPr>
                        <w:r>
                          <w:rPr>
                            <w:rFonts w:ascii="宋体" w:hAnsi="宋体" w:cs="宋体" w:eastAsia="宋体" w:hint="default"/>
                            <w:sz w:val="21"/>
                            <w:szCs w:val="21"/>
                          </w:rPr>
                          <w:t>②少数股东权益</w:t>
                        </w:r>
                      </w:p>
                      <w:p>
                        <w:pPr>
                          <w:pStyle w:val="TableParagraph"/>
                          <w:spacing w:line="272" w:lineRule="exact" w:before="26"/>
                          <w:ind w:left="102" w:right="264"/>
                          <w:jc w:val="left"/>
                          <w:rPr>
                            <w:rFonts w:ascii="宋体" w:hAnsi="宋体" w:cs="宋体" w:eastAsia="宋体" w:hint="default"/>
                            <w:sz w:val="21"/>
                            <w:szCs w:val="21"/>
                          </w:rPr>
                        </w:pPr>
                        <w:r>
                          <w:rPr>
                            <w:rFonts w:ascii="宋体" w:hAnsi="宋体" w:cs="宋体" w:eastAsia="宋体" w:hint="default"/>
                            <w:sz w:val="21"/>
                            <w:szCs w:val="21"/>
                          </w:rPr>
                          <w:t>③归属母公司股东的 净利润</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2"/>
                            <w:sz w:val="21"/>
                            <w:szCs w:val="21"/>
                          </w:rPr>
                          <w:t> </w:t>
                        </w:r>
                        <w:r>
                          <w:rPr>
                            <w:rFonts w:ascii="宋体" w:hAnsi="宋体" w:cs="宋体" w:eastAsia="宋体" w:hint="default"/>
                            <w:sz w:val="21"/>
                            <w:szCs w:val="21"/>
                          </w:rPr>
                          <w:t>256,210.81</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1"/>
                            <w:sz w:val="21"/>
                            <w:szCs w:val="21"/>
                          </w:rPr>
                          <w:t> </w:t>
                        </w:r>
                        <w:r>
                          <w:rPr>
                            <w:rFonts w:ascii="宋体" w:hAnsi="宋体" w:cs="宋体" w:eastAsia="宋体" w:hint="default"/>
                            <w:sz w:val="21"/>
                            <w:szCs w:val="21"/>
                          </w:rPr>
                          <w:t>-256,210.81</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③</w:t>
                        </w:r>
                        <w:r>
                          <w:rPr>
                            <w:rFonts w:ascii="宋体" w:hAnsi="宋体" w:cs="宋体" w:eastAsia="宋体" w:hint="default"/>
                            <w:sz w:val="21"/>
                            <w:szCs w:val="21"/>
                          </w:rPr>
                          <w:t>-379,179.71</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④379,179.71</w:t>
                        </w:r>
                      </w:p>
                    </w:tc>
                  </w:tr>
                </w:tbl>
                <w:p>
                  <w:pPr/>
                </w:p>
              </w:txbxContent>
            </v:textbox>
            <w10:wrap type="none"/>
          </v:shape>
        </w:pict>
      </w:r>
      <w:r>
        <w:rPr/>
        <w:t>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日起施行。 除下列事项外，其他因会计政策变更导致的影响不重大。</w:t>
      </w:r>
    </w:p>
    <w:p>
      <w:pPr>
        <w:spacing w:after="0" w:line="328" w:lineRule="auto"/>
        <w:jc w:val="left"/>
        <w:sectPr>
          <w:pgSz w:w="11910" w:h="16840"/>
          <w:pgMar w:header="882" w:footer="1194" w:top="1120" w:bottom="1380" w:left="15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pStyle w:val="Heading2"/>
        <w:spacing w:line="240" w:lineRule="auto"/>
        <w:ind w:right="0"/>
        <w:jc w:val="left"/>
        <w:rPr>
          <w:b w:val="0"/>
          <w:bCs w:val="0"/>
        </w:rPr>
      </w:pPr>
      <w:r>
        <w:rPr/>
        <w:pict>
          <v:shape style="position:absolute;margin-left:84.260002pt;margin-top:-505.464355pt;width:511.55pt;height:465.0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34"/>
                    <w:gridCol w:w="1134"/>
                    <w:gridCol w:w="2268"/>
                    <w:gridCol w:w="2880"/>
                  </w:tblGrid>
                  <w:tr>
                    <w:trPr>
                      <w:trHeight w:val="2734" w:hRule="exact"/>
                    </w:trPr>
                    <w:tc>
                      <w:tcPr>
                        <w:tcW w:w="39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售资产所发生的未实现内部交易损益，应</w:t>
                        </w:r>
                      </w:p>
                      <w:p>
                        <w:pPr>
                          <w:pStyle w:val="TableParagraph"/>
                          <w:spacing w:line="237" w:lineRule="auto" w:before="1"/>
                          <w:ind w:left="103" w:right="101"/>
                          <w:jc w:val="left"/>
                          <w:rPr>
                            <w:rFonts w:ascii="宋体" w:hAnsi="宋体" w:cs="宋体" w:eastAsia="宋体" w:hint="default"/>
                            <w:sz w:val="21"/>
                            <w:szCs w:val="21"/>
                          </w:rPr>
                        </w:pPr>
                        <w:r>
                          <w:rPr>
                            <w:rFonts w:ascii="宋体" w:hAnsi="宋体" w:cs="宋体" w:eastAsia="宋体" w:hint="default"/>
                            <w:sz w:val="21"/>
                            <w:szCs w:val="21"/>
                          </w:rPr>
                          <w:t>当按照母公司对该子公司的分配比例在 “归属于母公司所有者的净利润”和 </w:t>
                        </w:r>
                        <w:r>
                          <w:rPr>
                            <w:rFonts w:ascii="宋体" w:hAnsi="宋体" w:cs="宋体" w:eastAsia="宋体" w:hint="default"/>
                            <w:spacing w:val="-4"/>
                            <w:sz w:val="21"/>
                            <w:szCs w:val="21"/>
                          </w:rPr>
                          <w:t>“少数股东损益”之间分配抵销。子公司</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之间出售资产所发生的未实现内部交易 </w:t>
                        </w:r>
                        <w:r>
                          <w:rPr>
                            <w:rFonts w:ascii="宋体" w:hAnsi="宋体" w:cs="宋体" w:eastAsia="宋体" w:hint="default"/>
                            <w:spacing w:val="-4"/>
                            <w:sz w:val="21"/>
                            <w:szCs w:val="21"/>
                          </w:rPr>
                          <w:t>损益，应当按照母公司对出售方子公司的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分配比例在“归属于母公司所有者的净 利润”和“少数股东损益”之间分配抵 </w:t>
                        </w:r>
                        <w:r>
                          <w:rPr>
                            <w:rFonts w:ascii="宋体" w:hAnsi="宋体" w:cs="宋体" w:eastAsia="宋体" w:hint="default"/>
                            <w:spacing w:val="-4"/>
                            <w:sz w:val="21"/>
                            <w:szCs w:val="21"/>
                          </w:rPr>
                          <w:t>销。本集团对比较财务报表采用了追溯调</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整法处理。</w:t>
                        </w:r>
                      </w:p>
                    </w:tc>
                    <w:tc>
                      <w:tcPr>
                        <w:tcW w:w="113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④少数股权损益</w:t>
                        </w:r>
                      </w:p>
                    </w:tc>
                    <w:tc>
                      <w:tcPr>
                        <w:tcW w:w="2880" w:type="dxa"/>
                        <w:tcBorders>
                          <w:top w:val="single" w:sz="4" w:space="0" w:color="000000"/>
                          <w:left w:val="single" w:sz="4" w:space="0" w:color="000000"/>
                          <w:bottom w:val="single" w:sz="4" w:space="0" w:color="000000"/>
                          <w:right w:val="nil" w:sz="6" w:space="0" w:color="auto"/>
                        </w:tcBorders>
                      </w:tcPr>
                      <w:p>
                        <w:pPr/>
                      </w:p>
                    </w:tc>
                  </w:tr>
                  <w:tr>
                    <w:trPr>
                      <w:trHeight w:val="4367" w:hRule="exact"/>
                    </w:trPr>
                    <w:tc>
                      <w:tcPr>
                        <w:tcW w:w="39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根据企业会计准则第</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pacing w:val="-12"/>
                            <w:sz w:val="21"/>
                            <w:szCs w:val="21"/>
                          </w:rPr>
                          <w:t>号的要求：</w:t>
                        </w:r>
                        <w:r>
                          <w:rPr>
                            <w:rFonts w:ascii="宋体" w:hAnsi="宋体" w:cs="宋体" w:eastAsia="宋体" w:hint="default"/>
                            <w:spacing w:val="-12"/>
                            <w:sz w:val="21"/>
                            <w:szCs w:val="21"/>
                          </w:rPr>
                          <w:t>A</w:t>
                        </w:r>
                        <w:r>
                          <w:rPr>
                            <w:rFonts w:ascii="宋体" w:hAnsi="宋体" w:cs="宋体" w:eastAsia="宋体" w:hint="default"/>
                            <w:spacing w:val="-12"/>
                            <w:sz w:val="21"/>
                            <w:szCs w:val="21"/>
                          </w:rPr>
                          <w:t>、利</w:t>
                        </w:r>
                        <w:r>
                          <w:rPr>
                            <w:rFonts w:ascii="宋体" w:hAnsi="宋体" w:cs="宋体" w:eastAsia="宋体" w:hint="default"/>
                            <w:sz w:val="21"/>
                            <w:szCs w:val="21"/>
                          </w:rPr>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润表中其他综合收益项目分别以后会计 期间在满足规定条件时将重分类进损益 的项目与以后会计期间不能重分类进损 益的项目分别进行列报；</w:t>
                        </w:r>
                        <w:r>
                          <w:rPr>
                            <w:rFonts w:ascii="宋体" w:hAnsi="宋体" w:cs="宋体" w:eastAsia="宋体" w:hint="default"/>
                            <w:sz w:val="21"/>
                            <w:szCs w:val="21"/>
                          </w:rPr>
                          <w:t>B</w:t>
                        </w:r>
                        <w:r>
                          <w:rPr>
                            <w:rFonts w:ascii="宋体" w:hAnsi="宋体" w:cs="宋体" w:eastAsia="宋体" w:hint="default"/>
                            <w:sz w:val="21"/>
                            <w:szCs w:val="21"/>
                          </w:rPr>
                          <w:t>、将划分为持 </w:t>
                        </w:r>
                        <w:r>
                          <w:rPr>
                            <w:rFonts w:ascii="宋体" w:hAnsi="宋体" w:cs="宋体" w:eastAsia="宋体" w:hint="default"/>
                            <w:spacing w:val="-4"/>
                            <w:sz w:val="21"/>
                            <w:szCs w:val="21"/>
                          </w:rPr>
                          <w:t>有待售处置组中的资产和负债，分别单独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4"/>
                            <w:sz w:val="21"/>
                            <w:szCs w:val="21"/>
                          </w:rPr>
                          <w:t>列示为一项流动资产（划分为持有待售的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4"/>
                            <w:sz w:val="21"/>
                            <w:szCs w:val="21"/>
                          </w:rPr>
                          <w:t>资产）和流动负债（划分为持有待售的负</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债）。</w:t>
                        </w:r>
                        <w:r>
                          <w:rPr>
                            <w:rFonts w:ascii="宋体" w:hAnsi="宋体" w:cs="宋体" w:eastAsia="宋体" w:hint="default"/>
                            <w:sz w:val="21"/>
                            <w:szCs w:val="21"/>
                          </w:rPr>
                          <w:t>C</w:t>
                        </w:r>
                        <w:r>
                          <w:rPr>
                            <w:rFonts w:ascii="宋体" w:hAnsi="宋体" w:cs="宋体" w:eastAsia="宋体" w:hint="default"/>
                            <w:sz w:val="21"/>
                            <w:szCs w:val="21"/>
                          </w:rPr>
                          <w:t>、资产负债表单独列示其他综合 </w:t>
                        </w:r>
                        <w:r>
                          <w:rPr>
                            <w:rFonts w:ascii="宋体" w:hAnsi="宋体" w:cs="宋体" w:eastAsia="宋体" w:hint="default"/>
                            <w:spacing w:val="-4"/>
                            <w:sz w:val="21"/>
                            <w:szCs w:val="21"/>
                          </w:rPr>
                          <w:t>收益、递延收益本集团对比较财务报表的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列报进行了相应调整。</w:t>
                        </w:r>
                      </w:p>
                    </w:tc>
                    <w:tc>
                      <w:tcPr>
                        <w:tcW w:w="113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both"/>
                          <w:rPr>
                            <w:rFonts w:ascii="宋体" w:hAnsi="宋体" w:cs="宋体" w:eastAsia="宋体" w:hint="default"/>
                            <w:sz w:val="21"/>
                            <w:szCs w:val="21"/>
                          </w:rPr>
                        </w:pPr>
                        <w:r>
                          <w:rPr>
                            <w:rFonts w:ascii="宋体" w:hAnsi="宋体" w:cs="宋体" w:eastAsia="宋体" w:hint="default"/>
                            <w:sz w:val="21"/>
                            <w:szCs w:val="21"/>
                          </w:rPr>
                          <w:t>①归属于母公司股东</w:t>
                        </w:r>
                      </w:p>
                      <w:p>
                        <w:pPr>
                          <w:pStyle w:val="TableParagraph"/>
                          <w:spacing w:line="272" w:lineRule="exact" w:before="26"/>
                          <w:ind w:left="102" w:right="264"/>
                          <w:jc w:val="left"/>
                          <w:rPr>
                            <w:rFonts w:ascii="宋体" w:hAnsi="宋体" w:cs="宋体" w:eastAsia="宋体" w:hint="default"/>
                            <w:sz w:val="21"/>
                            <w:szCs w:val="21"/>
                          </w:rPr>
                        </w:pPr>
                        <w:r>
                          <w:rPr>
                            <w:rFonts w:ascii="宋体" w:hAnsi="宋体" w:cs="宋体" w:eastAsia="宋体" w:hint="default"/>
                            <w:sz w:val="21"/>
                            <w:szCs w:val="21"/>
                          </w:rPr>
                          <w:t>的其他综合收益的税 后净额</w:t>
                        </w:r>
                      </w:p>
                      <w:p>
                        <w:pPr>
                          <w:pStyle w:val="TableParagraph"/>
                          <w:spacing w:line="272" w:lineRule="exact"/>
                          <w:ind w:left="102" w:right="264"/>
                          <w:jc w:val="both"/>
                          <w:rPr>
                            <w:rFonts w:ascii="宋体" w:hAnsi="宋体" w:cs="宋体" w:eastAsia="宋体" w:hint="default"/>
                            <w:sz w:val="21"/>
                            <w:szCs w:val="21"/>
                          </w:rPr>
                        </w:pPr>
                        <w:r>
                          <w:rPr>
                            <w:rFonts w:ascii="宋体" w:hAnsi="宋体" w:cs="宋体" w:eastAsia="宋体" w:hint="default"/>
                            <w:sz w:val="21"/>
                            <w:szCs w:val="21"/>
                          </w:rPr>
                          <w:t>②归属于少数股东的 其他综合收益的税后 净额</w:t>
                        </w:r>
                      </w:p>
                      <w:p>
                        <w:pPr>
                          <w:pStyle w:val="TableParagraph"/>
                          <w:spacing w:line="246" w:lineRule="exact"/>
                          <w:ind w:left="102" w:right="0"/>
                          <w:jc w:val="both"/>
                          <w:rPr>
                            <w:rFonts w:ascii="宋体" w:hAnsi="宋体" w:cs="宋体" w:eastAsia="宋体" w:hint="default"/>
                            <w:sz w:val="21"/>
                            <w:szCs w:val="21"/>
                          </w:rPr>
                        </w:pPr>
                        <w:r>
                          <w:rPr>
                            <w:rFonts w:ascii="宋体" w:hAnsi="宋体" w:cs="宋体" w:eastAsia="宋体" w:hint="default"/>
                            <w:sz w:val="21"/>
                            <w:szCs w:val="21"/>
                          </w:rPr>
                          <w:t>③外币报表折算差额</w:t>
                        </w:r>
                      </w:p>
                      <w:p>
                        <w:pPr>
                          <w:pStyle w:val="TableParagraph"/>
                          <w:spacing w:line="272" w:lineRule="exact"/>
                          <w:ind w:left="102" w:right="0"/>
                          <w:jc w:val="both"/>
                          <w:rPr>
                            <w:rFonts w:ascii="宋体" w:hAnsi="宋体" w:cs="宋体" w:eastAsia="宋体" w:hint="default"/>
                            <w:sz w:val="21"/>
                            <w:szCs w:val="21"/>
                          </w:rPr>
                        </w:pPr>
                        <w:r>
                          <w:rPr>
                            <w:rFonts w:ascii="宋体" w:hAnsi="宋体" w:cs="宋体" w:eastAsia="宋体" w:hint="default"/>
                            <w:sz w:val="21"/>
                            <w:szCs w:val="21"/>
                          </w:rPr>
                          <w:t>④其他综合收益</w:t>
                        </w:r>
                      </w:p>
                      <w:p>
                        <w:pPr>
                          <w:pStyle w:val="TableParagraph"/>
                          <w:spacing w:line="272" w:lineRule="exact" w:before="26"/>
                          <w:ind w:left="102" w:right="264"/>
                          <w:jc w:val="left"/>
                          <w:rPr>
                            <w:rFonts w:ascii="宋体" w:hAnsi="宋体" w:cs="宋体" w:eastAsia="宋体" w:hint="default"/>
                            <w:sz w:val="21"/>
                            <w:szCs w:val="21"/>
                          </w:rPr>
                        </w:pPr>
                        <w:r>
                          <w:rPr>
                            <w:rFonts w:ascii="宋体" w:hAnsi="宋体" w:cs="宋体" w:eastAsia="宋体" w:hint="default"/>
                            <w:sz w:val="21"/>
                            <w:szCs w:val="21"/>
                          </w:rPr>
                          <w:t>⑤划分为持有待售的 资产</w:t>
                        </w:r>
                      </w:p>
                      <w:p>
                        <w:pPr>
                          <w:pStyle w:val="TableParagraph"/>
                          <w:spacing w:line="246" w:lineRule="exact"/>
                          <w:ind w:left="102" w:right="0"/>
                          <w:jc w:val="both"/>
                          <w:rPr>
                            <w:rFonts w:ascii="宋体" w:hAnsi="宋体" w:cs="宋体" w:eastAsia="宋体" w:hint="default"/>
                            <w:sz w:val="21"/>
                            <w:szCs w:val="21"/>
                          </w:rPr>
                        </w:pPr>
                        <w:r>
                          <w:rPr>
                            <w:rFonts w:ascii="宋体" w:hAnsi="宋体" w:cs="宋体" w:eastAsia="宋体" w:hint="default"/>
                            <w:sz w:val="21"/>
                            <w:szCs w:val="21"/>
                          </w:rPr>
                          <w:t>⑥其他流动资产</w:t>
                        </w:r>
                      </w:p>
                      <w:p>
                        <w:pPr>
                          <w:pStyle w:val="TableParagraph"/>
                          <w:spacing w:line="272" w:lineRule="exact" w:before="26"/>
                          <w:ind w:left="102" w:right="264"/>
                          <w:jc w:val="left"/>
                          <w:rPr>
                            <w:rFonts w:ascii="宋体" w:hAnsi="宋体" w:cs="宋体" w:eastAsia="宋体" w:hint="default"/>
                            <w:sz w:val="21"/>
                            <w:szCs w:val="21"/>
                          </w:rPr>
                        </w:pPr>
                        <w:r>
                          <w:rPr>
                            <w:rFonts w:ascii="宋体" w:hAnsi="宋体" w:cs="宋体" w:eastAsia="宋体" w:hint="default"/>
                            <w:sz w:val="21"/>
                            <w:szCs w:val="21"/>
                          </w:rPr>
                          <w:t>⑦划分为持有待售的 负债</w:t>
                        </w:r>
                      </w:p>
                      <w:p>
                        <w:pPr>
                          <w:pStyle w:val="TableParagraph"/>
                          <w:spacing w:line="246" w:lineRule="exact"/>
                          <w:ind w:left="102" w:right="0"/>
                          <w:jc w:val="both"/>
                          <w:rPr>
                            <w:rFonts w:ascii="宋体" w:hAnsi="宋体" w:cs="宋体" w:eastAsia="宋体" w:hint="default"/>
                            <w:sz w:val="21"/>
                            <w:szCs w:val="21"/>
                          </w:rPr>
                        </w:pPr>
                        <w:r>
                          <w:rPr>
                            <w:rFonts w:ascii="宋体" w:hAnsi="宋体" w:cs="宋体" w:eastAsia="宋体" w:hint="default"/>
                            <w:sz w:val="21"/>
                            <w:szCs w:val="21"/>
                          </w:rPr>
                          <w:t>⑧其他流动负债</w:t>
                        </w:r>
                      </w:p>
                      <w:p>
                        <w:pPr>
                          <w:pStyle w:val="TableParagraph"/>
                          <w:spacing w:line="273" w:lineRule="exact"/>
                          <w:ind w:left="102" w:right="0"/>
                          <w:jc w:val="both"/>
                          <w:rPr>
                            <w:rFonts w:ascii="宋体" w:hAnsi="宋体" w:cs="宋体" w:eastAsia="宋体" w:hint="default"/>
                            <w:sz w:val="21"/>
                            <w:szCs w:val="21"/>
                          </w:rPr>
                        </w:pPr>
                        <w:r>
                          <w:rPr>
                            <w:rFonts w:ascii="宋体" w:hAnsi="宋体" w:cs="宋体" w:eastAsia="宋体" w:hint="default"/>
                            <w:sz w:val="21"/>
                            <w:szCs w:val="21"/>
                          </w:rPr>
                          <w:t>⑨递延收益</w:t>
                        </w:r>
                      </w:p>
                      <w:p>
                        <w:pPr>
                          <w:pStyle w:val="TableParagraph"/>
                          <w:spacing w:line="274" w:lineRule="exact"/>
                          <w:ind w:left="102" w:right="0"/>
                          <w:jc w:val="both"/>
                          <w:rPr>
                            <w:rFonts w:ascii="宋体" w:hAnsi="宋体" w:cs="宋体" w:eastAsia="宋体" w:hint="default"/>
                            <w:sz w:val="21"/>
                            <w:szCs w:val="21"/>
                          </w:rPr>
                        </w:pPr>
                        <w:r>
                          <w:rPr>
                            <w:rFonts w:ascii="宋体" w:hAnsi="宋体" w:cs="宋体" w:eastAsia="宋体" w:hint="default"/>
                            <w:sz w:val="21"/>
                            <w:szCs w:val="21"/>
                          </w:rPr>
                          <w:t>⑩其他非流动负债</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1"/>
                            <w:sz w:val="21"/>
                            <w:szCs w:val="21"/>
                          </w:rPr>
                          <w:t> </w:t>
                        </w:r>
                        <w:r>
                          <w:rPr>
                            <w:rFonts w:ascii="宋体" w:hAnsi="宋体" w:cs="宋体" w:eastAsia="宋体" w:hint="default"/>
                            <w:sz w:val="21"/>
                            <w:szCs w:val="21"/>
                          </w:rPr>
                          <w:t>-12,461,206.49</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②4,156,386.45</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③51,846,189.90</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④</w:t>
                        </w:r>
                        <w:r>
                          <w:rPr>
                            <w:rFonts w:ascii="宋体" w:hAnsi="宋体" w:cs="宋体" w:eastAsia="宋体" w:hint="default"/>
                            <w:sz w:val="21"/>
                            <w:szCs w:val="21"/>
                          </w:rPr>
                          <w:t>-51,846,189.90</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⑤66,198,928.99</w:t>
                        </w:r>
                      </w:p>
                      <w:p>
                        <w:pPr>
                          <w:pStyle w:val="TableParagraph"/>
                          <w:spacing w:line="240" w:lineRule="auto" w:before="8"/>
                          <w:ind w:right="0"/>
                          <w:jc w:val="left"/>
                          <w:rPr>
                            <w:rFonts w:ascii="宋体" w:hAnsi="宋体" w:cs="宋体" w:eastAsia="宋体" w:hint="default"/>
                            <w:b/>
                            <w:bCs/>
                            <w:sz w:val="20"/>
                            <w:szCs w:val="20"/>
                          </w:rPr>
                        </w:pP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⑥</w:t>
                        </w:r>
                        <w:r>
                          <w:rPr>
                            <w:rFonts w:ascii="宋体" w:hAnsi="宋体" w:cs="宋体" w:eastAsia="宋体" w:hint="default"/>
                            <w:sz w:val="21"/>
                            <w:szCs w:val="21"/>
                          </w:rPr>
                          <w:t>-66,198,928.99</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⑦25,103,938.01</w:t>
                        </w:r>
                      </w:p>
                      <w:p>
                        <w:pPr>
                          <w:pStyle w:val="TableParagraph"/>
                          <w:spacing w:line="240" w:lineRule="auto" w:before="7"/>
                          <w:ind w:right="0"/>
                          <w:jc w:val="left"/>
                          <w:rPr>
                            <w:rFonts w:ascii="宋体" w:hAnsi="宋体" w:cs="宋体" w:eastAsia="宋体" w:hint="default"/>
                            <w:b/>
                            <w:bCs/>
                            <w:sz w:val="20"/>
                            <w:szCs w:val="20"/>
                          </w:rPr>
                        </w:pP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⑧</w:t>
                        </w:r>
                        <w:r>
                          <w:rPr>
                            <w:rFonts w:ascii="宋体" w:hAnsi="宋体" w:cs="宋体" w:eastAsia="宋体" w:hint="default"/>
                            <w:sz w:val="21"/>
                            <w:szCs w:val="21"/>
                          </w:rPr>
                          <w:t>-25,103,938.01</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⑨86,267,716.15</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⑩</w:t>
                        </w:r>
                        <w:r>
                          <w:rPr>
                            <w:rFonts w:ascii="宋体" w:hAnsi="宋体" w:cs="宋体" w:eastAsia="宋体" w:hint="default"/>
                            <w:sz w:val="21"/>
                            <w:szCs w:val="21"/>
                          </w:rPr>
                          <w:t>-86,267,716.15</w:t>
                        </w:r>
                      </w:p>
                    </w:tc>
                  </w:tr>
                  <w:tr>
                    <w:trPr>
                      <w:trHeight w:val="2190" w:hRule="exact"/>
                    </w:trPr>
                    <w:tc>
                      <w:tcPr>
                        <w:tcW w:w="39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根据企业会计准则第</w:t>
                        </w:r>
                        <w:r>
                          <w:rPr>
                            <w:rFonts w:ascii="宋体" w:hAnsi="宋体" w:cs="宋体" w:eastAsia="宋体" w:hint="default"/>
                            <w:spacing w:val="-54"/>
                            <w:sz w:val="21"/>
                            <w:szCs w:val="21"/>
                          </w:rPr>
                          <w:t> </w:t>
                        </w:r>
                        <w:r>
                          <w:rPr>
                            <w:rFonts w:ascii="宋体" w:hAnsi="宋体" w:cs="宋体" w:eastAsia="宋体" w:hint="default"/>
                            <w:sz w:val="21"/>
                            <w:szCs w:val="21"/>
                          </w:rPr>
                          <w:t>37</w:t>
                        </w:r>
                        <w:r>
                          <w:rPr>
                            <w:rFonts w:ascii="宋体" w:hAnsi="宋体" w:cs="宋体" w:eastAsia="宋体" w:hint="default"/>
                            <w:spacing w:val="-54"/>
                            <w:sz w:val="21"/>
                            <w:szCs w:val="21"/>
                          </w:rPr>
                          <w:t> </w:t>
                        </w:r>
                        <w:r>
                          <w:rPr>
                            <w:rFonts w:ascii="宋体" w:hAnsi="宋体" w:cs="宋体" w:eastAsia="宋体" w:hint="default"/>
                            <w:sz w:val="21"/>
                            <w:szCs w:val="21"/>
                          </w:rPr>
                          <w:t>号的要求：向职</w:t>
                        </w:r>
                      </w:p>
                      <w:p>
                        <w:pPr>
                          <w:pStyle w:val="TableParagraph"/>
                          <w:spacing w:line="237" w:lineRule="auto" w:before="1"/>
                          <w:ind w:left="103" w:right="100"/>
                          <w:jc w:val="left"/>
                          <w:rPr>
                            <w:rFonts w:ascii="宋体" w:hAnsi="宋体" w:cs="宋体" w:eastAsia="宋体" w:hint="default"/>
                            <w:sz w:val="21"/>
                            <w:szCs w:val="21"/>
                          </w:rPr>
                        </w:pPr>
                        <w:r>
                          <w:rPr>
                            <w:rFonts w:ascii="宋体" w:hAnsi="宋体" w:cs="宋体" w:eastAsia="宋体" w:hint="default"/>
                            <w:sz w:val="21"/>
                            <w:szCs w:val="21"/>
                          </w:rPr>
                          <w:t>工发行的限制性股票按有关规定履行了 </w:t>
                        </w:r>
                        <w:r>
                          <w:rPr>
                            <w:rFonts w:ascii="宋体" w:hAnsi="宋体" w:cs="宋体" w:eastAsia="宋体" w:hint="default"/>
                            <w:spacing w:val="-4"/>
                            <w:sz w:val="21"/>
                            <w:szCs w:val="21"/>
                          </w:rPr>
                          <w:t>注册登记等增资手续的，在投予日，企业</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应当根据收到职工缴纳的认股款确认股 </w:t>
                        </w:r>
                        <w:r>
                          <w:rPr>
                            <w:rFonts w:ascii="宋体" w:hAnsi="宋体" w:cs="宋体" w:eastAsia="宋体" w:hint="default"/>
                            <w:spacing w:val="-4"/>
                            <w:sz w:val="21"/>
                            <w:szCs w:val="21"/>
                          </w:rPr>
                          <w:t>本和资本公积（股本溢价），同时就回购</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4"/>
                            <w:sz w:val="21"/>
                            <w:szCs w:val="21"/>
                          </w:rPr>
                          <w:t>义务确认负债（作收购库存股处理）本集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团对比较财务报表采用了追溯调整法处 理</w:t>
                        </w:r>
                      </w:p>
                    </w:tc>
                    <w:tc>
                      <w:tcPr>
                        <w:tcW w:w="113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①库存股</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②其他非流动负债</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z w:val="21"/>
                            <w:szCs w:val="21"/>
                          </w:rPr>
                          <w:t>57,972,861.00</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②57,972,861.00</w:t>
                        </w:r>
                      </w:p>
                    </w:tc>
                  </w:tr>
                </w:tbl>
                <w:p>
                  <w:pPr/>
                </w:p>
              </w:txbxContent>
            </v:textbox>
            <w10:wrap type="none"/>
          </v:shape>
        </w:pict>
      </w:r>
      <w:r>
        <w:rPr>
          <w:rFonts w:ascii="宋体" w:hAnsi="宋体" w:cs="宋体" w:eastAsia="宋体" w:hint="default"/>
        </w:rPr>
        <w:t>(2)</w:t>
      </w:r>
      <w:r>
        <w:rPr/>
        <w:t>、重要会计估计变更</w:t>
      </w:r>
      <w:r>
        <w:rPr>
          <w:b w:val="0"/>
          <w:bCs w:val="0"/>
        </w:rPr>
      </w:r>
    </w:p>
    <w:p>
      <w:pPr>
        <w:pStyle w:val="BodyText"/>
        <w:spacing w:line="240" w:lineRule="auto" w:before="116"/>
        <w:ind w:left="218" w:right="0"/>
        <w:jc w:val="left"/>
      </w:pPr>
      <w:r>
        <w:rPr/>
        <w:t>□适用 √不适用</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Heading2"/>
        <w:tabs>
          <w:tab w:pos="1057" w:val="left" w:leader="none"/>
        </w:tabs>
        <w:spacing w:line="240" w:lineRule="auto" w:before="0"/>
        <w:ind w:right="0"/>
        <w:jc w:val="left"/>
        <w:rPr>
          <w:b w:val="0"/>
          <w:bCs w:val="0"/>
        </w:rPr>
      </w:pPr>
      <w:r>
        <w:rPr>
          <w:w w:val="95"/>
        </w:rPr>
        <w:t>六、</w:t>
        <w:tab/>
      </w:r>
      <w:r>
        <w:rPr/>
        <w:t>税项</w:t>
      </w:r>
      <w:r>
        <w:rPr>
          <w:b w:val="0"/>
          <w:bCs w:val="0"/>
        </w:rPr>
      </w:r>
    </w:p>
    <w:p>
      <w:pPr>
        <w:pStyle w:val="Heading2"/>
        <w:tabs>
          <w:tab w:pos="642" w:val="left" w:leader="none"/>
        </w:tabs>
        <w:spacing w:line="240" w:lineRule="auto" w:before="116"/>
        <w:ind w:right="0"/>
        <w:jc w:val="left"/>
        <w:rPr>
          <w:b w:val="0"/>
          <w:bCs w:val="0"/>
        </w:rPr>
      </w:pPr>
      <w:r>
        <w:rPr>
          <w:rFonts w:ascii="Calibri" w:hAnsi="Calibri" w:cs="Calibri" w:eastAsia="Calibri" w:hint="default"/>
          <w:spacing w:val="-1"/>
        </w:rPr>
        <w:t>1.</w:t>
        <w:tab/>
      </w:r>
      <w:r>
        <w:rPr/>
        <w:t>主要税种及税率</w:t>
      </w:r>
      <w:r>
        <w:rPr>
          <w:b w:val="0"/>
          <w:bCs w:val="0"/>
        </w:rPr>
      </w:r>
    </w:p>
    <w:p>
      <w:pPr>
        <w:spacing w:line="240" w:lineRule="auto" w:before="7"/>
        <w:rPr>
          <w:rFonts w:ascii="宋体" w:hAnsi="宋体" w:cs="宋体" w:eastAsia="宋体" w:hint="default"/>
          <w:b/>
          <w:bCs/>
          <w:sz w:val="9"/>
          <w:szCs w:val="9"/>
        </w:rPr>
      </w:pPr>
    </w:p>
    <w:tbl>
      <w:tblPr>
        <w:tblW w:w="0" w:type="auto"/>
        <w:jc w:val="left"/>
        <w:tblInd w:w="105" w:type="dxa"/>
        <w:tblLayout w:type="fixed"/>
        <w:tblCellMar>
          <w:top w:w="0" w:type="dxa"/>
          <w:left w:w="0" w:type="dxa"/>
          <w:bottom w:w="0" w:type="dxa"/>
          <w:right w:w="0" w:type="dxa"/>
        </w:tblCellMar>
        <w:tblLook w:val="01E0"/>
      </w:tblPr>
      <w:tblGrid>
        <w:gridCol w:w="2782"/>
        <w:gridCol w:w="3146"/>
        <w:gridCol w:w="3123"/>
      </w:tblGrid>
      <w:tr>
        <w:trPr>
          <w:trHeight w:val="284"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r>
              <w:rPr>
                <w:rFonts w:ascii="宋体" w:hAnsi="宋体" w:cs="宋体" w:eastAsia="宋体" w:hint="default"/>
                <w:sz w:val="21"/>
                <w:szCs w:val="21"/>
              </w:rPr>
              <w:t>%</w:t>
            </w:r>
          </w:p>
        </w:tc>
      </w:tr>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应税收入</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17</w:t>
            </w:r>
          </w:p>
        </w:tc>
      </w:tr>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146" w:type="dxa"/>
            <w:tcBorders>
              <w:top w:val="single" w:sz="4" w:space="0" w:color="000000"/>
              <w:left w:val="single" w:sz="4" w:space="0" w:color="000000"/>
              <w:bottom w:val="single" w:sz="4" w:space="0" w:color="000000"/>
              <w:right w:val="single" w:sz="4" w:space="0" w:color="000000"/>
            </w:tcBorders>
          </w:tcPr>
          <w:p>
            <w:pPr/>
          </w:p>
        </w:tc>
        <w:tc>
          <w:tcPr>
            <w:tcW w:w="31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应税收入</w:t>
            </w:r>
            <w:r>
              <w:rPr>
                <w:rFonts w:ascii="宋体" w:hAnsi="宋体" w:cs="宋体" w:eastAsia="宋体" w:hint="default"/>
                <w:spacing w:val="-52"/>
                <w:sz w:val="21"/>
                <w:szCs w:val="21"/>
              </w:rPr>
              <w:t> </w:t>
            </w:r>
            <w:r>
              <w:rPr>
                <w:rFonts w:ascii="宋体" w:hAnsi="宋体" w:cs="宋体" w:eastAsia="宋体" w:hint="default"/>
                <w:sz w:val="21"/>
                <w:szCs w:val="21"/>
              </w:rPr>
              <w:t>5%</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w:t>
            </w:r>
          </w:p>
        </w:tc>
      </w:tr>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应纳流转税额</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7%</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7</w:t>
            </w:r>
          </w:p>
        </w:tc>
      </w:tr>
    </w:tbl>
    <w:p>
      <w:pPr>
        <w:spacing w:after="0" w:line="240" w:lineRule="exact"/>
        <w:jc w:val="left"/>
        <w:rPr>
          <w:rFonts w:ascii="宋体" w:hAnsi="宋体" w:cs="宋体" w:eastAsia="宋体" w:hint="default"/>
          <w:sz w:val="21"/>
          <w:szCs w:val="21"/>
        </w:rPr>
        <w:sectPr>
          <w:pgSz w:w="11910" w:h="16840"/>
          <w:pgMar w:header="882" w:footer="1194" w:top="1120" w:bottom="1380" w:left="1580" w:right="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2782"/>
        <w:gridCol w:w="3146"/>
        <w:gridCol w:w="3123"/>
      </w:tblGrid>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25</w:t>
            </w:r>
          </w:p>
        </w:tc>
      </w:tr>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
        </w:tc>
        <w:tc>
          <w:tcPr>
            <w:tcW w:w="3146" w:type="dxa"/>
            <w:tcBorders>
              <w:top w:val="single" w:sz="4" w:space="0" w:color="000000"/>
              <w:left w:val="single" w:sz="4" w:space="0" w:color="000000"/>
              <w:bottom w:val="single" w:sz="4" w:space="0" w:color="000000"/>
              <w:right w:val="single" w:sz="4" w:space="0" w:color="000000"/>
            </w:tcBorders>
          </w:tcPr>
          <w:p>
            <w:pPr/>
          </w:p>
        </w:tc>
        <w:tc>
          <w:tcPr>
            <w:tcW w:w="31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
        </w:tc>
        <w:tc>
          <w:tcPr>
            <w:tcW w:w="3146" w:type="dxa"/>
            <w:tcBorders>
              <w:top w:val="single" w:sz="4" w:space="0" w:color="000000"/>
              <w:left w:val="single" w:sz="4" w:space="0" w:color="000000"/>
              <w:bottom w:val="single" w:sz="4" w:space="0" w:color="000000"/>
              <w:right w:val="single" w:sz="4" w:space="0" w:color="000000"/>
            </w:tcBorders>
          </w:tcPr>
          <w:p>
            <w:pPr/>
          </w:p>
        </w:tc>
        <w:tc>
          <w:tcPr>
            <w:tcW w:w="312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1"/>
        <w:ind w:left="698" w:right="101"/>
        <w:jc w:val="left"/>
      </w:pPr>
      <w:r>
        <w:rPr/>
        <w:t>说明：本公司控股的境外子公司根据其本国相关法律、法规缴纳相关的税金。</w:t>
      </w:r>
    </w:p>
    <w:p>
      <w:pPr>
        <w:pStyle w:val="BodyText"/>
        <w:spacing w:line="240" w:lineRule="auto" w:before="117"/>
        <w:ind w:left="218" w:right="0"/>
        <w:jc w:val="both"/>
      </w:pPr>
      <w:r>
        <w:rPr>
          <w:rFonts w:ascii="Calibri" w:hAnsi="Calibri" w:cs="Calibri" w:eastAsia="Calibri" w:hint="default"/>
        </w:rPr>
        <w:t>2.   </w:t>
      </w:r>
      <w:r>
        <w:rPr>
          <w:rFonts w:ascii="Calibri" w:hAnsi="Calibri" w:cs="Calibri" w:eastAsia="Calibri" w:hint="default"/>
          <w:spacing w:val="25"/>
        </w:rPr>
        <w:t> </w:t>
      </w:r>
      <w:r>
        <w:rPr/>
        <w:t>税收优惠及批文</w:t>
      </w:r>
    </w:p>
    <w:p>
      <w:pPr>
        <w:pStyle w:val="BodyText"/>
        <w:spacing w:line="237" w:lineRule="auto" w:before="90"/>
        <w:ind w:left="218" w:right="233"/>
        <w:jc w:val="both"/>
      </w:pPr>
      <w:r>
        <w:rPr>
          <w:spacing w:val="-4"/>
        </w:rPr>
        <w:t>（</w:t>
      </w:r>
      <w:r>
        <w:rPr>
          <w:rFonts w:ascii="宋体" w:hAnsi="宋体" w:cs="宋体" w:eastAsia="宋体" w:hint="default"/>
          <w:spacing w:val="-4"/>
        </w:rPr>
        <w:t>1</w:t>
      </w:r>
      <w:r>
        <w:rPr>
          <w:spacing w:val="-4"/>
        </w:rPr>
        <w:t>）</w:t>
      </w:r>
      <w:r>
        <w:rPr>
          <w:rFonts w:ascii="宋体" w:hAnsi="宋体" w:cs="宋体" w:eastAsia="宋体" w:hint="default"/>
          <w:spacing w:val="-4"/>
        </w:rPr>
        <w:t>2014</w:t>
      </w:r>
      <w:r>
        <w:rPr>
          <w:rFonts w:ascii="宋体" w:hAnsi="宋体" w:cs="宋体" w:eastAsia="宋体" w:hint="default"/>
          <w:spacing w:val="-58"/>
        </w:rPr>
        <w:t> </w:t>
      </w:r>
      <w:r>
        <w:rPr/>
        <w:t>年</w:t>
      </w:r>
      <w:r>
        <w:rPr>
          <w:spacing w:val="-58"/>
        </w:rPr>
        <w:t> </w:t>
      </w:r>
      <w:r>
        <w:rPr>
          <w:rFonts w:ascii="宋体" w:hAnsi="宋体" w:cs="宋体" w:eastAsia="宋体" w:hint="default"/>
        </w:rPr>
        <w:t>10</w:t>
      </w:r>
      <w:r>
        <w:rPr>
          <w:rFonts w:ascii="宋体" w:hAnsi="宋体" w:cs="宋体" w:eastAsia="宋体" w:hint="default"/>
          <w:spacing w:val="-58"/>
        </w:rPr>
        <w:t> </w:t>
      </w:r>
      <w:r>
        <w:rPr>
          <w:spacing w:val="-3"/>
        </w:rPr>
        <w:t>月，本公司取得北京市科委、市财政局、市国税局、市地税局联合颁</w:t>
      </w:r>
      <w:r>
        <w:rPr/>
        <w:t> 发的《高新技术企业证书》，有效期为三年。</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月，本公司取得国家发展和 </w:t>
      </w:r>
      <w:r>
        <w:rPr>
          <w:spacing w:val="-2"/>
        </w:rPr>
        <w:t>改革委员会、工业和信息化部、财政部、商务部和国家税务总局等五部委联合颁发的</w:t>
      </w:r>
    </w:p>
    <w:p>
      <w:pPr>
        <w:pStyle w:val="BodyText"/>
        <w:spacing w:line="310" w:lineRule="exact" w:before="29"/>
        <w:ind w:left="218" w:right="348"/>
        <w:jc w:val="left"/>
      </w:pPr>
      <w:r>
        <w:rPr/>
        <w:t>《国家规划布局内重点软件企业证书》，有效期为</w:t>
      </w:r>
      <w:r>
        <w:rPr>
          <w:spacing w:val="-60"/>
        </w:rPr>
        <w:t> </w:t>
      </w:r>
      <w:r>
        <w:rPr>
          <w:rFonts w:ascii="宋体" w:hAnsi="宋体" w:cs="宋体" w:eastAsia="宋体" w:hint="default"/>
        </w:rPr>
        <w:t>2013</w:t>
      </w:r>
      <w:r>
        <w:rPr>
          <w:rFonts w:ascii="宋体" w:hAnsi="宋体" w:cs="宋体" w:eastAsia="宋体" w:hint="default"/>
          <w:spacing w:val="-60"/>
        </w:rPr>
        <w:t> </w:t>
      </w:r>
      <w:r>
        <w:rPr/>
        <w:t>至</w:t>
      </w:r>
      <w:r>
        <w:rPr>
          <w:spacing w:val="-60"/>
        </w:rPr>
        <w:t> </w:t>
      </w:r>
      <w:r>
        <w:rPr>
          <w:rFonts w:ascii="宋体" w:hAnsi="宋体" w:cs="宋体" w:eastAsia="宋体" w:hint="default"/>
        </w:rPr>
        <w:t>2014</w:t>
      </w:r>
      <w:r>
        <w:rPr>
          <w:rFonts w:ascii="宋体" w:hAnsi="宋体" w:cs="宋体" w:eastAsia="宋体" w:hint="default"/>
          <w:spacing w:val="-60"/>
        </w:rPr>
        <w:t> </w:t>
      </w:r>
      <w:r>
        <w:rPr/>
        <w:t>年，故本公司</w:t>
      </w:r>
      <w:r>
        <w:rPr>
          <w:spacing w:val="-60"/>
        </w:rPr>
        <w:t> </w:t>
      </w:r>
      <w:r>
        <w:rPr>
          <w:rFonts w:ascii="宋体" w:hAnsi="宋体" w:cs="宋体" w:eastAsia="宋体" w:hint="default"/>
        </w:rPr>
        <w:t>2013 </w:t>
      </w:r>
      <w:r>
        <w:rPr/>
        <w:t>至</w:t>
      </w:r>
      <w:r>
        <w:rPr>
          <w:spacing w:val="-60"/>
        </w:rPr>
        <w:t> </w:t>
      </w:r>
      <w:r>
        <w:rPr>
          <w:rFonts w:ascii="宋体" w:hAnsi="宋体" w:cs="宋体" w:eastAsia="宋体" w:hint="default"/>
        </w:rPr>
        <w:t>2014</w:t>
      </w:r>
      <w:r>
        <w:rPr>
          <w:rFonts w:ascii="宋体" w:hAnsi="宋体" w:cs="宋体" w:eastAsia="宋体" w:hint="default"/>
          <w:spacing w:val="-60"/>
        </w:rPr>
        <w:t> </w:t>
      </w:r>
      <w:r>
        <w:rPr/>
        <w:t>年度按</w:t>
      </w:r>
      <w:r>
        <w:rPr>
          <w:spacing w:val="-60"/>
        </w:rPr>
        <w:t> </w:t>
      </w:r>
      <w:r>
        <w:rPr>
          <w:rFonts w:ascii="宋体" w:hAnsi="宋体" w:cs="宋体" w:eastAsia="宋体" w:hint="default"/>
        </w:rPr>
        <w:t>10%</w:t>
      </w:r>
      <w:r>
        <w:rPr/>
        <w:t>税率计缴企业所得税；</w:t>
      </w:r>
    </w:p>
    <w:p>
      <w:pPr>
        <w:pStyle w:val="BodyText"/>
        <w:spacing w:line="310" w:lineRule="exact" w:before="122"/>
        <w:ind w:left="218" w:right="233"/>
        <w:jc w:val="both"/>
      </w:pPr>
      <w:r>
        <w:rPr>
          <w:spacing w:val="-3"/>
        </w:rPr>
        <w:t>（</w:t>
      </w:r>
      <w:r>
        <w:rPr>
          <w:rFonts w:ascii="宋体" w:hAnsi="宋体" w:cs="宋体" w:eastAsia="宋体" w:hint="default"/>
          <w:spacing w:val="-3"/>
        </w:rPr>
        <w:t>2</w:t>
      </w:r>
      <w:r>
        <w:rPr>
          <w:spacing w:val="-3"/>
        </w:rPr>
        <w:t>）根据财税</w:t>
      </w:r>
      <w:r>
        <w:rPr>
          <w:rFonts w:ascii="宋体" w:hAnsi="宋体" w:cs="宋体" w:eastAsia="宋体" w:hint="default"/>
          <w:spacing w:val="-3"/>
        </w:rPr>
        <w:t>[2011]100</w:t>
      </w:r>
      <w:r>
        <w:rPr>
          <w:rFonts w:ascii="宋体" w:hAnsi="宋体" w:cs="宋体" w:eastAsia="宋体" w:hint="default"/>
          <w:spacing w:val="-43"/>
        </w:rPr>
        <w:t> </w:t>
      </w:r>
      <w:r>
        <w:rPr>
          <w:spacing w:val="-3"/>
        </w:rPr>
        <w:t>号文件《财政部、国家税务总局关于软件产品增值税政策的</w:t>
      </w:r>
      <w:r>
        <w:rPr/>
        <w:t> 通知》规定，增值税一般纳税人销售其自行开发生产的软件产品，按</w:t>
      </w:r>
      <w:r>
        <w:rPr>
          <w:spacing w:val="-60"/>
        </w:rPr>
        <w:t> </w:t>
      </w:r>
      <w:r>
        <w:rPr>
          <w:rFonts w:ascii="宋体" w:hAnsi="宋体" w:cs="宋体" w:eastAsia="宋体" w:hint="default"/>
        </w:rPr>
        <w:t>17%</w:t>
      </w:r>
      <w:r>
        <w:rPr/>
        <w:t>税率征收增 值税后，对其增值税实际税负超过</w:t>
      </w:r>
      <w:r>
        <w:rPr>
          <w:spacing w:val="-60"/>
        </w:rPr>
        <w:t> </w:t>
      </w:r>
      <w:r>
        <w:rPr>
          <w:rFonts w:ascii="宋体" w:hAnsi="宋体" w:cs="宋体" w:eastAsia="宋体" w:hint="default"/>
        </w:rPr>
        <w:t>3%</w:t>
      </w:r>
      <w:r>
        <w:rPr/>
        <w:t>的部分实行即征即退政策；</w:t>
      </w:r>
    </w:p>
    <w:p>
      <w:pPr>
        <w:pStyle w:val="BodyText"/>
        <w:spacing w:line="237" w:lineRule="auto" w:before="92"/>
        <w:ind w:left="218" w:right="234"/>
        <w:jc w:val="both"/>
      </w:pPr>
      <w:r>
        <w:rPr/>
        <w:t>（</w:t>
      </w:r>
      <w:r>
        <w:rPr>
          <w:rFonts w:ascii="宋体" w:hAnsi="宋体" w:cs="宋体" w:eastAsia="宋体" w:hint="default"/>
        </w:rPr>
        <w:t>3</w:t>
      </w:r>
      <w:r>
        <w:rPr/>
        <w:t>）根据财税</w:t>
      </w:r>
      <w:r>
        <w:rPr>
          <w:rFonts w:ascii="宋体" w:hAnsi="宋体" w:cs="宋体" w:eastAsia="宋体" w:hint="default"/>
        </w:rPr>
        <w:t>[2013]37</w:t>
      </w:r>
      <w:r>
        <w:rPr>
          <w:rFonts w:ascii="宋体" w:hAnsi="宋体" w:cs="宋体" w:eastAsia="宋体" w:hint="default"/>
          <w:spacing w:val="-60"/>
        </w:rPr>
        <w:t> </w:t>
      </w:r>
      <w:r>
        <w:rPr/>
        <w:t>号《关于在全国开展交通运输业和部分现代服务业营业税改 征增值税试点税收政策的通知》和财政部、国家税务总局财税〔</w:t>
      </w:r>
      <w:r>
        <w:rPr>
          <w:rFonts w:ascii="宋体" w:hAnsi="宋体" w:cs="宋体" w:eastAsia="宋体" w:hint="default"/>
        </w:rPr>
        <w:t>2013</w:t>
      </w:r>
      <w:r>
        <w:rPr/>
        <w:t>〕</w:t>
      </w:r>
      <w:r>
        <w:rPr>
          <w:rFonts w:ascii="宋体" w:hAnsi="宋体" w:cs="宋体" w:eastAsia="宋体" w:hint="default"/>
        </w:rPr>
        <w:t>106</w:t>
      </w:r>
      <w:r>
        <w:rPr>
          <w:rFonts w:ascii="宋体" w:hAnsi="宋体" w:cs="宋体" w:eastAsia="宋体" w:hint="default"/>
          <w:spacing w:val="-60"/>
        </w:rPr>
        <w:t> </w:t>
      </w:r>
      <w:r>
        <w:rPr/>
        <w:t>号：《关 </w:t>
      </w:r>
      <w:r>
        <w:rPr>
          <w:spacing w:val="-2"/>
        </w:rPr>
        <w:t>于将铁路运输和邮政业纳入营业税改征增值税试点的通知》文件规定，试点纳税人提</w:t>
      </w:r>
      <w:r>
        <w:rPr>
          <w:spacing w:val="-94"/>
        </w:rPr>
        <w:t> </w:t>
      </w:r>
      <w:r>
        <w:rPr>
          <w:spacing w:val="-94"/>
        </w:rPr>
      </w:r>
      <w:r>
        <w:rPr/>
        <w:t>供技术转让、技术开发和与之相关的技术咨询、技术服务免征增值税；</w:t>
      </w:r>
    </w:p>
    <w:p>
      <w:pPr>
        <w:pStyle w:val="BodyText"/>
        <w:spacing w:line="237" w:lineRule="auto" w:before="120"/>
        <w:ind w:left="218" w:right="228"/>
        <w:jc w:val="left"/>
      </w:pPr>
      <w:r>
        <w:rPr/>
        <w:t>（</w:t>
      </w:r>
      <w:r>
        <w:rPr>
          <w:rFonts w:ascii="宋体" w:hAnsi="宋体" w:cs="宋体" w:eastAsia="宋体" w:hint="default"/>
        </w:rPr>
        <w:t>4</w:t>
      </w:r>
      <w:r>
        <w:rPr/>
        <w:t>）</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t>日，本公司之子公司北京华胜天成软件技术有限公司取得北京 市科委、市财政局、市国税局、市地税局联合颁发的《高新技术企业证书》，</w:t>
      </w:r>
      <w:r>
        <w:rPr>
          <w:rFonts w:ascii="宋体" w:hAnsi="宋体" w:cs="宋体" w:eastAsia="宋体" w:hint="default"/>
        </w:rPr>
        <w:t>2014 </w:t>
      </w:r>
      <w:r>
        <w:rPr/>
        <w:t>至</w:t>
      </w:r>
      <w:r>
        <w:rPr>
          <w:spacing w:val="-60"/>
        </w:rPr>
        <w:t> </w:t>
      </w:r>
      <w:r>
        <w:rPr>
          <w:rFonts w:ascii="宋体" w:hAnsi="宋体" w:cs="宋体" w:eastAsia="宋体" w:hint="default"/>
        </w:rPr>
        <w:t>2016</w:t>
      </w:r>
      <w:r>
        <w:rPr>
          <w:rFonts w:ascii="宋体" w:hAnsi="宋体" w:cs="宋体" w:eastAsia="宋体" w:hint="default"/>
          <w:spacing w:val="-60"/>
        </w:rPr>
        <w:t> </w:t>
      </w:r>
      <w:r>
        <w:rPr/>
        <w:t>年度按</w:t>
      </w:r>
      <w:r>
        <w:rPr>
          <w:spacing w:val="-60"/>
        </w:rPr>
        <w:t> </w:t>
      </w:r>
      <w:r>
        <w:rPr>
          <w:rFonts w:ascii="宋体" w:hAnsi="宋体" w:cs="宋体" w:eastAsia="宋体" w:hint="default"/>
        </w:rPr>
        <w:t>15%</w:t>
      </w:r>
      <w:r>
        <w:rPr/>
        <w:t>税率计缴企业所得税；</w:t>
      </w:r>
    </w:p>
    <w:p>
      <w:pPr>
        <w:pStyle w:val="BodyText"/>
        <w:spacing w:line="313" w:lineRule="exact" w:before="117"/>
        <w:ind w:left="218" w:right="0"/>
        <w:jc w:val="both"/>
      </w:pPr>
      <w:r>
        <w:rPr/>
        <w:t>（</w:t>
      </w:r>
      <w:r>
        <w:rPr>
          <w:rFonts w:ascii="宋体" w:hAnsi="宋体" w:cs="宋体" w:eastAsia="宋体" w:hint="default"/>
        </w:rPr>
        <w:t>5</w:t>
      </w:r>
      <w:r>
        <w:rPr/>
        <w:t>）</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t>日，本公司之子公司北京交大思源科技有限公司取得北京市科</w:t>
      </w:r>
    </w:p>
    <w:p>
      <w:pPr>
        <w:pStyle w:val="BodyText"/>
        <w:spacing w:line="310" w:lineRule="exact" w:before="31"/>
        <w:ind w:left="218" w:right="231"/>
        <w:jc w:val="both"/>
      </w:pPr>
      <w:r>
        <w:rPr>
          <w:spacing w:val="-5"/>
        </w:rPr>
        <w:t>委、市财政局、市国税局、市地税局联合颁发的《高新技术企业证书》，</w:t>
      </w:r>
      <w:r>
        <w:rPr>
          <w:rFonts w:ascii="宋体" w:hAnsi="宋体" w:cs="宋体" w:eastAsia="宋体" w:hint="default"/>
          <w:spacing w:val="-5"/>
        </w:rPr>
        <w:t>2014</w:t>
      </w:r>
      <w:r>
        <w:rPr>
          <w:rFonts w:ascii="宋体" w:hAnsi="宋体" w:cs="宋体" w:eastAsia="宋体" w:hint="default"/>
          <w:spacing w:val="-54"/>
        </w:rPr>
        <w:t> </w:t>
      </w:r>
      <w:r>
        <w:rPr/>
        <w:t>至</w:t>
      </w:r>
      <w:r>
        <w:rPr>
          <w:spacing w:val="-54"/>
        </w:rPr>
        <w:t> </w:t>
      </w:r>
      <w:r>
        <w:rPr>
          <w:rFonts w:ascii="宋体" w:hAnsi="宋体" w:cs="宋体" w:eastAsia="宋体" w:hint="default"/>
        </w:rPr>
        <w:t>2016 </w:t>
      </w:r>
      <w:r>
        <w:rPr/>
        <w:t>年度按</w:t>
      </w:r>
      <w:r>
        <w:rPr>
          <w:spacing w:val="-60"/>
        </w:rPr>
        <w:t> </w:t>
      </w:r>
      <w:r>
        <w:rPr>
          <w:rFonts w:ascii="宋体" w:hAnsi="宋体" w:cs="宋体" w:eastAsia="宋体" w:hint="default"/>
        </w:rPr>
        <w:t>15%</w:t>
      </w:r>
      <w:r>
        <w:rPr/>
        <w:t>税率计缴企业所得税；</w:t>
      </w:r>
    </w:p>
    <w:p>
      <w:pPr>
        <w:pStyle w:val="BodyText"/>
        <w:spacing w:line="237" w:lineRule="auto" w:before="92"/>
        <w:ind w:left="218" w:right="245"/>
        <w:jc w:val="both"/>
      </w:pPr>
      <w:r>
        <w:rPr/>
        <w:t>（</w:t>
      </w:r>
      <w:r>
        <w:rPr>
          <w:rFonts w:ascii="宋体" w:hAnsi="宋体" w:cs="宋体" w:eastAsia="宋体" w:hint="default"/>
        </w:rPr>
        <w:t>6</w:t>
      </w:r>
      <w:r>
        <w:rPr/>
        <w:t>）</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6</w:t>
      </w:r>
      <w:r>
        <w:rPr>
          <w:rFonts w:ascii="宋体" w:hAnsi="宋体" w:cs="宋体" w:eastAsia="宋体" w:hint="default"/>
          <w:spacing w:val="-60"/>
        </w:rPr>
        <w:t> </w:t>
      </w:r>
      <w:r>
        <w:rPr/>
        <w:t>日，本公司之间接控制子公司摩卡软件（天津）有限公司，获得 天津市科学技术委员会颁发的软件企业认定证书，根据财税</w:t>
      </w:r>
      <w:r>
        <w:rPr>
          <w:rFonts w:ascii="宋体" w:hAnsi="宋体" w:cs="宋体" w:eastAsia="宋体" w:hint="default"/>
        </w:rPr>
        <w:t>[2008]1</w:t>
      </w:r>
      <w:r>
        <w:rPr>
          <w:rFonts w:ascii="宋体" w:hAnsi="宋体" w:cs="宋体" w:eastAsia="宋体" w:hint="default"/>
          <w:spacing w:val="-60"/>
        </w:rPr>
        <w:t> </w:t>
      </w:r>
      <w:r>
        <w:rPr/>
        <w:t>号文件规定，自 获利年度起，享受两免三减半的企业所得税优惠政策。</w:t>
      </w:r>
      <w:r>
        <w:rPr>
          <w:rFonts w:ascii="宋体" w:hAnsi="宋体" w:cs="宋体" w:eastAsia="宋体" w:hint="default"/>
        </w:rPr>
        <w:t>2011</w:t>
      </w:r>
      <w:r>
        <w:rPr>
          <w:rFonts w:ascii="宋体" w:hAnsi="宋体" w:cs="宋体" w:eastAsia="宋体" w:hint="default"/>
          <w:spacing w:val="-60"/>
        </w:rPr>
        <w:t> </w:t>
      </w:r>
      <w:r>
        <w:rPr/>
        <w:t>至</w:t>
      </w:r>
      <w:r>
        <w:rPr>
          <w:spacing w:val="-60"/>
        </w:rPr>
        <w:t> </w:t>
      </w:r>
      <w:r>
        <w:rPr>
          <w:rFonts w:ascii="宋体" w:hAnsi="宋体" w:cs="宋体" w:eastAsia="宋体" w:hint="default"/>
        </w:rPr>
        <w:t>2012</w:t>
      </w:r>
      <w:r>
        <w:rPr>
          <w:rFonts w:ascii="宋体" w:hAnsi="宋体" w:cs="宋体" w:eastAsia="宋体" w:hint="default"/>
          <w:spacing w:val="-60"/>
        </w:rPr>
        <w:t> </w:t>
      </w:r>
      <w:r>
        <w:rPr/>
        <w:t>年免征企业所得 税，</w:t>
      </w:r>
      <w:r>
        <w:rPr>
          <w:rFonts w:ascii="宋体" w:hAnsi="宋体" w:cs="宋体" w:eastAsia="宋体" w:hint="default"/>
        </w:rPr>
        <w:t>2013</w:t>
      </w:r>
      <w:r>
        <w:rPr>
          <w:rFonts w:ascii="宋体" w:hAnsi="宋体" w:cs="宋体" w:eastAsia="宋体" w:hint="default"/>
          <w:spacing w:val="-60"/>
        </w:rPr>
        <w:t> </w:t>
      </w:r>
      <w:r>
        <w:rPr/>
        <w:t>至</w:t>
      </w:r>
      <w:r>
        <w:rPr>
          <w:spacing w:val="-60"/>
        </w:rPr>
        <w:t> </w:t>
      </w:r>
      <w:r>
        <w:rPr>
          <w:rFonts w:ascii="宋体" w:hAnsi="宋体" w:cs="宋体" w:eastAsia="宋体" w:hint="default"/>
        </w:rPr>
        <w:t>2015</w:t>
      </w:r>
      <w:r>
        <w:rPr>
          <w:rFonts w:ascii="宋体" w:hAnsi="宋体" w:cs="宋体" w:eastAsia="宋体" w:hint="default"/>
          <w:spacing w:val="-60"/>
        </w:rPr>
        <w:t> </w:t>
      </w:r>
      <w:r>
        <w:rPr/>
        <w:t>年按</w:t>
      </w:r>
      <w:r>
        <w:rPr>
          <w:spacing w:val="-60"/>
        </w:rPr>
        <w:t> </w:t>
      </w:r>
      <w:r>
        <w:rPr>
          <w:rFonts w:ascii="宋体" w:hAnsi="宋体" w:cs="宋体" w:eastAsia="宋体" w:hint="default"/>
        </w:rPr>
        <w:t>12.5%</w:t>
      </w:r>
      <w:r>
        <w:rPr/>
        <w:t>计缴企业所得税；</w:t>
      </w:r>
    </w:p>
    <w:p>
      <w:pPr>
        <w:pStyle w:val="BodyText"/>
        <w:spacing w:line="237" w:lineRule="auto" w:before="120"/>
        <w:ind w:left="218" w:right="234"/>
        <w:jc w:val="both"/>
      </w:pPr>
      <w:r>
        <w:rPr/>
        <w:t>（</w:t>
      </w:r>
      <w:r>
        <w:rPr>
          <w:rFonts w:ascii="宋体" w:hAnsi="宋体" w:cs="宋体" w:eastAsia="宋体" w:hint="default"/>
        </w:rPr>
        <w:t>7</w:t>
      </w:r>
      <w:r>
        <w:rPr/>
        <w:t>）本公司之间接控制子公司摩卡软件（天津）有限公司系在天津新技术产业园区 </w:t>
      </w:r>
      <w:r>
        <w:rPr>
          <w:spacing w:val="-2"/>
        </w:rPr>
        <w:t>注册的外商投资企业，根据《天津新技术产业园区加快软件与服务外包产业发展的鼓</w:t>
      </w:r>
      <w:r>
        <w:rPr>
          <w:spacing w:val="-94"/>
        </w:rPr>
        <w:t> </w:t>
      </w:r>
      <w:r>
        <w:rPr>
          <w:spacing w:val="-94"/>
        </w:rPr>
      </w:r>
      <w:r>
        <w:rPr/>
        <w:t>励办法》（津园区管发</w:t>
      </w:r>
      <w:r>
        <w:rPr>
          <w:rFonts w:ascii="宋体" w:hAnsi="宋体" w:cs="宋体" w:eastAsia="宋体" w:hint="default"/>
        </w:rPr>
        <w:t>[2008]3</w:t>
      </w:r>
      <w:r>
        <w:rPr>
          <w:rFonts w:ascii="宋体" w:hAnsi="宋体" w:cs="宋体" w:eastAsia="宋体" w:hint="default"/>
          <w:spacing w:val="-60"/>
        </w:rPr>
        <w:t> </w:t>
      </w:r>
      <w:r>
        <w:rPr/>
        <w:t>号）的规定，公司营业税执行</w:t>
      </w:r>
      <w:r>
        <w:rPr>
          <w:spacing w:val="-60"/>
        </w:rPr>
        <w:t> </w:t>
      </w:r>
      <w:r>
        <w:rPr>
          <w:rFonts w:ascii="宋体" w:hAnsi="宋体" w:cs="宋体" w:eastAsia="宋体" w:hint="default"/>
        </w:rPr>
        <w:t>88%</w:t>
      </w:r>
      <w:r>
        <w:rPr/>
        <w:t>的退税优惠政策；</w:t>
      </w:r>
    </w:p>
    <w:p>
      <w:pPr>
        <w:pStyle w:val="BodyText"/>
        <w:spacing w:line="313" w:lineRule="exact" w:before="117"/>
        <w:ind w:left="218" w:right="0"/>
        <w:jc w:val="both"/>
      </w:pPr>
      <w:r>
        <w:rPr/>
        <w:t>（</w:t>
      </w:r>
      <w:r>
        <w:rPr>
          <w:rFonts w:ascii="宋体" w:hAnsi="宋体" w:cs="宋体" w:eastAsia="宋体" w:hint="default"/>
        </w:rPr>
        <w:t>8</w:t>
      </w:r>
      <w:r>
        <w:rPr/>
        <w:t>）</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t>日，本公司之间接控制子公司长天科技有限公司取得北京市科</w:t>
      </w:r>
    </w:p>
    <w:p>
      <w:pPr>
        <w:pStyle w:val="BodyText"/>
        <w:spacing w:line="310" w:lineRule="exact" w:before="31"/>
        <w:ind w:left="218" w:right="231"/>
        <w:jc w:val="both"/>
      </w:pPr>
      <w:r>
        <w:rPr>
          <w:spacing w:val="-5"/>
        </w:rPr>
        <w:t>委、市财政局、市国税局、市地税局联合颁发的《高新技术企业证书》，</w:t>
      </w:r>
      <w:r>
        <w:rPr>
          <w:rFonts w:ascii="宋体" w:hAnsi="宋体" w:cs="宋体" w:eastAsia="宋体" w:hint="default"/>
          <w:spacing w:val="-5"/>
        </w:rPr>
        <w:t>2012</w:t>
      </w:r>
      <w:r>
        <w:rPr>
          <w:rFonts w:ascii="宋体" w:hAnsi="宋体" w:cs="宋体" w:eastAsia="宋体" w:hint="default"/>
          <w:spacing w:val="-55"/>
        </w:rPr>
        <w:t> </w:t>
      </w:r>
      <w:r>
        <w:rPr/>
        <w:t>至</w:t>
      </w:r>
      <w:r>
        <w:rPr>
          <w:spacing w:val="-55"/>
        </w:rPr>
        <w:t> </w:t>
      </w:r>
      <w:r>
        <w:rPr>
          <w:rFonts w:ascii="宋体" w:hAnsi="宋体" w:cs="宋体" w:eastAsia="宋体" w:hint="default"/>
        </w:rPr>
        <w:t>2014 </w:t>
      </w:r>
      <w:r>
        <w:rPr/>
        <w:t>年度按</w:t>
      </w:r>
      <w:r>
        <w:rPr>
          <w:spacing w:val="-60"/>
        </w:rPr>
        <w:t> </w:t>
      </w:r>
      <w:r>
        <w:rPr>
          <w:rFonts w:ascii="宋体" w:hAnsi="宋体" w:cs="宋体" w:eastAsia="宋体" w:hint="default"/>
        </w:rPr>
        <w:t>15%</w:t>
      </w:r>
      <w:r>
        <w:rPr/>
        <w:t>税率计缴企业所得税；</w:t>
      </w:r>
    </w:p>
    <w:p>
      <w:pPr>
        <w:pStyle w:val="BodyText"/>
        <w:spacing w:line="237" w:lineRule="auto" w:before="91"/>
        <w:ind w:left="218" w:right="233"/>
        <w:jc w:val="both"/>
      </w:pPr>
      <w:r>
        <w:rPr/>
        <w:t>（</w:t>
      </w:r>
      <w:r>
        <w:rPr>
          <w:rFonts w:ascii="宋体" w:hAnsi="宋体" w:cs="宋体" w:eastAsia="宋体" w:hint="default"/>
        </w:rPr>
        <w:t>9</w:t>
      </w:r>
      <w:r>
        <w:rPr/>
        <w:t>）本公司之间接控制子公司华胜天成（中国）融资租赁有限公司系在中新天津生 </w:t>
      </w:r>
      <w:r>
        <w:rPr>
          <w:spacing w:val="-2"/>
        </w:rPr>
        <w:t>态城注册的外商投资企业，根据《中新天津生态城产业发展促进办法》的规定以及与</w:t>
      </w:r>
      <w:r>
        <w:rPr>
          <w:spacing w:val="-94"/>
        </w:rPr>
        <w:t> </w:t>
      </w:r>
      <w:r>
        <w:rPr>
          <w:spacing w:val="-94"/>
        </w:rPr>
      </w:r>
      <w:r>
        <w:rPr>
          <w:spacing w:val="-2"/>
        </w:rPr>
        <w:t>中新天津生态城管委会签订的协议约定，公司营业税、增值税生态城留成部分（营业</w:t>
      </w:r>
      <w:r>
        <w:rPr>
          <w:spacing w:val="-94"/>
        </w:rPr>
        <w:t> </w:t>
      </w:r>
      <w:r>
        <w:rPr>
          <w:spacing w:val="-94"/>
        </w:rPr>
      </w:r>
      <w:r>
        <w:rPr/>
        <w:t>税</w:t>
      </w:r>
      <w:r>
        <w:rPr>
          <w:spacing w:val="-60"/>
        </w:rPr>
        <w:t> </w:t>
      </w:r>
      <w:r>
        <w:rPr>
          <w:rFonts w:ascii="宋体" w:hAnsi="宋体" w:cs="宋体" w:eastAsia="宋体" w:hint="default"/>
        </w:rPr>
        <w:t>100%</w:t>
      </w:r>
      <w:r>
        <w:rPr/>
        <w:t>、增值税</w:t>
      </w:r>
      <w:r>
        <w:rPr>
          <w:spacing w:val="-60"/>
        </w:rPr>
        <w:t> </w:t>
      </w:r>
      <w:r>
        <w:rPr>
          <w:rFonts w:ascii="宋体" w:hAnsi="宋体" w:cs="宋体" w:eastAsia="宋体" w:hint="default"/>
        </w:rPr>
        <w:t>25%</w:t>
      </w:r>
      <w:r>
        <w:rPr/>
        <w:t>），五年内每年给予</w:t>
      </w:r>
      <w:r>
        <w:rPr>
          <w:spacing w:val="-60"/>
        </w:rPr>
        <w:t> </w:t>
      </w:r>
      <w:r>
        <w:rPr>
          <w:rFonts w:ascii="宋体" w:hAnsi="宋体" w:cs="宋体" w:eastAsia="宋体" w:hint="default"/>
        </w:rPr>
        <w:t>70%</w:t>
      </w:r>
      <w:r>
        <w:rPr/>
        <w:t>财政扶持；企业所得税自企业注册之日 起按其缴纳的企业所得税生态城留成部分（</w:t>
      </w:r>
      <w:r>
        <w:rPr>
          <w:rFonts w:ascii="宋体" w:hAnsi="宋体" w:cs="宋体" w:eastAsia="宋体" w:hint="default"/>
        </w:rPr>
        <w:t>40%</w:t>
      </w:r>
      <w:r>
        <w:rPr/>
        <w:t>）前三年每年给予</w:t>
      </w:r>
      <w:r>
        <w:rPr>
          <w:spacing w:val="-60"/>
        </w:rPr>
        <w:t> </w:t>
      </w:r>
      <w:r>
        <w:rPr>
          <w:rFonts w:ascii="宋体" w:hAnsi="宋体" w:cs="宋体" w:eastAsia="宋体" w:hint="default"/>
        </w:rPr>
        <w:t>100%</w:t>
      </w:r>
      <w:r>
        <w:rPr/>
        <w:t>财政扶持，后 三年每年给予</w:t>
      </w:r>
      <w:r>
        <w:rPr>
          <w:spacing w:val="-60"/>
        </w:rPr>
        <w:t> </w:t>
      </w:r>
      <w:r>
        <w:rPr>
          <w:rFonts w:ascii="宋体" w:hAnsi="宋体" w:cs="宋体" w:eastAsia="宋体" w:hint="default"/>
        </w:rPr>
        <w:t>50%</w:t>
      </w:r>
      <w:r>
        <w:rPr/>
        <w:t>的财政扶持；</w:t>
      </w:r>
    </w:p>
    <w:p>
      <w:pPr>
        <w:spacing w:after="0" w:line="237" w:lineRule="auto"/>
        <w:jc w:val="both"/>
        <w:sectPr>
          <w:pgSz w:w="11910" w:h="16840"/>
          <w:pgMar w:header="882" w:footer="1194" w:top="1120" w:bottom="1380" w:left="1580" w:right="1040"/>
        </w:sectPr>
      </w:pPr>
    </w:p>
    <w:p>
      <w:pPr>
        <w:spacing w:line="240" w:lineRule="auto" w:before="9"/>
        <w:rPr>
          <w:rFonts w:ascii="宋体" w:hAnsi="宋体" w:cs="宋体" w:eastAsia="宋体" w:hint="default"/>
          <w:sz w:val="25"/>
          <w:szCs w:val="25"/>
        </w:rPr>
      </w:pPr>
      <w:r>
        <w:rPr/>
        <w:pict>
          <v:group style="position:absolute;margin-left:137.720001pt;margin-top:389.299988pt;width:408.7pt;height:1pt;mso-position-horizontal-relative:page;mso-position-vertical-relative:page;z-index:-982984" coordorigin="2754,7786" coordsize="8174,20">
            <v:group style="position:absolute;left:2764;top:7796;width:1528;height:2" coordorigin="2764,7796" coordsize="1528,2">
              <v:shape style="position:absolute;left:2764;top:7796;width:1528;height:2" coordorigin="2764,7796" coordsize="1528,0" path="m2764,7796l4292,7796e" filled="false" stroked="true" strokeweight=".95999pt" strokecolor="#000000">
                <v:path arrowok="t"/>
              </v:shape>
            </v:group>
            <v:group style="position:absolute;left:4292;top:7796;width:20;height:2" coordorigin="4292,7796" coordsize="20,2">
              <v:shape style="position:absolute;left:4292;top:7796;width:20;height:2" coordorigin="4292,7796" coordsize="20,0" path="m4292,7796l4311,7796e" filled="false" stroked="true" strokeweight=".95999pt" strokecolor="#000000">
                <v:path arrowok="t"/>
              </v:shape>
            </v:group>
            <v:group style="position:absolute;left:4311;top:7796;width:781;height:2" coordorigin="4311,7796" coordsize="781,2">
              <v:shape style="position:absolute;left:4311;top:7796;width:781;height:2" coordorigin="4311,7796" coordsize="781,0" path="m4311,7796l5091,7796e" filled="false" stroked="true" strokeweight=".95999pt" strokecolor="#000000">
                <v:path arrowok="t"/>
              </v:shape>
            </v:group>
            <v:group style="position:absolute;left:5091;top:7796;width:20;height:2" coordorigin="5091,7796" coordsize="20,2">
              <v:shape style="position:absolute;left:5091;top:7796;width:20;height:2" coordorigin="5091,7796" coordsize="20,0" path="m5091,7796l5110,7796e" filled="false" stroked="true" strokeweight=".95999pt" strokecolor="#000000">
                <v:path arrowok="t"/>
              </v:shape>
            </v:group>
            <v:group style="position:absolute;left:5110;top:7796;width:1689;height:2" coordorigin="5110,7796" coordsize="1689,2">
              <v:shape style="position:absolute;left:5110;top:7796;width:1689;height:2" coordorigin="5110,7796" coordsize="1689,0" path="m5110,7796l6799,7796e" filled="false" stroked="true" strokeweight=".95999pt" strokecolor="#000000">
                <v:path arrowok="t"/>
              </v:shape>
            </v:group>
            <v:group style="position:absolute;left:6799;top:7796;width:20;height:2" coordorigin="6799,7796" coordsize="20,2">
              <v:shape style="position:absolute;left:6799;top:7796;width:20;height:2" coordorigin="6799,7796" coordsize="20,0" path="m6799,7796l6818,7796e" filled="false" stroked="true" strokeweight=".95999pt" strokecolor="#000000">
                <v:path arrowok="t"/>
              </v:shape>
            </v:group>
            <v:group style="position:absolute;left:6818;top:7796;width:1477;height:2" coordorigin="6818,7796" coordsize="1477,2">
              <v:shape style="position:absolute;left:6818;top:7796;width:1477;height:2" coordorigin="6818,7796" coordsize="1477,0" path="m6818,7796l8294,7796e" filled="false" stroked="true" strokeweight=".95999pt" strokecolor="#000000">
                <v:path arrowok="t"/>
              </v:shape>
            </v:group>
            <v:group style="position:absolute;left:8294;top:7796;width:20;height:2" coordorigin="8294,7796" coordsize="20,2">
              <v:shape style="position:absolute;left:8294;top:7796;width:20;height:2" coordorigin="8294,7796" coordsize="20,0" path="m8294,7796l8314,7796e" filled="false" stroked="true" strokeweight=".95999pt" strokecolor="#000000">
                <v:path arrowok="t"/>
              </v:shape>
            </v:group>
            <v:group style="position:absolute;left:8314;top:7796;width:809;height:2" coordorigin="8314,7796" coordsize="809,2">
              <v:shape style="position:absolute;left:8314;top:7796;width:809;height:2" coordorigin="8314,7796" coordsize="809,0" path="m8314,7796l9122,7796e" filled="false" stroked="true" strokeweight=".95999pt" strokecolor="#000000">
                <v:path arrowok="t"/>
              </v:shape>
            </v:group>
            <v:group style="position:absolute;left:9122;top:7796;width:20;height:2" coordorigin="9122,7796" coordsize="20,2">
              <v:shape style="position:absolute;left:9122;top:7796;width:20;height:2" coordorigin="9122,7796" coordsize="20,0" path="m9122,7796l9142,7796e" filled="false" stroked="true" strokeweight=".95999pt" strokecolor="#000000">
                <v:path arrowok="t"/>
              </v:shape>
            </v:group>
            <v:group style="position:absolute;left:9142;top:7796;width:1778;height:2" coordorigin="9142,7796" coordsize="1778,2">
              <v:shape style="position:absolute;left:9142;top:7796;width:1778;height:2" coordorigin="9142,7796" coordsize="1778,0" path="m9142,7796l10919,7796e" filled="false" stroked="true" strokeweight=".95999pt" strokecolor="#000000">
                <v:path arrowok="t"/>
              </v:shape>
            </v:group>
            <w10:wrap type="none"/>
          </v:group>
        </w:pict>
      </w:r>
    </w:p>
    <w:p>
      <w:pPr>
        <w:pStyle w:val="BodyText"/>
        <w:spacing w:line="237" w:lineRule="auto" w:before="28"/>
        <w:ind w:left="218" w:right="414"/>
        <w:jc w:val="both"/>
      </w:pPr>
      <w:r>
        <w:rPr>
          <w:spacing w:val="-7"/>
        </w:rPr>
        <w:t>（</w:t>
      </w:r>
      <w:r>
        <w:rPr>
          <w:rFonts w:ascii="宋体" w:hAnsi="宋体" w:cs="宋体" w:eastAsia="宋体" w:hint="default"/>
          <w:spacing w:val="-7"/>
        </w:rPr>
        <w:t>10</w:t>
      </w:r>
      <w:r>
        <w:rPr>
          <w:spacing w:val="-7"/>
        </w:rPr>
        <w:t>）</w:t>
      </w:r>
      <w:r>
        <w:rPr>
          <w:rFonts w:ascii="宋体" w:hAnsi="宋体" w:cs="宋体" w:eastAsia="宋体" w:hint="default"/>
          <w:spacing w:val="-7"/>
        </w:rPr>
        <w:t>2012</w:t>
      </w:r>
      <w:r>
        <w:rPr>
          <w:rFonts w:ascii="宋体" w:hAnsi="宋体" w:cs="宋体" w:eastAsia="宋体" w:hint="default"/>
          <w:spacing w:val="-71"/>
        </w:rPr>
        <w:t> </w:t>
      </w:r>
      <w:r>
        <w:rPr/>
        <w:t>年</w:t>
      </w:r>
      <w:r>
        <w:rPr>
          <w:spacing w:val="-71"/>
        </w:rPr>
        <w:t> </w:t>
      </w:r>
      <w:r>
        <w:rPr>
          <w:rFonts w:ascii="宋体" w:hAnsi="宋体" w:cs="宋体" w:eastAsia="宋体" w:hint="default"/>
        </w:rPr>
        <w:t>11</w:t>
      </w:r>
      <w:r>
        <w:rPr>
          <w:rFonts w:ascii="宋体" w:hAnsi="宋体" w:cs="宋体" w:eastAsia="宋体" w:hint="default"/>
          <w:spacing w:val="-71"/>
        </w:rPr>
        <w:t> </w:t>
      </w:r>
      <w:r>
        <w:rPr/>
        <w:t>月</w:t>
      </w:r>
      <w:r>
        <w:rPr>
          <w:spacing w:val="-71"/>
        </w:rPr>
        <w:t> </w:t>
      </w:r>
      <w:r>
        <w:rPr>
          <w:rFonts w:ascii="宋体" w:hAnsi="宋体" w:cs="宋体" w:eastAsia="宋体" w:hint="default"/>
        </w:rPr>
        <w:t>26</w:t>
      </w:r>
      <w:r>
        <w:rPr>
          <w:rFonts w:ascii="宋体" w:hAnsi="宋体" w:cs="宋体" w:eastAsia="宋体" w:hint="default"/>
          <w:spacing w:val="-71"/>
        </w:rPr>
        <w:t> </w:t>
      </w:r>
      <w:r>
        <w:rPr/>
        <w:t>日，本公司之子公司广州石竹计算机软件有限公司获得广东省 </w:t>
      </w:r>
      <w:r>
        <w:rPr>
          <w:spacing w:val="-2"/>
        </w:rPr>
        <w:t>科学技术厅、省财政厅、省国税局、省地税局联合颁发的《高新技术企业证书》，有</w:t>
      </w:r>
      <w:r>
        <w:rPr>
          <w:spacing w:val="-98"/>
        </w:rPr>
        <w:t> </w:t>
      </w:r>
      <w:r>
        <w:rPr>
          <w:spacing w:val="-98"/>
        </w:rPr>
      </w:r>
      <w:r>
        <w:rPr/>
        <w:t>效期为三年，</w:t>
      </w:r>
      <w:r>
        <w:rPr>
          <w:rFonts w:ascii="宋体" w:hAnsi="宋体" w:cs="宋体" w:eastAsia="宋体" w:hint="default"/>
        </w:rPr>
        <w:t>2012</w:t>
      </w:r>
      <w:r>
        <w:rPr>
          <w:rFonts w:ascii="宋体" w:hAnsi="宋体" w:cs="宋体" w:eastAsia="宋体" w:hint="default"/>
          <w:spacing w:val="-60"/>
        </w:rPr>
        <w:t> </w:t>
      </w:r>
      <w:r>
        <w:rPr/>
        <w:t>至</w:t>
      </w:r>
      <w:r>
        <w:rPr>
          <w:spacing w:val="-60"/>
        </w:rPr>
        <w:t> </w:t>
      </w:r>
      <w:r>
        <w:rPr>
          <w:rFonts w:ascii="宋体" w:hAnsi="宋体" w:cs="宋体" w:eastAsia="宋体" w:hint="default"/>
        </w:rPr>
        <w:t>2014</w:t>
      </w:r>
      <w:r>
        <w:rPr>
          <w:rFonts w:ascii="宋体" w:hAnsi="宋体" w:cs="宋体" w:eastAsia="宋体" w:hint="default"/>
          <w:spacing w:val="-60"/>
        </w:rPr>
        <w:t> </w:t>
      </w:r>
      <w:r>
        <w:rPr/>
        <w:t>年度按</w:t>
      </w:r>
      <w:r>
        <w:rPr>
          <w:spacing w:val="-60"/>
        </w:rPr>
        <w:t> </w:t>
      </w:r>
      <w:r>
        <w:rPr>
          <w:rFonts w:ascii="宋体" w:hAnsi="宋体" w:cs="宋体" w:eastAsia="宋体" w:hint="default"/>
        </w:rPr>
        <w:t>15%</w:t>
      </w:r>
      <w:r>
        <w:rPr/>
        <w:t>税率计缴企业所得税；</w:t>
      </w:r>
    </w:p>
    <w:p>
      <w:pPr>
        <w:pStyle w:val="BodyText"/>
        <w:spacing w:line="312" w:lineRule="exact" w:before="117"/>
        <w:ind w:left="218" w:right="0"/>
        <w:jc w:val="both"/>
      </w:pPr>
      <w:r>
        <w:rPr>
          <w:spacing w:val="-7"/>
        </w:rPr>
        <w:t>（</w:t>
      </w:r>
      <w:r>
        <w:rPr>
          <w:rFonts w:ascii="宋体" w:hAnsi="宋体" w:cs="宋体" w:eastAsia="宋体" w:hint="default"/>
          <w:spacing w:val="-7"/>
        </w:rPr>
        <w:t>11</w:t>
      </w:r>
      <w:r>
        <w:rPr>
          <w:spacing w:val="-7"/>
        </w:rPr>
        <w:t>）</w:t>
      </w:r>
      <w:r>
        <w:rPr>
          <w:rFonts w:ascii="宋体" w:hAnsi="宋体" w:cs="宋体" w:eastAsia="宋体" w:hint="default"/>
          <w:spacing w:val="-7"/>
        </w:rPr>
        <w:t>2014</w:t>
      </w:r>
      <w:r>
        <w:rPr>
          <w:rFonts w:ascii="宋体" w:hAnsi="宋体" w:cs="宋体" w:eastAsia="宋体" w:hint="default"/>
          <w:spacing w:val="-71"/>
        </w:rPr>
        <w:t> </w:t>
      </w:r>
      <w:r>
        <w:rPr/>
        <w:t>年</w:t>
      </w:r>
      <w:r>
        <w:rPr>
          <w:spacing w:val="-71"/>
        </w:rPr>
        <w:t> </w:t>
      </w:r>
      <w:r>
        <w:rPr>
          <w:rFonts w:ascii="宋体" w:hAnsi="宋体" w:cs="宋体" w:eastAsia="宋体" w:hint="default"/>
        </w:rPr>
        <w:t>10</w:t>
      </w:r>
      <w:r>
        <w:rPr>
          <w:rFonts w:ascii="宋体" w:hAnsi="宋体" w:cs="宋体" w:eastAsia="宋体" w:hint="default"/>
          <w:spacing w:val="-71"/>
        </w:rPr>
        <w:t> </w:t>
      </w:r>
      <w:r>
        <w:rPr/>
        <w:t>月</w:t>
      </w:r>
      <w:r>
        <w:rPr>
          <w:spacing w:val="-71"/>
        </w:rPr>
        <w:t> </w:t>
      </w:r>
      <w:r>
        <w:rPr>
          <w:rFonts w:ascii="宋体" w:hAnsi="宋体" w:cs="宋体" w:eastAsia="宋体" w:hint="default"/>
        </w:rPr>
        <w:t>10</w:t>
      </w:r>
      <w:r>
        <w:rPr>
          <w:rFonts w:ascii="宋体" w:hAnsi="宋体" w:cs="宋体" w:eastAsia="宋体" w:hint="default"/>
          <w:spacing w:val="-71"/>
        </w:rPr>
        <w:t> </w:t>
      </w:r>
      <w:r>
        <w:rPr/>
        <w:t>日，本公司之间接控制子公司广州皓竹软件有限公司获得广东</w:t>
      </w:r>
    </w:p>
    <w:p>
      <w:pPr>
        <w:pStyle w:val="BodyText"/>
        <w:spacing w:line="312" w:lineRule="exact" w:before="29"/>
        <w:ind w:left="218" w:right="0"/>
        <w:jc w:val="left"/>
      </w:pPr>
      <w:r>
        <w:rPr/>
        <w:t>省科学技术厅、省财政厅、省国税局、省地税局联合颁发的《高新技术企业证书》，</w:t>
      </w:r>
      <w:r>
        <w:rPr>
          <w:spacing w:val="-62"/>
        </w:rPr>
        <w:t> </w:t>
      </w:r>
      <w:r>
        <w:rPr>
          <w:spacing w:val="-62"/>
        </w:rPr>
      </w:r>
      <w:r>
        <w:rPr/>
        <w:t>有效期为三年，</w:t>
      </w:r>
      <w:r>
        <w:rPr>
          <w:rFonts w:ascii="宋体" w:hAnsi="宋体" w:cs="宋体" w:eastAsia="宋体" w:hint="default"/>
        </w:rPr>
        <w:t>2014</w:t>
      </w:r>
      <w:r>
        <w:rPr>
          <w:rFonts w:ascii="宋体" w:hAnsi="宋体" w:cs="宋体" w:eastAsia="宋体" w:hint="default"/>
          <w:spacing w:val="-60"/>
        </w:rPr>
        <w:t> </w:t>
      </w:r>
      <w:r>
        <w:rPr/>
        <w:t>至</w:t>
      </w:r>
      <w:r>
        <w:rPr>
          <w:spacing w:val="-60"/>
        </w:rPr>
        <w:t> </w:t>
      </w:r>
      <w:r>
        <w:rPr>
          <w:rFonts w:ascii="宋体" w:hAnsi="宋体" w:cs="宋体" w:eastAsia="宋体" w:hint="default"/>
        </w:rPr>
        <w:t>2016</w:t>
      </w:r>
      <w:r>
        <w:rPr>
          <w:rFonts w:ascii="宋体" w:hAnsi="宋体" w:cs="宋体" w:eastAsia="宋体" w:hint="default"/>
          <w:spacing w:val="-60"/>
        </w:rPr>
        <w:t> </w:t>
      </w:r>
      <w:r>
        <w:rPr/>
        <w:t>年度按</w:t>
      </w:r>
      <w:r>
        <w:rPr>
          <w:spacing w:val="-60"/>
        </w:rPr>
        <w:t> </w:t>
      </w:r>
      <w:r>
        <w:rPr>
          <w:rFonts w:ascii="宋体" w:hAnsi="宋体" w:cs="宋体" w:eastAsia="宋体" w:hint="default"/>
        </w:rPr>
        <w:t>15%</w:t>
      </w:r>
      <w:r>
        <w:rPr/>
        <w:t>税率计缴企业所得税；</w:t>
      </w:r>
    </w:p>
    <w:p>
      <w:pPr>
        <w:pStyle w:val="BodyText"/>
        <w:spacing w:line="237" w:lineRule="auto" w:before="91"/>
        <w:ind w:left="218" w:right="414"/>
        <w:jc w:val="both"/>
      </w:pPr>
      <w:r>
        <w:rPr/>
        <w:t>（</w:t>
      </w:r>
      <w:r>
        <w:rPr>
          <w:rFonts w:ascii="宋体" w:hAnsi="宋体" w:cs="宋体" w:eastAsia="宋体" w:hint="default"/>
        </w:rPr>
        <w:t>12</w:t>
      </w:r>
      <w:r>
        <w:rPr/>
        <w:t>）</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29</w:t>
      </w:r>
      <w:r>
        <w:rPr>
          <w:rFonts w:ascii="宋体" w:hAnsi="宋体" w:cs="宋体" w:eastAsia="宋体" w:hint="default"/>
          <w:spacing w:val="-60"/>
        </w:rPr>
        <w:t> </w:t>
      </w:r>
      <w:r>
        <w:rPr/>
        <w:t>日，本公司之间接控制子公司浙江兰德纵横网络技术有限公司 </w:t>
      </w:r>
      <w:r>
        <w:rPr>
          <w:spacing w:val="-8"/>
        </w:rPr>
        <w:t>取得浙江省科技厅、财政厅、省国税局、省地税局联合颁发的《高新技术企业证书》，</w:t>
      </w:r>
      <w:r>
        <w:rPr>
          <w:spacing w:val="-106"/>
        </w:rPr>
        <w:t> </w:t>
      </w:r>
      <w:r>
        <w:rPr>
          <w:spacing w:val="-106"/>
        </w:rPr>
      </w:r>
      <w:r>
        <w:rPr/>
        <w:t>有效期为三年，</w:t>
      </w:r>
      <w:r>
        <w:rPr>
          <w:rFonts w:ascii="宋体" w:hAnsi="宋体" w:cs="宋体" w:eastAsia="宋体" w:hint="default"/>
        </w:rPr>
        <w:t>2014</w:t>
      </w:r>
      <w:r>
        <w:rPr>
          <w:rFonts w:ascii="宋体" w:hAnsi="宋体" w:cs="宋体" w:eastAsia="宋体" w:hint="default"/>
          <w:spacing w:val="-60"/>
        </w:rPr>
        <w:t> </w:t>
      </w:r>
      <w:r>
        <w:rPr/>
        <w:t>至</w:t>
      </w:r>
      <w:r>
        <w:rPr>
          <w:spacing w:val="-60"/>
        </w:rPr>
        <w:t> </w:t>
      </w:r>
      <w:r>
        <w:rPr>
          <w:rFonts w:ascii="宋体" w:hAnsi="宋体" w:cs="宋体" w:eastAsia="宋体" w:hint="default"/>
        </w:rPr>
        <w:t>2016</w:t>
      </w:r>
      <w:r>
        <w:rPr>
          <w:rFonts w:ascii="宋体" w:hAnsi="宋体" w:cs="宋体" w:eastAsia="宋体" w:hint="default"/>
          <w:spacing w:val="-60"/>
        </w:rPr>
        <w:t> </w:t>
      </w:r>
      <w:r>
        <w:rPr/>
        <w:t>年度本公司按</w:t>
      </w:r>
      <w:r>
        <w:rPr>
          <w:spacing w:val="-60"/>
        </w:rPr>
        <w:t> </w:t>
      </w:r>
      <w:r>
        <w:rPr>
          <w:rFonts w:ascii="宋体" w:hAnsi="宋体" w:cs="宋体" w:eastAsia="宋体" w:hint="default"/>
        </w:rPr>
        <w:t>15%</w:t>
      </w:r>
      <w:r>
        <w:rPr/>
        <w:t>税率计缴企业所得税；</w:t>
      </w:r>
    </w:p>
    <w:p>
      <w:pPr>
        <w:pStyle w:val="BodyText"/>
        <w:spacing w:line="237" w:lineRule="auto" w:before="120"/>
        <w:ind w:left="218" w:right="414"/>
        <w:jc w:val="both"/>
      </w:pPr>
      <w:r>
        <w:rPr/>
        <w:t>（</w:t>
      </w:r>
      <w:r>
        <w:rPr>
          <w:rFonts w:ascii="宋体" w:hAnsi="宋体" w:cs="宋体" w:eastAsia="宋体" w:hint="default"/>
        </w:rPr>
        <w:t>13</w:t>
      </w:r>
      <w:r>
        <w:rPr/>
        <w:t>）</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24</w:t>
      </w:r>
      <w:r>
        <w:rPr>
          <w:rFonts w:ascii="宋体" w:hAnsi="宋体" w:cs="宋体" w:eastAsia="宋体" w:hint="default"/>
          <w:spacing w:val="-60"/>
        </w:rPr>
        <w:t> </w:t>
      </w:r>
      <w:r>
        <w:rPr/>
        <w:t>日，本公司之子公司北京飞杰信息技术有限公司取得北京科学 </w:t>
      </w:r>
      <w:r>
        <w:rPr>
          <w:spacing w:val="-2"/>
        </w:rPr>
        <w:t>技术委员会、财政局、国税局、地税局联合颁发的《高新技术企业证书》，有效期为</w:t>
      </w:r>
      <w:r>
        <w:rPr>
          <w:spacing w:val="-99"/>
        </w:rPr>
        <w:t> </w:t>
      </w:r>
      <w:r>
        <w:rPr>
          <w:spacing w:val="-99"/>
        </w:rPr>
      </w:r>
      <w:r>
        <w:rPr/>
        <w:t>三年，</w:t>
      </w:r>
      <w:r>
        <w:rPr>
          <w:rFonts w:ascii="宋体" w:hAnsi="宋体" w:cs="宋体" w:eastAsia="宋体" w:hint="default"/>
        </w:rPr>
        <w:t>2012</w:t>
      </w:r>
      <w:r>
        <w:rPr>
          <w:rFonts w:ascii="宋体" w:hAnsi="宋体" w:cs="宋体" w:eastAsia="宋体" w:hint="default"/>
          <w:spacing w:val="-60"/>
        </w:rPr>
        <w:t> </w:t>
      </w:r>
      <w:r>
        <w:rPr/>
        <w:t>至</w:t>
      </w:r>
      <w:r>
        <w:rPr>
          <w:spacing w:val="-60"/>
        </w:rPr>
        <w:t> </w:t>
      </w:r>
      <w:r>
        <w:rPr>
          <w:rFonts w:ascii="宋体" w:hAnsi="宋体" w:cs="宋体" w:eastAsia="宋体" w:hint="default"/>
        </w:rPr>
        <w:t>2014</w:t>
      </w:r>
      <w:r>
        <w:rPr>
          <w:rFonts w:ascii="宋体" w:hAnsi="宋体" w:cs="宋体" w:eastAsia="宋体" w:hint="default"/>
          <w:spacing w:val="-60"/>
        </w:rPr>
        <w:t> </w:t>
      </w:r>
      <w:r>
        <w:rPr/>
        <w:t>年度本公司按</w:t>
      </w:r>
      <w:r>
        <w:rPr>
          <w:spacing w:val="-60"/>
        </w:rPr>
        <w:t> </w:t>
      </w:r>
      <w:r>
        <w:rPr>
          <w:rFonts w:ascii="宋体" w:hAnsi="宋体" w:cs="宋体" w:eastAsia="宋体" w:hint="default"/>
        </w:rPr>
        <w:t>15%</w:t>
      </w:r>
      <w:r>
        <w:rPr/>
        <w:t>税率计缴企业所得税。</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tbl>
      <w:tblPr>
        <w:tblW w:w="0" w:type="auto"/>
        <w:jc w:val="left"/>
        <w:tblInd w:w="110" w:type="dxa"/>
        <w:tblLayout w:type="fixed"/>
        <w:tblCellMar>
          <w:top w:w="0" w:type="dxa"/>
          <w:left w:w="0" w:type="dxa"/>
          <w:bottom w:w="0" w:type="dxa"/>
          <w:right w:w="0" w:type="dxa"/>
        </w:tblCellMar>
        <w:tblLook w:val="01E0"/>
      </w:tblPr>
      <w:tblGrid>
        <w:gridCol w:w="1033"/>
        <w:gridCol w:w="1591"/>
        <w:gridCol w:w="832"/>
        <w:gridCol w:w="1707"/>
        <w:gridCol w:w="1477"/>
        <w:gridCol w:w="831"/>
        <w:gridCol w:w="1758"/>
      </w:tblGrid>
      <w:tr>
        <w:trPr>
          <w:trHeight w:val="1368" w:hRule="exact"/>
        </w:trPr>
        <w:tc>
          <w:tcPr>
            <w:tcW w:w="3456" w:type="dxa"/>
            <w:gridSpan w:val="3"/>
            <w:tcBorders>
              <w:top w:val="nil" w:sz="6" w:space="0" w:color="auto"/>
              <w:left w:val="nil" w:sz="6" w:space="0" w:color="auto"/>
              <w:bottom w:val="single" w:sz="8" w:space="0" w:color="000000"/>
              <w:right w:val="nil" w:sz="6" w:space="0" w:color="auto"/>
            </w:tcBorders>
          </w:tcPr>
          <w:p>
            <w:pPr>
              <w:pStyle w:val="TableParagraph"/>
              <w:tabs>
                <w:tab w:pos="947" w:val="left" w:leader="none"/>
              </w:tabs>
              <w:spacing w:line="328" w:lineRule="auto" w:before="26"/>
              <w:ind w:left="108" w:right="98"/>
              <w:jc w:val="left"/>
              <w:rPr>
                <w:rFonts w:ascii="宋体" w:hAnsi="宋体" w:cs="宋体" w:eastAsia="宋体" w:hint="default"/>
                <w:sz w:val="24"/>
                <w:szCs w:val="24"/>
              </w:rPr>
            </w:pPr>
            <w:r>
              <w:rPr>
                <w:rFonts w:ascii="宋体" w:hAnsi="宋体" w:cs="宋体" w:eastAsia="宋体" w:hint="default"/>
                <w:b/>
                <w:bCs/>
                <w:w w:val="95"/>
                <w:sz w:val="24"/>
                <w:szCs w:val="24"/>
              </w:rPr>
              <w:t>七、</w:t>
              <w:tab/>
              <w:t>合并财务报表项目注释</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r>
              <w:rPr>
                <w:rFonts w:ascii="宋体" w:hAnsi="宋体" w:cs="宋体" w:eastAsia="宋体" w:hint="default"/>
                <w:b/>
                <w:bCs/>
                <w:sz w:val="24"/>
                <w:szCs w:val="24"/>
              </w:rPr>
              <w:t>1</w:t>
            </w:r>
            <w:r>
              <w:rPr>
                <w:rFonts w:ascii="宋体" w:hAnsi="宋体" w:cs="宋体" w:eastAsia="宋体" w:hint="default"/>
                <w:b/>
                <w:bCs/>
                <w:sz w:val="24"/>
                <w:szCs w:val="24"/>
              </w:rPr>
              <w:t>、</w:t>
            </w:r>
            <w:r>
              <w:rPr>
                <w:rFonts w:ascii="宋体" w:hAnsi="宋体" w:cs="宋体" w:eastAsia="宋体" w:hint="default"/>
                <w:b/>
                <w:bCs/>
                <w:spacing w:val="-64"/>
                <w:sz w:val="24"/>
                <w:szCs w:val="24"/>
              </w:rPr>
              <w:t> </w:t>
            </w:r>
            <w:r>
              <w:rPr>
                <w:rFonts w:ascii="宋体" w:hAnsi="宋体" w:cs="宋体" w:eastAsia="宋体" w:hint="default"/>
                <w:b/>
                <w:bCs/>
                <w:sz w:val="24"/>
                <w:szCs w:val="24"/>
              </w:rPr>
              <w:t>货币资金</w:t>
            </w:r>
            <w:r>
              <w:rPr>
                <w:rFonts w:ascii="宋体" w:hAnsi="宋体" w:cs="宋体" w:eastAsia="宋体" w:hint="default"/>
                <w:sz w:val="24"/>
                <w:szCs w:val="24"/>
              </w:rPr>
            </w:r>
          </w:p>
        </w:tc>
        <w:tc>
          <w:tcPr>
            <w:tcW w:w="1707" w:type="dxa"/>
            <w:tcBorders>
              <w:top w:val="nil" w:sz="6" w:space="0" w:color="auto"/>
              <w:left w:val="nil" w:sz="6" w:space="0" w:color="auto"/>
              <w:bottom w:val="single" w:sz="8" w:space="0" w:color="000000"/>
              <w:right w:val="nil" w:sz="6" w:space="0" w:color="auto"/>
            </w:tcBorders>
          </w:tcPr>
          <w:p>
            <w:pPr/>
          </w:p>
        </w:tc>
        <w:tc>
          <w:tcPr>
            <w:tcW w:w="2308"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898" w:right="0"/>
              <w:jc w:val="left"/>
              <w:rPr>
                <w:rFonts w:ascii="宋体" w:hAnsi="宋体" w:cs="宋体" w:eastAsia="宋体" w:hint="default"/>
                <w:sz w:val="24"/>
                <w:szCs w:val="24"/>
              </w:rPr>
            </w:pPr>
            <w:r>
              <w:rPr>
                <w:rFonts w:ascii="宋体" w:hAnsi="宋体" w:cs="宋体" w:eastAsia="宋体" w:hint="default"/>
                <w:sz w:val="24"/>
                <w:szCs w:val="24"/>
              </w:rPr>
              <w:t>单位：元</w:t>
            </w:r>
          </w:p>
        </w:tc>
        <w:tc>
          <w:tcPr>
            <w:tcW w:w="1758"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1" w:right="0"/>
              <w:jc w:val="left"/>
              <w:rPr>
                <w:rFonts w:ascii="宋体" w:hAnsi="宋体" w:cs="宋体" w:eastAsia="宋体" w:hint="default"/>
                <w:sz w:val="24"/>
                <w:szCs w:val="24"/>
              </w:rPr>
            </w:pPr>
            <w:r>
              <w:rPr>
                <w:rFonts w:ascii="宋体" w:hAnsi="宋体" w:cs="宋体" w:eastAsia="宋体" w:hint="default"/>
                <w:sz w:val="24"/>
                <w:szCs w:val="24"/>
              </w:rPr>
              <w:t>币种：人民币</w:t>
            </w:r>
          </w:p>
        </w:tc>
      </w:tr>
      <w:tr>
        <w:trPr>
          <w:trHeight w:val="239" w:hRule="exact"/>
        </w:trPr>
        <w:tc>
          <w:tcPr>
            <w:tcW w:w="3456" w:type="dxa"/>
            <w:gridSpan w:val="3"/>
            <w:tcBorders>
              <w:top w:val="single" w:sz="8" w:space="0" w:color="000000"/>
              <w:left w:val="nil" w:sz="6" w:space="0" w:color="auto"/>
              <w:bottom w:val="nil" w:sz="6" w:space="0" w:color="auto"/>
              <w:right w:val="nil" w:sz="6" w:space="0" w:color="auto"/>
            </w:tcBorders>
          </w:tcPr>
          <w:p>
            <w:pPr>
              <w:pStyle w:val="TableParagraph"/>
              <w:spacing w:line="240" w:lineRule="auto" w:before="3"/>
              <w:ind w:right="90"/>
              <w:jc w:val="righ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1707" w:type="dxa"/>
            <w:tcBorders>
              <w:top w:val="single" w:sz="8" w:space="0" w:color="000000"/>
              <w:left w:val="nil" w:sz="6" w:space="0" w:color="auto"/>
              <w:bottom w:val="nil" w:sz="6" w:space="0" w:color="auto"/>
              <w:right w:val="nil" w:sz="6" w:space="0" w:color="auto"/>
            </w:tcBorders>
          </w:tcPr>
          <w:p>
            <w:pPr/>
          </w:p>
        </w:tc>
        <w:tc>
          <w:tcPr>
            <w:tcW w:w="2308"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3"/>
              <w:ind w:right="29"/>
              <w:jc w:val="righ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1758" w:type="dxa"/>
            <w:tcBorders>
              <w:top w:val="single" w:sz="8" w:space="0" w:color="000000"/>
              <w:left w:val="nil" w:sz="6" w:space="0" w:color="auto"/>
              <w:bottom w:val="nil" w:sz="6" w:space="0" w:color="auto"/>
              <w:right w:val="nil" w:sz="6" w:space="0" w:color="auto"/>
            </w:tcBorders>
          </w:tcPr>
          <w:p>
            <w:pPr/>
          </w:p>
        </w:tc>
      </w:tr>
      <w:tr>
        <w:trPr>
          <w:trHeight w:val="160" w:hRule="exact"/>
        </w:trPr>
        <w:tc>
          <w:tcPr>
            <w:tcW w:w="3456" w:type="dxa"/>
            <w:gridSpan w:val="3"/>
            <w:tcBorders>
              <w:top w:val="nil" w:sz="6" w:space="0" w:color="auto"/>
              <w:left w:val="nil" w:sz="6" w:space="0" w:color="auto"/>
              <w:bottom w:val="nil" w:sz="6" w:space="0" w:color="auto"/>
              <w:right w:val="nil" w:sz="6" w:space="0" w:color="auto"/>
            </w:tcBorders>
          </w:tcPr>
          <w:p>
            <w:pPr>
              <w:pStyle w:val="TableParagraph"/>
              <w:spacing w:line="170"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07" w:type="dxa"/>
            <w:tcBorders>
              <w:top w:val="nil" w:sz="6" w:space="0" w:color="auto"/>
              <w:left w:val="nil" w:sz="6" w:space="0" w:color="auto"/>
              <w:bottom w:val="nil" w:sz="6" w:space="0" w:color="auto"/>
              <w:right w:val="nil" w:sz="6" w:space="0" w:color="auto"/>
            </w:tcBorders>
          </w:tcPr>
          <w:p>
            <w:pPr/>
          </w:p>
        </w:tc>
        <w:tc>
          <w:tcPr>
            <w:tcW w:w="2308" w:type="dxa"/>
            <w:gridSpan w:val="2"/>
            <w:tcBorders>
              <w:top w:val="nil" w:sz="6" w:space="0" w:color="auto"/>
              <w:left w:val="nil" w:sz="6" w:space="0" w:color="auto"/>
              <w:bottom w:val="nil" w:sz="6" w:space="0" w:color="auto"/>
              <w:right w:val="nil" w:sz="6" w:space="0" w:color="auto"/>
            </w:tcBorders>
          </w:tcPr>
          <w:p>
            <w:pPr/>
          </w:p>
        </w:tc>
        <w:tc>
          <w:tcPr>
            <w:tcW w:w="1758" w:type="dxa"/>
            <w:tcBorders>
              <w:top w:val="nil" w:sz="6" w:space="0" w:color="auto"/>
              <w:left w:val="nil" w:sz="6" w:space="0" w:color="auto"/>
              <w:bottom w:val="nil" w:sz="6" w:space="0" w:color="auto"/>
              <w:right w:val="nil" w:sz="6" w:space="0" w:color="auto"/>
            </w:tcBorders>
          </w:tcPr>
          <w:p>
            <w:pPr/>
          </w:p>
        </w:tc>
      </w:tr>
      <w:tr>
        <w:trPr>
          <w:trHeight w:val="240" w:hRule="exact"/>
        </w:trPr>
        <w:tc>
          <w:tcPr>
            <w:tcW w:w="3456" w:type="dxa"/>
            <w:gridSpan w:val="3"/>
            <w:tcBorders>
              <w:top w:val="nil" w:sz="6" w:space="0" w:color="auto"/>
              <w:left w:val="nil" w:sz="6" w:space="0" w:color="auto"/>
              <w:bottom w:val="single" w:sz="8" w:space="0" w:color="000000"/>
              <w:right w:val="nil" w:sz="6" w:space="0" w:color="auto"/>
            </w:tcBorders>
          </w:tcPr>
          <w:p>
            <w:pPr>
              <w:pStyle w:val="TableParagraph"/>
              <w:tabs>
                <w:tab w:pos="2750" w:val="left" w:leader="none"/>
              </w:tabs>
              <w:spacing w:line="170" w:lineRule="exact"/>
              <w:ind w:left="1771" w:right="0"/>
              <w:jc w:val="left"/>
              <w:rPr>
                <w:rFonts w:ascii="宋体" w:hAnsi="宋体" w:cs="宋体" w:eastAsia="宋体" w:hint="default"/>
                <w:sz w:val="18"/>
                <w:szCs w:val="18"/>
              </w:rPr>
            </w:pPr>
            <w:r>
              <w:rPr>
                <w:rFonts w:ascii="宋体" w:hAnsi="宋体" w:cs="宋体" w:eastAsia="宋体" w:hint="default"/>
                <w:b/>
                <w:bCs/>
                <w:w w:val="95"/>
                <w:sz w:val="18"/>
                <w:szCs w:val="18"/>
              </w:rPr>
              <w:t>外币金额</w:t>
              <w:tab/>
            </w:r>
            <w:r>
              <w:rPr>
                <w:rFonts w:ascii="宋体" w:hAnsi="宋体" w:cs="宋体" w:eastAsia="宋体" w:hint="default"/>
                <w:b/>
                <w:bCs/>
                <w:sz w:val="18"/>
                <w:szCs w:val="18"/>
              </w:rPr>
              <w:t>折算率</w:t>
            </w:r>
            <w:r>
              <w:rPr>
                <w:rFonts w:ascii="宋体" w:hAnsi="宋体" w:cs="宋体" w:eastAsia="宋体" w:hint="default"/>
                <w:sz w:val="18"/>
                <w:szCs w:val="18"/>
              </w:rPr>
            </w:r>
          </w:p>
        </w:tc>
        <w:tc>
          <w:tcPr>
            <w:tcW w:w="1707" w:type="dxa"/>
            <w:tcBorders>
              <w:top w:val="nil" w:sz="6" w:space="0" w:color="auto"/>
              <w:left w:val="nil" w:sz="6" w:space="0" w:color="auto"/>
              <w:bottom w:val="single" w:sz="8" w:space="0" w:color="000000"/>
              <w:right w:val="nil" w:sz="6" w:space="0" w:color="auto"/>
            </w:tcBorders>
          </w:tcPr>
          <w:p>
            <w:pPr>
              <w:pStyle w:val="TableParagraph"/>
              <w:spacing w:line="170" w:lineRule="exact"/>
              <w:ind w:right="160"/>
              <w:jc w:val="right"/>
              <w:rPr>
                <w:rFonts w:ascii="宋体" w:hAnsi="宋体" w:cs="宋体" w:eastAsia="宋体" w:hint="default"/>
                <w:sz w:val="18"/>
                <w:szCs w:val="18"/>
              </w:rPr>
            </w:pPr>
            <w:r>
              <w:rPr>
                <w:rFonts w:ascii="宋体" w:hAnsi="宋体" w:cs="宋体" w:eastAsia="宋体" w:hint="default"/>
                <w:b/>
                <w:bCs/>
                <w:w w:val="95"/>
                <w:sz w:val="18"/>
                <w:szCs w:val="18"/>
              </w:rPr>
              <w:t>人民币金额</w:t>
            </w:r>
            <w:r>
              <w:rPr>
                <w:rFonts w:ascii="宋体" w:hAnsi="宋体" w:cs="宋体" w:eastAsia="宋体" w:hint="default"/>
                <w:sz w:val="18"/>
                <w:szCs w:val="18"/>
              </w:rPr>
            </w:r>
          </w:p>
        </w:tc>
        <w:tc>
          <w:tcPr>
            <w:tcW w:w="2308" w:type="dxa"/>
            <w:gridSpan w:val="2"/>
            <w:tcBorders>
              <w:top w:val="nil" w:sz="6" w:space="0" w:color="auto"/>
              <w:left w:val="nil" w:sz="6" w:space="0" w:color="auto"/>
              <w:bottom w:val="single" w:sz="8" w:space="0" w:color="000000"/>
              <w:right w:val="nil" w:sz="6" w:space="0" w:color="auto"/>
            </w:tcBorders>
          </w:tcPr>
          <w:p>
            <w:pPr>
              <w:pStyle w:val="TableParagraph"/>
              <w:tabs>
                <w:tab w:pos="1619" w:val="left" w:leader="none"/>
              </w:tabs>
              <w:spacing w:line="170" w:lineRule="exact"/>
              <w:ind w:left="609" w:right="0"/>
              <w:jc w:val="left"/>
              <w:rPr>
                <w:rFonts w:ascii="宋体" w:hAnsi="宋体" w:cs="宋体" w:eastAsia="宋体" w:hint="default"/>
                <w:sz w:val="18"/>
                <w:szCs w:val="18"/>
              </w:rPr>
            </w:pPr>
            <w:r>
              <w:rPr>
                <w:rFonts w:ascii="宋体" w:hAnsi="宋体" w:cs="宋体" w:eastAsia="宋体" w:hint="default"/>
                <w:b/>
                <w:bCs/>
                <w:w w:val="95"/>
                <w:sz w:val="18"/>
                <w:szCs w:val="18"/>
              </w:rPr>
              <w:t>外币金额</w:t>
              <w:tab/>
            </w:r>
            <w:r>
              <w:rPr>
                <w:rFonts w:ascii="宋体" w:hAnsi="宋体" w:cs="宋体" w:eastAsia="宋体" w:hint="default"/>
                <w:b/>
                <w:bCs/>
                <w:sz w:val="18"/>
                <w:szCs w:val="18"/>
              </w:rPr>
              <w:t>折算率</w:t>
            </w:r>
            <w:r>
              <w:rPr>
                <w:rFonts w:ascii="宋体" w:hAnsi="宋体" w:cs="宋体" w:eastAsia="宋体" w:hint="default"/>
                <w:sz w:val="18"/>
                <w:szCs w:val="18"/>
              </w:rPr>
            </w:r>
          </w:p>
        </w:tc>
        <w:tc>
          <w:tcPr>
            <w:tcW w:w="1758" w:type="dxa"/>
            <w:tcBorders>
              <w:top w:val="nil" w:sz="6" w:space="0" w:color="auto"/>
              <w:left w:val="nil" w:sz="6" w:space="0" w:color="auto"/>
              <w:bottom w:val="single" w:sz="8" w:space="0" w:color="000000"/>
              <w:right w:val="nil" w:sz="6" w:space="0" w:color="auto"/>
            </w:tcBorders>
          </w:tcPr>
          <w:p>
            <w:pPr>
              <w:pStyle w:val="TableParagraph"/>
              <w:spacing w:line="170" w:lineRule="exact"/>
              <w:ind w:right="106"/>
              <w:jc w:val="right"/>
              <w:rPr>
                <w:rFonts w:ascii="宋体" w:hAnsi="宋体" w:cs="宋体" w:eastAsia="宋体" w:hint="default"/>
                <w:sz w:val="18"/>
                <w:szCs w:val="18"/>
              </w:rPr>
            </w:pPr>
            <w:r>
              <w:rPr>
                <w:rFonts w:ascii="宋体" w:hAnsi="宋体" w:cs="宋体" w:eastAsia="宋体" w:hint="default"/>
                <w:b/>
                <w:bCs/>
                <w:w w:val="95"/>
                <w:sz w:val="18"/>
                <w:szCs w:val="18"/>
              </w:rPr>
              <w:t>人民币金额</w:t>
            </w:r>
            <w:r>
              <w:rPr>
                <w:rFonts w:ascii="宋体" w:hAnsi="宋体" w:cs="宋体" w:eastAsia="宋体" w:hint="default"/>
                <w:sz w:val="18"/>
                <w:szCs w:val="18"/>
              </w:rPr>
            </w:r>
          </w:p>
        </w:tc>
      </w:tr>
      <w:tr>
        <w:trPr>
          <w:trHeight w:val="324" w:hRule="exact"/>
        </w:trPr>
        <w:tc>
          <w:tcPr>
            <w:tcW w:w="3456" w:type="dxa"/>
            <w:gridSpan w:val="3"/>
            <w:tcBorders>
              <w:top w:val="single" w:sz="8" w:space="0" w:color="000000"/>
              <w:left w:val="nil" w:sz="6" w:space="0" w:color="auto"/>
              <w:bottom w:val="nil" w:sz="6" w:space="0" w:color="auto"/>
              <w:right w:val="nil" w:sz="6" w:space="0" w:color="auto"/>
            </w:tcBorders>
          </w:tcPr>
          <w:p>
            <w:pPr>
              <w:pStyle w:val="TableParagraph"/>
              <w:tabs>
                <w:tab w:pos="2312" w:val="left" w:leader="none"/>
                <w:tab w:pos="3111" w:val="left" w:leader="none"/>
              </w:tabs>
              <w:spacing w:line="240" w:lineRule="auto" w:before="11"/>
              <w:ind w:left="108" w:right="0"/>
              <w:jc w:val="left"/>
              <w:rPr>
                <w:rFonts w:ascii="宋体" w:hAnsi="宋体" w:cs="宋体" w:eastAsia="宋体" w:hint="default"/>
                <w:sz w:val="18"/>
                <w:szCs w:val="18"/>
              </w:rPr>
            </w:pPr>
            <w:r>
              <w:rPr>
                <w:rFonts w:ascii="宋体" w:hAnsi="宋体" w:cs="宋体" w:eastAsia="宋体" w:hint="default"/>
                <w:b/>
                <w:bCs/>
                <w:w w:val="95"/>
                <w:sz w:val="18"/>
                <w:szCs w:val="18"/>
              </w:rPr>
              <w:t>现金：</w:t>
              <w:tab/>
            </w:r>
            <w:r>
              <w:rPr>
                <w:rFonts w:ascii="宋体" w:hAnsi="宋体" w:cs="宋体" w:eastAsia="宋体" w:hint="default"/>
                <w:b/>
                <w:bCs/>
                <w:w w:val="95"/>
                <w:sz w:val="18"/>
                <w:szCs w:val="18"/>
              </w:rPr>
              <w:t>--</w:t>
              <w:tab/>
            </w:r>
            <w:r>
              <w:rPr>
                <w:rFonts w:ascii="宋体" w:hAnsi="宋体" w:cs="宋体" w:eastAsia="宋体" w:hint="default"/>
                <w:b/>
                <w:bCs/>
                <w:sz w:val="18"/>
                <w:szCs w:val="18"/>
              </w:rPr>
              <w:t>--</w:t>
            </w:r>
            <w:r>
              <w:rPr>
                <w:rFonts w:ascii="宋体" w:hAnsi="宋体" w:cs="宋体" w:eastAsia="宋体" w:hint="default"/>
                <w:sz w:val="18"/>
                <w:szCs w:val="18"/>
              </w:rPr>
            </w:r>
          </w:p>
        </w:tc>
        <w:tc>
          <w:tcPr>
            <w:tcW w:w="1707" w:type="dxa"/>
            <w:tcBorders>
              <w:top w:val="single" w:sz="8" w:space="0" w:color="000000"/>
              <w:left w:val="nil" w:sz="6" w:space="0" w:color="auto"/>
              <w:bottom w:val="nil" w:sz="6" w:space="0" w:color="auto"/>
              <w:right w:val="nil" w:sz="6" w:space="0" w:color="auto"/>
            </w:tcBorders>
          </w:tcPr>
          <w:p>
            <w:pPr>
              <w:pStyle w:val="TableParagraph"/>
              <w:spacing w:line="240" w:lineRule="auto" w:before="11"/>
              <w:ind w:right="160"/>
              <w:jc w:val="right"/>
              <w:rPr>
                <w:rFonts w:ascii="宋体" w:hAnsi="宋体" w:cs="宋体" w:eastAsia="宋体" w:hint="default"/>
                <w:sz w:val="18"/>
                <w:szCs w:val="18"/>
              </w:rPr>
            </w:pPr>
            <w:r>
              <w:rPr>
                <w:rFonts w:ascii="宋体"/>
                <w:b/>
                <w:w w:val="95"/>
                <w:sz w:val="18"/>
              </w:rPr>
              <w:t>555,835.95</w:t>
            </w:r>
            <w:r>
              <w:rPr>
                <w:rFonts w:ascii="宋体"/>
                <w:sz w:val="18"/>
              </w:rPr>
            </w:r>
          </w:p>
        </w:tc>
        <w:tc>
          <w:tcPr>
            <w:tcW w:w="2308" w:type="dxa"/>
            <w:gridSpan w:val="2"/>
            <w:tcBorders>
              <w:top w:val="single" w:sz="8" w:space="0" w:color="000000"/>
              <w:left w:val="nil" w:sz="6" w:space="0" w:color="auto"/>
              <w:bottom w:val="nil" w:sz="6" w:space="0" w:color="auto"/>
              <w:right w:val="nil" w:sz="6" w:space="0" w:color="auto"/>
            </w:tcBorders>
          </w:tcPr>
          <w:p>
            <w:pPr>
              <w:pStyle w:val="TableParagraph"/>
              <w:tabs>
                <w:tab w:pos="1980" w:val="left" w:leader="none"/>
              </w:tabs>
              <w:spacing w:line="240" w:lineRule="auto" w:before="11"/>
              <w:ind w:left="1150" w:right="0"/>
              <w:jc w:val="left"/>
              <w:rPr>
                <w:rFonts w:ascii="宋体" w:hAnsi="宋体" w:cs="宋体" w:eastAsia="宋体" w:hint="default"/>
                <w:sz w:val="18"/>
                <w:szCs w:val="18"/>
              </w:rPr>
            </w:pPr>
            <w:r>
              <w:rPr>
                <w:rFonts w:ascii="宋体"/>
                <w:b/>
                <w:w w:val="95"/>
                <w:sz w:val="18"/>
              </w:rPr>
              <w:t>--</w:t>
              <w:tab/>
            </w:r>
            <w:r>
              <w:rPr>
                <w:rFonts w:ascii="宋体"/>
                <w:b/>
                <w:sz w:val="18"/>
              </w:rPr>
              <w:t>--</w:t>
            </w:r>
            <w:r>
              <w:rPr>
                <w:rFonts w:ascii="宋体"/>
                <w:sz w:val="18"/>
              </w:rPr>
            </w:r>
          </w:p>
        </w:tc>
        <w:tc>
          <w:tcPr>
            <w:tcW w:w="1758" w:type="dxa"/>
            <w:tcBorders>
              <w:top w:val="single" w:sz="8" w:space="0" w:color="000000"/>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8"/>
                <w:szCs w:val="18"/>
              </w:rPr>
            </w:pPr>
            <w:r>
              <w:rPr>
                <w:rFonts w:ascii="宋体"/>
                <w:b/>
                <w:w w:val="95"/>
                <w:sz w:val="18"/>
              </w:rPr>
              <w:t>452,874.35</w:t>
            </w:r>
            <w:r>
              <w:rPr>
                <w:rFonts w:ascii="宋体"/>
                <w:sz w:val="18"/>
              </w:rPr>
            </w:r>
          </w:p>
        </w:tc>
      </w:tr>
      <w:tr>
        <w:trPr>
          <w:trHeight w:val="315" w:hRule="exact"/>
        </w:trPr>
        <w:tc>
          <w:tcPr>
            <w:tcW w:w="3456" w:type="dxa"/>
            <w:gridSpan w:val="3"/>
            <w:tcBorders>
              <w:top w:val="nil" w:sz="6" w:space="0" w:color="auto"/>
              <w:left w:val="nil" w:sz="6" w:space="0" w:color="auto"/>
              <w:bottom w:val="nil" w:sz="6" w:space="0" w:color="auto"/>
              <w:right w:val="nil" w:sz="6" w:space="0" w:color="auto"/>
            </w:tcBorders>
          </w:tcPr>
          <w:p>
            <w:pPr>
              <w:pStyle w:val="TableParagraph"/>
              <w:tabs>
                <w:tab w:pos="2313" w:val="left" w:leader="none"/>
                <w:tab w:pos="3112" w:val="left" w:leader="none"/>
              </w:tabs>
              <w:spacing w:line="240" w:lineRule="auto" w:before="12"/>
              <w:ind w:left="108" w:right="0"/>
              <w:jc w:val="left"/>
              <w:rPr>
                <w:rFonts w:ascii="宋体" w:hAnsi="宋体" w:cs="宋体" w:eastAsia="宋体" w:hint="default"/>
                <w:sz w:val="18"/>
                <w:szCs w:val="18"/>
              </w:rPr>
            </w:pPr>
            <w:r>
              <w:rPr>
                <w:rFonts w:ascii="宋体" w:hAnsi="宋体" w:cs="宋体" w:eastAsia="宋体" w:hint="default"/>
                <w:sz w:val="18"/>
                <w:szCs w:val="18"/>
              </w:rPr>
              <w:t>人民币</w:t>
              <w:tab/>
            </w:r>
            <w:r>
              <w:rPr>
                <w:rFonts w:ascii="宋体" w:hAnsi="宋体" w:cs="宋体" w:eastAsia="宋体" w:hint="default"/>
                <w:sz w:val="18"/>
                <w:szCs w:val="18"/>
              </w:rPr>
              <w:t>--</w:t>
              <w:tab/>
              <w:t>--</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61"/>
              <w:jc w:val="right"/>
              <w:rPr>
                <w:rFonts w:ascii="宋体" w:hAnsi="宋体" w:cs="宋体" w:eastAsia="宋体" w:hint="default"/>
                <w:sz w:val="18"/>
                <w:szCs w:val="18"/>
              </w:rPr>
            </w:pPr>
            <w:r>
              <w:rPr>
                <w:rFonts w:ascii="宋体"/>
                <w:sz w:val="18"/>
              </w:rPr>
              <w:t>445,720.38</w:t>
            </w:r>
          </w:p>
        </w:tc>
        <w:tc>
          <w:tcPr>
            <w:tcW w:w="2308" w:type="dxa"/>
            <w:gridSpan w:val="2"/>
            <w:tcBorders>
              <w:top w:val="nil" w:sz="6" w:space="0" w:color="auto"/>
              <w:left w:val="nil" w:sz="6" w:space="0" w:color="auto"/>
              <w:bottom w:val="nil" w:sz="6" w:space="0" w:color="auto"/>
              <w:right w:val="nil" w:sz="6" w:space="0" w:color="auto"/>
            </w:tcBorders>
          </w:tcPr>
          <w:p>
            <w:pPr>
              <w:pStyle w:val="TableParagraph"/>
              <w:tabs>
                <w:tab w:pos="1981" w:val="left" w:leader="none"/>
              </w:tabs>
              <w:spacing w:line="240" w:lineRule="auto" w:before="12"/>
              <w:ind w:left="1151" w:right="0"/>
              <w:jc w:val="left"/>
              <w:rPr>
                <w:rFonts w:ascii="宋体" w:hAnsi="宋体" w:cs="宋体" w:eastAsia="宋体" w:hint="default"/>
                <w:sz w:val="18"/>
                <w:szCs w:val="18"/>
              </w:rPr>
            </w:pPr>
            <w:r>
              <w:rPr>
                <w:rFonts w:ascii="宋体"/>
                <w:sz w:val="18"/>
              </w:rPr>
              <w:t>--</w:t>
              <w:tab/>
              <w:t>--</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8"/>
                <w:szCs w:val="18"/>
              </w:rPr>
            </w:pPr>
            <w:r>
              <w:rPr>
                <w:rFonts w:ascii="宋体"/>
                <w:sz w:val="18"/>
              </w:rPr>
              <w:t>315,740.62</w:t>
            </w:r>
          </w:p>
        </w:tc>
      </w:tr>
      <w:tr>
        <w:trPr>
          <w:trHeight w:val="315" w:hRule="exact"/>
        </w:trPr>
        <w:tc>
          <w:tcPr>
            <w:tcW w:w="3456" w:type="dxa"/>
            <w:gridSpan w:val="3"/>
            <w:tcBorders>
              <w:top w:val="nil" w:sz="6" w:space="0" w:color="auto"/>
              <w:left w:val="nil" w:sz="6" w:space="0" w:color="auto"/>
              <w:bottom w:val="nil" w:sz="6" w:space="0" w:color="auto"/>
              <w:right w:val="nil" w:sz="6" w:space="0" w:color="auto"/>
            </w:tcBorders>
          </w:tcPr>
          <w:p>
            <w:pPr>
              <w:pStyle w:val="TableParagraph"/>
              <w:tabs>
                <w:tab w:pos="1773" w:val="left" w:leader="none"/>
                <w:tab w:pos="2752" w:val="left" w:leader="none"/>
              </w:tabs>
              <w:spacing w:line="240" w:lineRule="auto" w:before="12"/>
              <w:ind w:left="108" w:right="0"/>
              <w:jc w:val="left"/>
              <w:rPr>
                <w:rFonts w:ascii="宋体" w:hAnsi="宋体" w:cs="宋体" w:eastAsia="宋体" w:hint="default"/>
                <w:sz w:val="18"/>
                <w:szCs w:val="18"/>
              </w:rPr>
            </w:pPr>
            <w:r>
              <w:rPr>
                <w:rFonts w:ascii="宋体" w:hAnsi="宋体" w:cs="宋体" w:eastAsia="宋体" w:hint="default"/>
                <w:sz w:val="18"/>
                <w:szCs w:val="18"/>
              </w:rPr>
              <w:t>美元</w:t>
              <w:tab/>
            </w:r>
            <w:r>
              <w:rPr>
                <w:rFonts w:ascii="宋体" w:hAnsi="宋体" w:cs="宋体" w:eastAsia="宋体" w:hint="default"/>
                <w:sz w:val="18"/>
                <w:szCs w:val="18"/>
              </w:rPr>
              <w:t>6,845.34</w:t>
              <w:tab/>
              <w:t>6.1190</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61"/>
              <w:jc w:val="right"/>
              <w:rPr>
                <w:rFonts w:ascii="宋体" w:hAnsi="宋体" w:cs="宋体" w:eastAsia="宋体" w:hint="default"/>
                <w:sz w:val="18"/>
                <w:szCs w:val="18"/>
              </w:rPr>
            </w:pPr>
            <w:r>
              <w:rPr>
                <w:rFonts w:ascii="宋体"/>
                <w:sz w:val="18"/>
              </w:rPr>
              <w:t>41,886.64</w:t>
            </w:r>
          </w:p>
        </w:tc>
        <w:tc>
          <w:tcPr>
            <w:tcW w:w="2308" w:type="dxa"/>
            <w:gridSpan w:val="2"/>
            <w:tcBorders>
              <w:top w:val="nil" w:sz="6" w:space="0" w:color="auto"/>
              <w:left w:val="nil" w:sz="6" w:space="0" w:color="auto"/>
              <w:bottom w:val="nil" w:sz="6" w:space="0" w:color="auto"/>
              <w:right w:val="nil" w:sz="6" w:space="0" w:color="auto"/>
            </w:tcBorders>
          </w:tcPr>
          <w:p>
            <w:pPr>
              <w:pStyle w:val="TableParagraph"/>
              <w:tabs>
                <w:tab w:pos="1621" w:val="left" w:leader="none"/>
              </w:tabs>
              <w:spacing w:line="240" w:lineRule="auto" w:before="12"/>
              <w:ind w:left="611" w:right="0"/>
              <w:jc w:val="left"/>
              <w:rPr>
                <w:rFonts w:ascii="宋体" w:hAnsi="宋体" w:cs="宋体" w:eastAsia="宋体" w:hint="default"/>
                <w:sz w:val="18"/>
                <w:szCs w:val="18"/>
              </w:rPr>
            </w:pPr>
            <w:r>
              <w:rPr>
                <w:rFonts w:ascii="宋体"/>
                <w:sz w:val="18"/>
              </w:rPr>
              <w:t>6,845.34</w:t>
              <w:tab/>
              <w:t>6.0969</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8"/>
                <w:szCs w:val="18"/>
              </w:rPr>
            </w:pPr>
            <w:r>
              <w:rPr>
                <w:rFonts w:ascii="宋体"/>
                <w:sz w:val="18"/>
              </w:rPr>
              <w:t>41,735.35</w:t>
            </w:r>
          </w:p>
        </w:tc>
      </w:tr>
      <w:tr>
        <w:trPr>
          <w:trHeight w:val="315" w:hRule="exact"/>
        </w:trPr>
        <w:tc>
          <w:tcPr>
            <w:tcW w:w="3456" w:type="dxa"/>
            <w:gridSpan w:val="3"/>
            <w:tcBorders>
              <w:top w:val="nil" w:sz="6" w:space="0" w:color="auto"/>
              <w:left w:val="nil" w:sz="6" w:space="0" w:color="auto"/>
              <w:bottom w:val="nil" w:sz="6" w:space="0" w:color="auto"/>
              <w:right w:val="nil" w:sz="6" w:space="0" w:color="auto"/>
            </w:tcBorders>
          </w:tcPr>
          <w:p>
            <w:pPr>
              <w:pStyle w:val="TableParagraph"/>
              <w:tabs>
                <w:tab w:pos="1683" w:val="left" w:leader="none"/>
                <w:tab w:pos="2752" w:val="left" w:leader="none"/>
              </w:tabs>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港币</w:t>
              <w:tab/>
            </w:r>
            <w:r>
              <w:rPr>
                <w:rFonts w:ascii="宋体" w:hAnsi="宋体" w:cs="宋体" w:eastAsia="宋体" w:hint="default"/>
                <w:sz w:val="18"/>
                <w:szCs w:val="18"/>
              </w:rPr>
              <w:t>62,002.89</w:t>
              <w:tab/>
              <w:t>0.7889</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61"/>
              <w:jc w:val="right"/>
              <w:rPr>
                <w:rFonts w:ascii="宋体" w:hAnsi="宋体" w:cs="宋体" w:eastAsia="宋体" w:hint="default"/>
                <w:sz w:val="18"/>
                <w:szCs w:val="18"/>
              </w:rPr>
            </w:pPr>
            <w:r>
              <w:rPr>
                <w:rFonts w:ascii="宋体"/>
                <w:sz w:val="18"/>
              </w:rPr>
              <w:t>48,914.08</w:t>
            </w:r>
          </w:p>
        </w:tc>
        <w:tc>
          <w:tcPr>
            <w:tcW w:w="2308" w:type="dxa"/>
            <w:gridSpan w:val="2"/>
            <w:tcBorders>
              <w:top w:val="nil" w:sz="6" w:space="0" w:color="auto"/>
              <w:left w:val="nil" w:sz="6" w:space="0" w:color="auto"/>
              <w:bottom w:val="nil" w:sz="6" w:space="0" w:color="auto"/>
              <w:right w:val="nil" w:sz="6" w:space="0" w:color="auto"/>
            </w:tcBorders>
          </w:tcPr>
          <w:p>
            <w:pPr>
              <w:pStyle w:val="TableParagraph"/>
              <w:tabs>
                <w:tab w:pos="1621" w:val="left" w:leader="none"/>
              </w:tabs>
              <w:spacing w:line="240" w:lineRule="auto" w:before="11"/>
              <w:ind w:left="521" w:right="0"/>
              <w:jc w:val="left"/>
              <w:rPr>
                <w:rFonts w:ascii="宋体" w:hAnsi="宋体" w:cs="宋体" w:eastAsia="宋体" w:hint="default"/>
                <w:sz w:val="18"/>
                <w:szCs w:val="18"/>
              </w:rPr>
            </w:pPr>
            <w:r>
              <w:rPr>
                <w:rFonts w:ascii="宋体"/>
                <w:sz w:val="18"/>
              </w:rPr>
              <w:t>81,668.21</w:t>
              <w:tab/>
              <w:t>0.7862</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18"/>
                <w:szCs w:val="18"/>
              </w:rPr>
            </w:pPr>
            <w:r>
              <w:rPr>
                <w:rFonts w:ascii="宋体"/>
                <w:sz w:val="18"/>
              </w:rPr>
              <w:t>64,207.55</w:t>
            </w:r>
          </w:p>
        </w:tc>
      </w:tr>
      <w:tr>
        <w:trPr>
          <w:trHeight w:val="315" w:hRule="exact"/>
        </w:trPr>
        <w:tc>
          <w:tcPr>
            <w:tcW w:w="3456" w:type="dxa"/>
            <w:gridSpan w:val="3"/>
            <w:tcBorders>
              <w:top w:val="nil" w:sz="6" w:space="0" w:color="auto"/>
              <w:left w:val="nil" w:sz="6" w:space="0" w:color="auto"/>
              <w:bottom w:val="nil" w:sz="6" w:space="0" w:color="auto"/>
              <w:right w:val="nil" w:sz="6" w:space="0" w:color="auto"/>
            </w:tcBorders>
          </w:tcPr>
          <w:p>
            <w:pPr>
              <w:pStyle w:val="TableParagraph"/>
              <w:tabs>
                <w:tab w:pos="2133" w:val="left" w:leader="none"/>
                <w:tab w:pos="2752" w:val="left" w:leader="none"/>
              </w:tabs>
              <w:spacing w:line="240" w:lineRule="auto" w:before="12"/>
              <w:ind w:left="108" w:right="0"/>
              <w:jc w:val="left"/>
              <w:rPr>
                <w:rFonts w:ascii="宋体" w:hAnsi="宋体" w:cs="宋体" w:eastAsia="宋体" w:hint="default"/>
                <w:sz w:val="18"/>
                <w:szCs w:val="18"/>
              </w:rPr>
            </w:pPr>
            <w:r>
              <w:rPr>
                <w:rFonts w:ascii="宋体" w:hAnsi="宋体" w:cs="宋体" w:eastAsia="宋体" w:hint="default"/>
                <w:sz w:val="18"/>
                <w:szCs w:val="18"/>
              </w:rPr>
              <w:t>澳门币</w:t>
              <w:tab/>
            </w:r>
            <w:r>
              <w:rPr>
                <w:rFonts w:ascii="宋体" w:hAnsi="宋体" w:cs="宋体" w:eastAsia="宋体" w:hint="default"/>
                <w:sz w:val="18"/>
                <w:szCs w:val="18"/>
              </w:rPr>
              <w:t>1.10</w:t>
              <w:tab/>
              <w:t>0.7771</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60"/>
              <w:jc w:val="right"/>
              <w:rPr>
                <w:rFonts w:ascii="宋体" w:hAnsi="宋体" w:cs="宋体" w:eastAsia="宋体" w:hint="default"/>
                <w:sz w:val="18"/>
                <w:szCs w:val="18"/>
              </w:rPr>
            </w:pPr>
            <w:r>
              <w:rPr>
                <w:rFonts w:ascii="宋体"/>
                <w:sz w:val="18"/>
              </w:rPr>
              <w:t>0.85</w:t>
            </w:r>
          </w:p>
        </w:tc>
        <w:tc>
          <w:tcPr>
            <w:tcW w:w="2308" w:type="dxa"/>
            <w:gridSpan w:val="2"/>
            <w:tcBorders>
              <w:top w:val="nil" w:sz="6" w:space="0" w:color="auto"/>
              <w:left w:val="nil" w:sz="6" w:space="0" w:color="auto"/>
              <w:bottom w:val="nil" w:sz="6" w:space="0" w:color="auto"/>
              <w:right w:val="nil" w:sz="6" w:space="0" w:color="auto"/>
            </w:tcBorders>
          </w:tcPr>
          <w:p>
            <w:pPr>
              <w:pStyle w:val="TableParagraph"/>
              <w:tabs>
                <w:tab w:pos="1621" w:val="left" w:leader="none"/>
              </w:tabs>
              <w:spacing w:line="240" w:lineRule="auto" w:before="12"/>
              <w:ind w:left="521" w:right="0"/>
              <w:jc w:val="left"/>
              <w:rPr>
                <w:rFonts w:ascii="宋体" w:hAnsi="宋体" w:cs="宋体" w:eastAsia="宋体" w:hint="default"/>
                <w:sz w:val="18"/>
                <w:szCs w:val="18"/>
              </w:rPr>
            </w:pPr>
            <w:r>
              <w:rPr>
                <w:rFonts w:ascii="宋体"/>
                <w:sz w:val="18"/>
              </w:rPr>
              <w:t>15,045.90</w:t>
              <w:tab/>
              <w:t>0.7588</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8"/>
                <w:szCs w:val="18"/>
              </w:rPr>
            </w:pPr>
            <w:r>
              <w:rPr>
                <w:rFonts w:ascii="宋体"/>
                <w:sz w:val="18"/>
              </w:rPr>
              <w:t>11,416.83</w:t>
            </w:r>
          </w:p>
        </w:tc>
      </w:tr>
      <w:tr>
        <w:trPr>
          <w:trHeight w:val="315" w:hRule="exact"/>
        </w:trPr>
        <w:tc>
          <w:tcPr>
            <w:tcW w:w="3456" w:type="dxa"/>
            <w:gridSpan w:val="3"/>
            <w:tcBorders>
              <w:top w:val="nil" w:sz="6" w:space="0" w:color="auto"/>
              <w:left w:val="nil" w:sz="6" w:space="0" w:color="auto"/>
              <w:bottom w:val="nil" w:sz="6" w:space="0" w:color="auto"/>
              <w:right w:val="nil" w:sz="6" w:space="0" w:color="auto"/>
            </w:tcBorders>
          </w:tcPr>
          <w:p>
            <w:pPr>
              <w:pStyle w:val="TableParagraph"/>
              <w:tabs>
                <w:tab w:pos="1683" w:val="left" w:leader="none"/>
                <w:tab w:pos="2752" w:val="left" w:leader="none"/>
              </w:tabs>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泰铢</w:t>
              <w:tab/>
            </w:r>
            <w:r>
              <w:rPr>
                <w:rFonts w:ascii="宋体" w:hAnsi="宋体" w:cs="宋体" w:eastAsia="宋体" w:hint="default"/>
                <w:sz w:val="18"/>
                <w:szCs w:val="18"/>
              </w:rPr>
              <w:t>40,000.00</w:t>
              <w:tab/>
              <w:t>0.1887</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61"/>
              <w:jc w:val="right"/>
              <w:rPr>
                <w:rFonts w:ascii="宋体" w:hAnsi="宋体" w:cs="宋体" w:eastAsia="宋体" w:hint="default"/>
                <w:sz w:val="18"/>
                <w:szCs w:val="18"/>
              </w:rPr>
            </w:pPr>
            <w:r>
              <w:rPr>
                <w:rFonts w:ascii="宋体"/>
                <w:sz w:val="18"/>
              </w:rPr>
              <w:t>7,548.00</w:t>
            </w:r>
          </w:p>
        </w:tc>
        <w:tc>
          <w:tcPr>
            <w:tcW w:w="2308" w:type="dxa"/>
            <w:gridSpan w:val="2"/>
            <w:tcBorders>
              <w:top w:val="nil" w:sz="6" w:space="0" w:color="auto"/>
              <w:left w:val="nil" w:sz="6" w:space="0" w:color="auto"/>
              <w:bottom w:val="nil" w:sz="6" w:space="0" w:color="auto"/>
              <w:right w:val="nil" w:sz="6" w:space="0" w:color="auto"/>
            </w:tcBorders>
          </w:tcPr>
          <w:p>
            <w:pPr>
              <w:pStyle w:val="TableParagraph"/>
              <w:tabs>
                <w:tab w:pos="1621" w:val="left" w:leader="none"/>
              </w:tabs>
              <w:spacing w:line="240" w:lineRule="auto" w:before="11"/>
              <w:ind w:left="521" w:right="0"/>
              <w:jc w:val="left"/>
              <w:rPr>
                <w:rFonts w:ascii="宋体" w:hAnsi="宋体" w:cs="宋体" w:eastAsia="宋体" w:hint="default"/>
                <w:sz w:val="18"/>
                <w:szCs w:val="18"/>
              </w:rPr>
            </w:pPr>
            <w:r>
              <w:rPr>
                <w:rFonts w:ascii="宋体"/>
                <w:sz w:val="18"/>
              </w:rPr>
              <w:t>40,000.00</w:t>
              <w:tab/>
              <w:t>0.1849</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18"/>
                <w:szCs w:val="18"/>
              </w:rPr>
            </w:pPr>
            <w:r>
              <w:rPr>
                <w:rFonts w:ascii="宋体"/>
                <w:sz w:val="18"/>
              </w:rPr>
              <w:t>7,396.00</w:t>
            </w:r>
          </w:p>
        </w:tc>
      </w:tr>
      <w:tr>
        <w:trPr>
          <w:trHeight w:val="315" w:hRule="exact"/>
        </w:trPr>
        <w:tc>
          <w:tcPr>
            <w:tcW w:w="3456" w:type="dxa"/>
            <w:gridSpan w:val="3"/>
            <w:tcBorders>
              <w:top w:val="nil" w:sz="6" w:space="0" w:color="auto"/>
              <w:left w:val="nil" w:sz="6" w:space="0" w:color="auto"/>
              <w:bottom w:val="nil" w:sz="6" w:space="0" w:color="auto"/>
              <w:right w:val="nil" w:sz="6" w:space="0" w:color="auto"/>
            </w:tcBorders>
          </w:tcPr>
          <w:p>
            <w:pPr>
              <w:pStyle w:val="TableParagraph"/>
              <w:tabs>
                <w:tab w:pos="1683" w:val="left" w:leader="none"/>
                <w:tab w:pos="2752" w:val="left" w:leader="none"/>
              </w:tabs>
              <w:spacing w:line="240" w:lineRule="auto" w:before="12"/>
              <w:ind w:left="108" w:right="0"/>
              <w:jc w:val="left"/>
              <w:rPr>
                <w:rFonts w:ascii="宋体" w:hAnsi="宋体" w:cs="宋体" w:eastAsia="宋体" w:hint="default"/>
                <w:sz w:val="18"/>
                <w:szCs w:val="18"/>
              </w:rPr>
            </w:pPr>
            <w:r>
              <w:rPr>
                <w:rFonts w:ascii="宋体" w:hAnsi="宋体" w:cs="宋体" w:eastAsia="宋体" w:hint="default"/>
                <w:sz w:val="18"/>
                <w:szCs w:val="18"/>
              </w:rPr>
              <w:t>新台币</w:t>
              <w:tab/>
            </w:r>
            <w:r>
              <w:rPr>
                <w:rFonts w:ascii="宋体" w:hAnsi="宋体" w:cs="宋体" w:eastAsia="宋体" w:hint="default"/>
                <w:sz w:val="18"/>
                <w:szCs w:val="18"/>
              </w:rPr>
              <w:t>60,000.00</w:t>
              <w:tab/>
              <w:t>0.1961</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61"/>
              <w:jc w:val="right"/>
              <w:rPr>
                <w:rFonts w:ascii="宋体" w:hAnsi="宋体" w:cs="宋体" w:eastAsia="宋体" w:hint="default"/>
                <w:sz w:val="18"/>
                <w:szCs w:val="18"/>
              </w:rPr>
            </w:pPr>
            <w:r>
              <w:rPr>
                <w:rFonts w:ascii="宋体"/>
                <w:sz w:val="18"/>
              </w:rPr>
              <w:t>11,766.00</w:t>
            </w:r>
          </w:p>
        </w:tc>
        <w:tc>
          <w:tcPr>
            <w:tcW w:w="2308" w:type="dxa"/>
            <w:gridSpan w:val="2"/>
            <w:tcBorders>
              <w:top w:val="nil" w:sz="6" w:space="0" w:color="auto"/>
              <w:left w:val="nil" w:sz="6" w:space="0" w:color="auto"/>
              <w:bottom w:val="nil" w:sz="6" w:space="0" w:color="auto"/>
              <w:right w:val="nil" w:sz="6" w:space="0" w:color="auto"/>
            </w:tcBorders>
          </w:tcPr>
          <w:p>
            <w:pPr>
              <w:pStyle w:val="TableParagraph"/>
              <w:tabs>
                <w:tab w:pos="1621" w:val="left" w:leader="none"/>
              </w:tabs>
              <w:spacing w:line="240" w:lineRule="auto" w:before="12"/>
              <w:ind w:left="521" w:right="0"/>
              <w:jc w:val="left"/>
              <w:rPr>
                <w:rFonts w:ascii="宋体" w:hAnsi="宋体" w:cs="宋体" w:eastAsia="宋体" w:hint="default"/>
                <w:sz w:val="18"/>
                <w:szCs w:val="18"/>
              </w:rPr>
            </w:pPr>
            <w:r>
              <w:rPr>
                <w:rFonts w:ascii="宋体"/>
                <w:sz w:val="18"/>
              </w:rPr>
              <w:t>60,000.00</w:t>
              <w:tab/>
              <w:t>0.2063</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8"/>
                <w:szCs w:val="18"/>
              </w:rPr>
            </w:pPr>
            <w:r>
              <w:rPr>
                <w:rFonts w:ascii="宋体"/>
                <w:sz w:val="18"/>
              </w:rPr>
              <w:t>12,378.00</w:t>
            </w:r>
          </w:p>
        </w:tc>
      </w:tr>
      <w:tr>
        <w:trPr>
          <w:trHeight w:val="315" w:hRule="exact"/>
        </w:trPr>
        <w:tc>
          <w:tcPr>
            <w:tcW w:w="3456" w:type="dxa"/>
            <w:gridSpan w:val="3"/>
            <w:tcBorders>
              <w:top w:val="nil" w:sz="6" w:space="0" w:color="auto"/>
              <w:left w:val="nil" w:sz="6" w:space="0" w:color="auto"/>
              <w:bottom w:val="nil" w:sz="6" w:space="0" w:color="auto"/>
              <w:right w:val="nil" w:sz="6" w:space="0" w:color="auto"/>
            </w:tcBorders>
          </w:tcPr>
          <w:p>
            <w:pPr>
              <w:pStyle w:val="TableParagraph"/>
              <w:tabs>
                <w:tab w:pos="2312" w:val="left" w:leader="none"/>
                <w:tab w:pos="3111" w:val="left" w:leader="none"/>
              </w:tabs>
              <w:spacing w:line="240" w:lineRule="auto" w:before="11"/>
              <w:ind w:left="108" w:right="0"/>
              <w:jc w:val="left"/>
              <w:rPr>
                <w:rFonts w:ascii="宋体" w:hAnsi="宋体" w:cs="宋体" w:eastAsia="宋体" w:hint="default"/>
                <w:sz w:val="18"/>
                <w:szCs w:val="18"/>
              </w:rPr>
            </w:pPr>
            <w:r>
              <w:rPr>
                <w:rFonts w:ascii="宋体" w:hAnsi="宋体" w:cs="宋体" w:eastAsia="宋体" w:hint="default"/>
                <w:b/>
                <w:bCs/>
                <w:w w:val="95"/>
                <w:sz w:val="18"/>
                <w:szCs w:val="18"/>
              </w:rPr>
              <w:t>银行存款：</w:t>
              <w:tab/>
            </w:r>
            <w:r>
              <w:rPr>
                <w:rFonts w:ascii="宋体" w:hAnsi="宋体" w:cs="宋体" w:eastAsia="宋体" w:hint="default"/>
                <w:b/>
                <w:bCs/>
                <w:w w:val="95"/>
                <w:sz w:val="18"/>
                <w:szCs w:val="18"/>
              </w:rPr>
              <w:t>--</w:t>
              <w:tab/>
            </w:r>
            <w:r>
              <w:rPr>
                <w:rFonts w:ascii="宋体" w:hAnsi="宋体" w:cs="宋体" w:eastAsia="宋体" w:hint="default"/>
                <w:b/>
                <w:bCs/>
                <w:sz w:val="18"/>
                <w:szCs w:val="18"/>
              </w:rPr>
              <w:t>--</w:t>
            </w:r>
            <w:r>
              <w:rPr>
                <w:rFonts w:ascii="宋体" w:hAnsi="宋体" w:cs="宋体" w:eastAsia="宋体" w:hint="default"/>
                <w:sz w:val="18"/>
                <w:szCs w:val="18"/>
              </w:rPr>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61"/>
              <w:jc w:val="right"/>
              <w:rPr>
                <w:rFonts w:ascii="宋体" w:hAnsi="宋体" w:cs="宋体" w:eastAsia="宋体" w:hint="default"/>
                <w:sz w:val="18"/>
                <w:szCs w:val="18"/>
              </w:rPr>
            </w:pPr>
            <w:r>
              <w:rPr>
                <w:rFonts w:ascii="宋体"/>
                <w:b/>
                <w:w w:val="95"/>
                <w:sz w:val="18"/>
              </w:rPr>
              <w:t>1,655,728,120.93</w:t>
            </w:r>
            <w:r>
              <w:rPr>
                <w:rFonts w:ascii="宋体"/>
                <w:sz w:val="18"/>
              </w:rPr>
            </w:r>
          </w:p>
        </w:tc>
        <w:tc>
          <w:tcPr>
            <w:tcW w:w="2308" w:type="dxa"/>
            <w:gridSpan w:val="2"/>
            <w:tcBorders>
              <w:top w:val="nil" w:sz="6" w:space="0" w:color="auto"/>
              <w:left w:val="nil" w:sz="6" w:space="0" w:color="auto"/>
              <w:bottom w:val="nil" w:sz="6" w:space="0" w:color="auto"/>
              <w:right w:val="nil" w:sz="6" w:space="0" w:color="auto"/>
            </w:tcBorders>
          </w:tcPr>
          <w:p>
            <w:pPr>
              <w:pStyle w:val="TableParagraph"/>
              <w:tabs>
                <w:tab w:pos="1980" w:val="left" w:leader="none"/>
              </w:tabs>
              <w:spacing w:line="240" w:lineRule="auto" w:before="11"/>
              <w:ind w:left="1150" w:right="0"/>
              <w:jc w:val="left"/>
              <w:rPr>
                <w:rFonts w:ascii="宋体" w:hAnsi="宋体" w:cs="宋体" w:eastAsia="宋体" w:hint="default"/>
                <w:sz w:val="18"/>
                <w:szCs w:val="18"/>
              </w:rPr>
            </w:pPr>
            <w:r>
              <w:rPr>
                <w:rFonts w:ascii="宋体"/>
                <w:b/>
                <w:w w:val="95"/>
                <w:sz w:val="18"/>
              </w:rPr>
              <w:t>--</w:t>
              <w:tab/>
            </w:r>
            <w:r>
              <w:rPr>
                <w:rFonts w:ascii="宋体"/>
                <w:b/>
                <w:sz w:val="18"/>
              </w:rPr>
              <w:t>--</w:t>
            </w:r>
            <w:r>
              <w:rPr>
                <w:rFonts w:ascii="宋体"/>
                <w:sz w:val="18"/>
              </w:rPr>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18"/>
                <w:szCs w:val="18"/>
              </w:rPr>
            </w:pPr>
            <w:r>
              <w:rPr>
                <w:rFonts w:ascii="宋体"/>
                <w:b/>
                <w:w w:val="95"/>
                <w:sz w:val="18"/>
              </w:rPr>
              <w:t>1,274,382,796.96</w:t>
            </w:r>
            <w:r>
              <w:rPr>
                <w:rFonts w:ascii="宋体"/>
                <w:sz w:val="18"/>
              </w:rPr>
            </w:r>
          </w:p>
        </w:tc>
      </w:tr>
      <w:tr>
        <w:trPr>
          <w:trHeight w:val="315" w:hRule="exact"/>
        </w:trPr>
        <w:tc>
          <w:tcPr>
            <w:tcW w:w="3456" w:type="dxa"/>
            <w:gridSpan w:val="3"/>
            <w:tcBorders>
              <w:top w:val="nil" w:sz="6" w:space="0" w:color="auto"/>
              <w:left w:val="nil" w:sz="6" w:space="0" w:color="auto"/>
              <w:bottom w:val="nil" w:sz="6" w:space="0" w:color="auto"/>
              <w:right w:val="nil" w:sz="6" w:space="0" w:color="auto"/>
            </w:tcBorders>
          </w:tcPr>
          <w:p>
            <w:pPr>
              <w:pStyle w:val="TableParagraph"/>
              <w:tabs>
                <w:tab w:pos="2419" w:val="left" w:leader="none"/>
                <w:tab w:pos="3112" w:val="left" w:leader="none"/>
              </w:tabs>
              <w:spacing w:line="240" w:lineRule="auto" w:before="12"/>
              <w:ind w:left="108" w:right="0"/>
              <w:jc w:val="left"/>
              <w:rPr>
                <w:rFonts w:ascii="宋体" w:hAnsi="宋体" w:cs="宋体" w:eastAsia="宋体" w:hint="default"/>
                <w:sz w:val="18"/>
                <w:szCs w:val="18"/>
              </w:rPr>
            </w:pPr>
            <w:r>
              <w:rPr>
                <w:rFonts w:ascii="宋体" w:hAnsi="宋体" w:cs="宋体" w:eastAsia="宋体" w:hint="default"/>
                <w:sz w:val="18"/>
                <w:szCs w:val="18"/>
              </w:rPr>
              <w:t>人民币</w:t>
              <w:tab/>
            </w:r>
            <w:r>
              <w:rPr>
                <w:rFonts w:ascii="宋体" w:hAnsi="宋体" w:cs="宋体" w:eastAsia="宋体" w:hint="default"/>
                <w:sz w:val="18"/>
                <w:szCs w:val="18"/>
              </w:rPr>
              <w:t>--</w:t>
              <w:tab/>
              <w:t>--</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61"/>
              <w:jc w:val="right"/>
              <w:rPr>
                <w:rFonts w:ascii="宋体" w:hAnsi="宋体" w:cs="宋体" w:eastAsia="宋体" w:hint="default"/>
                <w:sz w:val="18"/>
                <w:szCs w:val="18"/>
              </w:rPr>
            </w:pPr>
            <w:r>
              <w:rPr>
                <w:rFonts w:ascii="宋体"/>
                <w:sz w:val="18"/>
              </w:rPr>
              <w:t>1,523,818,306.38</w:t>
            </w:r>
          </w:p>
        </w:tc>
        <w:tc>
          <w:tcPr>
            <w:tcW w:w="2308" w:type="dxa"/>
            <w:gridSpan w:val="2"/>
            <w:tcBorders>
              <w:top w:val="nil" w:sz="6" w:space="0" w:color="auto"/>
              <w:left w:val="nil" w:sz="6" w:space="0" w:color="auto"/>
              <w:bottom w:val="nil" w:sz="6" w:space="0" w:color="auto"/>
              <w:right w:val="nil" w:sz="6" w:space="0" w:color="auto"/>
            </w:tcBorders>
          </w:tcPr>
          <w:p>
            <w:pPr>
              <w:pStyle w:val="TableParagraph"/>
              <w:tabs>
                <w:tab w:pos="1981" w:val="left" w:leader="none"/>
              </w:tabs>
              <w:spacing w:line="240" w:lineRule="auto" w:before="12"/>
              <w:ind w:left="1151" w:right="0"/>
              <w:jc w:val="left"/>
              <w:rPr>
                <w:rFonts w:ascii="宋体" w:hAnsi="宋体" w:cs="宋体" w:eastAsia="宋体" w:hint="default"/>
                <w:sz w:val="18"/>
                <w:szCs w:val="18"/>
              </w:rPr>
            </w:pPr>
            <w:r>
              <w:rPr>
                <w:rFonts w:ascii="宋体"/>
                <w:sz w:val="18"/>
              </w:rPr>
              <w:t>--</w:t>
              <w:tab/>
              <w:t>--</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8"/>
                <w:szCs w:val="18"/>
              </w:rPr>
            </w:pPr>
            <w:r>
              <w:rPr>
                <w:rFonts w:ascii="宋体"/>
                <w:sz w:val="18"/>
              </w:rPr>
              <w:t>1,164,529,596.03</w:t>
            </w:r>
          </w:p>
        </w:tc>
      </w:tr>
      <w:tr>
        <w:trPr>
          <w:trHeight w:val="315" w:hRule="exact"/>
        </w:trPr>
        <w:tc>
          <w:tcPr>
            <w:tcW w:w="3456" w:type="dxa"/>
            <w:gridSpan w:val="3"/>
            <w:tcBorders>
              <w:top w:val="nil" w:sz="6" w:space="0" w:color="auto"/>
              <w:left w:val="nil" w:sz="6" w:space="0" w:color="auto"/>
              <w:bottom w:val="nil" w:sz="6" w:space="0" w:color="auto"/>
              <w:right w:val="nil" w:sz="6" w:space="0" w:color="auto"/>
            </w:tcBorders>
          </w:tcPr>
          <w:p>
            <w:pPr>
              <w:pStyle w:val="TableParagraph"/>
              <w:tabs>
                <w:tab w:pos="1413" w:val="left" w:leader="none"/>
                <w:tab w:pos="2752" w:val="left" w:leader="none"/>
              </w:tabs>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美元</w:t>
              <w:tab/>
            </w:r>
            <w:r>
              <w:rPr>
                <w:rFonts w:ascii="宋体" w:hAnsi="宋体" w:cs="宋体" w:eastAsia="宋体" w:hint="default"/>
                <w:sz w:val="18"/>
                <w:szCs w:val="18"/>
              </w:rPr>
              <w:t>5,740,507.35</w:t>
              <w:tab/>
              <w:t>6.1190</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61"/>
              <w:jc w:val="right"/>
              <w:rPr>
                <w:rFonts w:ascii="宋体" w:hAnsi="宋体" w:cs="宋体" w:eastAsia="宋体" w:hint="default"/>
                <w:sz w:val="18"/>
                <w:szCs w:val="18"/>
              </w:rPr>
            </w:pPr>
            <w:r>
              <w:rPr>
                <w:rFonts w:ascii="宋体"/>
                <w:sz w:val="18"/>
              </w:rPr>
              <w:t>35,126,164.47</w:t>
            </w:r>
          </w:p>
        </w:tc>
        <w:tc>
          <w:tcPr>
            <w:tcW w:w="2308" w:type="dxa"/>
            <w:gridSpan w:val="2"/>
            <w:tcBorders>
              <w:top w:val="nil" w:sz="6" w:space="0" w:color="auto"/>
              <w:left w:val="nil" w:sz="6" w:space="0" w:color="auto"/>
              <w:bottom w:val="nil" w:sz="6" w:space="0" w:color="auto"/>
              <w:right w:val="nil" w:sz="6" w:space="0" w:color="auto"/>
            </w:tcBorders>
          </w:tcPr>
          <w:p>
            <w:pPr>
              <w:pStyle w:val="TableParagraph"/>
              <w:tabs>
                <w:tab w:pos="1621" w:val="left" w:leader="none"/>
              </w:tabs>
              <w:spacing w:line="240" w:lineRule="auto" w:before="11"/>
              <w:ind w:left="251" w:right="0"/>
              <w:jc w:val="left"/>
              <w:rPr>
                <w:rFonts w:ascii="宋体" w:hAnsi="宋体" w:cs="宋体" w:eastAsia="宋体" w:hint="default"/>
                <w:sz w:val="18"/>
                <w:szCs w:val="18"/>
              </w:rPr>
            </w:pPr>
            <w:r>
              <w:rPr>
                <w:rFonts w:ascii="宋体"/>
                <w:sz w:val="18"/>
              </w:rPr>
              <w:t>7,160,497.88</w:t>
              <w:tab/>
              <w:t>6.0969</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18"/>
                <w:szCs w:val="18"/>
              </w:rPr>
            </w:pPr>
            <w:r>
              <w:rPr>
                <w:rFonts w:ascii="宋体"/>
                <w:sz w:val="18"/>
              </w:rPr>
              <w:t>43,656,839.52</w:t>
            </w:r>
          </w:p>
        </w:tc>
      </w:tr>
      <w:tr>
        <w:trPr>
          <w:trHeight w:val="315" w:hRule="exact"/>
        </w:trPr>
        <w:tc>
          <w:tcPr>
            <w:tcW w:w="3456" w:type="dxa"/>
            <w:gridSpan w:val="3"/>
            <w:tcBorders>
              <w:top w:val="nil" w:sz="6" w:space="0" w:color="auto"/>
              <w:left w:val="nil" w:sz="6" w:space="0" w:color="auto"/>
              <w:bottom w:val="nil" w:sz="6" w:space="0" w:color="auto"/>
              <w:right w:val="nil" w:sz="6" w:space="0" w:color="auto"/>
            </w:tcBorders>
          </w:tcPr>
          <w:p>
            <w:pPr>
              <w:pStyle w:val="TableParagraph"/>
              <w:tabs>
                <w:tab w:pos="1323" w:val="left" w:leader="none"/>
                <w:tab w:pos="2752" w:val="left" w:leader="none"/>
              </w:tabs>
              <w:spacing w:line="240" w:lineRule="auto" w:before="12"/>
              <w:ind w:left="108" w:right="0"/>
              <w:jc w:val="left"/>
              <w:rPr>
                <w:rFonts w:ascii="宋体" w:hAnsi="宋体" w:cs="宋体" w:eastAsia="宋体" w:hint="default"/>
                <w:sz w:val="18"/>
                <w:szCs w:val="18"/>
              </w:rPr>
            </w:pPr>
            <w:r>
              <w:rPr>
                <w:rFonts w:ascii="宋体" w:hAnsi="宋体" w:cs="宋体" w:eastAsia="宋体" w:hint="default"/>
                <w:sz w:val="18"/>
                <w:szCs w:val="18"/>
              </w:rPr>
              <w:t>港币</w:t>
              <w:tab/>
            </w:r>
            <w:r>
              <w:rPr>
                <w:rFonts w:ascii="宋体" w:hAnsi="宋体" w:cs="宋体" w:eastAsia="宋体" w:hint="default"/>
                <w:sz w:val="18"/>
                <w:szCs w:val="18"/>
              </w:rPr>
              <w:t>98,662,289.92</w:t>
              <w:tab/>
              <w:t>0.7889</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61"/>
              <w:jc w:val="right"/>
              <w:rPr>
                <w:rFonts w:ascii="宋体" w:hAnsi="宋体" w:cs="宋体" w:eastAsia="宋体" w:hint="default"/>
                <w:sz w:val="18"/>
                <w:szCs w:val="18"/>
              </w:rPr>
            </w:pPr>
            <w:r>
              <w:rPr>
                <w:rFonts w:ascii="宋体"/>
                <w:sz w:val="18"/>
              </w:rPr>
              <w:t>77,834,680.52</w:t>
            </w:r>
          </w:p>
        </w:tc>
        <w:tc>
          <w:tcPr>
            <w:tcW w:w="2308" w:type="dxa"/>
            <w:gridSpan w:val="2"/>
            <w:tcBorders>
              <w:top w:val="nil" w:sz="6" w:space="0" w:color="auto"/>
              <w:left w:val="nil" w:sz="6" w:space="0" w:color="auto"/>
              <w:bottom w:val="nil" w:sz="6" w:space="0" w:color="auto"/>
              <w:right w:val="nil" w:sz="6" w:space="0" w:color="auto"/>
            </w:tcBorders>
          </w:tcPr>
          <w:p>
            <w:pPr>
              <w:pStyle w:val="TableParagraph"/>
              <w:tabs>
                <w:tab w:pos="1621" w:val="left" w:leader="none"/>
              </w:tabs>
              <w:spacing w:line="240" w:lineRule="auto" w:before="12"/>
              <w:ind w:left="161" w:right="0"/>
              <w:jc w:val="left"/>
              <w:rPr>
                <w:rFonts w:ascii="宋体" w:hAnsi="宋体" w:cs="宋体" w:eastAsia="宋体" w:hint="default"/>
                <w:sz w:val="18"/>
                <w:szCs w:val="18"/>
              </w:rPr>
            </w:pPr>
            <w:r>
              <w:rPr>
                <w:rFonts w:ascii="宋体"/>
                <w:sz w:val="18"/>
              </w:rPr>
              <w:t>71,268,209.61</w:t>
              <w:tab/>
              <w:t>0.7862</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8"/>
                <w:szCs w:val="18"/>
              </w:rPr>
            </w:pPr>
            <w:r>
              <w:rPr>
                <w:rFonts w:ascii="宋体"/>
                <w:sz w:val="18"/>
              </w:rPr>
              <w:t>56,031,066.40</w:t>
            </w:r>
          </w:p>
        </w:tc>
      </w:tr>
      <w:tr>
        <w:trPr>
          <w:trHeight w:val="315" w:hRule="exact"/>
        </w:trPr>
        <w:tc>
          <w:tcPr>
            <w:tcW w:w="3456" w:type="dxa"/>
            <w:gridSpan w:val="3"/>
            <w:tcBorders>
              <w:top w:val="nil" w:sz="6" w:space="0" w:color="auto"/>
              <w:left w:val="nil" w:sz="6" w:space="0" w:color="auto"/>
              <w:bottom w:val="nil" w:sz="6" w:space="0" w:color="auto"/>
              <w:right w:val="nil" w:sz="6" w:space="0" w:color="auto"/>
            </w:tcBorders>
          </w:tcPr>
          <w:p>
            <w:pPr>
              <w:pStyle w:val="TableParagraph"/>
              <w:tabs>
                <w:tab w:pos="1683" w:val="left" w:leader="none"/>
                <w:tab w:pos="2752" w:val="left" w:leader="none"/>
              </w:tabs>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澳门币</w:t>
              <w:tab/>
            </w:r>
            <w:r>
              <w:rPr>
                <w:rFonts w:ascii="宋体" w:hAnsi="宋体" w:cs="宋体" w:eastAsia="宋体" w:hint="default"/>
                <w:sz w:val="18"/>
                <w:szCs w:val="18"/>
              </w:rPr>
              <w:t>63,434.82</w:t>
              <w:tab/>
              <w:t>0.7771</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61"/>
              <w:jc w:val="right"/>
              <w:rPr>
                <w:rFonts w:ascii="宋体" w:hAnsi="宋体" w:cs="宋体" w:eastAsia="宋体" w:hint="default"/>
                <w:sz w:val="18"/>
                <w:szCs w:val="18"/>
              </w:rPr>
            </w:pPr>
            <w:r>
              <w:rPr>
                <w:rFonts w:ascii="宋体"/>
                <w:sz w:val="18"/>
              </w:rPr>
              <w:t>49,295.20</w:t>
            </w:r>
          </w:p>
        </w:tc>
        <w:tc>
          <w:tcPr>
            <w:tcW w:w="2308" w:type="dxa"/>
            <w:gridSpan w:val="2"/>
            <w:tcBorders>
              <w:top w:val="nil" w:sz="6" w:space="0" w:color="auto"/>
              <w:left w:val="nil" w:sz="6" w:space="0" w:color="auto"/>
              <w:bottom w:val="nil" w:sz="6" w:space="0" w:color="auto"/>
              <w:right w:val="nil" w:sz="6" w:space="0" w:color="auto"/>
            </w:tcBorders>
          </w:tcPr>
          <w:p>
            <w:pPr>
              <w:pStyle w:val="TableParagraph"/>
              <w:tabs>
                <w:tab w:pos="1621" w:val="left" w:leader="none"/>
              </w:tabs>
              <w:spacing w:line="240" w:lineRule="auto" w:before="11"/>
              <w:ind w:left="251" w:right="0"/>
              <w:jc w:val="left"/>
              <w:rPr>
                <w:rFonts w:ascii="宋体" w:hAnsi="宋体" w:cs="宋体" w:eastAsia="宋体" w:hint="default"/>
                <w:sz w:val="18"/>
                <w:szCs w:val="18"/>
              </w:rPr>
            </w:pPr>
            <w:r>
              <w:rPr>
                <w:rFonts w:ascii="宋体"/>
                <w:sz w:val="18"/>
              </w:rPr>
              <w:t>3,913,566.41</w:t>
              <w:tab/>
              <w:t>0.7588</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18"/>
                <w:szCs w:val="18"/>
              </w:rPr>
            </w:pPr>
            <w:r>
              <w:rPr>
                <w:rFonts w:ascii="宋体"/>
                <w:sz w:val="18"/>
              </w:rPr>
              <w:t>2,969,614.19</w:t>
            </w:r>
          </w:p>
        </w:tc>
      </w:tr>
      <w:tr>
        <w:trPr>
          <w:trHeight w:val="315" w:hRule="exact"/>
        </w:trPr>
        <w:tc>
          <w:tcPr>
            <w:tcW w:w="3456" w:type="dxa"/>
            <w:gridSpan w:val="3"/>
            <w:tcBorders>
              <w:top w:val="nil" w:sz="6" w:space="0" w:color="auto"/>
              <w:left w:val="nil" w:sz="6" w:space="0" w:color="auto"/>
              <w:bottom w:val="nil" w:sz="6" w:space="0" w:color="auto"/>
              <w:right w:val="nil" w:sz="6" w:space="0" w:color="auto"/>
            </w:tcBorders>
          </w:tcPr>
          <w:p>
            <w:pPr>
              <w:pStyle w:val="TableParagraph"/>
              <w:tabs>
                <w:tab w:pos="1323" w:val="left" w:leader="none"/>
                <w:tab w:pos="2752" w:val="left" w:leader="none"/>
              </w:tabs>
              <w:spacing w:line="240" w:lineRule="auto" w:before="12"/>
              <w:ind w:left="108" w:right="0"/>
              <w:jc w:val="left"/>
              <w:rPr>
                <w:rFonts w:ascii="宋体" w:hAnsi="宋体" w:cs="宋体" w:eastAsia="宋体" w:hint="default"/>
                <w:sz w:val="18"/>
                <w:szCs w:val="18"/>
              </w:rPr>
            </w:pPr>
            <w:r>
              <w:rPr>
                <w:rFonts w:ascii="宋体" w:hAnsi="宋体" w:cs="宋体" w:eastAsia="宋体" w:hint="default"/>
                <w:sz w:val="18"/>
                <w:szCs w:val="18"/>
              </w:rPr>
              <w:t>泰铢</w:t>
              <w:tab/>
            </w:r>
            <w:r>
              <w:rPr>
                <w:rFonts w:ascii="宋体" w:hAnsi="宋体" w:cs="宋体" w:eastAsia="宋体" w:hint="default"/>
                <w:sz w:val="18"/>
                <w:szCs w:val="18"/>
              </w:rPr>
              <w:t>41,521,173.74</w:t>
              <w:tab/>
              <w:t>0.1887</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61"/>
              <w:jc w:val="right"/>
              <w:rPr>
                <w:rFonts w:ascii="宋体" w:hAnsi="宋体" w:cs="宋体" w:eastAsia="宋体" w:hint="default"/>
                <w:sz w:val="18"/>
                <w:szCs w:val="18"/>
              </w:rPr>
            </w:pPr>
            <w:r>
              <w:rPr>
                <w:rFonts w:ascii="宋体"/>
                <w:sz w:val="18"/>
              </w:rPr>
              <w:t>7,835,045.48</w:t>
            </w:r>
          </w:p>
        </w:tc>
        <w:tc>
          <w:tcPr>
            <w:tcW w:w="2308" w:type="dxa"/>
            <w:gridSpan w:val="2"/>
            <w:tcBorders>
              <w:top w:val="nil" w:sz="6" w:space="0" w:color="auto"/>
              <w:left w:val="nil" w:sz="6" w:space="0" w:color="auto"/>
              <w:bottom w:val="nil" w:sz="6" w:space="0" w:color="auto"/>
              <w:right w:val="nil" w:sz="6" w:space="0" w:color="auto"/>
            </w:tcBorders>
          </w:tcPr>
          <w:p>
            <w:pPr>
              <w:pStyle w:val="TableParagraph"/>
              <w:tabs>
                <w:tab w:pos="1621" w:val="left" w:leader="none"/>
              </w:tabs>
              <w:spacing w:line="240" w:lineRule="auto" w:before="12"/>
              <w:ind w:left="161" w:right="0"/>
              <w:jc w:val="left"/>
              <w:rPr>
                <w:rFonts w:ascii="宋体" w:hAnsi="宋体" w:cs="宋体" w:eastAsia="宋体" w:hint="default"/>
                <w:sz w:val="18"/>
                <w:szCs w:val="18"/>
              </w:rPr>
            </w:pPr>
            <w:r>
              <w:rPr>
                <w:rFonts w:ascii="宋体"/>
                <w:sz w:val="18"/>
              </w:rPr>
              <w:t>10,220,468.75</w:t>
              <w:tab/>
              <w:t>0.1849</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8"/>
                <w:szCs w:val="18"/>
              </w:rPr>
            </w:pPr>
            <w:r>
              <w:rPr>
                <w:rFonts w:ascii="宋体"/>
                <w:sz w:val="18"/>
              </w:rPr>
              <w:t>1,889,764.67</w:t>
            </w:r>
          </w:p>
        </w:tc>
      </w:tr>
      <w:tr>
        <w:trPr>
          <w:trHeight w:val="315" w:hRule="exact"/>
        </w:trPr>
        <w:tc>
          <w:tcPr>
            <w:tcW w:w="3456" w:type="dxa"/>
            <w:gridSpan w:val="3"/>
            <w:tcBorders>
              <w:top w:val="nil" w:sz="6" w:space="0" w:color="auto"/>
              <w:left w:val="nil" w:sz="6" w:space="0" w:color="auto"/>
              <w:bottom w:val="nil" w:sz="6" w:space="0" w:color="auto"/>
              <w:right w:val="nil" w:sz="6" w:space="0" w:color="auto"/>
            </w:tcBorders>
          </w:tcPr>
          <w:p>
            <w:pPr>
              <w:pStyle w:val="TableParagraph"/>
              <w:tabs>
                <w:tab w:pos="1323" w:val="left" w:leader="none"/>
                <w:tab w:pos="2752" w:val="left" w:leader="none"/>
              </w:tabs>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新台币</w:t>
              <w:tab/>
            </w:r>
            <w:r>
              <w:rPr>
                <w:rFonts w:ascii="宋体" w:hAnsi="宋体" w:cs="宋体" w:eastAsia="宋体" w:hint="default"/>
                <w:sz w:val="18"/>
                <w:szCs w:val="18"/>
              </w:rPr>
              <w:t>55,908,573.00</w:t>
              <w:tab/>
              <w:t>0.1961</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61"/>
              <w:jc w:val="right"/>
              <w:rPr>
                <w:rFonts w:ascii="宋体" w:hAnsi="宋体" w:cs="宋体" w:eastAsia="宋体" w:hint="default"/>
                <w:sz w:val="18"/>
                <w:szCs w:val="18"/>
              </w:rPr>
            </w:pPr>
            <w:r>
              <w:rPr>
                <w:rFonts w:ascii="宋体"/>
                <w:sz w:val="18"/>
              </w:rPr>
              <w:t>10,963,671.17</w:t>
            </w:r>
          </w:p>
        </w:tc>
        <w:tc>
          <w:tcPr>
            <w:tcW w:w="2308" w:type="dxa"/>
            <w:gridSpan w:val="2"/>
            <w:tcBorders>
              <w:top w:val="nil" w:sz="6" w:space="0" w:color="auto"/>
              <w:left w:val="nil" w:sz="6" w:space="0" w:color="auto"/>
              <w:bottom w:val="nil" w:sz="6" w:space="0" w:color="auto"/>
              <w:right w:val="nil" w:sz="6" w:space="0" w:color="auto"/>
            </w:tcBorders>
          </w:tcPr>
          <w:p>
            <w:pPr>
              <w:pStyle w:val="TableParagraph"/>
              <w:tabs>
                <w:tab w:pos="1621" w:val="left" w:leader="none"/>
              </w:tabs>
              <w:spacing w:line="240" w:lineRule="auto" w:before="11"/>
              <w:ind w:left="161" w:right="0"/>
              <w:jc w:val="left"/>
              <w:rPr>
                <w:rFonts w:ascii="宋体" w:hAnsi="宋体" w:cs="宋体" w:eastAsia="宋体" w:hint="default"/>
                <w:sz w:val="18"/>
                <w:szCs w:val="18"/>
              </w:rPr>
            </w:pPr>
            <w:r>
              <w:rPr>
                <w:rFonts w:ascii="宋体"/>
                <w:sz w:val="18"/>
              </w:rPr>
              <w:t>25,719,289.58</w:t>
              <w:tab/>
              <w:t>0.2063</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18"/>
                <w:szCs w:val="18"/>
              </w:rPr>
            </w:pPr>
            <w:r>
              <w:rPr>
                <w:rFonts w:ascii="宋体"/>
                <w:sz w:val="18"/>
              </w:rPr>
              <w:t>5,305,889.44</w:t>
            </w:r>
          </w:p>
        </w:tc>
      </w:tr>
      <w:tr>
        <w:trPr>
          <w:trHeight w:val="315" w:hRule="exact"/>
        </w:trPr>
        <w:tc>
          <w:tcPr>
            <w:tcW w:w="3456" w:type="dxa"/>
            <w:gridSpan w:val="3"/>
            <w:tcBorders>
              <w:top w:val="nil" w:sz="6" w:space="0" w:color="auto"/>
              <w:left w:val="nil" w:sz="6" w:space="0" w:color="auto"/>
              <w:bottom w:val="nil" w:sz="6" w:space="0" w:color="auto"/>
              <w:right w:val="nil" w:sz="6" w:space="0" w:color="auto"/>
            </w:tcBorders>
          </w:tcPr>
          <w:p>
            <w:pPr>
              <w:pStyle w:val="TableParagraph"/>
              <w:tabs>
                <w:tab w:pos="2133" w:val="left" w:leader="none"/>
                <w:tab w:pos="2752" w:val="left" w:leader="none"/>
              </w:tabs>
              <w:spacing w:line="240" w:lineRule="auto" w:before="12"/>
              <w:ind w:left="108" w:right="0"/>
              <w:jc w:val="left"/>
              <w:rPr>
                <w:rFonts w:ascii="宋体" w:hAnsi="宋体" w:cs="宋体" w:eastAsia="宋体" w:hint="default"/>
                <w:sz w:val="18"/>
                <w:szCs w:val="18"/>
              </w:rPr>
            </w:pPr>
            <w:r>
              <w:rPr>
                <w:rFonts w:ascii="宋体" w:hAnsi="宋体" w:cs="宋体" w:eastAsia="宋体" w:hint="default"/>
                <w:sz w:val="18"/>
                <w:szCs w:val="18"/>
              </w:rPr>
              <w:t>新加坡元</w:t>
              <w:tab/>
            </w:r>
            <w:r>
              <w:rPr>
                <w:rFonts w:ascii="宋体" w:hAnsi="宋体" w:cs="宋体" w:eastAsia="宋体" w:hint="default"/>
                <w:sz w:val="18"/>
                <w:szCs w:val="18"/>
              </w:rPr>
              <w:t>5.53</w:t>
              <w:tab/>
              <w:t>4.6396</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60"/>
              <w:jc w:val="right"/>
              <w:rPr>
                <w:rFonts w:ascii="宋体" w:hAnsi="宋体" w:cs="宋体" w:eastAsia="宋体" w:hint="default"/>
                <w:sz w:val="18"/>
                <w:szCs w:val="18"/>
              </w:rPr>
            </w:pPr>
            <w:r>
              <w:rPr>
                <w:rFonts w:ascii="宋体"/>
                <w:sz w:val="18"/>
              </w:rPr>
              <w:t>25.66</w:t>
            </w:r>
          </w:p>
        </w:tc>
        <w:tc>
          <w:tcPr>
            <w:tcW w:w="2308" w:type="dxa"/>
            <w:gridSpan w:val="2"/>
            <w:tcBorders>
              <w:top w:val="nil" w:sz="6" w:space="0" w:color="auto"/>
              <w:left w:val="nil" w:sz="6" w:space="0" w:color="auto"/>
              <w:bottom w:val="nil" w:sz="6" w:space="0" w:color="auto"/>
              <w:right w:val="nil" w:sz="6" w:space="0" w:color="auto"/>
            </w:tcBorders>
          </w:tcPr>
          <w:p>
            <w:pPr>
              <w:pStyle w:val="TableParagraph"/>
              <w:tabs>
                <w:tab w:pos="1621" w:val="left" w:leader="none"/>
              </w:tabs>
              <w:spacing w:line="240" w:lineRule="auto" w:before="12"/>
              <w:ind w:left="971" w:right="0"/>
              <w:jc w:val="left"/>
              <w:rPr>
                <w:rFonts w:ascii="宋体" w:hAnsi="宋体" w:cs="宋体" w:eastAsia="宋体" w:hint="default"/>
                <w:sz w:val="18"/>
                <w:szCs w:val="18"/>
              </w:rPr>
            </w:pPr>
            <w:r>
              <w:rPr>
                <w:rFonts w:ascii="宋体"/>
                <w:sz w:val="18"/>
              </w:rPr>
              <w:t>5.53</w:t>
              <w:tab/>
              <w:t>4.7845</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8"/>
                <w:szCs w:val="18"/>
              </w:rPr>
            </w:pPr>
            <w:r>
              <w:rPr>
                <w:rFonts w:ascii="宋体"/>
                <w:sz w:val="18"/>
              </w:rPr>
              <w:t>26.46</w:t>
            </w:r>
          </w:p>
        </w:tc>
      </w:tr>
      <w:tr>
        <w:trPr>
          <w:trHeight w:val="247" w:hRule="exact"/>
        </w:trPr>
        <w:tc>
          <w:tcPr>
            <w:tcW w:w="3456" w:type="dxa"/>
            <w:gridSpan w:val="3"/>
            <w:tcBorders>
              <w:top w:val="nil" w:sz="6" w:space="0" w:color="auto"/>
              <w:left w:val="nil" w:sz="6" w:space="0" w:color="auto"/>
              <w:bottom w:val="nil" w:sz="6" w:space="0" w:color="auto"/>
              <w:right w:val="nil" w:sz="6" w:space="0" w:color="auto"/>
            </w:tcBorders>
          </w:tcPr>
          <w:p>
            <w:pPr>
              <w:pStyle w:val="TableParagraph"/>
              <w:tabs>
                <w:tab w:pos="1683" w:val="left" w:leader="none"/>
                <w:tab w:pos="2752" w:val="left" w:leader="none"/>
              </w:tabs>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欧元</w:t>
              <w:tab/>
            </w:r>
            <w:r>
              <w:rPr>
                <w:rFonts w:ascii="宋体" w:hAnsi="宋体" w:cs="宋体" w:eastAsia="宋体" w:hint="default"/>
                <w:sz w:val="18"/>
                <w:szCs w:val="18"/>
              </w:rPr>
              <w:t>13,537.75</w:t>
              <w:tab/>
              <w:t>7.4556</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61"/>
              <w:jc w:val="right"/>
              <w:rPr>
                <w:rFonts w:ascii="宋体" w:hAnsi="宋体" w:cs="宋体" w:eastAsia="宋体" w:hint="default"/>
                <w:sz w:val="18"/>
                <w:szCs w:val="18"/>
              </w:rPr>
            </w:pPr>
            <w:r>
              <w:rPr>
                <w:rFonts w:ascii="宋体"/>
                <w:sz w:val="18"/>
              </w:rPr>
              <w:t>100,932.05</w:t>
            </w:r>
          </w:p>
        </w:tc>
        <w:tc>
          <w:tcPr>
            <w:tcW w:w="2308" w:type="dxa"/>
            <w:gridSpan w:val="2"/>
            <w:tcBorders>
              <w:top w:val="nil" w:sz="6" w:space="0" w:color="auto"/>
              <w:left w:val="nil" w:sz="6" w:space="0" w:color="auto"/>
              <w:bottom w:val="nil" w:sz="6" w:space="0" w:color="auto"/>
              <w:right w:val="nil" w:sz="6" w:space="0" w:color="auto"/>
            </w:tcBorders>
          </w:tcPr>
          <w:p>
            <w:pPr>
              <w:pStyle w:val="TableParagraph"/>
              <w:tabs>
                <w:tab w:pos="1621" w:val="left" w:leader="none"/>
              </w:tabs>
              <w:spacing w:line="240" w:lineRule="auto" w:before="11"/>
              <w:ind w:left="971" w:right="0"/>
              <w:jc w:val="left"/>
              <w:rPr>
                <w:rFonts w:ascii="宋体" w:hAnsi="宋体" w:cs="宋体" w:eastAsia="宋体" w:hint="default"/>
                <w:sz w:val="18"/>
                <w:szCs w:val="18"/>
              </w:rPr>
            </w:pPr>
            <w:r>
              <w:rPr>
                <w:rFonts w:ascii="宋体"/>
                <w:sz w:val="18"/>
              </w:rPr>
              <w:t>0.03</w:t>
              <w:tab/>
              <w:t>8.4189</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18"/>
                <w:szCs w:val="18"/>
              </w:rPr>
            </w:pPr>
            <w:r>
              <w:rPr>
                <w:rFonts w:ascii="宋体"/>
                <w:sz w:val="18"/>
              </w:rPr>
              <w:t>0.25</w:t>
            </w:r>
          </w:p>
        </w:tc>
      </w:tr>
      <w:tr>
        <w:trPr>
          <w:trHeight w:val="301" w:hRule="exact"/>
        </w:trPr>
        <w:tc>
          <w:tcPr>
            <w:tcW w:w="345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9"/>
              <w:ind w:left="108" w:right="0"/>
              <w:jc w:val="left"/>
              <w:rPr>
                <w:rFonts w:ascii="宋体" w:hAnsi="宋体" w:cs="宋体" w:eastAsia="宋体" w:hint="default"/>
                <w:sz w:val="18"/>
                <w:szCs w:val="18"/>
              </w:rPr>
            </w:pPr>
            <w:r>
              <w:rPr>
                <w:rFonts w:ascii="宋体" w:hAnsi="宋体" w:cs="宋体" w:eastAsia="宋体" w:hint="default"/>
                <w:b/>
                <w:bCs/>
                <w:sz w:val="18"/>
                <w:szCs w:val="18"/>
              </w:rPr>
              <w:t>其他货币</w:t>
            </w:r>
            <w:r>
              <w:rPr>
                <w:rFonts w:ascii="宋体" w:hAnsi="宋体" w:cs="宋体" w:eastAsia="宋体" w:hint="default"/>
                <w:sz w:val="18"/>
                <w:szCs w:val="18"/>
              </w:rPr>
            </w:r>
          </w:p>
        </w:tc>
        <w:tc>
          <w:tcPr>
            <w:tcW w:w="1707" w:type="dxa"/>
            <w:tcBorders>
              <w:top w:val="nil" w:sz="6" w:space="0" w:color="auto"/>
              <w:left w:val="nil" w:sz="6" w:space="0" w:color="auto"/>
              <w:bottom w:val="nil" w:sz="6" w:space="0" w:color="auto"/>
              <w:right w:val="nil" w:sz="6" w:space="0" w:color="auto"/>
            </w:tcBorders>
          </w:tcPr>
          <w:p>
            <w:pPr/>
          </w:p>
        </w:tc>
        <w:tc>
          <w:tcPr>
            <w:tcW w:w="2308" w:type="dxa"/>
            <w:gridSpan w:val="2"/>
            <w:tcBorders>
              <w:top w:val="nil" w:sz="6" w:space="0" w:color="auto"/>
              <w:left w:val="nil" w:sz="6" w:space="0" w:color="auto"/>
              <w:bottom w:val="nil" w:sz="6" w:space="0" w:color="auto"/>
              <w:right w:val="nil" w:sz="6" w:space="0" w:color="auto"/>
            </w:tcBorders>
          </w:tcPr>
          <w:p>
            <w:pPr/>
          </w:p>
        </w:tc>
        <w:tc>
          <w:tcPr>
            <w:tcW w:w="1758" w:type="dxa"/>
            <w:tcBorders>
              <w:top w:val="nil" w:sz="6" w:space="0" w:color="auto"/>
              <w:left w:val="nil" w:sz="6" w:space="0" w:color="auto"/>
              <w:bottom w:val="nil" w:sz="6" w:space="0" w:color="auto"/>
              <w:right w:val="nil" w:sz="6" w:space="0" w:color="auto"/>
            </w:tcBorders>
          </w:tcPr>
          <w:p>
            <w:pPr/>
          </w:p>
        </w:tc>
      </w:tr>
      <w:tr>
        <w:trPr>
          <w:trHeight w:val="254" w:hRule="exact"/>
        </w:trPr>
        <w:tc>
          <w:tcPr>
            <w:tcW w:w="1033" w:type="dxa"/>
            <w:tcBorders>
              <w:top w:val="nil" w:sz="6" w:space="0" w:color="auto"/>
              <w:left w:val="nil" w:sz="6" w:space="0" w:color="auto"/>
              <w:bottom w:val="nil" w:sz="6" w:space="0" w:color="auto"/>
              <w:right w:val="nil" w:sz="6" w:space="0" w:color="auto"/>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资金：</w:t>
            </w:r>
            <w:r>
              <w:rPr>
                <w:rFonts w:ascii="宋体" w:hAnsi="宋体" w:cs="宋体" w:eastAsia="宋体" w:hint="default"/>
                <w:sz w:val="18"/>
                <w:szCs w:val="18"/>
              </w:rPr>
            </w:r>
          </w:p>
        </w:tc>
        <w:tc>
          <w:tcPr>
            <w:tcW w:w="1591" w:type="dxa"/>
            <w:tcBorders>
              <w:top w:val="nil" w:sz="6" w:space="0" w:color="auto"/>
              <w:left w:val="nil" w:sz="6" w:space="0" w:color="auto"/>
              <w:bottom w:val="nil" w:sz="6" w:space="0" w:color="auto"/>
              <w:right w:val="nil" w:sz="6" w:space="0" w:color="auto"/>
            </w:tcBorders>
          </w:tcPr>
          <w:p>
            <w:pPr>
              <w:pStyle w:val="TableParagraph"/>
              <w:spacing w:line="90" w:lineRule="exact"/>
              <w:ind w:right="128"/>
              <w:jc w:val="right"/>
              <w:rPr>
                <w:rFonts w:ascii="宋体" w:hAnsi="宋体" w:cs="宋体" w:eastAsia="宋体" w:hint="default"/>
                <w:sz w:val="18"/>
                <w:szCs w:val="18"/>
              </w:rPr>
            </w:pPr>
            <w:r>
              <w:rPr>
                <w:rFonts w:ascii="宋体"/>
                <w:b/>
                <w:sz w:val="18"/>
              </w:rPr>
              <w:t>--</w:t>
            </w:r>
            <w:r>
              <w:rPr>
                <w:rFonts w:ascii="宋体"/>
                <w:sz w:val="18"/>
              </w:rPr>
            </w:r>
          </w:p>
        </w:tc>
        <w:tc>
          <w:tcPr>
            <w:tcW w:w="832" w:type="dxa"/>
            <w:tcBorders>
              <w:top w:val="nil" w:sz="6" w:space="0" w:color="auto"/>
              <w:left w:val="nil" w:sz="6" w:space="0" w:color="auto"/>
              <w:bottom w:val="nil" w:sz="6" w:space="0" w:color="auto"/>
              <w:right w:val="nil" w:sz="6" w:space="0" w:color="auto"/>
            </w:tcBorders>
          </w:tcPr>
          <w:p>
            <w:pPr>
              <w:pStyle w:val="TableParagraph"/>
              <w:spacing w:line="90" w:lineRule="exact"/>
              <w:ind w:right="161"/>
              <w:jc w:val="right"/>
              <w:rPr>
                <w:rFonts w:ascii="宋体" w:hAnsi="宋体" w:cs="宋体" w:eastAsia="宋体" w:hint="default"/>
                <w:sz w:val="18"/>
                <w:szCs w:val="18"/>
              </w:rPr>
            </w:pPr>
            <w:r>
              <w:rPr>
                <w:rFonts w:ascii="宋体"/>
                <w:b/>
                <w:w w:val="95"/>
                <w:sz w:val="18"/>
              </w:rPr>
              <w:t>--</w:t>
            </w:r>
            <w:r>
              <w:rPr>
                <w:rFonts w:ascii="宋体"/>
                <w:sz w:val="18"/>
              </w:rPr>
            </w:r>
          </w:p>
        </w:tc>
        <w:tc>
          <w:tcPr>
            <w:tcW w:w="1707" w:type="dxa"/>
            <w:tcBorders>
              <w:top w:val="nil" w:sz="6" w:space="0" w:color="auto"/>
              <w:left w:val="nil" w:sz="6" w:space="0" w:color="auto"/>
              <w:bottom w:val="nil" w:sz="6" w:space="0" w:color="auto"/>
              <w:right w:val="nil" w:sz="6" w:space="0" w:color="auto"/>
            </w:tcBorders>
          </w:tcPr>
          <w:p>
            <w:pPr>
              <w:pStyle w:val="TableParagraph"/>
              <w:spacing w:line="90" w:lineRule="exact"/>
              <w:ind w:right="160"/>
              <w:jc w:val="right"/>
              <w:rPr>
                <w:rFonts w:ascii="宋体" w:hAnsi="宋体" w:cs="宋体" w:eastAsia="宋体" w:hint="default"/>
                <w:sz w:val="18"/>
                <w:szCs w:val="18"/>
              </w:rPr>
            </w:pPr>
            <w:r>
              <w:rPr>
                <w:rFonts w:ascii="宋体"/>
                <w:b/>
                <w:w w:val="95"/>
                <w:sz w:val="18"/>
              </w:rPr>
              <w:t>82,461,352.25</w:t>
            </w:r>
            <w:r>
              <w:rPr>
                <w:rFonts w:ascii="宋体"/>
                <w:sz w:val="18"/>
              </w:rPr>
            </w:r>
          </w:p>
        </w:tc>
        <w:tc>
          <w:tcPr>
            <w:tcW w:w="1477" w:type="dxa"/>
            <w:tcBorders>
              <w:top w:val="nil" w:sz="6" w:space="0" w:color="auto"/>
              <w:left w:val="nil" w:sz="6" w:space="0" w:color="auto"/>
              <w:bottom w:val="nil" w:sz="6" w:space="0" w:color="auto"/>
              <w:right w:val="nil" w:sz="6" w:space="0" w:color="auto"/>
            </w:tcBorders>
          </w:tcPr>
          <w:p>
            <w:pPr>
              <w:pStyle w:val="TableParagraph"/>
              <w:spacing w:line="90" w:lineRule="exact"/>
              <w:ind w:right="142"/>
              <w:jc w:val="right"/>
              <w:rPr>
                <w:rFonts w:ascii="宋体" w:hAnsi="宋体" w:cs="宋体" w:eastAsia="宋体" w:hint="default"/>
                <w:sz w:val="18"/>
                <w:szCs w:val="18"/>
              </w:rPr>
            </w:pPr>
            <w:r>
              <w:rPr>
                <w:rFonts w:ascii="宋体"/>
                <w:b/>
                <w:sz w:val="18"/>
              </w:rPr>
              <w:t>--</w:t>
            </w:r>
            <w:r>
              <w:rPr>
                <w:rFonts w:ascii="宋体"/>
                <w:sz w:val="18"/>
              </w:rPr>
            </w:r>
          </w:p>
        </w:tc>
        <w:tc>
          <w:tcPr>
            <w:tcW w:w="831" w:type="dxa"/>
            <w:tcBorders>
              <w:top w:val="nil" w:sz="6" w:space="0" w:color="auto"/>
              <w:left w:val="nil" w:sz="6" w:space="0" w:color="auto"/>
              <w:bottom w:val="nil" w:sz="6" w:space="0" w:color="auto"/>
              <w:right w:val="nil" w:sz="6" w:space="0" w:color="auto"/>
            </w:tcBorders>
          </w:tcPr>
          <w:p>
            <w:pPr>
              <w:pStyle w:val="TableParagraph"/>
              <w:spacing w:line="90" w:lineRule="exact"/>
              <w:ind w:right="144"/>
              <w:jc w:val="right"/>
              <w:rPr>
                <w:rFonts w:ascii="宋体" w:hAnsi="宋体" w:cs="宋体" w:eastAsia="宋体" w:hint="default"/>
                <w:sz w:val="18"/>
                <w:szCs w:val="18"/>
              </w:rPr>
            </w:pPr>
            <w:r>
              <w:rPr>
                <w:rFonts w:ascii="宋体"/>
                <w:b/>
                <w:w w:val="95"/>
                <w:sz w:val="18"/>
              </w:rPr>
              <w:t>--</w:t>
            </w:r>
            <w:r>
              <w:rPr>
                <w:rFonts w:ascii="宋体"/>
                <w:sz w:val="18"/>
              </w:rPr>
            </w:r>
          </w:p>
        </w:tc>
        <w:tc>
          <w:tcPr>
            <w:tcW w:w="1758" w:type="dxa"/>
            <w:tcBorders>
              <w:top w:val="nil" w:sz="6" w:space="0" w:color="auto"/>
              <w:left w:val="nil" w:sz="6" w:space="0" w:color="auto"/>
              <w:bottom w:val="nil" w:sz="6" w:space="0" w:color="auto"/>
              <w:right w:val="nil" w:sz="6" w:space="0" w:color="auto"/>
            </w:tcBorders>
          </w:tcPr>
          <w:p>
            <w:pPr>
              <w:pStyle w:val="TableParagraph"/>
              <w:spacing w:line="90" w:lineRule="exact"/>
              <w:ind w:right="106"/>
              <w:jc w:val="right"/>
              <w:rPr>
                <w:rFonts w:ascii="宋体" w:hAnsi="宋体" w:cs="宋体" w:eastAsia="宋体" w:hint="default"/>
                <w:sz w:val="18"/>
                <w:szCs w:val="18"/>
              </w:rPr>
            </w:pPr>
            <w:r>
              <w:rPr>
                <w:rFonts w:ascii="宋体"/>
                <w:b/>
                <w:w w:val="95"/>
                <w:sz w:val="18"/>
              </w:rPr>
              <w:t>74,724,361.43</w:t>
            </w:r>
            <w:r>
              <w:rPr>
                <w:rFonts w:ascii="宋体"/>
                <w:sz w:val="18"/>
              </w:rPr>
            </w:r>
          </w:p>
        </w:tc>
      </w:tr>
      <w:tr>
        <w:trPr>
          <w:trHeight w:val="295" w:hRule="exact"/>
        </w:trPr>
        <w:tc>
          <w:tcPr>
            <w:tcW w:w="1033"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591" w:type="dxa"/>
            <w:tcBorders>
              <w:top w:val="nil" w:sz="6" w:space="0" w:color="auto"/>
              <w:left w:val="nil" w:sz="6" w:space="0" w:color="auto"/>
              <w:bottom w:val="nil" w:sz="6" w:space="0" w:color="auto"/>
              <w:right w:val="nil" w:sz="6" w:space="0" w:color="auto"/>
            </w:tcBorders>
          </w:tcPr>
          <w:p>
            <w:pPr>
              <w:pStyle w:val="TableParagraph"/>
              <w:spacing w:line="227" w:lineRule="exact"/>
              <w:ind w:right="128"/>
              <w:jc w:val="right"/>
              <w:rPr>
                <w:rFonts w:ascii="宋体" w:hAnsi="宋体" w:cs="宋体" w:eastAsia="宋体" w:hint="default"/>
                <w:sz w:val="18"/>
                <w:szCs w:val="18"/>
              </w:rPr>
            </w:pPr>
            <w:r>
              <w:rPr>
                <w:rFonts w:ascii="宋体"/>
                <w:sz w:val="18"/>
              </w:rPr>
              <w:t>--</w:t>
            </w:r>
          </w:p>
        </w:tc>
        <w:tc>
          <w:tcPr>
            <w:tcW w:w="832" w:type="dxa"/>
            <w:tcBorders>
              <w:top w:val="nil" w:sz="6" w:space="0" w:color="auto"/>
              <w:left w:val="nil" w:sz="6" w:space="0" w:color="auto"/>
              <w:bottom w:val="nil" w:sz="6" w:space="0" w:color="auto"/>
              <w:right w:val="nil" w:sz="6" w:space="0" w:color="auto"/>
            </w:tcBorders>
          </w:tcPr>
          <w:p>
            <w:pPr>
              <w:pStyle w:val="TableParagraph"/>
              <w:spacing w:line="227" w:lineRule="exact"/>
              <w:ind w:right="161"/>
              <w:jc w:val="right"/>
              <w:rPr>
                <w:rFonts w:ascii="宋体" w:hAnsi="宋体" w:cs="宋体" w:eastAsia="宋体" w:hint="default"/>
                <w:sz w:val="18"/>
                <w:szCs w:val="18"/>
              </w:rPr>
            </w:pPr>
            <w:r>
              <w:rPr>
                <w:rFonts w:ascii="宋体"/>
                <w:sz w:val="18"/>
              </w:rPr>
              <w:t>--</w:t>
            </w:r>
          </w:p>
        </w:tc>
        <w:tc>
          <w:tcPr>
            <w:tcW w:w="1707" w:type="dxa"/>
            <w:tcBorders>
              <w:top w:val="nil" w:sz="6" w:space="0" w:color="auto"/>
              <w:left w:val="nil" w:sz="6" w:space="0" w:color="auto"/>
              <w:bottom w:val="nil" w:sz="6" w:space="0" w:color="auto"/>
              <w:right w:val="nil" w:sz="6" w:space="0" w:color="auto"/>
            </w:tcBorders>
          </w:tcPr>
          <w:p>
            <w:pPr>
              <w:pStyle w:val="TableParagraph"/>
              <w:spacing w:line="227" w:lineRule="exact"/>
              <w:ind w:right="160"/>
              <w:jc w:val="right"/>
              <w:rPr>
                <w:rFonts w:ascii="宋体" w:hAnsi="宋体" w:cs="宋体" w:eastAsia="宋体" w:hint="default"/>
                <w:sz w:val="18"/>
                <w:szCs w:val="18"/>
              </w:rPr>
            </w:pPr>
            <w:r>
              <w:rPr>
                <w:rFonts w:ascii="宋体"/>
                <w:sz w:val="18"/>
              </w:rPr>
              <w:t>69,984,645.80</w:t>
            </w:r>
          </w:p>
        </w:tc>
        <w:tc>
          <w:tcPr>
            <w:tcW w:w="1477" w:type="dxa"/>
            <w:tcBorders>
              <w:top w:val="nil" w:sz="6" w:space="0" w:color="auto"/>
              <w:left w:val="nil" w:sz="6" w:space="0" w:color="auto"/>
              <w:bottom w:val="nil" w:sz="6" w:space="0" w:color="auto"/>
              <w:right w:val="nil" w:sz="6" w:space="0" w:color="auto"/>
            </w:tcBorders>
          </w:tcPr>
          <w:p>
            <w:pPr>
              <w:pStyle w:val="TableParagraph"/>
              <w:spacing w:line="227" w:lineRule="exact"/>
              <w:ind w:right="143"/>
              <w:jc w:val="right"/>
              <w:rPr>
                <w:rFonts w:ascii="宋体" w:hAnsi="宋体" w:cs="宋体" w:eastAsia="宋体" w:hint="default"/>
                <w:sz w:val="18"/>
                <w:szCs w:val="18"/>
              </w:rPr>
            </w:pPr>
            <w:r>
              <w:rPr>
                <w:rFonts w:ascii="宋体"/>
                <w:sz w:val="18"/>
              </w:rPr>
              <w:t>--</w:t>
            </w:r>
          </w:p>
        </w:tc>
        <w:tc>
          <w:tcPr>
            <w:tcW w:w="831" w:type="dxa"/>
            <w:tcBorders>
              <w:top w:val="nil" w:sz="6" w:space="0" w:color="auto"/>
              <w:left w:val="nil" w:sz="6" w:space="0" w:color="auto"/>
              <w:bottom w:val="nil" w:sz="6" w:space="0" w:color="auto"/>
              <w:right w:val="nil" w:sz="6" w:space="0" w:color="auto"/>
            </w:tcBorders>
          </w:tcPr>
          <w:p>
            <w:pPr>
              <w:pStyle w:val="TableParagraph"/>
              <w:spacing w:line="227" w:lineRule="exact"/>
              <w:ind w:right="144"/>
              <w:jc w:val="right"/>
              <w:rPr>
                <w:rFonts w:ascii="宋体" w:hAnsi="宋体" w:cs="宋体" w:eastAsia="宋体" w:hint="default"/>
                <w:sz w:val="18"/>
                <w:szCs w:val="18"/>
              </w:rPr>
            </w:pPr>
            <w:r>
              <w:rPr>
                <w:rFonts w:ascii="宋体"/>
                <w:sz w:val="18"/>
              </w:rPr>
              <w:t>--</w:t>
            </w:r>
          </w:p>
        </w:tc>
        <w:tc>
          <w:tcPr>
            <w:tcW w:w="1758" w:type="dxa"/>
            <w:tcBorders>
              <w:top w:val="nil" w:sz="6" w:space="0" w:color="auto"/>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74,686,791.60</w:t>
            </w:r>
          </w:p>
        </w:tc>
      </w:tr>
      <w:tr>
        <w:trPr>
          <w:trHeight w:val="315" w:hRule="exact"/>
        </w:trPr>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8"/>
              <w:jc w:val="right"/>
              <w:rPr>
                <w:rFonts w:ascii="宋体" w:hAnsi="宋体" w:cs="宋体" w:eastAsia="宋体" w:hint="default"/>
                <w:sz w:val="18"/>
                <w:szCs w:val="18"/>
              </w:rPr>
            </w:pPr>
            <w:r>
              <w:rPr>
                <w:rFonts w:ascii="宋体"/>
                <w:sz w:val="18"/>
              </w:rPr>
              <w:t>1,936,650.60</w:t>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61"/>
              <w:jc w:val="right"/>
              <w:rPr>
                <w:rFonts w:ascii="宋体" w:hAnsi="宋体" w:cs="宋体" w:eastAsia="宋体" w:hint="default"/>
                <w:sz w:val="18"/>
                <w:szCs w:val="18"/>
              </w:rPr>
            </w:pPr>
            <w:r>
              <w:rPr>
                <w:rFonts w:ascii="宋体"/>
                <w:sz w:val="18"/>
              </w:rPr>
              <w:t>6.1190</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61"/>
              <w:jc w:val="right"/>
              <w:rPr>
                <w:rFonts w:ascii="宋体" w:hAnsi="宋体" w:cs="宋体" w:eastAsia="宋体" w:hint="default"/>
                <w:sz w:val="18"/>
                <w:szCs w:val="18"/>
              </w:rPr>
            </w:pPr>
            <w:r>
              <w:rPr>
                <w:rFonts w:ascii="宋体"/>
                <w:sz w:val="18"/>
              </w:rPr>
              <w:t>11,850,365.02</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3"/>
              <w:jc w:val="right"/>
              <w:rPr>
                <w:rFonts w:ascii="宋体" w:hAnsi="宋体" w:cs="宋体" w:eastAsia="宋体" w:hint="default"/>
                <w:sz w:val="18"/>
                <w:szCs w:val="18"/>
              </w:rPr>
            </w:pPr>
            <w:r>
              <w:rPr>
                <w:rFonts w:ascii="宋体"/>
                <w:sz w:val="18"/>
              </w:rPr>
              <w:t>0</w:t>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4"/>
              <w:jc w:val="right"/>
              <w:rPr>
                <w:rFonts w:ascii="宋体" w:hAnsi="宋体" w:cs="宋体" w:eastAsia="宋体" w:hint="default"/>
                <w:sz w:val="18"/>
                <w:szCs w:val="18"/>
              </w:rPr>
            </w:pPr>
            <w:r>
              <w:rPr>
                <w:rFonts w:ascii="宋体"/>
                <w:sz w:val="18"/>
              </w:rPr>
              <w:t>6.0969</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8"/>
                <w:szCs w:val="18"/>
              </w:rPr>
            </w:pPr>
            <w:r>
              <w:rPr>
                <w:rFonts w:ascii="宋体"/>
                <w:sz w:val="18"/>
              </w:rPr>
              <w:t>0</w:t>
            </w:r>
          </w:p>
        </w:tc>
      </w:tr>
      <w:tr>
        <w:trPr>
          <w:trHeight w:val="315" w:hRule="exact"/>
        </w:trPr>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8"/>
              <w:jc w:val="right"/>
              <w:rPr>
                <w:rFonts w:ascii="宋体" w:hAnsi="宋体" w:cs="宋体" w:eastAsia="宋体" w:hint="default"/>
                <w:sz w:val="18"/>
                <w:szCs w:val="18"/>
              </w:rPr>
            </w:pPr>
            <w:r>
              <w:rPr>
                <w:rFonts w:ascii="宋体"/>
                <w:sz w:val="18"/>
              </w:rPr>
              <w:t>0</w:t>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61"/>
              <w:jc w:val="right"/>
              <w:rPr>
                <w:rFonts w:ascii="宋体" w:hAnsi="宋体" w:cs="宋体" w:eastAsia="宋体" w:hint="default"/>
                <w:sz w:val="18"/>
                <w:szCs w:val="18"/>
              </w:rPr>
            </w:pPr>
            <w:r>
              <w:rPr>
                <w:rFonts w:ascii="宋体"/>
                <w:sz w:val="18"/>
              </w:rPr>
              <w:t>0.1887</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60"/>
              <w:jc w:val="right"/>
              <w:rPr>
                <w:rFonts w:ascii="宋体" w:hAnsi="宋体" w:cs="宋体" w:eastAsia="宋体" w:hint="default"/>
                <w:sz w:val="18"/>
                <w:szCs w:val="18"/>
              </w:rPr>
            </w:pPr>
            <w:r>
              <w:rPr>
                <w:rFonts w:ascii="宋体"/>
                <w:sz w:val="18"/>
              </w:rPr>
              <w:t>0</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3"/>
              <w:jc w:val="right"/>
              <w:rPr>
                <w:rFonts w:ascii="宋体" w:hAnsi="宋体" w:cs="宋体" w:eastAsia="宋体" w:hint="default"/>
                <w:sz w:val="18"/>
                <w:szCs w:val="18"/>
              </w:rPr>
            </w:pPr>
            <w:r>
              <w:rPr>
                <w:rFonts w:ascii="宋体"/>
                <w:sz w:val="18"/>
              </w:rPr>
              <w:t>203,190.00</w:t>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4"/>
              <w:jc w:val="right"/>
              <w:rPr>
                <w:rFonts w:ascii="宋体" w:hAnsi="宋体" w:cs="宋体" w:eastAsia="宋体" w:hint="default"/>
                <w:sz w:val="18"/>
                <w:szCs w:val="18"/>
              </w:rPr>
            </w:pPr>
            <w:r>
              <w:rPr>
                <w:rFonts w:ascii="宋体"/>
                <w:sz w:val="18"/>
              </w:rPr>
              <w:t>0.1849</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8"/>
                <w:szCs w:val="18"/>
              </w:rPr>
            </w:pPr>
            <w:r>
              <w:rPr>
                <w:rFonts w:ascii="宋体"/>
                <w:sz w:val="18"/>
              </w:rPr>
              <w:t>37,569.83</w:t>
            </w:r>
          </w:p>
        </w:tc>
      </w:tr>
      <w:tr>
        <w:trPr>
          <w:trHeight w:val="319" w:hRule="exact"/>
        </w:trPr>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澳门币</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8"/>
              <w:jc w:val="right"/>
              <w:rPr>
                <w:rFonts w:ascii="宋体" w:hAnsi="宋体" w:cs="宋体" w:eastAsia="宋体" w:hint="default"/>
                <w:sz w:val="18"/>
                <w:szCs w:val="18"/>
              </w:rPr>
            </w:pPr>
            <w:r>
              <w:rPr>
                <w:rFonts w:ascii="宋体"/>
                <w:sz w:val="18"/>
              </w:rPr>
              <w:t>805,998.49</w:t>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61"/>
              <w:jc w:val="right"/>
              <w:rPr>
                <w:rFonts w:ascii="宋体" w:hAnsi="宋体" w:cs="宋体" w:eastAsia="宋体" w:hint="default"/>
                <w:sz w:val="18"/>
                <w:szCs w:val="18"/>
              </w:rPr>
            </w:pPr>
            <w:r>
              <w:rPr>
                <w:rFonts w:ascii="宋体"/>
                <w:sz w:val="18"/>
              </w:rPr>
              <w:t>0.7771</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61"/>
              <w:jc w:val="right"/>
              <w:rPr>
                <w:rFonts w:ascii="宋体" w:hAnsi="宋体" w:cs="宋体" w:eastAsia="宋体" w:hint="default"/>
                <w:sz w:val="18"/>
                <w:szCs w:val="18"/>
              </w:rPr>
            </w:pPr>
            <w:r>
              <w:rPr>
                <w:rFonts w:ascii="宋体"/>
                <w:sz w:val="18"/>
              </w:rPr>
              <w:t>626,341.43</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3"/>
              <w:jc w:val="right"/>
              <w:rPr>
                <w:rFonts w:ascii="宋体" w:hAnsi="宋体" w:cs="宋体" w:eastAsia="宋体" w:hint="default"/>
                <w:sz w:val="18"/>
                <w:szCs w:val="18"/>
              </w:rPr>
            </w:pPr>
            <w:r>
              <w:rPr>
                <w:rFonts w:ascii="宋体"/>
                <w:sz w:val="18"/>
              </w:rPr>
              <w:t>0</w:t>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4"/>
              <w:jc w:val="right"/>
              <w:rPr>
                <w:rFonts w:ascii="宋体" w:hAnsi="宋体" w:cs="宋体" w:eastAsia="宋体" w:hint="default"/>
                <w:sz w:val="18"/>
                <w:szCs w:val="18"/>
              </w:rPr>
            </w:pPr>
            <w:r>
              <w:rPr>
                <w:rFonts w:ascii="宋体"/>
                <w:sz w:val="18"/>
              </w:rPr>
              <w:t>0.7588</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18"/>
                <w:szCs w:val="18"/>
              </w:rPr>
            </w:pPr>
            <w:r>
              <w:rPr>
                <w:rFonts w:ascii="宋体"/>
                <w:sz w:val="18"/>
              </w:rPr>
              <w:t>0</w:t>
            </w:r>
          </w:p>
        </w:tc>
      </w:tr>
      <w:tr>
        <w:trPr>
          <w:trHeight w:val="351" w:hRule="exact"/>
        </w:trPr>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8"/>
              <w:jc w:val="right"/>
              <w:rPr>
                <w:rFonts w:ascii="宋体" w:hAnsi="宋体" w:cs="宋体" w:eastAsia="宋体" w:hint="default"/>
                <w:sz w:val="18"/>
                <w:szCs w:val="18"/>
              </w:rPr>
            </w:pPr>
            <w:r>
              <w:rPr>
                <w:rFonts w:ascii="宋体"/>
                <w:b/>
                <w:sz w:val="18"/>
              </w:rPr>
              <w:t>--</w:t>
            </w:r>
            <w:r>
              <w:rPr>
                <w:rFonts w:ascii="宋体"/>
                <w:sz w:val="18"/>
              </w:rPr>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62"/>
              <w:jc w:val="right"/>
              <w:rPr>
                <w:rFonts w:ascii="宋体" w:hAnsi="宋体" w:cs="宋体" w:eastAsia="宋体" w:hint="default"/>
                <w:sz w:val="18"/>
                <w:szCs w:val="18"/>
              </w:rPr>
            </w:pPr>
            <w:r>
              <w:rPr>
                <w:rFonts w:ascii="宋体"/>
                <w:b/>
                <w:w w:val="99"/>
                <w:sz w:val="18"/>
              </w:rPr>
              <w:t>-</w:t>
            </w:r>
            <w:r>
              <w:rPr>
                <w:rFonts w:ascii="宋体"/>
                <w:sz w:val="18"/>
              </w:rPr>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61"/>
              <w:jc w:val="right"/>
              <w:rPr>
                <w:rFonts w:ascii="宋体" w:hAnsi="宋体" w:cs="宋体" w:eastAsia="宋体" w:hint="default"/>
                <w:sz w:val="18"/>
                <w:szCs w:val="18"/>
              </w:rPr>
            </w:pPr>
            <w:r>
              <w:rPr>
                <w:rFonts w:ascii="宋体"/>
                <w:b/>
                <w:w w:val="95"/>
                <w:sz w:val="18"/>
              </w:rPr>
              <w:t>1,738,745,309.13</w:t>
            </w:r>
            <w:r>
              <w:rPr>
                <w:rFonts w:ascii="宋体"/>
                <w:sz w:val="18"/>
              </w:rPr>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2"/>
              <w:jc w:val="right"/>
              <w:rPr>
                <w:rFonts w:ascii="宋体" w:hAnsi="宋体" w:cs="宋体" w:eastAsia="宋体" w:hint="default"/>
                <w:sz w:val="18"/>
                <w:szCs w:val="18"/>
              </w:rPr>
            </w:pPr>
            <w:r>
              <w:rPr>
                <w:rFonts w:ascii="宋体"/>
                <w:b/>
                <w:sz w:val="18"/>
              </w:rPr>
              <w:t>--</w:t>
            </w:r>
            <w:r>
              <w:rPr>
                <w:rFonts w:ascii="宋体"/>
                <w:sz w:val="18"/>
              </w:rPr>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5"/>
              <w:jc w:val="right"/>
              <w:rPr>
                <w:rFonts w:ascii="宋体" w:hAnsi="宋体" w:cs="宋体" w:eastAsia="宋体" w:hint="default"/>
                <w:sz w:val="18"/>
                <w:szCs w:val="18"/>
              </w:rPr>
            </w:pPr>
            <w:r>
              <w:rPr>
                <w:rFonts w:ascii="宋体"/>
                <w:b/>
                <w:w w:val="99"/>
                <w:sz w:val="18"/>
              </w:rPr>
              <w:t>-</w:t>
            </w:r>
            <w:r>
              <w:rPr>
                <w:rFonts w:ascii="宋体"/>
                <w:sz w:val="18"/>
              </w:rPr>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7"/>
              <w:jc w:val="right"/>
              <w:rPr>
                <w:rFonts w:ascii="宋体" w:hAnsi="宋体" w:cs="宋体" w:eastAsia="宋体" w:hint="default"/>
                <w:sz w:val="18"/>
                <w:szCs w:val="18"/>
              </w:rPr>
            </w:pPr>
            <w:r>
              <w:rPr>
                <w:rFonts w:ascii="宋体"/>
                <w:b/>
                <w:w w:val="95"/>
                <w:sz w:val="18"/>
              </w:rPr>
              <w:t>1,349,560,032.74</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882" w:footer="1194" w:top="1120" w:bottom="1380" w:left="1580" w:right="8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tbl>
      <w:tblPr>
        <w:tblW w:w="0" w:type="auto"/>
        <w:jc w:val="left"/>
        <w:tblInd w:w="1275" w:type="dxa"/>
        <w:tblLayout w:type="fixed"/>
        <w:tblCellMar>
          <w:top w:w="0" w:type="dxa"/>
          <w:left w:w="0" w:type="dxa"/>
          <w:bottom w:w="0" w:type="dxa"/>
          <w:right w:w="0" w:type="dxa"/>
        </w:tblCellMar>
        <w:tblLook w:val="01E0"/>
      </w:tblPr>
      <w:tblGrid>
        <w:gridCol w:w="1654"/>
        <w:gridCol w:w="1164"/>
        <w:gridCol w:w="714"/>
        <w:gridCol w:w="2140"/>
        <w:gridCol w:w="1162"/>
        <w:gridCol w:w="774"/>
        <w:gridCol w:w="1636"/>
      </w:tblGrid>
      <w:tr>
        <w:trPr>
          <w:trHeight w:val="841" w:hRule="exact"/>
        </w:trPr>
        <w:tc>
          <w:tcPr>
            <w:tcW w:w="1654" w:type="dxa"/>
            <w:tcBorders>
              <w:top w:val="nil" w:sz="6" w:space="0" w:color="auto"/>
              <w:left w:val="nil" w:sz="6" w:space="0" w:color="auto"/>
              <w:bottom w:val="single" w:sz="8" w:space="0" w:color="000000"/>
              <w:right w:val="nil" w:sz="6" w:space="0" w:color="auto"/>
            </w:tcBorders>
          </w:tcPr>
          <w:p>
            <w:pPr>
              <w:pStyle w:val="TableParagraph"/>
              <w:spacing w:line="179"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其中：存放</w:t>
            </w:r>
          </w:p>
          <w:p>
            <w:pPr>
              <w:pStyle w:val="TableParagraph"/>
              <w:spacing w:line="232" w:lineRule="exact" w:before="24"/>
              <w:ind w:left="122" w:right="809"/>
              <w:jc w:val="left"/>
              <w:rPr>
                <w:rFonts w:ascii="宋体" w:hAnsi="宋体" w:cs="宋体" w:eastAsia="宋体" w:hint="default"/>
                <w:sz w:val="18"/>
                <w:szCs w:val="18"/>
              </w:rPr>
            </w:pPr>
            <w:r>
              <w:rPr>
                <w:rFonts w:ascii="宋体" w:hAnsi="宋体" w:cs="宋体" w:eastAsia="宋体" w:hint="default"/>
                <w:sz w:val="18"/>
                <w:szCs w:val="18"/>
              </w:rPr>
              <w:t>在境外的 款项总额</w:t>
            </w:r>
          </w:p>
        </w:tc>
        <w:tc>
          <w:tcPr>
            <w:tcW w:w="1164"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673" w:right="0"/>
              <w:jc w:val="left"/>
              <w:rPr>
                <w:rFonts w:ascii="宋体" w:hAnsi="宋体" w:cs="宋体" w:eastAsia="宋体" w:hint="default"/>
                <w:sz w:val="18"/>
                <w:szCs w:val="18"/>
              </w:rPr>
            </w:pPr>
            <w:r>
              <w:rPr>
                <w:rFonts w:ascii="宋体"/>
                <w:b/>
                <w:sz w:val="18"/>
              </w:rPr>
              <w:t>--</w:t>
            </w:r>
            <w:r>
              <w:rPr>
                <w:rFonts w:ascii="宋体"/>
                <w:sz w:val="18"/>
              </w:rPr>
            </w:r>
          </w:p>
        </w:tc>
        <w:tc>
          <w:tcPr>
            <w:tcW w:w="714"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08" w:right="0"/>
              <w:jc w:val="left"/>
              <w:rPr>
                <w:rFonts w:ascii="宋体" w:hAnsi="宋体" w:cs="宋体" w:eastAsia="宋体" w:hint="default"/>
                <w:sz w:val="18"/>
                <w:szCs w:val="18"/>
              </w:rPr>
            </w:pPr>
            <w:r>
              <w:rPr>
                <w:rFonts w:ascii="宋体"/>
                <w:b/>
                <w:sz w:val="18"/>
              </w:rPr>
              <w:t>--</w:t>
            </w:r>
            <w:r>
              <w:rPr>
                <w:rFonts w:ascii="宋体"/>
                <w:sz w:val="18"/>
              </w:rPr>
            </w:r>
          </w:p>
        </w:tc>
        <w:tc>
          <w:tcPr>
            <w:tcW w:w="2140"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3" w:right="0"/>
              <w:jc w:val="left"/>
              <w:rPr>
                <w:rFonts w:ascii="宋体" w:hAnsi="宋体" w:cs="宋体" w:eastAsia="宋体" w:hint="default"/>
                <w:sz w:val="18"/>
                <w:szCs w:val="18"/>
              </w:rPr>
            </w:pPr>
            <w:r>
              <w:rPr>
                <w:rFonts w:ascii="宋体"/>
                <w:sz w:val="18"/>
              </w:rPr>
              <w:t>120,230,143.77</w:t>
            </w:r>
          </w:p>
        </w:tc>
        <w:tc>
          <w:tcPr>
            <w:tcW w:w="1162"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656" w:right="0"/>
              <w:jc w:val="left"/>
              <w:rPr>
                <w:rFonts w:ascii="宋体" w:hAnsi="宋体" w:cs="宋体" w:eastAsia="宋体" w:hint="default"/>
                <w:sz w:val="18"/>
                <w:szCs w:val="18"/>
              </w:rPr>
            </w:pPr>
            <w:r>
              <w:rPr>
                <w:rFonts w:ascii="宋体"/>
                <w:b/>
                <w:sz w:val="18"/>
              </w:rPr>
              <w:t>--</w:t>
            </w:r>
            <w:r>
              <w:rPr>
                <w:rFonts w:ascii="宋体"/>
                <w:sz w:val="18"/>
              </w:rPr>
            </w:r>
          </w:p>
        </w:tc>
        <w:tc>
          <w:tcPr>
            <w:tcW w:w="774"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6" w:right="0"/>
              <w:jc w:val="center"/>
              <w:rPr>
                <w:rFonts w:ascii="宋体" w:hAnsi="宋体" w:cs="宋体" w:eastAsia="宋体" w:hint="default"/>
                <w:sz w:val="18"/>
                <w:szCs w:val="18"/>
              </w:rPr>
            </w:pPr>
            <w:r>
              <w:rPr>
                <w:rFonts w:ascii="宋体"/>
                <w:b/>
                <w:sz w:val="18"/>
              </w:rPr>
              <w:t>--</w:t>
            </w:r>
            <w:r>
              <w:rPr>
                <w:rFonts w:ascii="宋体"/>
                <w:sz w:val="18"/>
              </w:rPr>
            </w:r>
          </w:p>
        </w:tc>
        <w:tc>
          <w:tcPr>
            <w:tcW w:w="1636"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67" w:right="0"/>
              <w:jc w:val="left"/>
              <w:rPr>
                <w:rFonts w:ascii="宋体" w:hAnsi="宋体" w:cs="宋体" w:eastAsia="宋体" w:hint="default"/>
                <w:sz w:val="18"/>
                <w:szCs w:val="18"/>
              </w:rPr>
            </w:pPr>
            <w:r>
              <w:rPr>
                <w:rFonts w:ascii="宋体"/>
                <w:sz w:val="18"/>
              </w:rPr>
              <w:t>121,026,124.09</w:t>
            </w:r>
          </w:p>
        </w:tc>
      </w:tr>
    </w:tbl>
    <w:p>
      <w:pPr>
        <w:spacing w:line="240" w:lineRule="auto" w:before="1"/>
        <w:rPr>
          <w:rFonts w:ascii="宋体" w:hAnsi="宋体" w:cs="宋体" w:eastAsia="宋体" w:hint="default"/>
          <w:sz w:val="25"/>
          <w:szCs w:val="25"/>
        </w:rPr>
      </w:pPr>
    </w:p>
    <w:p>
      <w:pPr>
        <w:pStyle w:val="BodyText"/>
        <w:spacing w:line="240" w:lineRule="auto" w:before="26"/>
        <w:ind w:left="1458" w:right="0"/>
        <w:jc w:val="left"/>
      </w:pPr>
      <w:r>
        <w:rPr/>
        <w:t>说明：期末使用受限的存款为</w:t>
      </w:r>
      <w:r>
        <w:rPr>
          <w:spacing w:val="-60"/>
        </w:rPr>
        <w:t> </w:t>
      </w:r>
      <w:r>
        <w:rPr>
          <w:rFonts w:ascii="宋体" w:hAnsi="宋体" w:cs="宋体" w:eastAsia="宋体" w:hint="default"/>
        </w:rPr>
        <w:t>82,461,352.25</w:t>
      </w:r>
      <w:r>
        <w:rPr>
          <w:rFonts w:ascii="宋体" w:hAnsi="宋体" w:cs="宋体" w:eastAsia="宋体" w:hint="default"/>
          <w:spacing w:val="-60"/>
        </w:rPr>
        <w:t> </w:t>
      </w:r>
      <w:r>
        <w:rPr/>
        <w:t>元，为银行保证金。</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4" w:top="1120" w:bottom="1380" w:left="400" w:right="340"/>
        </w:sectPr>
      </w:pPr>
    </w:p>
    <w:p>
      <w:pPr>
        <w:pStyle w:val="Heading2"/>
        <w:spacing w:line="240" w:lineRule="auto"/>
        <w:ind w:left="1398" w:right="-11"/>
        <w:jc w:val="left"/>
        <w:rPr>
          <w:b w:val="0"/>
          <w:bCs w:val="0"/>
        </w:rPr>
      </w:pPr>
      <w:r>
        <w:rPr>
          <w:rFonts w:ascii="宋体" w:hAnsi="宋体" w:cs="宋体" w:eastAsia="宋体" w:hint="default"/>
        </w:rPr>
        <w:t>2</w:t>
      </w:r>
      <w:r>
        <w:rPr/>
        <w:t>、</w:t>
      </w:r>
      <w:r>
        <w:rPr>
          <w:spacing w:val="-64"/>
        </w:rPr>
        <w:t> </w:t>
      </w:r>
      <w:r>
        <w:rPr/>
        <w:t>应收票据</w:t>
      </w:r>
      <w:r>
        <w:rPr>
          <w:b w:val="0"/>
          <w:bCs w:val="0"/>
        </w:rPr>
      </w:r>
    </w:p>
    <w:p>
      <w:pPr>
        <w:pStyle w:val="Heading2"/>
        <w:spacing w:line="240" w:lineRule="auto" w:before="116"/>
        <w:ind w:left="1398" w:right="-11"/>
        <w:jc w:val="left"/>
        <w:rPr>
          <w:b w:val="0"/>
          <w:bCs w:val="0"/>
        </w:rPr>
      </w:pPr>
      <w:r>
        <w:rPr>
          <w:rFonts w:ascii="宋体" w:hAnsi="宋体" w:cs="宋体" w:eastAsia="宋体" w:hint="default"/>
        </w:rPr>
        <w:t>(1).</w:t>
      </w:r>
      <w:r>
        <w:rPr>
          <w:rFonts w:ascii="宋体" w:hAnsi="宋体" w:cs="宋体" w:eastAsia="宋体" w:hint="default"/>
          <w:spacing w:val="-11"/>
        </w:rPr>
        <w:t> </w:t>
      </w:r>
      <w:r>
        <w:rPr/>
        <w:t>应收票据分类列示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8"/>
          <w:szCs w:val="28"/>
        </w:rPr>
      </w:pPr>
    </w:p>
    <w:p>
      <w:pPr>
        <w:tabs>
          <w:tab w:pos="2447" w:val="left" w:leader="none"/>
        </w:tabs>
        <w:spacing w:before="0"/>
        <w:ind w:left="139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400" w:right="340"/>
          <w:cols w:num="2" w:equalWidth="0">
            <w:col w:w="3929" w:space="2595"/>
            <w:col w:w="4646"/>
          </w:cols>
        </w:sectPr>
      </w:pPr>
    </w:p>
    <w:p>
      <w:pPr>
        <w:spacing w:line="240" w:lineRule="auto" w:before="9"/>
        <w:rPr>
          <w:rFonts w:ascii="宋体" w:hAnsi="宋体" w:cs="宋体" w:eastAsia="宋体" w:hint="default"/>
          <w:sz w:val="11"/>
          <w:szCs w:val="11"/>
        </w:rPr>
      </w:pPr>
    </w:p>
    <w:tbl>
      <w:tblPr>
        <w:tblW w:w="0" w:type="auto"/>
        <w:jc w:val="left"/>
        <w:tblInd w:w="1249" w:type="dxa"/>
        <w:tblLayout w:type="fixed"/>
        <w:tblCellMar>
          <w:top w:w="0" w:type="dxa"/>
          <w:left w:w="0" w:type="dxa"/>
          <w:bottom w:w="0" w:type="dxa"/>
          <w:right w:w="0" w:type="dxa"/>
        </w:tblCellMar>
        <w:tblLook w:val="01E0"/>
      </w:tblPr>
      <w:tblGrid>
        <w:gridCol w:w="2965"/>
        <w:gridCol w:w="3146"/>
        <w:gridCol w:w="2895"/>
      </w:tblGrid>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项目</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3"/>
              <w:jc w:val="right"/>
              <w:rPr>
                <w:rFonts w:ascii="宋体" w:hAnsi="宋体" w:cs="宋体" w:eastAsia="宋体" w:hint="default"/>
                <w:sz w:val="21"/>
                <w:szCs w:val="21"/>
              </w:rPr>
            </w:pPr>
            <w:r>
              <w:rPr>
                <w:rFonts w:ascii="宋体"/>
                <w:sz w:val="21"/>
              </w:rPr>
              <w:t>21,904,233.51</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3"/>
              <w:jc w:val="right"/>
              <w:rPr>
                <w:rFonts w:ascii="宋体" w:hAnsi="宋体" w:cs="宋体" w:eastAsia="宋体" w:hint="default"/>
                <w:sz w:val="21"/>
                <w:szCs w:val="21"/>
              </w:rPr>
            </w:pPr>
            <w:r>
              <w:rPr>
                <w:rFonts w:ascii="宋体"/>
                <w:sz w:val="21"/>
              </w:rPr>
              <w:t>40,830,850.62</w:t>
            </w:r>
          </w:p>
        </w:tc>
      </w:tr>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3"/>
              <w:jc w:val="right"/>
              <w:rPr>
                <w:rFonts w:ascii="宋体" w:hAnsi="宋体" w:cs="宋体" w:eastAsia="宋体" w:hint="default"/>
                <w:sz w:val="21"/>
                <w:szCs w:val="21"/>
              </w:rPr>
            </w:pPr>
            <w:r>
              <w:rPr>
                <w:rFonts w:ascii="宋体"/>
                <w:sz w:val="21"/>
              </w:rPr>
              <w:t>35,780,085.04</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3"/>
              <w:jc w:val="right"/>
              <w:rPr>
                <w:rFonts w:ascii="宋体" w:hAnsi="宋体" w:cs="宋体" w:eastAsia="宋体" w:hint="default"/>
                <w:sz w:val="21"/>
                <w:szCs w:val="21"/>
              </w:rPr>
            </w:pPr>
            <w:r>
              <w:rPr>
                <w:rFonts w:ascii="宋体"/>
                <w:sz w:val="21"/>
              </w:rPr>
              <w:t>75,588,292.44</w:t>
            </w:r>
          </w:p>
        </w:tc>
      </w:tr>
      <w:tr>
        <w:trPr>
          <w:trHeight w:val="287"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65"/>
              <w:jc w:val="right"/>
              <w:rPr>
                <w:rFonts w:ascii="宋体" w:hAnsi="宋体" w:cs="宋体" w:eastAsia="宋体" w:hint="default"/>
                <w:sz w:val="21"/>
                <w:szCs w:val="21"/>
              </w:rPr>
            </w:pPr>
            <w:r>
              <w:rPr>
                <w:rFonts w:ascii="宋体" w:hAnsi="宋体" w:cs="宋体" w:eastAsia="宋体" w:hint="default"/>
                <w:sz w:val="21"/>
                <w:szCs w:val="21"/>
              </w:rPr>
              <w:t>合计</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57,684,318.55</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116,419,143.06</w:t>
            </w:r>
          </w:p>
        </w:tc>
      </w:tr>
    </w:tbl>
    <w:p>
      <w:pPr>
        <w:pStyle w:val="BodyText"/>
        <w:spacing w:line="276" w:lineRule="exact"/>
        <w:ind w:left="1398" w:right="0"/>
        <w:jc w:val="left"/>
      </w:pPr>
      <w:r>
        <w:rPr/>
        <w:t>说明：截止期末本公司无已经背书给他方但尚未到期的应收票据。</w:t>
      </w: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80" w:bottom="1380" w:left="400" w:right="340"/>
        </w:sectPr>
      </w:pPr>
    </w:p>
    <w:p>
      <w:pPr>
        <w:pStyle w:val="Heading2"/>
        <w:spacing w:line="240" w:lineRule="auto"/>
        <w:ind w:left="1398" w:right="-13"/>
        <w:jc w:val="left"/>
        <w:rPr>
          <w:b w:val="0"/>
          <w:bCs w:val="0"/>
        </w:rPr>
      </w:pPr>
      <w:r>
        <w:rPr>
          <w:rFonts w:ascii="宋体" w:hAnsi="宋体" w:cs="宋体" w:eastAsia="宋体" w:hint="default"/>
        </w:rPr>
        <w:t>3</w:t>
      </w:r>
      <w:r>
        <w:rPr/>
        <w:t>、</w:t>
      </w:r>
      <w:r>
        <w:rPr>
          <w:spacing w:val="-64"/>
        </w:rPr>
        <w:t> </w:t>
      </w:r>
      <w:r>
        <w:rPr/>
        <w:t>应收账款</w:t>
      </w:r>
      <w:r>
        <w:rPr>
          <w:b w:val="0"/>
          <w:bCs w:val="0"/>
        </w:rPr>
      </w:r>
    </w:p>
    <w:p>
      <w:pPr>
        <w:pStyle w:val="Heading2"/>
        <w:spacing w:line="240" w:lineRule="auto" w:before="56"/>
        <w:ind w:left="1398" w:right="-13"/>
        <w:jc w:val="left"/>
        <w:rPr>
          <w:b w:val="0"/>
          <w:bCs w:val="0"/>
        </w:rPr>
      </w:pPr>
      <w:r>
        <w:rPr>
          <w:rFonts w:ascii="宋体" w:hAnsi="宋体" w:cs="宋体" w:eastAsia="宋体" w:hint="default"/>
        </w:rPr>
        <w:t>(1).</w:t>
      </w:r>
      <w:r>
        <w:rPr>
          <w:rFonts w:ascii="宋体" w:hAnsi="宋体" w:cs="宋体" w:eastAsia="宋体" w:hint="default"/>
          <w:spacing w:val="-40"/>
        </w:rPr>
        <w:t> </w:t>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tabs>
          <w:tab w:pos="2447" w:val="left" w:leader="none"/>
        </w:tabs>
        <w:spacing w:before="0"/>
        <w:ind w:left="1398"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400" w:right="340"/>
          <w:cols w:num="2" w:equalWidth="0">
            <w:col w:w="3898" w:space="2521"/>
            <w:col w:w="4751"/>
          </w:cols>
        </w:sectPr>
      </w:pP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274"/>
        <w:gridCol w:w="1276"/>
        <w:gridCol w:w="572"/>
        <w:gridCol w:w="1133"/>
        <w:gridCol w:w="568"/>
        <w:gridCol w:w="1279"/>
        <w:gridCol w:w="1274"/>
        <w:gridCol w:w="569"/>
        <w:gridCol w:w="1127"/>
        <w:gridCol w:w="426"/>
        <w:gridCol w:w="1419"/>
      </w:tblGrid>
      <w:tr>
        <w:trPr>
          <w:trHeight w:val="269" w:hRule="exact"/>
        </w:trPr>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i/>
                <w:sz w:val="16"/>
                <w:szCs w:val="16"/>
              </w:rPr>
              <w:t>类别</w:t>
            </w:r>
            <w:r>
              <w:rPr>
                <w:rFonts w:ascii="宋体" w:hAnsi="宋体" w:cs="宋体" w:eastAsia="宋体" w:hint="default"/>
                <w:sz w:val="16"/>
                <w:szCs w:val="16"/>
              </w:rPr>
            </w:r>
          </w:p>
        </w:tc>
        <w:tc>
          <w:tcPr>
            <w:tcW w:w="4828" w:type="dxa"/>
            <w:gridSpan w:val="5"/>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6"/>
                <w:szCs w:val="16"/>
              </w:rPr>
            </w:pPr>
            <w:r>
              <w:rPr>
                <w:rFonts w:ascii="宋体" w:hAnsi="宋体" w:cs="宋体" w:eastAsia="宋体" w:hint="default"/>
                <w:i/>
                <w:sz w:val="16"/>
                <w:szCs w:val="16"/>
              </w:rPr>
              <w:t>期末余额</w:t>
            </w:r>
            <w:r>
              <w:rPr>
                <w:rFonts w:ascii="宋体" w:hAnsi="宋体" w:cs="宋体" w:eastAsia="宋体" w:hint="default"/>
                <w:sz w:val="16"/>
                <w:szCs w:val="16"/>
              </w:rPr>
            </w:r>
          </w:p>
        </w:tc>
        <w:tc>
          <w:tcPr>
            <w:tcW w:w="4815" w:type="dxa"/>
            <w:gridSpan w:val="5"/>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6"/>
                <w:szCs w:val="16"/>
              </w:rPr>
            </w:pPr>
            <w:r>
              <w:rPr>
                <w:rFonts w:ascii="宋体" w:hAnsi="宋体" w:cs="宋体" w:eastAsia="宋体" w:hint="default"/>
                <w:i/>
                <w:sz w:val="16"/>
                <w:szCs w:val="16"/>
              </w:rPr>
              <w:t>期初余额</w:t>
            </w:r>
            <w:r>
              <w:rPr>
                <w:rFonts w:ascii="宋体" w:hAnsi="宋体" w:cs="宋体" w:eastAsia="宋体" w:hint="default"/>
                <w:sz w:val="16"/>
                <w:szCs w:val="16"/>
              </w:rPr>
            </w:r>
          </w:p>
        </w:tc>
      </w:tr>
      <w:tr>
        <w:trPr>
          <w:trHeight w:val="236" w:hRule="exact"/>
        </w:trPr>
        <w:tc>
          <w:tcPr>
            <w:tcW w:w="1274" w:type="dxa"/>
            <w:vMerge/>
            <w:tcBorders>
              <w:left w:val="single" w:sz="4" w:space="0" w:color="000000"/>
              <w:right w:val="single" w:sz="4" w:space="0" w:color="000000"/>
            </w:tcBorders>
          </w:tcPr>
          <w:p>
            <w:pPr/>
          </w:p>
        </w:tc>
        <w:tc>
          <w:tcPr>
            <w:tcW w:w="1848" w:type="dxa"/>
            <w:gridSpan w:val="2"/>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544"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279"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83" w:right="485"/>
              <w:jc w:val="center"/>
              <w:rPr>
                <w:rFonts w:ascii="宋体" w:hAnsi="宋体" w:cs="宋体" w:eastAsia="宋体" w:hint="default"/>
                <w:sz w:val="15"/>
                <w:szCs w:val="15"/>
              </w:rPr>
            </w:pPr>
            <w:r>
              <w:rPr>
                <w:rFonts w:ascii="宋体" w:hAnsi="宋体" w:cs="宋体" w:eastAsia="宋体" w:hint="default"/>
                <w:sz w:val="15"/>
                <w:szCs w:val="15"/>
              </w:rPr>
              <w:t>账面 价值</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470"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53" w:right="555"/>
              <w:jc w:val="center"/>
              <w:rPr>
                <w:rFonts w:ascii="宋体" w:hAnsi="宋体" w:cs="宋体" w:eastAsia="宋体" w:hint="default"/>
                <w:sz w:val="15"/>
                <w:szCs w:val="15"/>
              </w:rPr>
            </w:pPr>
            <w:r>
              <w:rPr>
                <w:rFonts w:ascii="宋体" w:hAnsi="宋体" w:cs="宋体" w:eastAsia="宋体" w:hint="default"/>
                <w:sz w:val="15"/>
                <w:szCs w:val="15"/>
              </w:rPr>
              <w:t>账面 价值</w:t>
            </w:r>
          </w:p>
        </w:tc>
      </w:tr>
      <w:tr>
        <w:trPr>
          <w:trHeight w:val="594" w:hRule="exact"/>
        </w:trPr>
        <w:tc>
          <w:tcPr>
            <w:tcW w:w="1274" w:type="dxa"/>
            <w:vMerge/>
            <w:tcBorders>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67" w:right="131" w:hanging="39"/>
              <w:jc w:val="left"/>
              <w:rPr>
                <w:rFonts w:ascii="宋体" w:hAnsi="宋体" w:cs="宋体" w:eastAsia="宋体" w:hint="default"/>
                <w:sz w:val="15"/>
                <w:szCs w:val="15"/>
              </w:rPr>
            </w:pPr>
            <w:r>
              <w:rPr>
                <w:rFonts w:ascii="宋体" w:hAnsi="宋体" w:cs="宋体" w:eastAsia="宋体" w:hint="default"/>
                <w:sz w:val="15"/>
                <w:szCs w:val="15"/>
              </w:rPr>
              <w:t>比例 </w:t>
            </w:r>
            <w:r>
              <w:rPr>
                <w:rFonts w:ascii="宋体" w:hAnsi="宋体" w:cs="宋体" w:eastAsia="宋体" w:hint="default"/>
                <w:sz w:val="15"/>
                <w:szCs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91" w:right="53" w:hanging="39"/>
              <w:jc w:val="left"/>
              <w:rPr>
                <w:rFonts w:ascii="宋体" w:hAnsi="宋体" w:cs="宋体" w:eastAsia="宋体" w:hint="default"/>
                <w:sz w:val="15"/>
                <w:szCs w:val="15"/>
              </w:rPr>
            </w:pPr>
            <w:r>
              <w:rPr>
                <w:rFonts w:ascii="宋体" w:hAnsi="宋体" w:cs="宋体" w:eastAsia="宋体" w:hint="default"/>
                <w:sz w:val="15"/>
                <w:szCs w:val="15"/>
              </w:rPr>
              <w:t>计提比 例</w:t>
            </w:r>
            <w:r>
              <w:rPr>
                <w:rFonts w:ascii="宋体" w:hAnsi="宋体" w:cs="宋体" w:eastAsia="宋体" w:hint="default"/>
                <w:sz w:val="15"/>
                <w:szCs w:val="15"/>
              </w:rPr>
              <w:t>(%)</w:t>
            </w:r>
          </w:p>
        </w:tc>
        <w:tc>
          <w:tcPr>
            <w:tcW w:w="1279"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66" w:right="129" w:hanging="38"/>
              <w:jc w:val="left"/>
              <w:rPr>
                <w:rFonts w:ascii="宋体" w:hAnsi="宋体" w:cs="宋体" w:eastAsia="宋体" w:hint="default"/>
                <w:sz w:val="15"/>
                <w:szCs w:val="15"/>
              </w:rPr>
            </w:pPr>
            <w:r>
              <w:rPr>
                <w:rFonts w:ascii="宋体" w:hAnsi="宋体" w:cs="宋体" w:eastAsia="宋体" w:hint="default"/>
                <w:sz w:val="15"/>
                <w:szCs w:val="15"/>
              </w:rPr>
              <w:t>比例 </w:t>
            </w:r>
            <w:r>
              <w:rPr>
                <w:rFonts w:ascii="宋体" w:hAnsi="宋体" w:cs="宋体" w:eastAsia="宋体" w:hint="default"/>
                <w:sz w:val="15"/>
                <w:szCs w:val="15"/>
              </w:rPr>
              <w:t>(%)</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6"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94" w:right="59" w:hanging="39"/>
              <w:jc w:val="left"/>
              <w:rPr>
                <w:rFonts w:ascii="宋体" w:hAnsi="宋体" w:cs="宋体" w:eastAsia="宋体" w:hint="default"/>
                <w:sz w:val="15"/>
                <w:szCs w:val="15"/>
              </w:rPr>
            </w:pPr>
            <w:r>
              <w:rPr>
                <w:rFonts w:ascii="宋体" w:hAnsi="宋体" w:cs="宋体" w:eastAsia="宋体" w:hint="default"/>
                <w:sz w:val="15"/>
                <w:szCs w:val="15"/>
              </w:rPr>
              <w:t>比例 </w:t>
            </w:r>
            <w:r>
              <w:rPr>
                <w:rFonts w:ascii="宋体" w:hAnsi="宋体" w:cs="宋体" w:eastAsia="宋体" w:hint="default"/>
                <w:sz w:val="15"/>
                <w:szCs w:val="15"/>
              </w:rPr>
              <w:t>(%)</w:t>
            </w:r>
          </w:p>
        </w:tc>
        <w:tc>
          <w:tcPr>
            <w:tcW w:w="1419" w:type="dxa"/>
            <w:vMerge/>
            <w:tcBorders>
              <w:left w:val="single" w:sz="4" w:space="0" w:color="000000"/>
              <w:bottom w:val="single" w:sz="4" w:space="0" w:color="000000"/>
              <w:right w:val="single" w:sz="4" w:space="0" w:color="000000"/>
            </w:tcBorders>
          </w:tcPr>
          <w:p>
            <w:pPr/>
          </w:p>
        </w:tc>
      </w:tr>
      <w:tr>
        <w:trPr>
          <w:trHeight w:val="594"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5" w:right="0"/>
              <w:jc w:val="left"/>
              <w:rPr>
                <w:rFonts w:ascii="宋体" w:hAnsi="宋体" w:cs="宋体" w:eastAsia="宋体" w:hint="default"/>
                <w:sz w:val="15"/>
                <w:szCs w:val="15"/>
              </w:rPr>
            </w:pPr>
            <w:r>
              <w:rPr>
                <w:rFonts w:ascii="宋体" w:hAnsi="宋体" w:cs="宋体" w:eastAsia="宋体" w:hint="default"/>
                <w:sz w:val="15"/>
                <w:szCs w:val="15"/>
              </w:rPr>
              <w:t>单项金额重大并单</w:t>
            </w:r>
          </w:p>
          <w:p>
            <w:pPr>
              <w:pStyle w:val="TableParagraph"/>
              <w:spacing w:line="240" w:lineRule="auto"/>
              <w:ind w:left="25" w:right="27"/>
              <w:jc w:val="left"/>
              <w:rPr>
                <w:rFonts w:ascii="宋体" w:hAnsi="宋体" w:cs="宋体" w:eastAsia="宋体" w:hint="default"/>
                <w:sz w:val="15"/>
                <w:szCs w:val="15"/>
              </w:rPr>
            </w:pPr>
            <w:r>
              <w:rPr>
                <w:rFonts w:ascii="宋体" w:hAnsi="宋体" w:cs="宋体" w:eastAsia="宋体" w:hint="default"/>
                <w:sz w:val="15"/>
                <w:szCs w:val="15"/>
              </w:rPr>
              <w:t>独计提坏账准备的</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应收账款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262,428,179.70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14.72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6,942,755.40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31" w:right="0"/>
              <w:jc w:val="left"/>
              <w:rPr>
                <w:rFonts w:ascii="宋体" w:hAnsi="宋体" w:cs="宋体" w:eastAsia="宋体" w:hint="default"/>
                <w:sz w:val="15"/>
                <w:szCs w:val="15"/>
              </w:rPr>
            </w:pPr>
            <w:r>
              <w:rPr>
                <w:rFonts w:ascii="宋体"/>
                <w:sz w:val="15"/>
              </w:rPr>
              <w:t>2.65</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6"/>
              <w:jc w:val="right"/>
              <w:rPr>
                <w:rFonts w:ascii="宋体" w:hAnsi="宋体" w:cs="宋体" w:eastAsia="宋体" w:hint="default"/>
                <w:sz w:val="15"/>
                <w:szCs w:val="15"/>
              </w:rPr>
            </w:pPr>
            <w:r>
              <w:rPr>
                <w:rFonts w:ascii="宋体"/>
                <w:spacing w:val="-1"/>
                <w:sz w:val="15"/>
              </w:rPr>
              <w:t>255,485,424.30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219,470,421.77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11.86</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48,433.53</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0.02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219,421,988.24</w:t>
            </w:r>
          </w:p>
        </w:tc>
      </w:tr>
      <w:tr>
        <w:trPr>
          <w:trHeight w:val="593"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5" w:right="0"/>
              <w:jc w:val="left"/>
              <w:rPr>
                <w:rFonts w:ascii="宋体" w:hAnsi="宋体" w:cs="宋体" w:eastAsia="宋体" w:hint="default"/>
                <w:sz w:val="15"/>
                <w:szCs w:val="15"/>
              </w:rPr>
            </w:pPr>
            <w:r>
              <w:rPr>
                <w:rFonts w:ascii="宋体" w:hAnsi="宋体" w:cs="宋体" w:eastAsia="宋体" w:hint="default"/>
                <w:sz w:val="15"/>
                <w:szCs w:val="15"/>
              </w:rPr>
              <w:t>按信用风险特征组</w:t>
            </w:r>
          </w:p>
          <w:p>
            <w:pPr>
              <w:pStyle w:val="TableParagraph"/>
              <w:spacing w:line="240" w:lineRule="auto"/>
              <w:ind w:left="25" w:right="27"/>
              <w:jc w:val="left"/>
              <w:rPr>
                <w:rFonts w:ascii="宋体" w:hAnsi="宋体" w:cs="宋体" w:eastAsia="宋体" w:hint="default"/>
                <w:sz w:val="15"/>
                <w:szCs w:val="15"/>
              </w:rPr>
            </w:pPr>
            <w:r>
              <w:rPr>
                <w:rFonts w:ascii="宋体" w:hAnsi="宋体" w:cs="宋体" w:eastAsia="宋体" w:hint="default"/>
                <w:sz w:val="15"/>
                <w:szCs w:val="15"/>
              </w:rPr>
              <w:t>合计提坏账准备的</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应收账款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6"/>
              <w:jc w:val="right"/>
              <w:rPr>
                <w:rFonts w:ascii="宋体" w:hAnsi="宋体" w:cs="宋体" w:eastAsia="宋体" w:hint="default"/>
                <w:sz w:val="15"/>
                <w:szCs w:val="15"/>
              </w:rPr>
            </w:pPr>
            <w:r>
              <w:rPr>
                <w:rFonts w:ascii="宋体"/>
                <w:spacing w:val="-1"/>
                <w:sz w:val="15"/>
              </w:rPr>
              <w:t>1,371,551,712.12</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76.94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125,448,015.34</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31" w:right="0"/>
              <w:jc w:val="left"/>
              <w:rPr>
                <w:rFonts w:ascii="宋体" w:hAnsi="宋体" w:cs="宋体" w:eastAsia="宋体" w:hint="default"/>
                <w:sz w:val="15"/>
                <w:szCs w:val="15"/>
              </w:rPr>
            </w:pPr>
            <w:r>
              <w:rPr>
                <w:rFonts w:ascii="宋体"/>
                <w:sz w:val="15"/>
              </w:rPr>
              <w:t>9.15</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6"/>
              <w:jc w:val="right"/>
              <w:rPr>
                <w:rFonts w:ascii="宋体" w:hAnsi="宋体" w:cs="宋体" w:eastAsia="宋体" w:hint="default"/>
                <w:sz w:val="15"/>
                <w:szCs w:val="15"/>
              </w:rPr>
            </w:pPr>
            <w:r>
              <w:rPr>
                <w:rFonts w:ascii="宋体"/>
                <w:spacing w:val="-1"/>
                <w:sz w:val="15"/>
              </w:rPr>
              <w:t>1,246,103,696.78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6"/>
              <w:jc w:val="right"/>
              <w:rPr>
                <w:rFonts w:ascii="宋体" w:hAnsi="宋体" w:cs="宋体" w:eastAsia="宋体" w:hint="default"/>
                <w:sz w:val="15"/>
                <w:szCs w:val="15"/>
              </w:rPr>
            </w:pPr>
            <w:r>
              <w:rPr>
                <w:rFonts w:ascii="宋体"/>
                <w:spacing w:val="-1"/>
                <w:sz w:val="15"/>
              </w:rPr>
              <w:t>1,496,322,410.96</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80.88</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101,690,906.21</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6.8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1,394,631,504.75</w:t>
            </w:r>
          </w:p>
        </w:tc>
      </w:tr>
      <w:tr>
        <w:trPr>
          <w:trHeight w:val="594"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5" w:right="0"/>
              <w:jc w:val="left"/>
              <w:rPr>
                <w:rFonts w:ascii="宋体" w:hAnsi="宋体" w:cs="宋体" w:eastAsia="宋体" w:hint="default"/>
                <w:sz w:val="15"/>
                <w:szCs w:val="15"/>
              </w:rPr>
            </w:pPr>
            <w:r>
              <w:rPr>
                <w:rFonts w:ascii="宋体" w:hAnsi="宋体" w:cs="宋体" w:eastAsia="宋体" w:hint="default"/>
                <w:sz w:val="15"/>
                <w:szCs w:val="15"/>
              </w:rPr>
              <w:t>单项金额不重大但</w:t>
            </w:r>
          </w:p>
          <w:p>
            <w:pPr>
              <w:pStyle w:val="TableParagraph"/>
              <w:spacing w:line="240" w:lineRule="auto"/>
              <w:ind w:left="25" w:right="27"/>
              <w:jc w:val="left"/>
              <w:rPr>
                <w:rFonts w:ascii="宋体" w:hAnsi="宋体" w:cs="宋体" w:eastAsia="宋体" w:hint="default"/>
                <w:sz w:val="15"/>
                <w:szCs w:val="15"/>
              </w:rPr>
            </w:pPr>
            <w:r>
              <w:rPr>
                <w:rFonts w:ascii="宋体" w:hAnsi="宋体" w:cs="宋体" w:eastAsia="宋体" w:hint="default"/>
                <w:sz w:val="15"/>
                <w:szCs w:val="15"/>
              </w:rPr>
              <w:t>单独计提坏账准备</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的应收账款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148,707,598.35</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8.34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984,458.61</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31" w:right="0"/>
              <w:jc w:val="left"/>
              <w:rPr>
                <w:rFonts w:ascii="宋体" w:hAnsi="宋体" w:cs="宋体" w:eastAsia="宋体" w:hint="default"/>
                <w:sz w:val="15"/>
                <w:szCs w:val="15"/>
              </w:rPr>
            </w:pPr>
            <w:r>
              <w:rPr>
                <w:rFonts w:ascii="宋体"/>
                <w:sz w:val="15"/>
              </w:rPr>
              <w:t>0.66</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1"/>
                <w:sz w:val="15"/>
              </w:rPr>
              <w:t>147,723,139.74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134,259,165.63</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7.26</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1,698,033.57</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1.26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132,561,132.06</w:t>
            </w:r>
          </w:p>
        </w:tc>
      </w:tr>
      <w:tr>
        <w:trPr>
          <w:trHeight w:val="205"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sz w:val="15"/>
                <w:szCs w:val="15"/>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6"/>
              <w:jc w:val="right"/>
              <w:rPr>
                <w:rFonts w:ascii="宋体" w:hAnsi="宋体" w:cs="宋体" w:eastAsia="宋体" w:hint="default"/>
                <w:sz w:val="15"/>
                <w:szCs w:val="15"/>
              </w:rPr>
            </w:pPr>
            <w:r>
              <w:rPr>
                <w:rFonts w:ascii="宋体"/>
                <w:spacing w:val="-1"/>
                <w:sz w:val="15"/>
              </w:rPr>
              <w:t>1,782,687,490.17</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133,375,229.35</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41" w:right="0"/>
              <w:jc w:val="left"/>
              <w:rPr>
                <w:rFonts w:ascii="宋体" w:hAnsi="宋体" w:cs="宋体" w:eastAsia="宋体" w:hint="default"/>
                <w:sz w:val="15"/>
                <w:szCs w:val="15"/>
              </w:rPr>
            </w:pPr>
            <w:r>
              <w:rPr>
                <w:rFonts w:ascii="宋体"/>
                <w:sz w:val="15"/>
              </w:rPr>
              <w:t>/</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6"/>
              <w:jc w:val="right"/>
              <w:rPr>
                <w:rFonts w:ascii="宋体" w:hAnsi="宋体" w:cs="宋体" w:eastAsia="宋体" w:hint="default"/>
                <w:sz w:val="15"/>
                <w:szCs w:val="15"/>
              </w:rPr>
            </w:pPr>
            <w:r>
              <w:rPr>
                <w:rFonts w:ascii="宋体"/>
                <w:spacing w:val="-1"/>
                <w:sz w:val="15"/>
              </w:rPr>
              <w:t>1,649,312,260.82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6"/>
              <w:jc w:val="right"/>
              <w:rPr>
                <w:rFonts w:ascii="宋体" w:hAnsi="宋体" w:cs="宋体" w:eastAsia="宋体" w:hint="default"/>
                <w:sz w:val="15"/>
                <w:szCs w:val="15"/>
              </w:rPr>
            </w:pPr>
            <w:r>
              <w:rPr>
                <w:rFonts w:ascii="宋体"/>
                <w:spacing w:val="-1"/>
                <w:sz w:val="15"/>
              </w:rPr>
              <w:t>1,850,051,998.36</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 w:right="0"/>
              <w:jc w:val="center"/>
              <w:rPr>
                <w:rFonts w:ascii="宋体" w:hAnsi="宋体" w:cs="宋体" w:eastAsia="宋体" w:hint="default"/>
                <w:sz w:val="15"/>
                <w:szCs w:val="15"/>
              </w:rPr>
            </w:pPr>
            <w:r>
              <w:rPr>
                <w:rFonts w:ascii="宋体"/>
                <w:sz w:val="15"/>
              </w:rPr>
              <w:t>/</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103,437,373.31</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1,746,614,625.05</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080" w:bottom="1380" w:left="400" w:right="340"/>
        </w:sectPr>
      </w:pPr>
    </w:p>
    <w:p>
      <w:pPr>
        <w:spacing w:line="274" w:lineRule="exact" w:before="35"/>
        <w:ind w:left="1398" w:right="-20" w:firstLine="0"/>
        <w:jc w:val="left"/>
        <w:rPr>
          <w:rFonts w:ascii="宋体" w:hAnsi="宋体" w:cs="宋体" w:eastAsia="宋体" w:hint="default"/>
          <w:sz w:val="21"/>
          <w:szCs w:val="21"/>
        </w:rPr>
      </w:pPr>
      <w:r>
        <w:rPr>
          <w:rFonts w:ascii="宋体" w:hAnsi="宋体" w:cs="宋体" w:eastAsia="宋体" w:hint="default"/>
          <w:sz w:val="21"/>
          <w:szCs w:val="21"/>
        </w:rPr>
        <w:t>期末单项金额重大并单项计提坏帐准备的应收账款</w:t>
      </w:r>
    </w:p>
    <w:p>
      <w:pPr>
        <w:spacing w:line="274" w:lineRule="exact" w:before="0"/>
        <w:ind w:left="1398" w:right="-2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tabs>
          <w:tab w:pos="2447" w:val="left" w:leader="none"/>
        </w:tabs>
        <w:spacing w:before="0"/>
        <w:ind w:left="139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400" w:right="340"/>
          <w:cols w:num="2" w:equalWidth="0">
            <w:col w:w="6019" w:space="505"/>
            <w:col w:w="4646"/>
          </w:cols>
        </w:sectPr>
      </w:pPr>
    </w:p>
    <w:p>
      <w:pPr>
        <w:spacing w:line="240" w:lineRule="auto" w:before="7"/>
        <w:rPr>
          <w:rFonts w:ascii="宋体" w:hAnsi="宋体" w:cs="宋体" w:eastAsia="宋体" w:hint="default"/>
          <w:sz w:val="2"/>
          <w:szCs w:val="2"/>
        </w:rPr>
      </w:pPr>
    </w:p>
    <w:tbl>
      <w:tblPr>
        <w:tblW w:w="0" w:type="auto"/>
        <w:jc w:val="left"/>
        <w:tblInd w:w="1378" w:type="dxa"/>
        <w:tblLayout w:type="fixed"/>
        <w:tblCellMar>
          <w:top w:w="0" w:type="dxa"/>
          <w:left w:w="0" w:type="dxa"/>
          <w:bottom w:w="0" w:type="dxa"/>
          <w:right w:w="0" w:type="dxa"/>
        </w:tblCellMar>
        <w:tblLook w:val="01E0"/>
      </w:tblPr>
      <w:tblGrid>
        <w:gridCol w:w="1932"/>
        <w:gridCol w:w="1686"/>
        <w:gridCol w:w="1862"/>
        <w:gridCol w:w="1716"/>
        <w:gridCol w:w="1679"/>
      </w:tblGrid>
      <w:tr>
        <w:trPr>
          <w:trHeight w:val="282" w:hRule="exact"/>
        </w:trPr>
        <w:tc>
          <w:tcPr>
            <w:tcW w:w="1932" w:type="dxa"/>
            <w:vMerge w:val="restart"/>
            <w:tcBorders>
              <w:top w:val="single" w:sz="4" w:space="0" w:color="000000"/>
              <w:left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（按单位）</w:t>
            </w:r>
          </w:p>
        </w:tc>
        <w:tc>
          <w:tcPr>
            <w:tcW w:w="69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1932" w:type="dxa"/>
            <w:vMerge/>
            <w:tcBorders>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0"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4"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预计无法全部收回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的货款</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36,974,155.40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6,942,755.40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18.78</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经单项测试，单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项计提减值</w:t>
            </w:r>
          </w:p>
        </w:tc>
      </w:tr>
      <w:tr>
        <w:trPr>
          <w:trHeight w:val="556"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预计可以收回的货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款</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225,454,024.30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经单项测试，未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发现减值</w:t>
            </w:r>
          </w:p>
        </w:tc>
      </w:tr>
      <w:tr>
        <w:trPr>
          <w:trHeight w:val="282"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262,428,179.70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6,942,755.40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spacing w:line="274" w:lineRule="exact" w:before="35"/>
        <w:ind w:left="1398" w:right="0"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组合中，按账龄分析法计提坏账准备的应收账款：</w:t>
      </w:r>
    </w:p>
    <w:p>
      <w:pPr>
        <w:spacing w:line="274" w:lineRule="exact" w:before="0"/>
        <w:ind w:left="1398" w:right="0" w:firstLine="0"/>
        <w:jc w:val="left"/>
        <w:rPr>
          <w:rFonts w:ascii="宋体" w:hAnsi="宋体" w:cs="宋体" w:eastAsia="宋体" w:hint="default"/>
          <w:sz w:val="21"/>
          <w:szCs w:val="21"/>
        </w:rPr>
      </w:pPr>
      <w:r>
        <w:rPr/>
        <w:pict>
          <v:group style="position:absolute;margin-left:84.019989pt;margin-top:15.323536pt;width:450.6pt;height:1pt;mso-position-horizontal-relative:page;mso-position-vertical-relative:paragraph;z-index:-982960" coordorigin="1680,306" coordsize="9012,20">
            <v:group style="position:absolute;left:1690;top:316;width:1139;height:2" coordorigin="1690,316" coordsize="1139,2">
              <v:shape style="position:absolute;left:1690;top:316;width:1139;height:2" coordorigin="1690,316" coordsize="1139,0" path="m1690,316l2829,316e" filled="false" stroked="true" strokeweight=".96002pt" strokecolor="#000000">
                <v:path arrowok="t"/>
              </v:shape>
            </v:group>
            <v:group style="position:absolute;left:2829;top:316;width:20;height:2" coordorigin="2829,316" coordsize="20,2">
              <v:shape style="position:absolute;left:2829;top:316;width:20;height:2" coordorigin="2829,316" coordsize="20,0" path="m2829,316l2848,316e" filled="false" stroked="true" strokeweight=".96002pt" strokecolor="#000000">
                <v:path arrowok="t"/>
              </v:shape>
            </v:group>
            <v:group style="position:absolute;left:2848;top:316;width:7835;height:2" coordorigin="2848,316" coordsize="7835,2">
              <v:shape style="position:absolute;left:2848;top:316;width:7835;height:2" coordorigin="2848,316" coordsize="7835,0" path="m2848,316l10682,316e" filled="false" stroked="true" strokeweight=".96002pt" strokecolor="#000000">
                <v:path arrowok="t"/>
              </v:shape>
            </v:group>
            <w10:wrap type="none"/>
          </v:group>
        </w:pict>
      </w:r>
      <w:r>
        <w:rPr>
          <w:rFonts w:ascii="宋体" w:hAnsi="宋体" w:cs="宋体" w:eastAsia="宋体" w:hint="default"/>
          <w:sz w:val="21"/>
          <w:szCs w:val="21"/>
        </w:rPr>
        <w:t>√适用□不适用</w:t>
      </w:r>
    </w:p>
    <w:p>
      <w:pPr>
        <w:spacing w:line="240" w:lineRule="auto" w:before="3"/>
        <w:rPr>
          <w:rFonts w:ascii="宋体" w:hAnsi="宋体" w:cs="宋体" w:eastAsia="宋体" w:hint="default"/>
          <w:sz w:val="3"/>
          <w:szCs w:val="3"/>
        </w:rPr>
      </w:pPr>
    </w:p>
    <w:tbl>
      <w:tblPr>
        <w:tblW w:w="0" w:type="auto"/>
        <w:jc w:val="left"/>
        <w:tblInd w:w="1290" w:type="dxa"/>
        <w:tblLayout w:type="fixed"/>
        <w:tblCellMar>
          <w:top w:w="0" w:type="dxa"/>
          <w:left w:w="0" w:type="dxa"/>
          <w:bottom w:w="0" w:type="dxa"/>
          <w:right w:w="0" w:type="dxa"/>
        </w:tblCellMar>
        <w:tblLook w:val="01E0"/>
      </w:tblPr>
      <w:tblGrid>
        <w:gridCol w:w="2745"/>
        <w:gridCol w:w="2838"/>
      </w:tblGrid>
      <w:tr>
        <w:trPr>
          <w:trHeight w:val="313" w:hRule="exact"/>
        </w:trPr>
        <w:tc>
          <w:tcPr>
            <w:tcW w:w="2745" w:type="dxa"/>
            <w:tcBorders>
              <w:top w:val="nil" w:sz="6" w:space="0" w:color="auto"/>
              <w:left w:val="nil" w:sz="6" w:space="0" w:color="auto"/>
              <w:bottom w:val="nil" w:sz="6" w:space="0" w:color="auto"/>
              <w:right w:val="nil" w:sz="6" w:space="0" w:color="auto"/>
            </w:tcBorders>
          </w:tcPr>
          <w:p>
            <w:pPr>
              <w:pStyle w:val="TableParagraph"/>
              <w:tabs>
                <w:tab w:pos="530" w:val="left" w:leader="none"/>
              </w:tabs>
              <w:spacing w:line="240" w:lineRule="auto" w:before="38"/>
              <w:ind w:left="108" w:right="0"/>
              <w:jc w:val="left"/>
              <w:rPr>
                <w:rFonts w:ascii="宋体" w:hAnsi="宋体" w:cs="宋体" w:eastAsia="宋体" w:hint="default"/>
                <w:sz w:val="21"/>
                <w:szCs w:val="21"/>
              </w:rPr>
            </w:pPr>
            <w:r>
              <w:rPr>
                <w:rFonts w:ascii="宋体" w:hAnsi="宋体" w:cs="宋体" w:eastAsia="宋体" w:hint="default"/>
                <w:b/>
                <w:bCs/>
                <w:w w:val="95"/>
                <w:sz w:val="21"/>
                <w:szCs w:val="21"/>
              </w:rPr>
              <w:t>账</w:t>
              <w:tab/>
            </w:r>
            <w:r>
              <w:rPr>
                <w:rFonts w:ascii="宋体" w:hAnsi="宋体" w:cs="宋体" w:eastAsia="宋体" w:hint="default"/>
                <w:b/>
                <w:bCs/>
                <w:sz w:val="21"/>
                <w:szCs w:val="21"/>
              </w:rPr>
              <w:t>龄</w:t>
            </w:r>
            <w:r>
              <w:rPr>
                <w:rFonts w:ascii="宋体" w:hAnsi="宋体" w:cs="宋体" w:eastAsia="宋体" w:hint="default"/>
                <w:sz w:val="21"/>
                <w:szCs w:val="21"/>
              </w:rPr>
            </w:r>
          </w:p>
        </w:tc>
        <w:tc>
          <w:tcPr>
            <w:tcW w:w="283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98"/>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bl>
    <w:p>
      <w:pPr>
        <w:spacing w:after="0" w:line="240" w:lineRule="auto"/>
        <w:jc w:val="right"/>
        <w:rPr>
          <w:rFonts w:ascii="宋体" w:hAnsi="宋体" w:cs="宋体" w:eastAsia="宋体" w:hint="default"/>
          <w:sz w:val="21"/>
          <w:szCs w:val="21"/>
        </w:rPr>
        <w:sectPr>
          <w:type w:val="continuous"/>
          <w:pgSz w:w="11910" w:h="16840"/>
          <w:pgMar w:top="1080" w:bottom="1380" w:left="400" w:right="3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1087"/>
        <w:gridCol w:w="2178"/>
        <w:gridCol w:w="1050"/>
        <w:gridCol w:w="1845"/>
        <w:gridCol w:w="996"/>
        <w:gridCol w:w="1909"/>
      </w:tblGrid>
      <w:tr>
        <w:trPr>
          <w:trHeight w:val="377" w:hRule="exact"/>
        </w:trPr>
        <w:tc>
          <w:tcPr>
            <w:tcW w:w="1087" w:type="dxa"/>
            <w:tcBorders>
              <w:top w:val="nil" w:sz="6" w:space="0" w:color="auto"/>
              <w:left w:val="nil" w:sz="6" w:space="0" w:color="auto"/>
              <w:bottom w:val="single" w:sz="8" w:space="0" w:color="000000"/>
              <w:right w:val="nil" w:sz="6" w:space="0" w:color="auto"/>
            </w:tcBorders>
          </w:tcPr>
          <w:p>
            <w:pPr/>
          </w:p>
        </w:tc>
        <w:tc>
          <w:tcPr>
            <w:tcW w:w="2178" w:type="dxa"/>
            <w:tcBorders>
              <w:top w:val="nil" w:sz="6" w:space="0" w:color="auto"/>
              <w:left w:val="nil" w:sz="6" w:space="0" w:color="auto"/>
              <w:bottom w:val="single" w:sz="8" w:space="0" w:color="000000"/>
              <w:right w:val="nil" w:sz="6" w:space="0" w:color="auto"/>
            </w:tcBorders>
          </w:tcPr>
          <w:p>
            <w:pPr>
              <w:pStyle w:val="TableParagraph"/>
              <w:spacing w:line="272" w:lineRule="exact"/>
              <w:ind w:right="306"/>
              <w:jc w:val="right"/>
              <w:rPr>
                <w:rFonts w:ascii="宋体" w:hAnsi="宋体" w:cs="宋体" w:eastAsia="宋体" w:hint="default"/>
                <w:sz w:val="21"/>
                <w:szCs w:val="21"/>
              </w:rPr>
            </w:pPr>
            <w:r>
              <w:rPr>
                <w:rFonts w:ascii="宋体" w:hAnsi="宋体" w:cs="宋体" w:eastAsia="宋体" w:hint="default"/>
                <w:b/>
                <w:bCs/>
                <w:sz w:val="21"/>
                <w:szCs w:val="21"/>
              </w:rPr>
              <w:t>金</w:t>
            </w:r>
            <w:r>
              <w:rPr>
                <w:rFonts w:ascii="宋体" w:hAnsi="宋体" w:cs="宋体" w:eastAsia="宋体" w:hint="default"/>
                <w:b/>
                <w:bCs/>
                <w:spacing w:val="-2"/>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c>
          <w:tcPr>
            <w:tcW w:w="1050" w:type="dxa"/>
            <w:tcBorders>
              <w:top w:val="nil" w:sz="6" w:space="0" w:color="auto"/>
              <w:left w:val="nil" w:sz="6" w:space="0" w:color="auto"/>
              <w:bottom w:val="single" w:sz="8" w:space="0" w:color="000000"/>
              <w:right w:val="nil" w:sz="6" w:space="0" w:color="auto"/>
            </w:tcBorders>
          </w:tcPr>
          <w:p>
            <w:pPr>
              <w:pStyle w:val="TableParagraph"/>
              <w:spacing w:line="272" w:lineRule="exact"/>
              <w:ind w:right="106"/>
              <w:jc w:val="right"/>
              <w:rPr>
                <w:rFonts w:ascii="宋体" w:hAnsi="宋体" w:cs="宋体" w:eastAsia="宋体" w:hint="default"/>
                <w:sz w:val="21"/>
                <w:szCs w:val="21"/>
              </w:rPr>
            </w:pPr>
            <w:r>
              <w:rPr>
                <w:rFonts w:ascii="宋体" w:hAnsi="宋体" w:cs="宋体" w:eastAsia="宋体" w:hint="default"/>
                <w:b/>
                <w:bCs/>
                <w:w w:val="95"/>
                <w:sz w:val="21"/>
                <w:szCs w:val="21"/>
              </w:rPr>
              <w:t>比例</w:t>
            </w:r>
            <w:r>
              <w:rPr>
                <w:rFonts w:ascii="宋体" w:hAnsi="宋体" w:cs="宋体" w:eastAsia="宋体" w:hint="default"/>
                <w:b/>
                <w:bCs/>
                <w:w w:val="95"/>
                <w:sz w:val="21"/>
                <w:szCs w:val="21"/>
              </w:rPr>
              <w:t>%</w:t>
            </w:r>
            <w:r>
              <w:rPr>
                <w:rFonts w:ascii="宋体" w:hAnsi="宋体" w:cs="宋体" w:eastAsia="宋体" w:hint="default"/>
                <w:sz w:val="21"/>
                <w:szCs w:val="21"/>
              </w:rPr>
            </w:r>
          </w:p>
        </w:tc>
        <w:tc>
          <w:tcPr>
            <w:tcW w:w="1845" w:type="dxa"/>
            <w:tcBorders>
              <w:top w:val="nil" w:sz="6" w:space="0" w:color="auto"/>
              <w:left w:val="nil" w:sz="6" w:space="0" w:color="auto"/>
              <w:bottom w:val="single" w:sz="8" w:space="0" w:color="000000"/>
              <w:right w:val="nil" w:sz="6" w:space="0" w:color="auto"/>
            </w:tcBorders>
          </w:tcPr>
          <w:p>
            <w:pPr>
              <w:pStyle w:val="TableParagraph"/>
              <w:spacing w:line="272" w:lineRule="exact"/>
              <w:ind w:right="251"/>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996" w:type="dxa"/>
            <w:tcBorders>
              <w:top w:val="nil" w:sz="6" w:space="0" w:color="auto"/>
              <w:left w:val="nil" w:sz="6" w:space="0" w:color="auto"/>
              <w:bottom w:val="single" w:sz="8" w:space="0" w:color="000000"/>
              <w:right w:val="nil" w:sz="6" w:space="0" w:color="auto"/>
            </w:tcBorders>
          </w:tcPr>
          <w:p>
            <w:pPr>
              <w:pStyle w:val="TableParagraph"/>
              <w:spacing w:line="210" w:lineRule="exact"/>
              <w:ind w:right="106"/>
              <w:jc w:val="right"/>
              <w:rPr>
                <w:rFonts w:ascii="宋体" w:hAnsi="宋体" w:cs="宋体" w:eastAsia="宋体" w:hint="default"/>
                <w:sz w:val="21"/>
                <w:szCs w:val="21"/>
              </w:rPr>
            </w:pPr>
            <w:r>
              <w:rPr>
                <w:rFonts w:ascii="宋体" w:hAnsi="宋体" w:cs="宋体" w:eastAsia="宋体" w:hint="default"/>
                <w:b/>
                <w:bCs/>
                <w:sz w:val="21"/>
                <w:szCs w:val="21"/>
              </w:rPr>
              <w:t>计提比</w:t>
            </w:r>
            <w:r>
              <w:rPr>
                <w:rFonts w:ascii="宋体" w:hAnsi="宋体" w:cs="宋体" w:eastAsia="宋体" w:hint="default"/>
                <w:sz w:val="21"/>
                <w:szCs w:val="21"/>
              </w:rPr>
            </w:r>
          </w:p>
        </w:tc>
        <w:tc>
          <w:tcPr>
            <w:tcW w:w="1909" w:type="dxa"/>
            <w:tcBorders>
              <w:top w:val="nil" w:sz="6" w:space="0" w:color="auto"/>
              <w:left w:val="nil" w:sz="6" w:space="0" w:color="auto"/>
              <w:bottom w:val="single" w:sz="8" w:space="0" w:color="000000"/>
              <w:right w:val="nil" w:sz="6" w:space="0" w:color="auto"/>
            </w:tcBorders>
          </w:tcPr>
          <w:p>
            <w:pPr>
              <w:pStyle w:val="TableParagraph"/>
              <w:spacing w:line="272" w:lineRule="exact"/>
              <w:ind w:right="104"/>
              <w:jc w:val="right"/>
              <w:rPr>
                <w:rFonts w:ascii="宋体" w:hAnsi="宋体" w:cs="宋体" w:eastAsia="宋体" w:hint="default"/>
                <w:sz w:val="21"/>
                <w:szCs w:val="21"/>
              </w:rPr>
            </w:pPr>
            <w:r>
              <w:rPr>
                <w:rFonts w:ascii="宋体" w:hAnsi="宋体" w:cs="宋体" w:eastAsia="宋体" w:hint="default"/>
                <w:b/>
                <w:bCs/>
                <w:sz w:val="21"/>
                <w:szCs w:val="21"/>
              </w:rPr>
              <w:t>净额</w:t>
            </w:r>
            <w:r>
              <w:rPr>
                <w:rFonts w:ascii="宋体" w:hAnsi="宋体" w:cs="宋体" w:eastAsia="宋体" w:hint="default"/>
                <w:sz w:val="21"/>
                <w:szCs w:val="21"/>
              </w:rPr>
            </w:r>
          </w:p>
        </w:tc>
      </w:tr>
      <w:tr>
        <w:trPr>
          <w:trHeight w:val="405" w:hRule="exact"/>
        </w:trPr>
        <w:tc>
          <w:tcPr>
            <w:tcW w:w="1087" w:type="dxa"/>
            <w:tcBorders>
              <w:top w:val="single" w:sz="8" w:space="0" w:color="000000"/>
              <w:left w:val="nil" w:sz="6" w:space="0" w:color="auto"/>
              <w:bottom w:val="nil" w:sz="6" w:space="0" w:color="auto"/>
              <w:right w:val="nil" w:sz="6" w:space="0" w:color="auto"/>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78" w:type="dxa"/>
            <w:tcBorders>
              <w:top w:val="single" w:sz="8" w:space="0" w:color="000000"/>
              <w:left w:val="nil" w:sz="6" w:space="0" w:color="auto"/>
              <w:bottom w:val="nil" w:sz="6" w:space="0" w:color="auto"/>
              <w:right w:val="nil" w:sz="6" w:space="0" w:color="auto"/>
            </w:tcBorders>
          </w:tcPr>
          <w:p>
            <w:pPr>
              <w:pStyle w:val="TableParagraph"/>
              <w:spacing w:line="240" w:lineRule="auto" w:before="27"/>
              <w:ind w:right="305"/>
              <w:jc w:val="right"/>
              <w:rPr>
                <w:rFonts w:ascii="宋体" w:hAnsi="宋体" w:cs="宋体" w:eastAsia="宋体" w:hint="default"/>
                <w:sz w:val="21"/>
                <w:szCs w:val="21"/>
              </w:rPr>
            </w:pPr>
            <w:r>
              <w:rPr>
                <w:rFonts w:ascii="宋体"/>
                <w:sz w:val="21"/>
              </w:rPr>
              <w:t>966,007,347.97</w:t>
            </w:r>
          </w:p>
        </w:tc>
        <w:tc>
          <w:tcPr>
            <w:tcW w:w="1050" w:type="dxa"/>
            <w:tcBorders>
              <w:top w:val="single" w:sz="8" w:space="0" w:color="000000"/>
              <w:left w:val="nil" w:sz="6" w:space="0" w:color="auto"/>
              <w:bottom w:val="nil" w:sz="6" w:space="0" w:color="auto"/>
              <w:right w:val="nil" w:sz="6" w:space="0" w:color="auto"/>
            </w:tcBorders>
          </w:tcPr>
          <w:p>
            <w:pPr>
              <w:pStyle w:val="TableParagraph"/>
              <w:spacing w:line="240" w:lineRule="auto" w:before="27"/>
              <w:ind w:right="105"/>
              <w:jc w:val="right"/>
              <w:rPr>
                <w:rFonts w:ascii="宋体" w:hAnsi="宋体" w:cs="宋体" w:eastAsia="宋体" w:hint="default"/>
                <w:sz w:val="21"/>
                <w:szCs w:val="21"/>
              </w:rPr>
            </w:pPr>
            <w:r>
              <w:rPr>
                <w:rFonts w:ascii="宋体"/>
                <w:sz w:val="21"/>
              </w:rPr>
              <w:t>70.43</w:t>
            </w:r>
          </w:p>
        </w:tc>
        <w:tc>
          <w:tcPr>
            <w:tcW w:w="1845" w:type="dxa"/>
            <w:tcBorders>
              <w:top w:val="single" w:sz="8" w:space="0" w:color="000000"/>
              <w:left w:val="nil" w:sz="6" w:space="0" w:color="auto"/>
              <w:bottom w:val="nil" w:sz="6" w:space="0" w:color="auto"/>
              <w:right w:val="nil" w:sz="6" w:space="0" w:color="auto"/>
            </w:tcBorders>
          </w:tcPr>
          <w:p>
            <w:pPr>
              <w:pStyle w:val="TableParagraph"/>
              <w:spacing w:line="240" w:lineRule="auto" w:before="27"/>
              <w:ind w:right="251"/>
              <w:jc w:val="right"/>
              <w:rPr>
                <w:rFonts w:ascii="宋体" w:hAnsi="宋体" w:cs="宋体" w:eastAsia="宋体" w:hint="default"/>
                <w:sz w:val="21"/>
                <w:szCs w:val="21"/>
              </w:rPr>
            </w:pPr>
            <w:r>
              <w:rPr>
                <w:rFonts w:ascii="宋体"/>
                <w:sz w:val="21"/>
              </w:rPr>
              <w:t>9,660,073.59</w:t>
            </w:r>
          </w:p>
        </w:tc>
        <w:tc>
          <w:tcPr>
            <w:tcW w:w="996" w:type="dxa"/>
            <w:tcBorders>
              <w:top w:val="single" w:sz="8" w:space="0" w:color="000000"/>
              <w:left w:val="nil" w:sz="6" w:space="0" w:color="auto"/>
              <w:bottom w:val="nil" w:sz="6" w:space="0" w:color="auto"/>
              <w:right w:val="nil" w:sz="6" w:space="0" w:color="auto"/>
            </w:tcBorders>
          </w:tcPr>
          <w:p>
            <w:pPr>
              <w:pStyle w:val="TableParagraph"/>
              <w:spacing w:line="240" w:lineRule="auto" w:before="27"/>
              <w:ind w:right="108"/>
              <w:jc w:val="right"/>
              <w:rPr>
                <w:rFonts w:ascii="宋体" w:hAnsi="宋体" w:cs="宋体" w:eastAsia="宋体" w:hint="default"/>
                <w:sz w:val="21"/>
                <w:szCs w:val="21"/>
              </w:rPr>
            </w:pPr>
            <w:r>
              <w:rPr>
                <w:rFonts w:ascii="宋体"/>
                <w:sz w:val="21"/>
              </w:rPr>
              <w:t>1.00</w:t>
            </w:r>
          </w:p>
        </w:tc>
        <w:tc>
          <w:tcPr>
            <w:tcW w:w="1909" w:type="dxa"/>
            <w:tcBorders>
              <w:top w:val="single" w:sz="8" w:space="0" w:color="000000"/>
              <w:left w:val="nil" w:sz="6" w:space="0" w:color="auto"/>
              <w:bottom w:val="nil" w:sz="6" w:space="0" w:color="auto"/>
              <w:right w:val="nil" w:sz="6" w:space="0" w:color="auto"/>
            </w:tcBorders>
          </w:tcPr>
          <w:p>
            <w:pPr>
              <w:pStyle w:val="TableParagraph"/>
              <w:spacing w:line="240" w:lineRule="auto" w:before="27"/>
              <w:ind w:right="104"/>
              <w:jc w:val="right"/>
              <w:rPr>
                <w:rFonts w:ascii="宋体" w:hAnsi="宋体" w:cs="宋体" w:eastAsia="宋体" w:hint="default"/>
                <w:sz w:val="21"/>
                <w:szCs w:val="21"/>
              </w:rPr>
            </w:pPr>
            <w:r>
              <w:rPr>
                <w:rFonts w:ascii="宋体"/>
                <w:sz w:val="21"/>
              </w:rPr>
              <w:t>956,347,274.38</w:t>
            </w:r>
          </w:p>
        </w:tc>
      </w:tr>
      <w:tr>
        <w:trPr>
          <w:trHeight w:val="397" w:hRule="exact"/>
        </w:trPr>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05"/>
              <w:jc w:val="right"/>
              <w:rPr>
                <w:rFonts w:ascii="宋体" w:hAnsi="宋体" w:cs="宋体" w:eastAsia="宋体" w:hint="default"/>
                <w:sz w:val="21"/>
                <w:szCs w:val="21"/>
              </w:rPr>
            </w:pPr>
            <w:r>
              <w:rPr>
                <w:rFonts w:ascii="宋体"/>
                <w:sz w:val="21"/>
              </w:rPr>
              <w:t>295,042,474.77</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21.51</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52"/>
              <w:jc w:val="right"/>
              <w:rPr>
                <w:rFonts w:ascii="宋体" w:hAnsi="宋体" w:cs="宋体" w:eastAsia="宋体" w:hint="default"/>
                <w:sz w:val="21"/>
                <w:szCs w:val="21"/>
              </w:rPr>
            </w:pPr>
            <w:r>
              <w:rPr>
                <w:rFonts w:ascii="宋体"/>
                <w:sz w:val="21"/>
              </w:rPr>
              <w:t>59,008,494.92</w:t>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20.00</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4"/>
              <w:jc w:val="right"/>
              <w:rPr>
                <w:rFonts w:ascii="宋体" w:hAnsi="宋体" w:cs="宋体" w:eastAsia="宋体" w:hint="default"/>
                <w:sz w:val="21"/>
                <w:szCs w:val="21"/>
              </w:rPr>
            </w:pPr>
            <w:r>
              <w:rPr>
                <w:rFonts w:ascii="宋体"/>
                <w:sz w:val="21"/>
              </w:rPr>
              <w:t>236,033,979.85</w:t>
            </w:r>
          </w:p>
        </w:tc>
      </w:tr>
      <w:tr>
        <w:trPr>
          <w:trHeight w:val="397" w:hRule="exact"/>
        </w:trPr>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07"/>
              <w:jc w:val="right"/>
              <w:rPr>
                <w:rFonts w:ascii="宋体" w:hAnsi="宋体" w:cs="宋体" w:eastAsia="宋体" w:hint="default"/>
                <w:sz w:val="21"/>
                <w:szCs w:val="21"/>
              </w:rPr>
            </w:pPr>
            <w:r>
              <w:rPr>
                <w:rFonts w:ascii="宋体"/>
                <w:sz w:val="21"/>
              </w:rPr>
              <w:t>67,033,775.26</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21"/>
                <w:szCs w:val="21"/>
              </w:rPr>
            </w:pPr>
            <w:r>
              <w:rPr>
                <w:rFonts w:ascii="宋体"/>
                <w:sz w:val="21"/>
              </w:rPr>
              <w:t>4.89</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52"/>
              <w:jc w:val="right"/>
              <w:rPr>
                <w:rFonts w:ascii="宋体" w:hAnsi="宋体" w:cs="宋体" w:eastAsia="宋体" w:hint="default"/>
                <w:sz w:val="21"/>
                <w:szCs w:val="21"/>
              </w:rPr>
            </w:pPr>
            <w:r>
              <w:rPr>
                <w:rFonts w:ascii="宋体"/>
                <w:sz w:val="21"/>
              </w:rPr>
              <w:t>26,813,510.09</w:t>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21"/>
                <w:szCs w:val="21"/>
              </w:rPr>
            </w:pPr>
            <w:r>
              <w:rPr>
                <w:rFonts w:ascii="宋体"/>
                <w:sz w:val="21"/>
              </w:rPr>
              <w:t>40.00</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宋体" w:hAnsi="宋体" w:cs="宋体" w:eastAsia="宋体" w:hint="default"/>
                <w:sz w:val="21"/>
                <w:szCs w:val="21"/>
              </w:rPr>
            </w:pPr>
            <w:r>
              <w:rPr>
                <w:rFonts w:ascii="宋体"/>
                <w:sz w:val="21"/>
              </w:rPr>
              <w:t>40,220,265.17</w:t>
            </w:r>
          </w:p>
        </w:tc>
      </w:tr>
      <w:tr>
        <w:trPr>
          <w:trHeight w:val="397" w:hRule="exact"/>
        </w:trPr>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07"/>
              <w:jc w:val="right"/>
              <w:rPr>
                <w:rFonts w:ascii="宋体" w:hAnsi="宋体" w:cs="宋体" w:eastAsia="宋体" w:hint="default"/>
                <w:sz w:val="21"/>
                <w:szCs w:val="21"/>
              </w:rPr>
            </w:pPr>
            <w:r>
              <w:rPr>
                <w:rFonts w:ascii="宋体"/>
                <w:sz w:val="21"/>
              </w:rPr>
              <w:t>28,819,741.99</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2.10</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52"/>
              <w:jc w:val="right"/>
              <w:rPr>
                <w:rFonts w:ascii="宋体" w:hAnsi="宋体" w:cs="宋体" w:eastAsia="宋体" w:hint="default"/>
                <w:sz w:val="21"/>
                <w:szCs w:val="21"/>
              </w:rPr>
            </w:pPr>
            <w:r>
              <w:rPr>
                <w:rFonts w:ascii="宋体"/>
                <w:sz w:val="21"/>
              </w:rPr>
              <w:t>17,291,845.16</w:t>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60.00</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11,527,896.83</w:t>
            </w:r>
          </w:p>
        </w:tc>
      </w:tr>
      <w:tr>
        <w:trPr>
          <w:trHeight w:val="397" w:hRule="exact"/>
        </w:trPr>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05"/>
              <w:jc w:val="right"/>
              <w:rPr>
                <w:rFonts w:ascii="宋体" w:hAnsi="宋体" w:cs="宋体" w:eastAsia="宋体" w:hint="default"/>
                <w:sz w:val="21"/>
                <w:szCs w:val="21"/>
              </w:rPr>
            </w:pPr>
            <w:r>
              <w:rPr>
                <w:rFonts w:ascii="宋体"/>
                <w:sz w:val="21"/>
              </w:rPr>
              <w:t>9,871,402.88</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0.72</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51"/>
              <w:jc w:val="right"/>
              <w:rPr>
                <w:rFonts w:ascii="宋体" w:hAnsi="宋体" w:cs="宋体" w:eastAsia="宋体" w:hint="default"/>
                <w:sz w:val="21"/>
                <w:szCs w:val="21"/>
              </w:rPr>
            </w:pPr>
            <w:r>
              <w:rPr>
                <w:rFonts w:ascii="宋体"/>
                <w:sz w:val="21"/>
              </w:rPr>
              <w:t>7,897,122.33</w:t>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80.00</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4"/>
              <w:jc w:val="right"/>
              <w:rPr>
                <w:rFonts w:ascii="宋体" w:hAnsi="宋体" w:cs="宋体" w:eastAsia="宋体" w:hint="default"/>
                <w:sz w:val="21"/>
                <w:szCs w:val="21"/>
              </w:rPr>
            </w:pPr>
            <w:r>
              <w:rPr>
                <w:rFonts w:ascii="宋体"/>
                <w:sz w:val="21"/>
              </w:rPr>
              <w:t>1,974,280.55</w:t>
            </w:r>
          </w:p>
        </w:tc>
      </w:tr>
      <w:tr>
        <w:trPr>
          <w:trHeight w:val="403" w:hRule="exact"/>
        </w:trPr>
        <w:tc>
          <w:tcPr>
            <w:tcW w:w="1087"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78"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305"/>
              <w:jc w:val="right"/>
              <w:rPr>
                <w:rFonts w:ascii="宋体" w:hAnsi="宋体" w:cs="宋体" w:eastAsia="宋体" w:hint="default"/>
                <w:sz w:val="21"/>
                <w:szCs w:val="21"/>
              </w:rPr>
            </w:pPr>
            <w:r>
              <w:rPr>
                <w:rFonts w:ascii="宋体"/>
                <w:sz w:val="21"/>
              </w:rPr>
              <w:t>4,776,969.25</w:t>
            </w:r>
          </w:p>
        </w:tc>
        <w:tc>
          <w:tcPr>
            <w:tcW w:w="1050"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0.35</w:t>
            </w:r>
          </w:p>
        </w:tc>
        <w:tc>
          <w:tcPr>
            <w:tcW w:w="1845"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251"/>
              <w:jc w:val="right"/>
              <w:rPr>
                <w:rFonts w:ascii="宋体" w:hAnsi="宋体" w:cs="宋体" w:eastAsia="宋体" w:hint="default"/>
                <w:sz w:val="21"/>
                <w:szCs w:val="21"/>
              </w:rPr>
            </w:pPr>
            <w:r>
              <w:rPr>
                <w:rFonts w:ascii="宋体"/>
                <w:sz w:val="21"/>
              </w:rPr>
              <w:t>4,776,969.25</w:t>
            </w:r>
          </w:p>
        </w:tc>
        <w:tc>
          <w:tcPr>
            <w:tcW w:w="996"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z w:val="21"/>
              </w:rPr>
              <w:t>100.00</w:t>
            </w:r>
          </w:p>
        </w:tc>
        <w:tc>
          <w:tcPr>
            <w:tcW w:w="1909"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0</w:t>
            </w:r>
          </w:p>
        </w:tc>
      </w:tr>
      <w:tr>
        <w:trPr>
          <w:trHeight w:val="490" w:hRule="exact"/>
        </w:trPr>
        <w:tc>
          <w:tcPr>
            <w:tcW w:w="1087" w:type="dxa"/>
            <w:tcBorders>
              <w:top w:val="single" w:sz="4" w:space="0" w:color="000000"/>
              <w:left w:val="nil" w:sz="6" w:space="0" w:color="auto"/>
              <w:bottom w:val="single" w:sz="8" w:space="0" w:color="000000"/>
              <w:right w:val="nil" w:sz="6" w:space="0" w:color="auto"/>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78" w:type="dxa"/>
            <w:tcBorders>
              <w:top w:val="single" w:sz="4" w:space="0" w:color="000000"/>
              <w:left w:val="nil" w:sz="6" w:space="0" w:color="auto"/>
              <w:bottom w:val="single" w:sz="8" w:space="0" w:color="000000"/>
              <w:right w:val="nil" w:sz="6" w:space="0" w:color="auto"/>
            </w:tcBorders>
          </w:tcPr>
          <w:p>
            <w:pPr>
              <w:pStyle w:val="TableParagraph"/>
              <w:spacing w:line="240" w:lineRule="auto" w:before="66"/>
              <w:ind w:right="308"/>
              <w:jc w:val="right"/>
              <w:rPr>
                <w:rFonts w:ascii="宋体" w:hAnsi="宋体" w:cs="宋体" w:eastAsia="宋体" w:hint="default"/>
                <w:sz w:val="21"/>
                <w:szCs w:val="21"/>
              </w:rPr>
            </w:pPr>
            <w:r>
              <w:rPr>
                <w:rFonts w:ascii="宋体"/>
                <w:b/>
                <w:w w:val="95"/>
                <w:sz w:val="21"/>
              </w:rPr>
              <w:t>1,371,551,712.12</w:t>
            </w:r>
            <w:r>
              <w:rPr>
                <w:rFonts w:ascii="宋体"/>
                <w:sz w:val="21"/>
              </w:rPr>
            </w:r>
          </w:p>
        </w:tc>
        <w:tc>
          <w:tcPr>
            <w:tcW w:w="1050" w:type="dxa"/>
            <w:tcBorders>
              <w:top w:val="single" w:sz="4" w:space="0" w:color="000000"/>
              <w:left w:val="nil" w:sz="6" w:space="0" w:color="auto"/>
              <w:bottom w:val="single" w:sz="8" w:space="0" w:color="000000"/>
              <w:right w:val="nil" w:sz="6" w:space="0" w:color="auto"/>
            </w:tcBorders>
          </w:tcPr>
          <w:p>
            <w:pPr>
              <w:pStyle w:val="TableParagraph"/>
              <w:spacing w:line="240" w:lineRule="auto" w:before="66"/>
              <w:ind w:right="107"/>
              <w:jc w:val="right"/>
              <w:rPr>
                <w:rFonts w:ascii="宋体" w:hAnsi="宋体" w:cs="宋体" w:eastAsia="宋体" w:hint="default"/>
                <w:sz w:val="21"/>
                <w:szCs w:val="21"/>
              </w:rPr>
            </w:pPr>
            <w:r>
              <w:rPr>
                <w:rFonts w:ascii="宋体"/>
                <w:b/>
                <w:w w:val="95"/>
                <w:sz w:val="21"/>
              </w:rPr>
              <w:t>100.00</w:t>
            </w:r>
            <w:r>
              <w:rPr>
                <w:rFonts w:ascii="宋体"/>
                <w:sz w:val="21"/>
              </w:rPr>
            </w:r>
          </w:p>
        </w:tc>
        <w:tc>
          <w:tcPr>
            <w:tcW w:w="1845" w:type="dxa"/>
            <w:tcBorders>
              <w:top w:val="single" w:sz="4" w:space="0" w:color="000000"/>
              <w:left w:val="nil" w:sz="6" w:space="0" w:color="auto"/>
              <w:bottom w:val="single" w:sz="8" w:space="0" w:color="000000"/>
              <w:right w:val="nil" w:sz="6" w:space="0" w:color="auto"/>
            </w:tcBorders>
          </w:tcPr>
          <w:p>
            <w:pPr>
              <w:pStyle w:val="TableParagraph"/>
              <w:spacing w:line="240" w:lineRule="auto" w:before="66"/>
              <w:ind w:right="254"/>
              <w:jc w:val="right"/>
              <w:rPr>
                <w:rFonts w:ascii="宋体" w:hAnsi="宋体" w:cs="宋体" w:eastAsia="宋体" w:hint="default"/>
                <w:sz w:val="21"/>
                <w:szCs w:val="21"/>
              </w:rPr>
            </w:pPr>
            <w:r>
              <w:rPr>
                <w:rFonts w:ascii="宋体"/>
                <w:b/>
                <w:w w:val="95"/>
                <w:sz w:val="21"/>
              </w:rPr>
              <w:t>125,448,015.34</w:t>
            </w:r>
            <w:r>
              <w:rPr>
                <w:rFonts w:ascii="宋体"/>
                <w:sz w:val="21"/>
              </w:rPr>
            </w:r>
          </w:p>
        </w:tc>
        <w:tc>
          <w:tcPr>
            <w:tcW w:w="996" w:type="dxa"/>
            <w:tcBorders>
              <w:top w:val="single" w:sz="4" w:space="0" w:color="000000"/>
              <w:left w:val="nil" w:sz="6" w:space="0" w:color="auto"/>
              <w:bottom w:val="single" w:sz="8" w:space="0" w:color="000000"/>
              <w:right w:val="nil" w:sz="6" w:space="0" w:color="auto"/>
            </w:tcBorders>
          </w:tcPr>
          <w:p>
            <w:pPr>
              <w:pStyle w:val="TableParagraph"/>
              <w:spacing w:line="240" w:lineRule="auto" w:before="66"/>
              <w:ind w:right="107"/>
              <w:jc w:val="right"/>
              <w:rPr>
                <w:rFonts w:ascii="宋体" w:hAnsi="宋体" w:cs="宋体" w:eastAsia="宋体" w:hint="default"/>
                <w:sz w:val="21"/>
                <w:szCs w:val="21"/>
              </w:rPr>
            </w:pPr>
            <w:r>
              <w:rPr>
                <w:rFonts w:ascii="宋体"/>
                <w:b/>
                <w:w w:val="95"/>
                <w:sz w:val="21"/>
              </w:rPr>
              <w:t>--</w:t>
            </w:r>
            <w:r>
              <w:rPr>
                <w:rFonts w:ascii="宋体"/>
                <w:sz w:val="21"/>
              </w:rPr>
            </w:r>
          </w:p>
        </w:tc>
        <w:tc>
          <w:tcPr>
            <w:tcW w:w="1909" w:type="dxa"/>
            <w:tcBorders>
              <w:top w:val="single" w:sz="4" w:space="0" w:color="000000"/>
              <w:left w:val="nil" w:sz="6" w:space="0" w:color="auto"/>
              <w:bottom w:val="single" w:sz="8" w:space="0" w:color="000000"/>
              <w:right w:val="nil" w:sz="6" w:space="0" w:color="auto"/>
            </w:tcBorders>
          </w:tcPr>
          <w:p>
            <w:pPr>
              <w:pStyle w:val="TableParagraph"/>
              <w:spacing w:line="240" w:lineRule="auto" w:before="66"/>
              <w:ind w:right="108"/>
              <w:jc w:val="right"/>
              <w:rPr>
                <w:rFonts w:ascii="宋体" w:hAnsi="宋体" w:cs="宋体" w:eastAsia="宋体" w:hint="default"/>
                <w:sz w:val="21"/>
                <w:szCs w:val="21"/>
              </w:rPr>
            </w:pPr>
            <w:r>
              <w:rPr>
                <w:rFonts w:ascii="宋体"/>
                <w:b/>
                <w:w w:val="95"/>
                <w:sz w:val="21"/>
              </w:rPr>
              <w:t>1,246,103,696.78</w:t>
            </w:r>
            <w:r>
              <w:rPr>
                <w:rFonts w:ascii="宋体"/>
                <w:sz w:val="21"/>
              </w:rPr>
            </w:r>
          </w:p>
        </w:tc>
      </w:tr>
    </w:tbl>
    <w:p>
      <w:pPr>
        <w:spacing w:line="240" w:lineRule="auto" w:before="3"/>
        <w:rPr>
          <w:rFonts w:ascii="宋体" w:hAnsi="宋体" w:cs="宋体" w:eastAsia="宋体" w:hint="default"/>
          <w:sz w:val="4"/>
          <w:szCs w:val="4"/>
        </w:rPr>
      </w:pPr>
    </w:p>
    <w:tbl>
      <w:tblPr>
        <w:tblW w:w="0" w:type="auto"/>
        <w:jc w:val="left"/>
        <w:tblInd w:w="130" w:type="dxa"/>
        <w:tblLayout w:type="fixed"/>
        <w:tblCellMar>
          <w:top w:w="0" w:type="dxa"/>
          <w:left w:w="0" w:type="dxa"/>
          <w:bottom w:w="0" w:type="dxa"/>
          <w:right w:w="0" w:type="dxa"/>
        </w:tblCellMar>
        <w:tblLook w:val="01E0"/>
      </w:tblPr>
      <w:tblGrid>
        <w:gridCol w:w="3236"/>
        <w:gridCol w:w="992"/>
        <w:gridCol w:w="1723"/>
        <w:gridCol w:w="1190"/>
        <w:gridCol w:w="1909"/>
      </w:tblGrid>
      <w:tr>
        <w:trPr>
          <w:trHeight w:val="507" w:hRule="exact"/>
        </w:trPr>
        <w:tc>
          <w:tcPr>
            <w:tcW w:w="3236"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left="108" w:right="0"/>
              <w:jc w:val="left"/>
              <w:rPr>
                <w:rFonts w:ascii="宋体" w:hAnsi="宋体" w:cs="宋体" w:eastAsia="宋体" w:hint="default"/>
                <w:sz w:val="24"/>
                <w:szCs w:val="24"/>
              </w:rPr>
            </w:pPr>
            <w:r>
              <w:rPr>
                <w:rFonts w:ascii="宋体" w:hAnsi="宋体" w:cs="宋体" w:eastAsia="宋体" w:hint="default"/>
                <w:sz w:val="24"/>
                <w:szCs w:val="24"/>
              </w:rPr>
              <w:t>应收账款按账龄披露（续）</w:t>
            </w:r>
          </w:p>
        </w:tc>
        <w:tc>
          <w:tcPr>
            <w:tcW w:w="992" w:type="dxa"/>
            <w:tcBorders>
              <w:top w:val="nil" w:sz="6" w:space="0" w:color="auto"/>
              <w:left w:val="nil" w:sz="6" w:space="0" w:color="auto"/>
              <w:bottom w:val="single" w:sz="8" w:space="0" w:color="000000"/>
              <w:right w:val="nil" w:sz="6" w:space="0" w:color="auto"/>
            </w:tcBorders>
          </w:tcPr>
          <w:p>
            <w:pPr/>
          </w:p>
        </w:tc>
        <w:tc>
          <w:tcPr>
            <w:tcW w:w="1723" w:type="dxa"/>
            <w:tcBorders>
              <w:top w:val="nil" w:sz="6" w:space="0" w:color="auto"/>
              <w:left w:val="nil" w:sz="6" w:space="0" w:color="auto"/>
              <w:bottom w:val="single" w:sz="8" w:space="0" w:color="000000"/>
              <w:right w:val="nil" w:sz="6" w:space="0" w:color="auto"/>
            </w:tcBorders>
          </w:tcPr>
          <w:p>
            <w:pPr/>
          </w:p>
        </w:tc>
        <w:tc>
          <w:tcPr>
            <w:tcW w:w="3099" w:type="dxa"/>
            <w:gridSpan w:val="2"/>
            <w:vMerge w:val="restart"/>
            <w:tcBorders>
              <w:top w:val="nil" w:sz="6" w:space="0" w:color="auto"/>
              <w:left w:val="nil" w:sz="6" w:space="0" w:color="auto"/>
              <w:right w:val="nil" w:sz="6" w:space="0" w:color="auto"/>
            </w:tcBorders>
          </w:tcPr>
          <w:p>
            <w:pPr/>
          </w:p>
        </w:tc>
      </w:tr>
      <w:tr>
        <w:trPr>
          <w:trHeight w:val="306" w:hRule="exact"/>
        </w:trPr>
        <w:tc>
          <w:tcPr>
            <w:tcW w:w="3236" w:type="dxa"/>
            <w:tcBorders>
              <w:top w:val="single" w:sz="8" w:space="0" w:color="000000"/>
              <w:left w:val="nil" w:sz="6" w:space="0" w:color="auto"/>
              <w:bottom w:val="nil" w:sz="6" w:space="0" w:color="auto"/>
              <w:right w:val="nil" w:sz="6" w:space="0" w:color="auto"/>
            </w:tcBorders>
          </w:tcPr>
          <w:p>
            <w:pPr/>
          </w:p>
        </w:tc>
        <w:tc>
          <w:tcPr>
            <w:tcW w:w="992" w:type="dxa"/>
            <w:tcBorders>
              <w:top w:val="single" w:sz="8" w:space="0" w:color="000000"/>
              <w:left w:val="nil" w:sz="6" w:space="0" w:color="auto"/>
              <w:bottom w:val="nil" w:sz="6" w:space="0" w:color="auto"/>
              <w:right w:val="nil" w:sz="6" w:space="0" w:color="auto"/>
            </w:tcBorders>
          </w:tcPr>
          <w:p>
            <w:pPr/>
          </w:p>
        </w:tc>
        <w:tc>
          <w:tcPr>
            <w:tcW w:w="1723" w:type="dxa"/>
            <w:tcBorders>
              <w:top w:val="single" w:sz="8" w:space="0" w:color="000000"/>
              <w:left w:val="nil" w:sz="6" w:space="0" w:color="auto"/>
              <w:bottom w:val="nil" w:sz="6" w:space="0" w:color="auto"/>
              <w:right w:val="nil" w:sz="6" w:space="0" w:color="auto"/>
            </w:tcBorders>
          </w:tcPr>
          <w:p>
            <w:pPr>
              <w:pStyle w:val="TableParagraph"/>
              <w:spacing w:line="240" w:lineRule="auto" w:before="27"/>
              <w:ind w:left="531" w:right="0"/>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3099" w:type="dxa"/>
            <w:gridSpan w:val="2"/>
            <w:vMerge/>
            <w:tcBorders>
              <w:left w:val="nil" w:sz="6" w:space="0" w:color="auto"/>
              <w:right w:val="nil" w:sz="6" w:space="0" w:color="auto"/>
            </w:tcBorders>
          </w:tcPr>
          <w:p>
            <w:pPr/>
          </w:p>
        </w:tc>
      </w:tr>
      <w:tr>
        <w:trPr>
          <w:trHeight w:val="199" w:hRule="exact"/>
        </w:trPr>
        <w:tc>
          <w:tcPr>
            <w:tcW w:w="3236" w:type="dxa"/>
            <w:tcBorders>
              <w:top w:val="nil" w:sz="6" w:space="0" w:color="auto"/>
              <w:left w:val="nil" w:sz="6" w:space="0" w:color="auto"/>
              <w:bottom w:val="nil" w:sz="6" w:space="0" w:color="auto"/>
              <w:right w:val="nil" w:sz="6" w:space="0" w:color="auto"/>
            </w:tcBorders>
          </w:tcPr>
          <w:p>
            <w:pPr>
              <w:pStyle w:val="TableParagraph"/>
              <w:tabs>
                <w:tab w:pos="530" w:val="left" w:leader="none"/>
              </w:tabs>
              <w:spacing w:line="205" w:lineRule="exact"/>
              <w:ind w:left="108" w:right="0"/>
              <w:jc w:val="left"/>
              <w:rPr>
                <w:rFonts w:ascii="宋体" w:hAnsi="宋体" w:cs="宋体" w:eastAsia="宋体" w:hint="default"/>
                <w:sz w:val="21"/>
                <w:szCs w:val="21"/>
              </w:rPr>
            </w:pPr>
            <w:r>
              <w:rPr>
                <w:rFonts w:ascii="宋体" w:hAnsi="宋体" w:cs="宋体" w:eastAsia="宋体" w:hint="default"/>
                <w:b/>
                <w:bCs/>
                <w:w w:val="95"/>
                <w:sz w:val="21"/>
                <w:szCs w:val="21"/>
              </w:rPr>
              <w:t>账</w:t>
              <w:tab/>
            </w:r>
            <w:r>
              <w:rPr>
                <w:rFonts w:ascii="宋体" w:hAnsi="宋体" w:cs="宋体" w:eastAsia="宋体" w:hint="default"/>
                <w:b/>
                <w:bCs/>
                <w:sz w:val="21"/>
                <w:szCs w:val="21"/>
              </w:rPr>
              <w:t>龄</w:t>
            </w:r>
            <w:r>
              <w:rPr>
                <w:rFonts w:ascii="宋体" w:hAnsi="宋体" w:cs="宋体" w:eastAsia="宋体" w:hint="default"/>
                <w:sz w:val="21"/>
                <w:szCs w:val="21"/>
              </w:rPr>
            </w:r>
          </w:p>
        </w:tc>
        <w:tc>
          <w:tcPr>
            <w:tcW w:w="992"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
        </w:tc>
        <w:tc>
          <w:tcPr>
            <w:tcW w:w="3099" w:type="dxa"/>
            <w:gridSpan w:val="2"/>
            <w:vMerge/>
            <w:tcBorders>
              <w:left w:val="nil" w:sz="6" w:space="0" w:color="auto"/>
              <w:bottom w:val="nil" w:sz="6" w:space="0" w:color="auto"/>
              <w:right w:val="nil" w:sz="6" w:space="0" w:color="auto"/>
            </w:tcBorders>
          </w:tcPr>
          <w:p>
            <w:pPr/>
          </w:p>
        </w:tc>
      </w:tr>
      <w:tr>
        <w:trPr>
          <w:trHeight w:val="309" w:hRule="exact"/>
        </w:trPr>
        <w:tc>
          <w:tcPr>
            <w:tcW w:w="3236" w:type="dxa"/>
            <w:tcBorders>
              <w:top w:val="nil" w:sz="6" w:space="0" w:color="auto"/>
              <w:left w:val="nil" w:sz="6" w:space="0" w:color="auto"/>
              <w:bottom w:val="single" w:sz="8" w:space="0" w:color="000000"/>
              <w:right w:val="nil" w:sz="6" w:space="0" w:color="auto"/>
            </w:tcBorders>
          </w:tcPr>
          <w:p>
            <w:pPr>
              <w:pStyle w:val="TableParagraph"/>
              <w:spacing w:line="204" w:lineRule="exact"/>
              <w:ind w:right="328"/>
              <w:jc w:val="right"/>
              <w:rPr>
                <w:rFonts w:ascii="宋体" w:hAnsi="宋体" w:cs="宋体" w:eastAsia="宋体" w:hint="default"/>
                <w:sz w:val="21"/>
                <w:szCs w:val="21"/>
              </w:rPr>
            </w:pPr>
            <w:r>
              <w:rPr>
                <w:rFonts w:ascii="宋体" w:hAnsi="宋体" w:cs="宋体" w:eastAsia="宋体" w:hint="default"/>
                <w:b/>
                <w:bCs/>
                <w:sz w:val="21"/>
                <w:szCs w:val="21"/>
              </w:rPr>
              <w:t>金</w:t>
            </w:r>
            <w:r>
              <w:rPr>
                <w:rFonts w:ascii="宋体" w:hAnsi="宋体" w:cs="宋体" w:eastAsia="宋体" w:hint="default"/>
                <w:b/>
                <w:bCs/>
                <w:spacing w:val="-2"/>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c>
          <w:tcPr>
            <w:tcW w:w="992" w:type="dxa"/>
            <w:tcBorders>
              <w:top w:val="nil" w:sz="6" w:space="0" w:color="auto"/>
              <w:left w:val="nil" w:sz="6" w:space="0" w:color="auto"/>
              <w:bottom w:val="single" w:sz="8" w:space="0" w:color="000000"/>
              <w:right w:val="nil" w:sz="6" w:space="0" w:color="auto"/>
            </w:tcBorders>
          </w:tcPr>
          <w:p>
            <w:pPr>
              <w:pStyle w:val="TableParagraph"/>
              <w:spacing w:line="204" w:lineRule="exact"/>
              <w:ind w:right="107"/>
              <w:jc w:val="right"/>
              <w:rPr>
                <w:rFonts w:ascii="宋体" w:hAnsi="宋体" w:cs="宋体" w:eastAsia="宋体" w:hint="default"/>
                <w:sz w:val="21"/>
                <w:szCs w:val="21"/>
              </w:rPr>
            </w:pPr>
            <w:r>
              <w:rPr>
                <w:rFonts w:ascii="宋体" w:hAnsi="宋体" w:cs="宋体" w:eastAsia="宋体" w:hint="default"/>
                <w:b/>
                <w:bCs/>
                <w:w w:val="95"/>
                <w:sz w:val="21"/>
                <w:szCs w:val="21"/>
              </w:rPr>
              <w:t>比例</w:t>
            </w:r>
            <w:r>
              <w:rPr>
                <w:rFonts w:ascii="宋体" w:hAnsi="宋体" w:cs="宋体" w:eastAsia="宋体" w:hint="default"/>
                <w:b/>
                <w:bCs/>
                <w:w w:val="95"/>
                <w:sz w:val="21"/>
                <w:szCs w:val="21"/>
              </w:rPr>
              <w:t>%</w:t>
            </w:r>
            <w:r>
              <w:rPr>
                <w:rFonts w:ascii="宋体" w:hAnsi="宋体" w:cs="宋体" w:eastAsia="宋体" w:hint="default"/>
                <w:sz w:val="21"/>
                <w:szCs w:val="21"/>
              </w:rPr>
            </w:r>
          </w:p>
        </w:tc>
        <w:tc>
          <w:tcPr>
            <w:tcW w:w="1723" w:type="dxa"/>
            <w:tcBorders>
              <w:top w:val="nil" w:sz="6" w:space="0" w:color="auto"/>
              <w:left w:val="nil" w:sz="6" w:space="0" w:color="auto"/>
              <w:bottom w:val="single" w:sz="8" w:space="0" w:color="000000"/>
              <w:right w:val="nil" w:sz="6" w:space="0" w:color="auto"/>
            </w:tcBorders>
          </w:tcPr>
          <w:p>
            <w:pPr>
              <w:pStyle w:val="TableParagraph"/>
              <w:spacing w:line="204" w:lineRule="exact"/>
              <w:ind w:right="129"/>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190" w:type="dxa"/>
            <w:tcBorders>
              <w:top w:val="nil" w:sz="6" w:space="0" w:color="auto"/>
              <w:left w:val="nil" w:sz="6" w:space="0" w:color="auto"/>
              <w:bottom w:val="single" w:sz="8" w:space="0" w:color="000000"/>
              <w:right w:val="nil" w:sz="6" w:space="0" w:color="auto"/>
            </w:tcBorders>
          </w:tcPr>
          <w:p>
            <w:pPr>
              <w:pStyle w:val="TableParagraph"/>
              <w:spacing w:line="204" w:lineRule="exact"/>
              <w:ind w:right="107"/>
              <w:jc w:val="right"/>
              <w:rPr>
                <w:rFonts w:ascii="宋体" w:hAnsi="宋体" w:cs="宋体" w:eastAsia="宋体" w:hint="default"/>
                <w:sz w:val="21"/>
                <w:szCs w:val="21"/>
              </w:rPr>
            </w:pPr>
            <w:r>
              <w:rPr>
                <w:rFonts w:ascii="宋体" w:hAnsi="宋体" w:cs="宋体" w:eastAsia="宋体" w:hint="default"/>
                <w:b/>
                <w:bCs/>
                <w:w w:val="95"/>
                <w:sz w:val="21"/>
                <w:szCs w:val="21"/>
              </w:rPr>
              <w:t>计提比例</w:t>
            </w:r>
            <w:r>
              <w:rPr>
                <w:rFonts w:ascii="宋体" w:hAnsi="宋体" w:cs="宋体" w:eastAsia="宋体" w:hint="default"/>
                <w:b/>
                <w:bCs/>
                <w:w w:val="95"/>
                <w:sz w:val="21"/>
                <w:szCs w:val="21"/>
              </w:rPr>
              <w:t>%</w:t>
            </w:r>
            <w:r>
              <w:rPr>
                <w:rFonts w:ascii="宋体" w:hAnsi="宋体" w:cs="宋体" w:eastAsia="宋体" w:hint="default"/>
                <w:sz w:val="21"/>
                <w:szCs w:val="21"/>
              </w:rPr>
            </w:r>
          </w:p>
        </w:tc>
        <w:tc>
          <w:tcPr>
            <w:tcW w:w="1909" w:type="dxa"/>
            <w:tcBorders>
              <w:top w:val="nil" w:sz="6" w:space="0" w:color="auto"/>
              <w:left w:val="nil" w:sz="6" w:space="0" w:color="auto"/>
              <w:bottom w:val="single" w:sz="8" w:space="0" w:color="000000"/>
              <w:right w:val="nil" w:sz="6" w:space="0" w:color="auto"/>
            </w:tcBorders>
          </w:tcPr>
          <w:p>
            <w:pPr>
              <w:pStyle w:val="TableParagraph"/>
              <w:spacing w:line="204" w:lineRule="exact"/>
              <w:ind w:right="104"/>
              <w:jc w:val="right"/>
              <w:rPr>
                <w:rFonts w:ascii="宋体" w:hAnsi="宋体" w:cs="宋体" w:eastAsia="宋体" w:hint="default"/>
                <w:sz w:val="21"/>
                <w:szCs w:val="21"/>
              </w:rPr>
            </w:pPr>
            <w:r>
              <w:rPr>
                <w:rFonts w:ascii="宋体" w:hAnsi="宋体" w:cs="宋体" w:eastAsia="宋体" w:hint="default"/>
                <w:b/>
                <w:bCs/>
                <w:sz w:val="21"/>
                <w:szCs w:val="21"/>
              </w:rPr>
              <w:t>净额</w:t>
            </w:r>
            <w:r>
              <w:rPr>
                <w:rFonts w:ascii="宋体" w:hAnsi="宋体" w:cs="宋体" w:eastAsia="宋体" w:hint="default"/>
                <w:sz w:val="21"/>
                <w:szCs w:val="21"/>
              </w:rPr>
            </w:r>
          </w:p>
        </w:tc>
      </w:tr>
      <w:tr>
        <w:trPr>
          <w:trHeight w:val="406" w:hRule="exact"/>
        </w:trPr>
        <w:tc>
          <w:tcPr>
            <w:tcW w:w="3236" w:type="dxa"/>
            <w:tcBorders>
              <w:top w:val="single" w:sz="8" w:space="0" w:color="000000"/>
              <w:left w:val="nil" w:sz="6" w:space="0" w:color="auto"/>
              <w:bottom w:val="nil" w:sz="6" w:space="0" w:color="auto"/>
              <w:right w:val="nil" w:sz="6" w:space="0" w:color="auto"/>
            </w:tcBorders>
          </w:tcPr>
          <w:p>
            <w:pPr>
              <w:pStyle w:val="TableParagraph"/>
              <w:tabs>
                <w:tab w:pos="1226" w:val="left" w:leader="none"/>
              </w:tabs>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tab/>
            </w:r>
            <w:r>
              <w:rPr>
                <w:rFonts w:ascii="宋体" w:hAnsi="宋体" w:cs="宋体" w:eastAsia="宋体" w:hint="default"/>
                <w:sz w:val="21"/>
                <w:szCs w:val="21"/>
              </w:rPr>
              <w:t>1,175,148,943.52</w:t>
            </w:r>
          </w:p>
        </w:tc>
        <w:tc>
          <w:tcPr>
            <w:tcW w:w="992" w:type="dxa"/>
            <w:tcBorders>
              <w:top w:val="single" w:sz="8" w:space="0" w:color="000000"/>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78.54</w:t>
            </w:r>
          </w:p>
        </w:tc>
        <w:tc>
          <w:tcPr>
            <w:tcW w:w="1723" w:type="dxa"/>
            <w:tcBorders>
              <w:top w:val="single" w:sz="8" w:space="0" w:color="000000"/>
              <w:left w:val="nil" w:sz="6" w:space="0" w:color="auto"/>
              <w:bottom w:val="nil" w:sz="6" w:space="0" w:color="auto"/>
              <w:right w:val="nil" w:sz="6" w:space="0" w:color="auto"/>
            </w:tcBorders>
          </w:tcPr>
          <w:p>
            <w:pPr>
              <w:pStyle w:val="TableParagraph"/>
              <w:spacing w:line="240" w:lineRule="auto" w:before="28"/>
              <w:ind w:right="131"/>
              <w:jc w:val="right"/>
              <w:rPr>
                <w:rFonts w:ascii="宋体" w:hAnsi="宋体" w:cs="宋体" w:eastAsia="宋体" w:hint="default"/>
                <w:sz w:val="21"/>
                <w:szCs w:val="21"/>
              </w:rPr>
            </w:pPr>
            <w:r>
              <w:rPr>
                <w:rFonts w:ascii="宋体"/>
                <w:sz w:val="21"/>
              </w:rPr>
              <w:t>11,760,142.08</w:t>
            </w:r>
          </w:p>
        </w:tc>
        <w:tc>
          <w:tcPr>
            <w:tcW w:w="1190" w:type="dxa"/>
            <w:tcBorders>
              <w:top w:val="single" w:sz="8" w:space="0" w:color="000000"/>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1.00</w:t>
            </w:r>
          </w:p>
        </w:tc>
        <w:tc>
          <w:tcPr>
            <w:tcW w:w="1909" w:type="dxa"/>
            <w:tcBorders>
              <w:top w:val="single" w:sz="8" w:space="0" w:color="000000"/>
              <w:left w:val="nil" w:sz="6" w:space="0" w:color="auto"/>
              <w:bottom w:val="nil" w:sz="6" w:space="0" w:color="auto"/>
              <w:right w:val="nil" w:sz="6" w:space="0" w:color="auto"/>
            </w:tcBorders>
          </w:tcPr>
          <w:p>
            <w:pPr>
              <w:pStyle w:val="TableParagraph"/>
              <w:spacing w:line="240" w:lineRule="auto" w:before="28"/>
              <w:ind w:right="104"/>
              <w:jc w:val="right"/>
              <w:rPr>
                <w:rFonts w:ascii="宋体" w:hAnsi="宋体" w:cs="宋体" w:eastAsia="宋体" w:hint="default"/>
                <w:sz w:val="21"/>
                <w:szCs w:val="21"/>
              </w:rPr>
            </w:pPr>
            <w:r>
              <w:rPr>
                <w:rFonts w:ascii="宋体"/>
                <w:sz w:val="21"/>
              </w:rPr>
              <w:t>1,163,388,801.44</w:t>
            </w:r>
          </w:p>
        </w:tc>
      </w:tr>
      <w:tr>
        <w:trPr>
          <w:trHeight w:val="397" w:hRule="exact"/>
        </w:trPr>
        <w:tc>
          <w:tcPr>
            <w:tcW w:w="3236" w:type="dxa"/>
            <w:tcBorders>
              <w:top w:val="nil" w:sz="6" w:space="0" w:color="auto"/>
              <w:left w:val="nil" w:sz="6" w:space="0" w:color="auto"/>
              <w:bottom w:val="nil" w:sz="6" w:space="0" w:color="auto"/>
              <w:right w:val="nil" w:sz="6" w:space="0" w:color="auto"/>
            </w:tcBorders>
          </w:tcPr>
          <w:p>
            <w:pPr>
              <w:pStyle w:val="TableParagraph"/>
              <w:tabs>
                <w:tab w:pos="1436" w:val="left" w:leader="none"/>
              </w:tabs>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tab/>
            </w:r>
            <w:r>
              <w:rPr>
                <w:rFonts w:ascii="宋体" w:hAnsi="宋体" w:cs="宋体" w:eastAsia="宋体" w:hint="default"/>
                <w:sz w:val="21"/>
                <w:szCs w:val="21"/>
              </w:rPr>
              <w:t>224,620,372.96</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15.01</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1"/>
              <w:jc w:val="right"/>
              <w:rPr>
                <w:rFonts w:ascii="宋体" w:hAnsi="宋体" w:cs="宋体" w:eastAsia="宋体" w:hint="default"/>
                <w:sz w:val="21"/>
                <w:szCs w:val="21"/>
              </w:rPr>
            </w:pPr>
            <w:r>
              <w:rPr>
                <w:rFonts w:ascii="宋体"/>
                <w:sz w:val="21"/>
              </w:rPr>
              <w:t>44,924,074.64</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20.00</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4"/>
              <w:jc w:val="right"/>
              <w:rPr>
                <w:rFonts w:ascii="宋体" w:hAnsi="宋体" w:cs="宋体" w:eastAsia="宋体" w:hint="default"/>
                <w:sz w:val="21"/>
                <w:szCs w:val="21"/>
              </w:rPr>
            </w:pPr>
            <w:r>
              <w:rPr>
                <w:rFonts w:ascii="宋体"/>
                <w:sz w:val="21"/>
              </w:rPr>
              <w:t>179,696,298.32</w:t>
            </w:r>
          </w:p>
        </w:tc>
      </w:tr>
      <w:tr>
        <w:trPr>
          <w:trHeight w:val="397" w:hRule="exact"/>
        </w:trPr>
        <w:tc>
          <w:tcPr>
            <w:tcW w:w="3236" w:type="dxa"/>
            <w:tcBorders>
              <w:top w:val="nil" w:sz="6" w:space="0" w:color="auto"/>
              <w:left w:val="nil" w:sz="6" w:space="0" w:color="auto"/>
              <w:bottom w:val="nil" w:sz="6" w:space="0" w:color="auto"/>
              <w:right w:val="nil" w:sz="6" w:space="0" w:color="auto"/>
            </w:tcBorders>
          </w:tcPr>
          <w:p>
            <w:pPr>
              <w:pStyle w:val="TableParagraph"/>
              <w:tabs>
                <w:tab w:pos="1540" w:val="left" w:leader="none"/>
              </w:tabs>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tab/>
            </w:r>
            <w:r>
              <w:rPr>
                <w:rFonts w:ascii="宋体" w:hAnsi="宋体" w:cs="宋体" w:eastAsia="宋体" w:hint="default"/>
                <w:sz w:val="21"/>
                <w:szCs w:val="21"/>
              </w:rPr>
              <w:t>74,429,343.21</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4.97</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1"/>
              <w:jc w:val="right"/>
              <w:rPr>
                <w:rFonts w:ascii="宋体" w:hAnsi="宋体" w:cs="宋体" w:eastAsia="宋体" w:hint="default"/>
                <w:sz w:val="21"/>
                <w:szCs w:val="21"/>
              </w:rPr>
            </w:pPr>
            <w:r>
              <w:rPr>
                <w:rFonts w:ascii="宋体"/>
                <w:sz w:val="21"/>
              </w:rPr>
              <w:t>29,771,737.24</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40.00</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44,657,605.97</w:t>
            </w:r>
          </w:p>
        </w:tc>
      </w:tr>
      <w:tr>
        <w:trPr>
          <w:trHeight w:val="397" w:hRule="exact"/>
        </w:trPr>
        <w:tc>
          <w:tcPr>
            <w:tcW w:w="3236" w:type="dxa"/>
            <w:tcBorders>
              <w:top w:val="nil" w:sz="6" w:space="0" w:color="auto"/>
              <w:left w:val="nil" w:sz="6" w:space="0" w:color="auto"/>
              <w:bottom w:val="nil" w:sz="6" w:space="0" w:color="auto"/>
              <w:right w:val="nil" w:sz="6" w:space="0" w:color="auto"/>
            </w:tcBorders>
          </w:tcPr>
          <w:p>
            <w:pPr>
              <w:pStyle w:val="TableParagraph"/>
              <w:tabs>
                <w:tab w:pos="1540" w:val="left" w:leader="none"/>
              </w:tabs>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tab/>
            </w:r>
            <w:r>
              <w:rPr>
                <w:rFonts w:ascii="宋体" w:hAnsi="宋体" w:cs="宋体" w:eastAsia="宋体" w:hint="default"/>
                <w:sz w:val="21"/>
                <w:szCs w:val="21"/>
              </w:rPr>
              <w:t>16,184,472.81</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1.08</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9"/>
              <w:jc w:val="right"/>
              <w:rPr>
                <w:rFonts w:ascii="宋体" w:hAnsi="宋体" w:cs="宋体" w:eastAsia="宋体" w:hint="default"/>
                <w:sz w:val="21"/>
                <w:szCs w:val="21"/>
              </w:rPr>
            </w:pPr>
            <w:r>
              <w:rPr>
                <w:rFonts w:ascii="宋体"/>
                <w:sz w:val="21"/>
              </w:rPr>
              <w:t>9,710,683.71</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60.00</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4"/>
              <w:jc w:val="right"/>
              <w:rPr>
                <w:rFonts w:ascii="宋体" w:hAnsi="宋体" w:cs="宋体" w:eastAsia="宋体" w:hint="default"/>
                <w:sz w:val="21"/>
                <w:szCs w:val="21"/>
              </w:rPr>
            </w:pPr>
            <w:r>
              <w:rPr>
                <w:rFonts w:ascii="宋体"/>
                <w:sz w:val="21"/>
              </w:rPr>
              <w:t>6,473,789.10</w:t>
            </w:r>
          </w:p>
        </w:tc>
      </w:tr>
      <w:tr>
        <w:trPr>
          <w:trHeight w:val="397" w:hRule="exact"/>
        </w:trPr>
        <w:tc>
          <w:tcPr>
            <w:tcW w:w="3236" w:type="dxa"/>
            <w:tcBorders>
              <w:top w:val="nil" w:sz="6" w:space="0" w:color="auto"/>
              <w:left w:val="nil" w:sz="6" w:space="0" w:color="auto"/>
              <w:bottom w:val="nil" w:sz="6" w:space="0" w:color="auto"/>
              <w:right w:val="nil" w:sz="6" w:space="0" w:color="auto"/>
            </w:tcBorders>
          </w:tcPr>
          <w:p>
            <w:pPr>
              <w:pStyle w:val="TableParagraph"/>
              <w:tabs>
                <w:tab w:pos="1646" w:val="left" w:leader="none"/>
              </w:tabs>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tab/>
            </w:r>
            <w:r>
              <w:rPr>
                <w:rFonts w:ascii="宋体" w:hAnsi="宋体" w:cs="宋体" w:eastAsia="宋体" w:hint="default"/>
                <w:sz w:val="21"/>
                <w:szCs w:val="21"/>
              </w:rPr>
              <w:t>2,075,049.85</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0.14</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9"/>
              <w:jc w:val="right"/>
              <w:rPr>
                <w:rFonts w:ascii="宋体" w:hAnsi="宋体" w:cs="宋体" w:eastAsia="宋体" w:hint="default"/>
                <w:sz w:val="21"/>
                <w:szCs w:val="21"/>
              </w:rPr>
            </w:pPr>
            <w:r>
              <w:rPr>
                <w:rFonts w:ascii="宋体"/>
                <w:sz w:val="21"/>
              </w:rPr>
              <w:t>1,660,039.87</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80.00</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z w:val="21"/>
              </w:rPr>
              <w:t>415,009.98</w:t>
            </w:r>
          </w:p>
        </w:tc>
      </w:tr>
      <w:tr>
        <w:trPr>
          <w:trHeight w:val="404" w:hRule="exact"/>
        </w:trPr>
        <w:tc>
          <w:tcPr>
            <w:tcW w:w="3236" w:type="dxa"/>
            <w:tcBorders>
              <w:top w:val="nil" w:sz="6" w:space="0" w:color="auto"/>
              <w:left w:val="nil" w:sz="6" w:space="0" w:color="auto"/>
              <w:bottom w:val="single" w:sz="4" w:space="0" w:color="000000"/>
              <w:right w:val="nil" w:sz="6" w:space="0" w:color="auto"/>
            </w:tcBorders>
          </w:tcPr>
          <w:p>
            <w:pPr>
              <w:pStyle w:val="TableParagraph"/>
              <w:tabs>
                <w:tab w:pos="1646" w:val="left" w:leader="none"/>
              </w:tabs>
              <w:spacing w:line="240" w:lineRule="auto" w:before="29"/>
              <w:ind w:left="108"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tab/>
            </w:r>
            <w:r>
              <w:rPr>
                <w:rFonts w:ascii="宋体" w:hAnsi="宋体" w:cs="宋体" w:eastAsia="宋体" w:hint="default"/>
                <w:sz w:val="21"/>
                <w:szCs w:val="21"/>
              </w:rPr>
              <w:t>3,864,228.61</w:t>
            </w:r>
          </w:p>
        </w:tc>
        <w:tc>
          <w:tcPr>
            <w:tcW w:w="992"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06"/>
              <w:jc w:val="right"/>
              <w:rPr>
                <w:rFonts w:ascii="宋体" w:hAnsi="宋体" w:cs="宋体" w:eastAsia="宋体" w:hint="default"/>
                <w:sz w:val="21"/>
                <w:szCs w:val="21"/>
              </w:rPr>
            </w:pPr>
            <w:r>
              <w:rPr>
                <w:rFonts w:ascii="宋体"/>
                <w:sz w:val="21"/>
              </w:rPr>
              <w:t>0.26</w:t>
            </w:r>
          </w:p>
        </w:tc>
        <w:tc>
          <w:tcPr>
            <w:tcW w:w="1723"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29"/>
              <w:jc w:val="right"/>
              <w:rPr>
                <w:rFonts w:ascii="宋体" w:hAnsi="宋体" w:cs="宋体" w:eastAsia="宋体" w:hint="default"/>
                <w:sz w:val="21"/>
                <w:szCs w:val="21"/>
              </w:rPr>
            </w:pPr>
            <w:r>
              <w:rPr>
                <w:rFonts w:ascii="宋体"/>
                <w:sz w:val="21"/>
              </w:rPr>
              <w:t>3,864,228.67</w:t>
            </w:r>
          </w:p>
        </w:tc>
        <w:tc>
          <w:tcPr>
            <w:tcW w:w="1190"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07"/>
              <w:jc w:val="right"/>
              <w:rPr>
                <w:rFonts w:ascii="宋体" w:hAnsi="宋体" w:cs="宋体" w:eastAsia="宋体" w:hint="default"/>
                <w:sz w:val="21"/>
                <w:szCs w:val="21"/>
              </w:rPr>
            </w:pPr>
            <w:r>
              <w:rPr>
                <w:rFonts w:ascii="宋体"/>
                <w:sz w:val="21"/>
              </w:rPr>
              <w:t>100.00</w:t>
            </w:r>
          </w:p>
        </w:tc>
        <w:tc>
          <w:tcPr>
            <w:tcW w:w="1909"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04"/>
              <w:jc w:val="right"/>
              <w:rPr>
                <w:rFonts w:ascii="宋体" w:hAnsi="宋体" w:cs="宋体" w:eastAsia="宋体" w:hint="default"/>
                <w:sz w:val="21"/>
                <w:szCs w:val="21"/>
              </w:rPr>
            </w:pPr>
            <w:r>
              <w:rPr>
                <w:rFonts w:ascii="宋体"/>
                <w:sz w:val="21"/>
              </w:rPr>
              <w:t>-0.06</w:t>
            </w:r>
          </w:p>
        </w:tc>
      </w:tr>
      <w:tr>
        <w:trPr>
          <w:trHeight w:val="445" w:hRule="exact"/>
        </w:trPr>
        <w:tc>
          <w:tcPr>
            <w:tcW w:w="3236" w:type="dxa"/>
            <w:tcBorders>
              <w:top w:val="single" w:sz="4" w:space="0" w:color="000000"/>
              <w:left w:val="nil" w:sz="6" w:space="0" w:color="auto"/>
              <w:bottom w:val="nil" w:sz="6" w:space="0" w:color="auto"/>
              <w:right w:val="nil" w:sz="6" w:space="0" w:color="auto"/>
            </w:tcBorders>
          </w:tcPr>
          <w:p>
            <w:pPr>
              <w:pStyle w:val="TableParagraph"/>
              <w:tabs>
                <w:tab w:pos="1211" w:val="left" w:leader="none"/>
              </w:tabs>
              <w:spacing w:line="240" w:lineRule="auto" w:before="65"/>
              <w:ind w:left="340" w:right="0"/>
              <w:jc w:val="left"/>
              <w:rPr>
                <w:rFonts w:ascii="宋体" w:hAnsi="宋体" w:cs="宋体" w:eastAsia="宋体" w:hint="default"/>
                <w:sz w:val="21"/>
                <w:szCs w:val="21"/>
              </w:rPr>
            </w:pPr>
            <w:r>
              <w:rPr>
                <w:rFonts w:ascii="宋体" w:hAnsi="宋体" w:cs="宋体" w:eastAsia="宋体" w:hint="default"/>
                <w:b/>
                <w:bCs/>
                <w:w w:val="95"/>
                <w:sz w:val="21"/>
                <w:szCs w:val="21"/>
              </w:rPr>
              <w:t>合计</w:t>
              <w:tab/>
            </w:r>
            <w:r>
              <w:rPr>
                <w:rFonts w:ascii="宋体" w:hAnsi="宋体" w:cs="宋体" w:eastAsia="宋体" w:hint="default"/>
                <w:b/>
                <w:bCs/>
                <w:sz w:val="21"/>
                <w:szCs w:val="21"/>
              </w:rPr>
              <w:t>1,496,322,410.96</w:t>
            </w:r>
            <w:r>
              <w:rPr>
                <w:rFonts w:ascii="宋体" w:hAnsi="宋体" w:cs="宋体" w:eastAsia="宋体" w:hint="default"/>
                <w:sz w:val="21"/>
                <w:szCs w:val="21"/>
              </w:rPr>
            </w:r>
          </w:p>
        </w:tc>
        <w:tc>
          <w:tcPr>
            <w:tcW w:w="992"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108"/>
              <w:jc w:val="right"/>
              <w:rPr>
                <w:rFonts w:ascii="宋体" w:hAnsi="宋体" w:cs="宋体" w:eastAsia="宋体" w:hint="default"/>
                <w:sz w:val="21"/>
                <w:szCs w:val="21"/>
              </w:rPr>
            </w:pPr>
            <w:r>
              <w:rPr>
                <w:rFonts w:ascii="宋体"/>
                <w:b/>
                <w:w w:val="95"/>
                <w:sz w:val="21"/>
              </w:rPr>
              <w:t>100.00</w:t>
            </w:r>
            <w:r>
              <w:rPr>
                <w:rFonts w:ascii="宋体"/>
                <w:sz w:val="21"/>
              </w:rPr>
            </w:r>
          </w:p>
        </w:tc>
        <w:tc>
          <w:tcPr>
            <w:tcW w:w="1723"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132"/>
              <w:jc w:val="right"/>
              <w:rPr>
                <w:rFonts w:ascii="宋体" w:hAnsi="宋体" w:cs="宋体" w:eastAsia="宋体" w:hint="default"/>
                <w:sz w:val="21"/>
                <w:szCs w:val="21"/>
              </w:rPr>
            </w:pPr>
            <w:r>
              <w:rPr>
                <w:rFonts w:ascii="宋体"/>
                <w:b/>
                <w:w w:val="95"/>
                <w:sz w:val="21"/>
              </w:rPr>
              <w:t>101,690,906.21</w:t>
            </w:r>
            <w:r>
              <w:rPr>
                <w:rFonts w:ascii="宋体"/>
                <w:sz w:val="21"/>
              </w:rPr>
            </w:r>
          </w:p>
        </w:tc>
        <w:tc>
          <w:tcPr>
            <w:tcW w:w="1190"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106"/>
              <w:jc w:val="right"/>
              <w:rPr>
                <w:rFonts w:ascii="宋体" w:hAnsi="宋体" w:cs="宋体" w:eastAsia="宋体" w:hint="default"/>
                <w:sz w:val="21"/>
                <w:szCs w:val="21"/>
              </w:rPr>
            </w:pPr>
            <w:r>
              <w:rPr>
                <w:rFonts w:ascii="宋体"/>
                <w:b/>
                <w:w w:val="95"/>
                <w:sz w:val="21"/>
              </w:rPr>
              <w:t>--</w:t>
            </w:r>
            <w:r>
              <w:rPr>
                <w:rFonts w:ascii="宋体"/>
                <w:sz w:val="21"/>
              </w:rPr>
            </w:r>
          </w:p>
        </w:tc>
        <w:tc>
          <w:tcPr>
            <w:tcW w:w="1909"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108"/>
              <w:jc w:val="right"/>
              <w:rPr>
                <w:rFonts w:ascii="宋体" w:hAnsi="宋体" w:cs="宋体" w:eastAsia="宋体" w:hint="default"/>
                <w:sz w:val="21"/>
                <w:szCs w:val="21"/>
              </w:rPr>
            </w:pPr>
            <w:r>
              <w:rPr>
                <w:rFonts w:ascii="宋体"/>
                <w:b/>
                <w:w w:val="95"/>
                <w:sz w:val="21"/>
              </w:rPr>
              <w:t>1,394,631,504.75</w:t>
            </w:r>
            <w:r>
              <w:rPr>
                <w:rFonts w:ascii="宋体"/>
                <w:sz w:val="21"/>
              </w:rPr>
            </w:r>
          </w:p>
        </w:tc>
      </w:tr>
    </w:tbl>
    <w:p>
      <w:pPr>
        <w:spacing w:line="240" w:lineRule="auto" w:before="9"/>
        <w:rPr>
          <w:rFonts w:ascii="宋体" w:hAnsi="宋体" w:cs="宋体" w:eastAsia="宋体" w:hint="default"/>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54.2pt;height:1pt;mso-position-horizontal-relative:char;mso-position-vertical-relative:line" coordorigin="0,0" coordsize="9084,20">
            <v:group style="position:absolute;left:10;top:10;width:1118;height:2" coordorigin="10,10" coordsize="1118,2">
              <v:shape style="position:absolute;left:10;top:10;width:1118;height:2" coordorigin="10,10" coordsize="1118,0" path="m10,10l1127,10e" filled="false" stroked="true" strokeweight=".95999pt" strokecolor="#000000">
                <v:path arrowok="t"/>
              </v:shape>
            </v:group>
            <v:group style="position:absolute;left:1112;top:10;width:20;height:2" coordorigin="1112,10" coordsize="20,2">
              <v:shape style="position:absolute;left:1112;top:10;width:20;height:2" coordorigin="1112,10" coordsize="20,0" path="m1112,10l1132,10e" filled="false" stroked="true" strokeweight=".95999pt" strokecolor="#000000">
                <v:path arrowok="t"/>
              </v:shape>
            </v:group>
            <v:group style="position:absolute;left:1132;top:10;width:1906;height:2" coordorigin="1132,10" coordsize="1906,2">
              <v:shape style="position:absolute;left:1132;top:10;width:1906;height:2" coordorigin="1132,10" coordsize="1906,0" path="m1132,10l3037,10e" filled="false" stroked="true" strokeweight=".95999pt" strokecolor="#000000">
                <v:path arrowok="t"/>
              </v:shape>
            </v:group>
            <v:group style="position:absolute;left:3023;top:10;width:20;height:2" coordorigin="3023,10" coordsize="20,2">
              <v:shape style="position:absolute;left:3023;top:10;width:20;height:2" coordorigin="3023,10" coordsize="20,0" path="m3023,10l3042,10e" filled="false" stroked="true" strokeweight=".95999pt" strokecolor="#000000">
                <v:path arrowok="t"/>
              </v:shape>
            </v:group>
            <v:group style="position:absolute;left:3042;top:10;width:1210;height:2" coordorigin="3042,10" coordsize="1210,2">
              <v:shape style="position:absolute;left:3042;top:10;width:1210;height:2" coordorigin="3042,10" coordsize="1210,0" path="m3042,10l4252,10e" filled="false" stroked="true" strokeweight=".95999pt" strokecolor="#000000">
                <v:path arrowok="t"/>
              </v:shape>
            </v:group>
            <v:group style="position:absolute;left:4238;top:10;width:20;height:2" coordorigin="4238,10" coordsize="20,2">
              <v:shape style="position:absolute;left:4238;top:10;width:20;height:2" coordorigin="4238,10" coordsize="20,0" path="m4238,10l4257,10e" filled="false" stroked="true" strokeweight=".95999pt" strokecolor="#000000">
                <v:path arrowok="t"/>
              </v:shape>
            </v:group>
            <v:group style="position:absolute;left:4257;top:10;width:1694;height:2" coordorigin="4257,10" coordsize="1694,2">
              <v:shape style="position:absolute;left:4257;top:10;width:1694;height:2" coordorigin="4257,10" coordsize="1694,0" path="m4257,10l5950,10e" filled="false" stroked="true" strokeweight=".95999pt" strokecolor="#000000">
                <v:path arrowok="t"/>
              </v:shape>
            </v:group>
            <v:group style="position:absolute;left:5936;top:10;width:20;height:2" coordorigin="5936,10" coordsize="20,2">
              <v:shape style="position:absolute;left:5936;top:10;width:20;height:2" coordorigin="5936,10" coordsize="20,0" path="m5936,10l5955,10e" filled="false" stroked="true" strokeweight=".95999pt" strokecolor="#000000">
                <v:path arrowok="t"/>
              </v:shape>
            </v:group>
            <v:group style="position:absolute;left:5955;top:10;width:1209;height:2" coordorigin="5955,10" coordsize="1209,2">
              <v:shape style="position:absolute;left:5955;top:10;width:1209;height:2" coordorigin="5955,10" coordsize="1209,0" path="m5955,10l7164,10e" filled="false" stroked="true" strokeweight=".95999pt" strokecolor="#000000">
                <v:path arrowok="t"/>
              </v:shape>
            </v:group>
            <v:group style="position:absolute;left:7149;top:10;width:20;height:2" coordorigin="7149,10" coordsize="20,2">
              <v:shape style="position:absolute;left:7149;top:10;width:20;height:2" coordorigin="7149,10" coordsize="20,0" path="m7149,10l7168,10e" filled="false" stroked="true" strokeweight=".95999pt" strokecolor="#000000">
                <v:path arrowok="t"/>
              </v:shape>
            </v:group>
            <v:group style="position:absolute;left:7168;top:10;width:1906;height:2" coordorigin="7168,10" coordsize="1906,2">
              <v:shape style="position:absolute;left:7168;top:10;width:1906;height:2" coordorigin="7168,10" coordsize="1906,0" path="m7168,10l9074,10e" filled="false" stroked="true" strokeweight=".95999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5"/>
          <w:szCs w:val="15"/>
        </w:rPr>
      </w:pPr>
    </w:p>
    <w:p>
      <w:pPr>
        <w:spacing w:line="274" w:lineRule="exact" w:before="35"/>
        <w:ind w:left="238" w:right="261" w:firstLine="0"/>
        <w:jc w:val="left"/>
        <w:rPr>
          <w:rFonts w:ascii="宋体" w:hAnsi="宋体" w:cs="宋体" w:eastAsia="宋体" w:hint="default"/>
          <w:sz w:val="21"/>
          <w:szCs w:val="21"/>
        </w:rPr>
      </w:pPr>
      <w:r>
        <w:rPr>
          <w:rFonts w:ascii="宋体" w:hAnsi="宋体" w:cs="宋体" w:eastAsia="宋体" w:hint="default"/>
          <w:sz w:val="21"/>
          <w:szCs w:val="21"/>
        </w:rPr>
        <w:t>组合中，采用余额百分比法计提坏账准备的应收账款：</w:t>
      </w:r>
    </w:p>
    <w:p>
      <w:pPr>
        <w:spacing w:line="274" w:lineRule="exact" w:before="0"/>
        <w:ind w:left="238" w:right="261" w:firstLine="0"/>
        <w:jc w:val="left"/>
        <w:rPr>
          <w:rFonts w:ascii="宋体" w:hAnsi="宋体" w:cs="宋体" w:eastAsia="宋体" w:hint="default"/>
          <w:sz w:val="21"/>
          <w:szCs w:val="21"/>
        </w:rPr>
      </w:pPr>
      <w:r>
        <w:rPr>
          <w:rFonts w:ascii="宋体" w:hAnsi="宋体" w:cs="宋体" w:eastAsia="宋体" w:hint="default"/>
          <w:sz w:val="21"/>
          <w:szCs w:val="21"/>
        </w:rPr>
        <w:t>□适用√不适用</w:t>
      </w:r>
    </w:p>
    <w:p>
      <w:pPr>
        <w:spacing w:line="240" w:lineRule="auto" w:before="12"/>
        <w:rPr>
          <w:rFonts w:ascii="宋体" w:hAnsi="宋体" w:cs="宋体" w:eastAsia="宋体" w:hint="default"/>
          <w:sz w:val="24"/>
          <w:szCs w:val="24"/>
        </w:rPr>
      </w:pPr>
    </w:p>
    <w:p>
      <w:pPr>
        <w:pStyle w:val="Heading2"/>
        <w:spacing w:line="240" w:lineRule="auto" w:before="0"/>
        <w:ind w:left="238" w:right="261"/>
        <w:jc w:val="left"/>
        <w:rPr>
          <w:b w:val="0"/>
          <w:bCs w:val="0"/>
        </w:rPr>
      </w:pPr>
      <w:r>
        <w:rPr>
          <w:rFonts w:ascii="宋体" w:hAnsi="宋体" w:cs="宋体" w:eastAsia="宋体" w:hint="default"/>
        </w:rPr>
        <w:t>(2).</w:t>
      </w:r>
      <w:r>
        <w:rPr>
          <w:rFonts w:ascii="宋体" w:hAnsi="宋体" w:cs="宋体" w:eastAsia="宋体" w:hint="default"/>
          <w:spacing w:val="-49"/>
        </w:rPr>
        <w:t> </w:t>
      </w:r>
      <w:r>
        <w:rPr/>
        <w:t>本期计提、收回或转回的坏账准备情况：</w:t>
      </w:r>
      <w:r>
        <w:rPr>
          <w:b w:val="0"/>
          <w:bCs w:val="0"/>
        </w:rPr>
      </w:r>
    </w:p>
    <w:p>
      <w:pPr>
        <w:tabs>
          <w:tab w:pos="2967" w:val="left" w:leader="none"/>
          <w:tab w:pos="6796" w:val="left" w:leader="none"/>
        </w:tabs>
        <w:spacing w:before="60"/>
        <w:ind w:left="238" w:right="261"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本期计提坏账准备金额</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333399"/>
        </w:rPr>
        <w:t> </w:t>
        <w:tab/>
      </w:r>
      <w:r>
        <w:rPr>
          <w:rFonts w:ascii="Times New Roman" w:hAnsi="Times New Roman" w:cs="Times New Roman" w:eastAsia="Times New Roman" w:hint="default"/>
          <w:sz w:val="21"/>
          <w:szCs w:val="21"/>
        </w:rPr>
      </w:r>
      <w:r>
        <w:rPr>
          <w:rFonts w:ascii="宋体" w:hAnsi="宋体" w:cs="宋体" w:eastAsia="宋体" w:hint="default"/>
          <w:sz w:val="21"/>
          <w:szCs w:val="21"/>
        </w:rPr>
        <w:t>元；本期收回或转回坏账准备金额</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p>
    <w:p>
      <w:pPr>
        <w:spacing w:line="240" w:lineRule="auto" w:before="3"/>
        <w:rPr>
          <w:rFonts w:ascii="Times New Roman" w:hAnsi="Times New Roman" w:cs="Times New Roman" w:eastAsia="Times New Roman" w:hint="default"/>
          <w:sz w:val="25"/>
          <w:szCs w:val="25"/>
        </w:rPr>
      </w:pPr>
    </w:p>
    <w:p>
      <w:pPr>
        <w:pStyle w:val="BodyText"/>
        <w:spacing w:line="310" w:lineRule="exact" w:before="58"/>
        <w:ind w:left="238" w:right="231" w:firstLine="420"/>
        <w:jc w:val="both"/>
      </w:pPr>
      <w:r>
        <w:rPr/>
        <w:t>本期坏账准备变动金额</w:t>
      </w:r>
      <w:r>
        <w:rPr>
          <w:spacing w:val="-76"/>
        </w:rPr>
        <w:t> </w:t>
      </w:r>
      <w:r>
        <w:rPr>
          <w:rFonts w:ascii="宋体" w:hAnsi="宋体" w:cs="宋体" w:eastAsia="宋体" w:hint="default"/>
        </w:rPr>
        <w:t>29,937,856.04</w:t>
      </w:r>
      <w:r>
        <w:rPr>
          <w:rFonts w:ascii="宋体" w:hAnsi="宋体" w:cs="宋体" w:eastAsia="宋体" w:hint="default"/>
          <w:spacing w:val="-76"/>
        </w:rPr>
        <w:t> </w:t>
      </w:r>
      <w:r>
        <w:rPr>
          <w:spacing w:val="-10"/>
        </w:rPr>
        <w:t>元，其中计提坏账准备金额</w:t>
      </w:r>
      <w:r>
        <w:rPr>
          <w:spacing w:val="-76"/>
        </w:rPr>
        <w:t> </w:t>
      </w:r>
      <w:r>
        <w:rPr>
          <w:rFonts w:ascii="宋体" w:hAnsi="宋体" w:cs="宋体" w:eastAsia="宋体" w:hint="default"/>
        </w:rPr>
        <w:t>30,688,084.16 </w:t>
      </w:r>
      <w:r>
        <w:rPr>
          <w:spacing w:val="17"/>
        </w:rPr>
        <w:t>元，汇率变动影响金额 </w:t>
      </w:r>
      <w:r>
        <w:rPr>
          <w:rFonts w:ascii="宋体" w:hAnsi="宋体" w:cs="宋体" w:eastAsia="宋体" w:hint="default"/>
        </w:rPr>
        <w:t>17,976.34</w:t>
      </w:r>
      <w:r>
        <w:rPr>
          <w:rFonts w:ascii="宋体" w:hAnsi="宋体" w:cs="宋体" w:eastAsia="宋体" w:hint="default"/>
          <w:spacing w:val="37"/>
        </w:rPr>
        <w:t> </w:t>
      </w:r>
      <w:r>
        <w:rPr>
          <w:spacing w:val="17"/>
        </w:rPr>
        <w:t>元，收回或转回原单项计提的坏账准备金额</w:t>
      </w:r>
      <w:r>
        <w:rPr/>
        <w:t> </w:t>
      </w:r>
      <w:r>
        <w:rPr>
          <w:rFonts w:ascii="宋体" w:hAnsi="宋体" w:cs="宋体" w:eastAsia="宋体" w:hint="default"/>
        </w:rPr>
        <w:t>541,697.01</w:t>
      </w:r>
      <w:r>
        <w:rPr>
          <w:rFonts w:ascii="宋体" w:hAnsi="宋体" w:cs="宋体" w:eastAsia="宋体" w:hint="default"/>
          <w:spacing w:val="-60"/>
        </w:rPr>
        <w:t> </w:t>
      </w:r>
      <w:r>
        <w:rPr/>
        <w:t>元，核销坏账准备金额</w:t>
      </w:r>
      <w:r>
        <w:rPr>
          <w:spacing w:val="-60"/>
        </w:rPr>
        <w:t> </w:t>
      </w:r>
      <w:r>
        <w:rPr>
          <w:rFonts w:ascii="宋体" w:hAnsi="宋体" w:cs="宋体" w:eastAsia="宋体" w:hint="default"/>
        </w:rPr>
        <w:t>226,507.45</w:t>
      </w:r>
      <w:r>
        <w:rPr>
          <w:rFonts w:ascii="宋体" w:hAnsi="宋体" w:cs="宋体" w:eastAsia="宋体" w:hint="default"/>
          <w:spacing w:val="-60"/>
        </w:rPr>
        <w:t> </w:t>
      </w:r>
      <w:r>
        <w:rPr/>
        <w:t>元。</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60" w:right="1040"/>
        </w:sectPr>
      </w:pPr>
    </w:p>
    <w:p>
      <w:pPr>
        <w:pStyle w:val="Heading2"/>
        <w:spacing w:line="240" w:lineRule="auto" w:before="160"/>
        <w:ind w:left="238" w:right="-11"/>
        <w:jc w:val="left"/>
        <w:rPr>
          <w:b w:val="0"/>
          <w:bCs w:val="0"/>
        </w:rPr>
      </w:pPr>
      <w:r>
        <w:rPr>
          <w:rFonts w:ascii="宋体" w:hAnsi="宋体" w:cs="宋体" w:eastAsia="宋体" w:hint="default"/>
        </w:rPr>
        <w:t>(3).</w:t>
      </w:r>
      <w:r>
        <w:rPr>
          <w:rFonts w:ascii="宋体" w:hAnsi="宋体" w:cs="宋体" w:eastAsia="宋体" w:hint="default"/>
          <w:spacing w:val="-39"/>
        </w:rPr>
        <w:t> </w:t>
      </w:r>
      <w:r>
        <w:rPr/>
        <w:t>本期实际核销的应收账款情况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2"/>
        <w:rPr>
          <w:rFonts w:ascii="宋体" w:hAnsi="宋体" w:cs="宋体" w:eastAsia="宋体" w:hint="default"/>
          <w:b/>
          <w:bCs/>
          <w:sz w:val="20"/>
          <w:szCs w:val="20"/>
        </w:rPr>
      </w:pPr>
    </w:p>
    <w:p>
      <w:pPr>
        <w:tabs>
          <w:tab w:pos="1287" w:val="left" w:leader="none"/>
        </w:tabs>
        <w:spacing w:before="0"/>
        <w:ind w:left="23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560" w:right="1040"/>
          <w:cols w:num="2" w:equalWidth="0">
            <w:col w:w="3946" w:space="2578"/>
            <w:col w:w="2786"/>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274"/>
        <w:gridCol w:w="4776"/>
      </w:tblGrid>
      <w:tr>
        <w:trPr>
          <w:trHeight w:val="282"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322"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2"/>
              <w:jc w:val="right"/>
              <w:rPr>
                <w:rFonts w:ascii="宋体" w:hAnsi="宋体" w:cs="宋体" w:eastAsia="宋体" w:hint="default"/>
                <w:sz w:val="24"/>
                <w:szCs w:val="24"/>
              </w:rPr>
            </w:pPr>
            <w:r>
              <w:rPr>
                <w:rFonts w:ascii="宋体"/>
                <w:sz w:val="24"/>
              </w:rPr>
              <w:t>226,507.45</w:t>
            </w:r>
          </w:p>
        </w:tc>
      </w:tr>
    </w:tbl>
    <w:p>
      <w:pPr>
        <w:spacing w:after="0" w:line="276" w:lineRule="exact"/>
        <w:jc w:val="right"/>
        <w:rPr>
          <w:rFonts w:ascii="宋体" w:hAnsi="宋体" w:cs="宋体" w:eastAsia="宋体" w:hint="default"/>
          <w:sz w:val="24"/>
          <w:szCs w:val="24"/>
        </w:rPr>
        <w:sectPr>
          <w:type w:val="continuous"/>
          <w:pgSz w:w="11910" w:h="16840"/>
          <w:pgMar w:top="1080" w:bottom="1380" w:left="1560" w:right="1040"/>
        </w:sectPr>
      </w:pPr>
    </w:p>
    <w:p>
      <w:pPr>
        <w:spacing w:line="240" w:lineRule="auto" w:before="9"/>
        <w:rPr>
          <w:rFonts w:ascii="宋体" w:hAnsi="宋体" w:cs="宋体" w:eastAsia="宋体" w:hint="default"/>
          <w:sz w:val="25"/>
          <w:szCs w:val="25"/>
        </w:rPr>
      </w:pPr>
    </w:p>
    <w:p>
      <w:pPr>
        <w:pStyle w:val="Heading2"/>
        <w:spacing w:line="240" w:lineRule="auto"/>
        <w:ind w:left="678" w:right="628"/>
        <w:jc w:val="left"/>
        <w:rPr>
          <w:b w:val="0"/>
          <w:bCs w:val="0"/>
        </w:rPr>
      </w:pPr>
      <w:r>
        <w:rPr>
          <w:rFonts w:ascii="宋体" w:hAnsi="宋体" w:cs="宋体" w:eastAsia="宋体" w:hint="default"/>
        </w:rPr>
        <w:t>(4).</w:t>
      </w:r>
      <w:r>
        <w:rPr>
          <w:rFonts w:ascii="宋体" w:hAnsi="宋体" w:cs="宋体" w:eastAsia="宋体" w:hint="default"/>
          <w:spacing w:val="-53"/>
        </w:rPr>
        <w:t> </w:t>
      </w:r>
      <w:r>
        <w:rPr/>
        <w:t>按欠款方归集的期末余额前五名的应收账款情况：</w:t>
      </w:r>
      <w:r>
        <w:rPr>
          <w:b w:val="0"/>
          <w:bCs w:val="0"/>
        </w:rPr>
      </w:r>
    </w:p>
    <w:p>
      <w:pPr>
        <w:pStyle w:val="BodyText"/>
        <w:spacing w:line="237" w:lineRule="auto" w:before="59"/>
        <w:ind w:left="678" w:right="632" w:firstLine="420"/>
        <w:jc w:val="both"/>
      </w:pPr>
      <w:r>
        <w:rPr/>
        <w:t>本期按欠款方归集的期末余额前五名应收账款汇总金额</w:t>
      </w:r>
      <w:r>
        <w:rPr>
          <w:spacing w:val="-60"/>
        </w:rPr>
        <w:t> </w:t>
      </w:r>
      <w:r>
        <w:rPr>
          <w:rFonts w:ascii="宋体" w:hAnsi="宋体" w:cs="宋体" w:eastAsia="宋体" w:hint="default"/>
        </w:rPr>
        <w:t>313,584,132.98</w:t>
      </w:r>
      <w:r>
        <w:rPr>
          <w:rFonts w:ascii="宋体" w:hAnsi="宋体" w:cs="宋体" w:eastAsia="宋体" w:hint="default"/>
          <w:spacing w:val="-60"/>
        </w:rPr>
        <w:t> </w:t>
      </w:r>
      <w:r>
        <w:rPr>
          <w:spacing w:val="-27"/>
        </w:rPr>
        <w:t>元，占应</w:t>
      </w:r>
      <w:r>
        <w:rPr/>
        <w:t> </w:t>
      </w:r>
      <w:r>
        <w:rPr>
          <w:spacing w:val="15"/>
        </w:rPr>
        <w:t>收账款期末余额合计数的比例</w:t>
      </w:r>
      <w:r>
        <w:rPr>
          <w:spacing w:val="40"/>
        </w:rPr>
        <w:t> </w:t>
      </w:r>
      <w:r>
        <w:rPr>
          <w:rFonts w:ascii="宋体" w:hAnsi="宋体" w:cs="宋体" w:eastAsia="宋体" w:hint="default"/>
          <w:spacing w:val="12"/>
        </w:rPr>
        <w:t>17.59%</w:t>
      </w:r>
      <w:r>
        <w:rPr>
          <w:spacing w:val="12"/>
        </w:rPr>
        <w:t>，相应计提的坏账准备期末余额汇总金额</w:t>
      </w:r>
      <w:r>
        <w:rPr>
          <w:spacing w:val="-116"/>
        </w:rPr>
        <w:t> </w:t>
      </w:r>
      <w:r>
        <w:rPr>
          <w:spacing w:val="-116"/>
        </w:rPr>
      </w:r>
      <w:r>
        <w:rPr>
          <w:rFonts w:ascii="宋体" w:hAnsi="宋体" w:cs="宋体" w:eastAsia="宋体" w:hint="default"/>
        </w:rPr>
        <w:t>23,038,623.38</w:t>
      </w:r>
      <w:r>
        <w:rPr>
          <w:rFonts w:ascii="宋体" w:hAnsi="宋体" w:cs="宋体" w:eastAsia="宋体" w:hint="default"/>
          <w:spacing w:val="-60"/>
        </w:rPr>
        <w:t> </w:t>
      </w:r>
      <w:r>
        <w:rPr/>
        <w:t>元。</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120" w:right="640"/>
        </w:sectPr>
      </w:pPr>
    </w:p>
    <w:p>
      <w:pPr>
        <w:pStyle w:val="Heading2"/>
        <w:spacing w:line="240" w:lineRule="auto" w:before="188"/>
        <w:ind w:left="678" w:right="-9"/>
        <w:jc w:val="left"/>
        <w:rPr>
          <w:b w:val="0"/>
          <w:bCs w:val="0"/>
        </w:rPr>
      </w:pPr>
      <w:r>
        <w:rPr>
          <w:rFonts w:ascii="宋体" w:hAnsi="宋体" w:cs="宋体" w:eastAsia="宋体" w:hint="default"/>
        </w:rPr>
        <w:t>4</w:t>
      </w:r>
      <w:r>
        <w:rPr/>
        <w:t>、</w:t>
      </w:r>
      <w:r>
        <w:rPr>
          <w:spacing w:val="-64"/>
        </w:rPr>
        <w:t> </w:t>
      </w:r>
      <w:r>
        <w:rPr/>
        <w:t>预付款项</w:t>
      </w:r>
      <w:r>
        <w:rPr>
          <w:b w:val="0"/>
          <w:bCs w:val="0"/>
        </w:rPr>
      </w:r>
    </w:p>
    <w:p>
      <w:pPr>
        <w:pStyle w:val="Heading2"/>
        <w:spacing w:line="240" w:lineRule="auto" w:before="58"/>
        <w:ind w:left="678" w:right="-9"/>
        <w:jc w:val="left"/>
        <w:rPr>
          <w:b w:val="0"/>
          <w:bCs w:val="0"/>
        </w:rPr>
      </w:pPr>
      <w:r>
        <w:rPr>
          <w:rFonts w:ascii="宋体" w:hAnsi="宋体" w:cs="宋体" w:eastAsia="宋体" w:hint="default"/>
        </w:rPr>
        <w:t>(1).</w:t>
      </w:r>
      <w:r>
        <w:rPr>
          <w:rFonts w:ascii="宋体" w:hAnsi="宋体" w:cs="宋体" w:eastAsia="宋体" w:hint="default"/>
          <w:spacing w:val="-2"/>
        </w:rPr>
        <w:t> </w:t>
      </w:r>
      <w:r>
        <w:rPr/>
        <w:t>预付款项按账龄列示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tabs>
          <w:tab w:pos="1727" w:val="left" w:leader="none"/>
        </w:tabs>
        <w:spacing w:before="149"/>
        <w:ind w:left="67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120" w:right="640"/>
          <w:cols w:num="2" w:equalWidth="0">
            <w:col w:w="3461" w:space="3063"/>
            <w:col w:w="3626"/>
          </w:cols>
        </w:sectPr>
      </w:pPr>
    </w:p>
    <w:p>
      <w:pPr>
        <w:spacing w:line="240" w:lineRule="auto" w:before="7"/>
        <w:rPr>
          <w:rFonts w:ascii="宋体" w:hAnsi="宋体" w:cs="宋体" w:eastAsia="宋体" w:hint="default"/>
          <w:sz w:val="2"/>
          <w:szCs w:val="2"/>
        </w:rPr>
      </w:pPr>
    </w:p>
    <w:tbl>
      <w:tblPr>
        <w:tblW w:w="0" w:type="auto"/>
        <w:jc w:val="left"/>
        <w:tblInd w:w="639" w:type="dxa"/>
        <w:tblLayout w:type="fixed"/>
        <w:tblCellMar>
          <w:top w:w="0" w:type="dxa"/>
          <w:left w:w="0" w:type="dxa"/>
          <w:bottom w:w="0" w:type="dxa"/>
          <w:right w:w="0" w:type="dxa"/>
        </w:tblCellMar>
        <w:tblLook w:val="01E0"/>
      </w:tblPr>
      <w:tblGrid>
        <w:gridCol w:w="1361"/>
        <w:gridCol w:w="1892"/>
        <w:gridCol w:w="1877"/>
        <w:gridCol w:w="1876"/>
        <w:gridCol w:w="1891"/>
      </w:tblGrid>
      <w:tr>
        <w:trPr>
          <w:trHeight w:val="287" w:hRule="exact"/>
        </w:trPr>
        <w:tc>
          <w:tcPr>
            <w:tcW w:w="1361" w:type="dxa"/>
            <w:vMerge w:val="restart"/>
            <w:tcBorders>
              <w:top w:val="single" w:sz="6" w:space="0" w:color="000000"/>
              <w:left w:val="single" w:sz="6" w:space="0" w:color="000000"/>
              <w:right w:val="single" w:sz="6" w:space="0" w:color="000000"/>
            </w:tcBorders>
          </w:tcPr>
          <w:p>
            <w:pPr>
              <w:pStyle w:val="TableParagraph"/>
              <w:spacing w:line="240" w:lineRule="auto" w:before="108"/>
              <w:ind w:right="2"/>
              <w:jc w:val="center"/>
              <w:rPr>
                <w:rFonts w:ascii="宋体" w:hAnsi="宋体" w:cs="宋体" w:eastAsia="宋体" w:hint="default"/>
                <w:sz w:val="21"/>
                <w:szCs w:val="21"/>
              </w:rPr>
            </w:pPr>
            <w:r>
              <w:rPr>
                <w:rFonts w:ascii="宋体" w:hAnsi="宋体" w:cs="宋体" w:eastAsia="宋体" w:hint="default"/>
                <w:sz w:val="21"/>
                <w:szCs w:val="21"/>
              </w:rPr>
              <w:t>账龄</w:t>
            </w:r>
          </w:p>
        </w:tc>
        <w:tc>
          <w:tcPr>
            <w:tcW w:w="37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361" w:type="dxa"/>
            <w:vMerge/>
            <w:tcBorders>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金额</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164,688,118.45</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81.96</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190,566,079.35</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85.42</w:t>
            </w:r>
          </w:p>
        </w:tc>
      </w:tr>
      <w:tr>
        <w:trPr>
          <w:trHeight w:val="376"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23,365,560.15</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11.63</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27,314,463.69</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12.24</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12,574,718.76</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6.26</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4,927,823.69</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9"/>
              <w:jc w:val="right"/>
              <w:rPr>
                <w:rFonts w:ascii="宋体" w:hAnsi="宋体" w:cs="宋体" w:eastAsia="宋体" w:hint="default"/>
                <w:sz w:val="21"/>
                <w:szCs w:val="21"/>
              </w:rPr>
            </w:pPr>
            <w:r>
              <w:rPr>
                <w:rFonts w:ascii="宋体"/>
                <w:sz w:val="21"/>
              </w:rPr>
              <w:t>2.21</w:t>
            </w:r>
          </w:p>
        </w:tc>
      </w:tr>
      <w:tr>
        <w:trPr>
          <w:trHeight w:val="376"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291,891.50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0.15</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299,252.54</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21"/>
                <w:szCs w:val="21"/>
              </w:rPr>
            </w:pPr>
            <w:r>
              <w:rPr>
                <w:rFonts w:ascii="宋体"/>
                <w:sz w:val="21"/>
              </w:rPr>
              <w:t>0.13</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200,920,288.86</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100.00</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223,107,619.27</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9"/>
              <w:jc w:val="right"/>
              <w:rPr>
                <w:rFonts w:ascii="宋体" w:hAnsi="宋体" w:cs="宋体" w:eastAsia="宋体" w:hint="default"/>
                <w:sz w:val="21"/>
                <w:szCs w:val="21"/>
              </w:rPr>
            </w:pPr>
            <w:r>
              <w:rPr>
                <w:rFonts w:ascii="宋体"/>
                <w:sz w:val="21"/>
              </w:rPr>
              <w:t>100.00</w:t>
            </w:r>
          </w:p>
        </w:tc>
      </w:tr>
    </w:tbl>
    <w:p>
      <w:pPr>
        <w:spacing w:line="240" w:lineRule="auto" w:before="7"/>
        <w:rPr>
          <w:rFonts w:ascii="宋体" w:hAnsi="宋体" w:cs="宋体" w:eastAsia="宋体" w:hint="default"/>
          <w:sz w:val="20"/>
          <w:szCs w:val="20"/>
        </w:rPr>
      </w:pPr>
    </w:p>
    <w:p>
      <w:pPr>
        <w:pStyle w:val="Heading2"/>
        <w:spacing w:line="240" w:lineRule="auto"/>
        <w:ind w:left="678" w:right="628"/>
        <w:jc w:val="left"/>
        <w:rPr>
          <w:b w:val="0"/>
          <w:bCs w:val="0"/>
        </w:rPr>
      </w:pPr>
      <w:r>
        <w:rPr>
          <w:rFonts w:ascii="宋体" w:hAnsi="宋体" w:cs="宋体" w:eastAsia="宋体" w:hint="default"/>
        </w:rPr>
        <w:t>(2).</w:t>
      </w:r>
      <w:r>
        <w:rPr>
          <w:rFonts w:ascii="宋体" w:hAnsi="宋体" w:cs="宋体" w:eastAsia="宋体" w:hint="default"/>
          <w:spacing w:val="-11"/>
        </w:rPr>
        <w:t> </w:t>
      </w:r>
      <w:r>
        <w:rPr/>
        <w:t>按预付对象归集的期末余额前五名的预付款情况：</w:t>
      </w:r>
      <w:r>
        <w:rPr>
          <w:b w:val="0"/>
          <w:bCs w:val="0"/>
        </w:rPr>
      </w:r>
    </w:p>
    <w:p>
      <w:pPr>
        <w:pStyle w:val="BodyText"/>
        <w:spacing w:line="312" w:lineRule="exact" w:before="87"/>
        <w:ind w:left="678" w:right="628" w:firstLine="420"/>
        <w:jc w:val="left"/>
      </w:pPr>
      <w:r>
        <w:rPr/>
        <w:t>本期按预付对象归集的期末余额前五名预付款项汇总金额</w:t>
      </w:r>
      <w:r>
        <w:rPr>
          <w:spacing w:val="-60"/>
        </w:rPr>
        <w:t> </w:t>
      </w:r>
      <w:r>
        <w:rPr>
          <w:rFonts w:ascii="宋体" w:hAnsi="宋体" w:cs="宋体" w:eastAsia="宋体" w:hint="default"/>
        </w:rPr>
        <w:t>84,530,591.69</w:t>
      </w:r>
      <w:r>
        <w:rPr>
          <w:rFonts w:ascii="宋体" w:hAnsi="宋体" w:cs="宋体" w:eastAsia="宋体" w:hint="default"/>
          <w:spacing w:val="-60"/>
        </w:rPr>
        <w:t> </w:t>
      </w:r>
      <w:r>
        <w:rPr/>
        <w:t>元，占 预付款项期末余额合计数的比例</w:t>
      </w:r>
      <w:r>
        <w:rPr>
          <w:spacing w:val="-60"/>
        </w:rPr>
        <w:t> </w:t>
      </w:r>
      <w:r>
        <w:rPr>
          <w:rFonts w:ascii="宋体" w:hAnsi="宋体" w:cs="宋体" w:eastAsia="宋体" w:hint="default"/>
        </w:rPr>
        <w:t>42.07%</w:t>
      </w:r>
      <w:r>
        <w:rPr/>
        <w:t>。</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80" w:bottom="1380" w:left="1120" w:right="640"/>
        </w:sectPr>
      </w:pPr>
    </w:p>
    <w:p>
      <w:pPr>
        <w:pStyle w:val="Heading2"/>
        <w:spacing w:line="240" w:lineRule="auto" w:before="159"/>
        <w:ind w:left="678" w:right="-12"/>
        <w:jc w:val="left"/>
        <w:rPr>
          <w:b w:val="0"/>
          <w:bCs w:val="0"/>
        </w:rPr>
      </w:pPr>
      <w:r>
        <w:rPr>
          <w:rFonts w:ascii="宋体" w:hAnsi="宋体" w:cs="宋体" w:eastAsia="宋体" w:hint="default"/>
        </w:rPr>
        <w:t>5</w:t>
      </w:r>
      <w:r>
        <w:rPr/>
        <w:t>、</w:t>
      </w:r>
      <w:r>
        <w:rPr>
          <w:spacing w:val="-64"/>
        </w:rPr>
        <w:t> </w:t>
      </w:r>
      <w:r>
        <w:rPr/>
        <w:t>其他应收款</w:t>
      </w:r>
      <w:r>
        <w:rPr>
          <w:b w:val="0"/>
          <w:bCs w:val="0"/>
        </w:rPr>
      </w:r>
    </w:p>
    <w:p>
      <w:pPr>
        <w:pStyle w:val="Heading2"/>
        <w:spacing w:line="240" w:lineRule="auto" w:before="56"/>
        <w:ind w:left="678" w:right="-12"/>
        <w:jc w:val="left"/>
        <w:rPr>
          <w:b w:val="0"/>
          <w:bCs w:val="0"/>
        </w:rPr>
      </w:pPr>
      <w:r>
        <w:rPr>
          <w:rFonts w:ascii="宋体" w:hAnsi="宋体" w:cs="宋体" w:eastAsia="宋体" w:hint="default"/>
        </w:rPr>
        <w:t>(1).</w:t>
      </w:r>
      <w:r>
        <w:rPr>
          <w:rFonts w:ascii="宋体" w:hAnsi="宋体" w:cs="宋体" w:eastAsia="宋体" w:hint="default"/>
          <w:spacing w:val="-27"/>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9"/>
          <w:szCs w:val="29"/>
        </w:rPr>
      </w:pPr>
    </w:p>
    <w:p>
      <w:pPr>
        <w:tabs>
          <w:tab w:pos="1727" w:val="left" w:leader="none"/>
        </w:tabs>
        <w:spacing w:before="0"/>
        <w:ind w:left="678"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120" w:right="640"/>
          <w:cols w:num="2" w:equalWidth="0">
            <w:col w:w="3433" w:space="2985"/>
            <w:col w:w="3732"/>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24"/>
        <w:gridCol w:w="1133"/>
        <w:gridCol w:w="589"/>
        <w:gridCol w:w="970"/>
        <w:gridCol w:w="488"/>
        <w:gridCol w:w="1074"/>
        <w:gridCol w:w="1038"/>
        <w:gridCol w:w="587"/>
        <w:gridCol w:w="962"/>
        <w:gridCol w:w="589"/>
        <w:gridCol w:w="1070"/>
      </w:tblGrid>
      <w:tr>
        <w:trPr>
          <w:trHeight w:val="293" w:hRule="exact"/>
        </w:trPr>
        <w:tc>
          <w:tcPr>
            <w:tcW w:w="14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类别</w:t>
            </w:r>
          </w:p>
        </w:tc>
        <w:tc>
          <w:tcPr>
            <w:tcW w:w="42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3"/>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2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04" w:hRule="exact"/>
        </w:trPr>
        <w:tc>
          <w:tcPr>
            <w:tcW w:w="1424" w:type="dxa"/>
            <w:vMerge/>
            <w:tcBorders>
              <w:left w:val="single" w:sz="4" w:space="0" w:color="000000"/>
              <w:right w:val="single" w:sz="4" w:space="0" w:color="000000"/>
            </w:tcBorders>
          </w:tcPr>
          <w:p>
            <w:pPr/>
          </w:p>
        </w:tc>
        <w:tc>
          <w:tcPr>
            <w:tcW w:w="1722" w:type="dxa"/>
            <w:gridSpan w:val="2"/>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54"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22"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07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80" w:right="383"/>
              <w:jc w:val="center"/>
              <w:rPr>
                <w:rFonts w:ascii="宋体" w:hAnsi="宋体" w:cs="宋体" w:eastAsia="宋体" w:hint="default"/>
                <w:sz w:val="15"/>
                <w:szCs w:val="15"/>
              </w:rPr>
            </w:pPr>
            <w:r>
              <w:rPr>
                <w:rFonts w:ascii="宋体" w:hAnsi="宋体" w:cs="宋体" w:eastAsia="宋体" w:hint="default"/>
                <w:sz w:val="15"/>
                <w:szCs w:val="15"/>
              </w:rPr>
              <w:t>账面 价值</w:t>
            </w:r>
          </w:p>
        </w:tc>
        <w:tc>
          <w:tcPr>
            <w:tcW w:w="1625" w:type="dxa"/>
            <w:gridSpan w:val="2"/>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06"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70"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07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79" w:right="379"/>
              <w:jc w:val="center"/>
              <w:rPr>
                <w:rFonts w:ascii="宋体" w:hAnsi="宋体" w:cs="宋体" w:eastAsia="宋体" w:hint="default"/>
                <w:sz w:val="15"/>
                <w:szCs w:val="15"/>
              </w:rPr>
            </w:pPr>
            <w:r>
              <w:rPr>
                <w:rFonts w:ascii="宋体" w:hAnsi="宋体" w:cs="宋体" w:eastAsia="宋体" w:hint="default"/>
                <w:sz w:val="15"/>
                <w:szCs w:val="15"/>
              </w:rPr>
              <w:t>账面 价值</w:t>
            </w:r>
          </w:p>
        </w:tc>
      </w:tr>
      <w:tr>
        <w:trPr>
          <w:trHeight w:val="594" w:hRule="exact"/>
        </w:trPr>
        <w:tc>
          <w:tcPr>
            <w:tcW w:w="1424"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6"/>
              <w:jc w:val="right"/>
              <w:rPr>
                <w:rFonts w:ascii="宋体" w:hAnsi="宋体" w:cs="宋体" w:eastAsia="宋体" w:hint="default"/>
                <w:sz w:val="15"/>
                <w:szCs w:val="15"/>
              </w:rPr>
            </w:pPr>
            <w:r>
              <w:rPr>
                <w:rFonts w:ascii="宋体" w:hAnsi="宋体" w:cs="宋体" w:eastAsia="宋体" w:hint="default"/>
                <w:spacing w:val="-1"/>
                <w:sz w:val="15"/>
                <w:szCs w:val="15"/>
              </w:rPr>
              <w:t>比例</w:t>
            </w:r>
            <w:r>
              <w:rPr>
                <w:rFonts w:ascii="宋体" w:hAnsi="宋体" w:cs="宋体" w:eastAsia="宋体" w:hint="default"/>
                <w:spacing w:val="-1"/>
                <w:sz w:val="15"/>
                <w:szCs w:val="15"/>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87"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26" w:right="89" w:hanging="39"/>
              <w:jc w:val="left"/>
              <w:rPr>
                <w:rFonts w:ascii="宋体" w:hAnsi="宋体" w:cs="宋体" w:eastAsia="宋体" w:hint="default"/>
                <w:sz w:val="15"/>
                <w:szCs w:val="15"/>
              </w:rPr>
            </w:pPr>
            <w:r>
              <w:rPr>
                <w:rFonts w:ascii="宋体" w:hAnsi="宋体" w:cs="宋体" w:eastAsia="宋体" w:hint="default"/>
                <w:sz w:val="15"/>
                <w:szCs w:val="15"/>
              </w:rPr>
              <w:t>比例 </w:t>
            </w:r>
            <w:r>
              <w:rPr>
                <w:rFonts w:ascii="宋体" w:hAnsi="宋体" w:cs="宋体" w:eastAsia="宋体" w:hint="default"/>
                <w:sz w:val="15"/>
                <w:szCs w:val="15"/>
              </w:rPr>
              <w:t>(%)</w:t>
            </w:r>
          </w:p>
        </w:tc>
        <w:tc>
          <w:tcPr>
            <w:tcW w:w="1074" w:type="dxa"/>
            <w:vMerge/>
            <w:tcBorders>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5"/>
                <w:szCs w:val="15"/>
              </w:rPr>
            </w:pPr>
            <w:r>
              <w:rPr>
                <w:rFonts w:ascii="宋体" w:hAnsi="宋体" w:cs="宋体" w:eastAsia="宋体" w:hint="default"/>
                <w:spacing w:val="-1"/>
                <w:sz w:val="15"/>
                <w:szCs w:val="15"/>
              </w:rPr>
              <w:t>比例</w:t>
            </w:r>
            <w:r>
              <w:rPr>
                <w:rFonts w:ascii="宋体" w:hAnsi="宋体" w:cs="宋体" w:eastAsia="宋体" w:hint="default"/>
                <w:spacing w:val="-1"/>
                <w:sz w:val="15"/>
                <w:szCs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1" w:right="62" w:hanging="38"/>
              <w:jc w:val="left"/>
              <w:rPr>
                <w:rFonts w:ascii="宋体" w:hAnsi="宋体" w:cs="宋体" w:eastAsia="宋体" w:hint="default"/>
                <w:sz w:val="15"/>
                <w:szCs w:val="15"/>
              </w:rPr>
            </w:pPr>
            <w:r>
              <w:rPr>
                <w:rFonts w:ascii="宋体" w:hAnsi="宋体" w:cs="宋体" w:eastAsia="宋体" w:hint="default"/>
                <w:sz w:val="15"/>
                <w:szCs w:val="15"/>
              </w:rPr>
              <w:t>计提比 例</w:t>
            </w:r>
            <w:r>
              <w:rPr>
                <w:rFonts w:ascii="宋体" w:hAnsi="宋体" w:cs="宋体" w:eastAsia="宋体" w:hint="default"/>
                <w:sz w:val="15"/>
                <w:szCs w:val="15"/>
              </w:rPr>
              <w:t>(%)</w:t>
            </w:r>
          </w:p>
        </w:tc>
        <w:tc>
          <w:tcPr>
            <w:tcW w:w="1070" w:type="dxa"/>
            <w:vMerge/>
            <w:tcBorders>
              <w:left w:val="single" w:sz="4" w:space="0" w:color="000000"/>
              <w:bottom w:val="single" w:sz="4" w:space="0" w:color="000000"/>
              <w:right w:val="single" w:sz="4" w:space="0" w:color="000000"/>
            </w:tcBorders>
          </w:tcPr>
          <w:p>
            <w:pPr/>
          </w:p>
        </w:tc>
      </w:tr>
      <w:tr>
        <w:trPr>
          <w:trHeight w:val="594"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6" w:right="0"/>
              <w:jc w:val="left"/>
              <w:rPr>
                <w:rFonts w:ascii="宋体" w:hAnsi="宋体" w:cs="宋体" w:eastAsia="宋体" w:hint="default"/>
                <w:sz w:val="15"/>
                <w:szCs w:val="15"/>
              </w:rPr>
            </w:pPr>
            <w:r>
              <w:rPr>
                <w:rFonts w:ascii="宋体" w:hAnsi="宋体" w:cs="宋体" w:eastAsia="宋体" w:hint="default"/>
                <w:sz w:val="15"/>
                <w:szCs w:val="15"/>
              </w:rPr>
              <w:t>单项金额重大并单独</w:t>
            </w:r>
          </w:p>
          <w:p>
            <w:pPr>
              <w:pStyle w:val="TableParagraph"/>
              <w:spacing w:line="240" w:lineRule="auto"/>
              <w:ind w:left="26" w:right="35"/>
              <w:jc w:val="left"/>
              <w:rPr>
                <w:rFonts w:ascii="宋体" w:hAnsi="宋体" w:cs="宋体" w:eastAsia="宋体" w:hint="default"/>
                <w:sz w:val="15"/>
                <w:szCs w:val="15"/>
              </w:rPr>
            </w:pPr>
            <w:r>
              <w:rPr>
                <w:rFonts w:ascii="宋体" w:hAnsi="宋体" w:cs="宋体" w:eastAsia="宋体" w:hint="default"/>
                <w:sz w:val="15"/>
                <w:szCs w:val="15"/>
              </w:rPr>
              <w:t>计提坏账准备的其他 应收款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0.00</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0.00</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51" w:right="0"/>
              <w:jc w:val="left"/>
              <w:rPr>
                <w:rFonts w:ascii="宋体" w:hAnsi="宋体" w:cs="宋体" w:eastAsia="宋体" w:hint="default"/>
                <w:sz w:val="15"/>
                <w:szCs w:val="15"/>
              </w:rPr>
            </w:pPr>
            <w:r>
              <w:rPr>
                <w:rFonts w:ascii="宋体"/>
                <w:sz w:val="15"/>
              </w:rPr>
              <w:t>0.00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0.00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0.00</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0.00</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0.00</w:t>
            </w:r>
          </w:p>
        </w:tc>
      </w:tr>
      <w:tr>
        <w:trPr>
          <w:trHeight w:val="593"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6" w:right="0"/>
              <w:jc w:val="left"/>
              <w:rPr>
                <w:rFonts w:ascii="宋体" w:hAnsi="宋体" w:cs="宋体" w:eastAsia="宋体" w:hint="default"/>
                <w:sz w:val="15"/>
                <w:szCs w:val="15"/>
              </w:rPr>
            </w:pPr>
            <w:r>
              <w:rPr>
                <w:rFonts w:ascii="宋体" w:hAnsi="宋体" w:cs="宋体" w:eastAsia="宋体" w:hint="default"/>
                <w:sz w:val="15"/>
                <w:szCs w:val="15"/>
              </w:rPr>
              <w:t>按信用风险特征组合</w:t>
            </w:r>
          </w:p>
          <w:p>
            <w:pPr>
              <w:pStyle w:val="TableParagraph"/>
              <w:spacing w:line="240" w:lineRule="auto"/>
              <w:ind w:left="26" w:right="35"/>
              <w:jc w:val="left"/>
              <w:rPr>
                <w:rFonts w:ascii="宋体" w:hAnsi="宋体" w:cs="宋体" w:eastAsia="宋体" w:hint="default"/>
                <w:sz w:val="15"/>
                <w:szCs w:val="15"/>
              </w:rPr>
            </w:pPr>
            <w:r>
              <w:rPr>
                <w:rFonts w:ascii="宋体" w:hAnsi="宋体" w:cs="宋体" w:eastAsia="宋体" w:hint="default"/>
                <w:sz w:val="15"/>
                <w:szCs w:val="15"/>
              </w:rPr>
              <w:t>计提坏账准备的其他 应收款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68,907,082.76</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81.40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6,849,290.48</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51" w:right="0"/>
              <w:jc w:val="left"/>
              <w:rPr>
                <w:rFonts w:ascii="宋体" w:hAnsi="宋体" w:cs="宋体" w:eastAsia="宋体" w:hint="default"/>
                <w:sz w:val="15"/>
                <w:szCs w:val="15"/>
              </w:rPr>
            </w:pPr>
            <w:r>
              <w:rPr>
                <w:rFonts w:ascii="宋体"/>
                <w:sz w:val="15"/>
              </w:rPr>
              <w:t>9.94</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62,057,792.28</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70,342,998.88</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83.38</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7,353,170.08</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10.45</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62,989,828.80</w:t>
            </w:r>
          </w:p>
        </w:tc>
      </w:tr>
      <w:tr>
        <w:trPr>
          <w:trHeight w:val="594"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z w:val="15"/>
                <w:szCs w:val="15"/>
              </w:rPr>
              <w:t>单项金额不重大但单</w:t>
            </w:r>
          </w:p>
          <w:p>
            <w:pPr>
              <w:pStyle w:val="TableParagraph"/>
              <w:spacing w:line="240" w:lineRule="auto"/>
              <w:ind w:left="26" w:right="35"/>
              <w:jc w:val="left"/>
              <w:rPr>
                <w:rFonts w:ascii="宋体" w:hAnsi="宋体" w:cs="宋体" w:eastAsia="宋体" w:hint="default"/>
                <w:sz w:val="15"/>
                <w:szCs w:val="15"/>
              </w:rPr>
            </w:pPr>
            <w:r>
              <w:rPr>
                <w:rFonts w:ascii="宋体" w:hAnsi="宋体" w:cs="宋体" w:eastAsia="宋体" w:hint="default"/>
                <w:sz w:val="15"/>
                <w:szCs w:val="15"/>
              </w:rPr>
              <w:t>独计提坏账准备的其 他应收款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15,748,632.40</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18.60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357,775.74</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51" w:right="0"/>
              <w:jc w:val="left"/>
              <w:rPr>
                <w:rFonts w:ascii="宋体" w:hAnsi="宋体" w:cs="宋体" w:eastAsia="宋体" w:hint="default"/>
                <w:sz w:val="15"/>
                <w:szCs w:val="15"/>
              </w:rPr>
            </w:pPr>
            <w:r>
              <w:rPr>
                <w:rFonts w:ascii="宋体"/>
                <w:sz w:val="15"/>
              </w:rPr>
              <w:t>2.27</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15,390,856.66</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14,017,694.58</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16.62</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560,823.16</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4.00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13,456,871.42</w:t>
            </w:r>
          </w:p>
        </w:tc>
      </w:tr>
      <w:tr>
        <w:trPr>
          <w:trHeight w:val="205"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sz w:val="15"/>
                <w:szCs w:val="15"/>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84,655,715.16</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
              <w:jc w:val="center"/>
              <w:rPr>
                <w:rFonts w:ascii="宋体" w:hAnsi="宋体" w:cs="宋体" w:eastAsia="宋体" w:hint="default"/>
                <w:sz w:val="15"/>
                <w:szCs w:val="15"/>
              </w:rPr>
            </w:pPr>
            <w:r>
              <w:rPr>
                <w:rFonts w:ascii="宋体"/>
                <w:sz w:val="15"/>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7,207,066.22</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00" w:right="0"/>
              <w:jc w:val="left"/>
              <w:rPr>
                <w:rFonts w:ascii="宋体" w:hAnsi="宋体" w:cs="宋体" w:eastAsia="宋体" w:hint="default"/>
                <w:sz w:val="15"/>
                <w:szCs w:val="15"/>
              </w:rPr>
            </w:pPr>
            <w:r>
              <w:rPr>
                <w:rFonts w:ascii="宋体"/>
                <w:sz w:val="15"/>
              </w:rPr>
              <w:t>/</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77,448,648.94</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84,360,693.46</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7,913,993.24</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76,446,700.22</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080" w:bottom="1380" w:left="1120" w:right="640"/>
        </w:sectPr>
      </w:pPr>
    </w:p>
    <w:p>
      <w:pPr>
        <w:spacing w:line="274" w:lineRule="exact" w:before="35"/>
        <w:ind w:left="678" w:right="-20" w:firstLine="0"/>
        <w:jc w:val="left"/>
        <w:rPr>
          <w:rFonts w:ascii="宋体" w:hAnsi="宋体" w:cs="宋体" w:eastAsia="宋体" w:hint="default"/>
          <w:sz w:val="21"/>
          <w:szCs w:val="21"/>
        </w:rPr>
      </w:pPr>
      <w:r>
        <w:rPr>
          <w:rFonts w:ascii="宋体" w:hAnsi="宋体" w:cs="宋体" w:eastAsia="宋体" w:hint="default"/>
          <w:sz w:val="21"/>
          <w:szCs w:val="21"/>
        </w:rPr>
        <w:t>期末单项金额重大并单项计提坏帐准备的其他应收款</w:t>
      </w:r>
    </w:p>
    <w:p>
      <w:pPr>
        <w:spacing w:line="272" w:lineRule="exact" w:before="26"/>
        <w:ind w:left="678" w:right="-2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组合中，按账龄分析法计提坏账准备的其他应收款：</w:t>
      </w:r>
    </w:p>
    <w:p>
      <w:pPr>
        <w:spacing w:line="245" w:lineRule="exact" w:before="0"/>
        <w:ind w:left="678" w:right="-20" w:firstLine="0"/>
        <w:jc w:val="left"/>
        <w:rPr>
          <w:rFonts w:ascii="宋体" w:hAnsi="宋体" w:cs="宋体" w:eastAsia="宋体" w:hint="default"/>
          <w:sz w:val="21"/>
          <w:szCs w:val="21"/>
        </w:rPr>
      </w:pPr>
      <w:r>
        <w:rPr>
          <w:rFonts w:ascii="宋体" w:hAnsi="宋体" w:cs="宋体" w:eastAsia="宋体" w:hint="default"/>
          <w:sz w:val="21"/>
          <w:szCs w:val="21"/>
        </w:rPr>
        <w:t>√适用□不适用</w:t>
      </w:r>
    </w:p>
    <w:p>
      <w:pPr>
        <w:spacing w:line="274" w:lineRule="exact" w:before="0"/>
        <w:ind w:left="678" w:right="-20" w:firstLine="0"/>
        <w:jc w:val="left"/>
        <w:rPr>
          <w:rFonts w:ascii="宋体" w:hAnsi="宋体" w:cs="宋体" w:eastAsia="宋体" w:hint="default"/>
          <w:sz w:val="21"/>
          <w:szCs w:val="21"/>
        </w:rPr>
      </w:pPr>
      <w:r>
        <w:rPr>
          <w:rFonts w:ascii="宋体" w:hAnsi="宋体" w:cs="宋体" w:eastAsia="宋体" w:hint="default"/>
          <w:sz w:val="21"/>
          <w:szCs w:val="21"/>
        </w:rPr>
        <w:t>确定该组合依据的说明：</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tabs>
          <w:tab w:pos="1832" w:val="left" w:leader="none"/>
        </w:tabs>
        <w:spacing w:before="0"/>
        <w:ind w:left="67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120" w:right="640"/>
          <w:cols w:num="2" w:equalWidth="0">
            <w:col w:w="5509" w:space="911"/>
            <w:col w:w="3730"/>
          </w:cols>
        </w:sectPr>
      </w:pPr>
    </w:p>
    <w:p>
      <w:pPr>
        <w:spacing w:line="240" w:lineRule="auto" w:before="7"/>
        <w:rPr>
          <w:rFonts w:ascii="宋体" w:hAnsi="宋体" w:cs="宋体" w:eastAsia="宋体" w:hint="default"/>
          <w:sz w:val="2"/>
          <w:szCs w:val="2"/>
        </w:rPr>
      </w:pPr>
    </w:p>
    <w:tbl>
      <w:tblPr>
        <w:tblW w:w="0" w:type="auto"/>
        <w:jc w:val="left"/>
        <w:tblInd w:w="570" w:type="dxa"/>
        <w:tblLayout w:type="fixed"/>
        <w:tblCellMar>
          <w:top w:w="0" w:type="dxa"/>
          <w:left w:w="0" w:type="dxa"/>
          <w:bottom w:w="0" w:type="dxa"/>
          <w:right w:w="0" w:type="dxa"/>
        </w:tblCellMar>
        <w:tblLook w:val="01E0"/>
      </w:tblPr>
      <w:tblGrid>
        <w:gridCol w:w="3480"/>
        <w:gridCol w:w="1184"/>
        <w:gridCol w:w="1457"/>
        <w:gridCol w:w="1814"/>
        <w:gridCol w:w="1067"/>
      </w:tblGrid>
      <w:tr>
        <w:trPr>
          <w:trHeight w:val="307" w:hRule="exact"/>
        </w:trPr>
        <w:tc>
          <w:tcPr>
            <w:tcW w:w="3480" w:type="dxa"/>
            <w:tcBorders>
              <w:top w:val="single" w:sz="8" w:space="0" w:color="000000"/>
              <w:left w:val="nil" w:sz="6" w:space="0" w:color="auto"/>
              <w:bottom w:val="nil" w:sz="6" w:space="0" w:color="auto"/>
              <w:right w:val="nil" w:sz="6" w:space="0" w:color="auto"/>
            </w:tcBorders>
          </w:tcPr>
          <w:p>
            <w:pPr/>
          </w:p>
        </w:tc>
        <w:tc>
          <w:tcPr>
            <w:tcW w:w="1184" w:type="dxa"/>
            <w:tcBorders>
              <w:top w:val="single" w:sz="8" w:space="0" w:color="000000"/>
              <w:left w:val="nil" w:sz="6" w:space="0" w:color="auto"/>
              <w:bottom w:val="nil" w:sz="6" w:space="0" w:color="auto"/>
              <w:right w:val="nil" w:sz="6" w:space="0" w:color="auto"/>
            </w:tcBorders>
          </w:tcPr>
          <w:p>
            <w:pPr/>
          </w:p>
        </w:tc>
        <w:tc>
          <w:tcPr>
            <w:tcW w:w="1457" w:type="dxa"/>
            <w:tcBorders>
              <w:top w:val="single" w:sz="8" w:space="0" w:color="000000"/>
              <w:left w:val="nil" w:sz="6" w:space="0" w:color="auto"/>
              <w:bottom w:val="nil" w:sz="6" w:space="0" w:color="auto"/>
              <w:right w:val="nil" w:sz="6" w:space="0" w:color="auto"/>
            </w:tcBorders>
          </w:tcPr>
          <w:p>
            <w:pPr>
              <w:pStyle w:val="TableParagraph"/>
              <w:spacing w:line="240" w:lineRule="auto" w:before="28"/>
              <w:ind w:left="216"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814" w:type="dxa"/>
            <w:tcBorders>
              <w:top w:val="single" w:sz="8" w:space="0" w:color="000000"/>
              <w:left w:val="nil" w:sz="6" w:space="0" w:color="auto"/>
              <w:bottom w:val="nil" w:sz="6" w:space="0" w:color="auto"/>
              <w:right w:val="nil" w:sz="6" w:space="0" w:color="auto"/>
            </w:tcBorders>
          </w:tcPr>
          <w:p>
            <w:pPr/>
          </w:p>
        </w:tc>
        <w:tc>
          <w:tcPr>
            <w:tcW w:w="1067" w:type="dxa"/>
            <w:tcBorders>
              <w:top w:val="single" w:sz="8" w:space="0" w:color="000000"/>
              <w:left w:val="nil" w:sz="6" w:space="0" w:color="auto"/>
              <w:bottom w:val="nil" w:sz="6" w:space="0" w:color="auto"/>
              <w:right w:val="nil" w:sz="6" w:space="0" w:color="auto"/>
            </w:tcBorders>
          </w:tcPr>
          <w:p>
            <w:pPr/>
          </w:p>
        </w:tc>
      </w:tr>
      <w:tr>
        <w:trPr>
          <w:trHeight w:val="199" w:hRule="exact"/>
        </w:trPr>
        <w:tc>
          <w:tcPr>
            <w:tcW w:w="3480" w:type="dxa"/>
            <w:tcBorders>
              <w:top w:val="nil" w:sz="6" w:space="0" w:color="auto"/>
              <w:left w:val="nil" w:sz="6" w:space="0" w:color="auto"/>
              <w:bottom w:val="nil" w:sz="6" w:space="0" w:color="auto"/>
              <w:right w:val="nil" w:sz="6" w:space="0" w:color="auto"/>
            </w:tcBorders>
          </w:tcPr>
          <w:p>
            <w:pPr>
              <w:pStyle w:val="TableParagraph"/>
              <w:tabs>
                <w:tab w:pos="530" w:val="left" w:leader="none"/>
              </w:tabs>
              <w:spacing w:line="204" w:lineRule="exact"/>
              <w:ind w:left="108" w:right="0"/>
              <w:jc w:val="left"/>
              <w:rPr>
                <w:rFonts w:ascii="宋体" w:hAnsi="宋体" w:cs="宋体" w:eastAsia="宋体" w:hint="default"/>
                <w:sz w:val="21"/>
                <w:szCs w:val="21"/>
              </w:rPr>
            </w:pPr>
            <w:r>
              <w:rPr>
                <w:rFonts w:ascii="宋体" w:hAnsi="宋体" w:cs="宋体" w:eastAsia="宋体" w:hint="default"/>
                <w:b/>
                <w:bCs/>
                <w:w w:val="95"/>
                <w:sz w:val="21"/>
                <w:szCs w:val="21"/>
              </w:rPr>
              <w:t>账</w:t>
              <w:tab/>
            </w:r>
            <w:r>
              <w:rPr>
                <w:rFonts w:ascii="宋体" w:hAnsi="宋体" w:cs="宋体" w:eastAsia="宋体" w:hint="default"/>
                <w:b/>
                <w:bCs/>
                <w:sz w:val="21"/>
                <w:szCs w:val="21"/>
              </w:rPr>
              <w:t>龄</w:t>
            </w:r>
            <w:r>
              <w:rPr>
                <w:rFonts w:ascii="宋体" w:hAnsi="宋体" w:cs="宋体" w:eastAsia="宋体" w:hint="default"/>
                <w:sz w:val="21"/>
                <w:szCs w:val="21"/>
              </w:rPr>
            </w:r>
          </w:p>
        </w:tc>
        <w:tc>
          <w:tcPr>
            <w:tcW w:w="1184"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
        </w:tc>
        <w:tc>
          <w:tcPr>
            <w:tcW w:w="1067" w:type="dxa"/>
            <w:tcBorders>
              <w:top w:val="nil" w:sz="6" w:space="0" w:color="auto"/>
              <w:left w:val="nil" w:sz="6" w:space="0" w:color="auto"/>
              <w:bottom w:val="nil" w:sz="6" w:space="0" w:color="auto"/>
              <w:right w:val="nil" w:sz="6" w:space="0" w:color="auto"/>
            </w:tcBorders>
          </w:tcPr>
          <w:p>
            <w:pPr/>
          </w:p>
        </w:tc>
      </w:tr>
      <w:tr>
        <w:trPr>
          <w:trHeight w:val="309" w:hRule="exact"/>
        </w:trPr>
        <w:tc>
          <w:tcPr>
            <w:tcW w:w="3480" w:type="dxa"/>
            <w:tcBorders>
              <w:top w:val="nil" w:sz="6" w:space="0" w:color="auto"/>
              <w:left w:val="nil" w:sz="6" w:space="0" w:color="auto"/>
              <w:bottom w:val="single" w:sz="8" w:space="0" w:color="000000"/>
              <w:right w:val="nil" w:sz="6" w:space="0" w:color="auto"/>
            </w:tcBorders>
          </w:tcPr>
          <w:p>
            <w:pPr>
              <w:pStyle w:val="TableParagraph"/>
              <w:spacing w:line="205" w:lineRule="exact"/>
              <w:ind w:right="322"/>
              <w:jc w:val="right"/>
              <w:rPr>
                <w:rFonts w:ascii="宋体" w:hAnsi="宋体" w:cs="宋体" w:eastAsia="宋体" w:hint="default"/>
                <w:sz w:val="21"/>
                <w:szCs w:val="21"/>
              </w:rPr>
            </w:pPr>
            <w:r>
              <w:rPr>
                <w:rFonts w:ascii="宋体" w:hAnsi="宋体" w:cs="宋体" w:eastAsia="宋体" w:hint="default"/>
                <w:b/>
                <w:bCs/>
                <w:sz w:val="21"/>
                <w:szCs w:val="21"/>
              </w:rPr>
              <w:t>金</w:t>
            </w:r>
            <w:r>
              <w:rPr>
                <w:rFonts w:ascii="宋体" w:hAnsi="宋体" w:cs="宋体" w:eastAsia="宋体" w:hint="default"/>
                <w:b/>
                <w:bCs/>
                <w:spacing w:val="-2"/>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c>
          <w:tcPr>
            <w:tcW w:w="1184" w:type="dxa"/>
            <w:tcBorders>
              <w:top w:val="nil" w:sz="6" w:space="0" w:color="auto"/>
              <w:left w:val="nil" w:sz="6" w:space="0" w:color="auto"/>
              <w:bottom w:val="single" w:sz="8" w:space="0" w:color="000000"/>
              <w:right w:val="nil" w:sz="6" w:space="0" w:color="auto"/>
            </w:tcBorders>
          </w:tcPr>
          <w:p>
            <w:pPr>
              <w:pStyle w:val="TableParagraph"/>
              <w:spacing w:line="205" w:lineRule="exact"/>
              <w:ind w:left="324"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b/>
                <w:bCs/>
                <w:sz w:val="21"/>
                <w:szCs w:val="21"/>
              </w:rPr>
              <w:t>%</w:t>
            </w:r>
            <w:r>
              <w:rPr>
                <w:rFonts w:ascii="宋体" w:hAnsi="宋体" w:cs="宋体" w:eastAsia="宋体" w:hint="default"/>
                <w:sz w:val="21"/>
                <w:szCs w:val="21"/>
              </w:rPr>
            </w:r>
          </w:p>
        </w:tc>
        <w:tc>
          <w:tcPr>
            <w:tcW w:w="1457" w:type="dxa"/>
            <w:tcBorders>
              <w:top w:val="nil" w:sz="6" w:space="0" w:color="auto"/>
              <w:left w:val="nil" w:sz="6" w:space="0" w:color="auto"/>
              <w:bottom w:val="single" w:sz="8" w:space="0" w:color="000000"/>
              <w:right w:val="nil" w:sz="6" w:space="0" w:color="auto"/>
            </w:tcBorders>
          </w:tcPr>
          <w:p>
            <w:pPr>
              <w:pStyle w:val="TableParagraph"/>
              <w:spacing w:line="205" w:lineRule="exact"/>
              <w:ind w:left="332"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814" w:type="dxa"/>
            <w:tcBorders>
              <w:top w:val="nil" w:sz="6" w:space="0" w:color="auto"/>
              <w:left w:val="nil" w:sz="6" w:space="0" w:color="auto"/>
              <w:bottom w:val="single" w:sz="8" w:space="0" w:color="000000"/>
              <w:right w:val="nil" w:sz="6" w:space="0" w:color="auto"/>
            </w:tcBorders>
          </w:tcPr>
          <w:p>
            <w:pPr>
              <w:pStyle w:val="TableParagraph"/>
              <w:spacing w:line="205"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b/>
                <w:bCs/>
                <w:sz w:val="21"/>
                <w:szCs w:val="21"/>
              </w:rPr>
              <w:t>%</w:t>
            </w:r>
            <w:r>
              <w:rPr>
                <w:rFonts w:ascii="宋体" w:hAnsi="宋体" w:cs="宋体" w:eastAsia="宋体" w:hint="default"/>
                <w:sz w:val="21"/>
                <w:szCs w:val="21"/>
              </w:rPr>
            </w:r>
          </w:p>
        </w:tc>
        <w:tc>
          <w:tcPr>
            <w:tcW w:w="1067" w:type="dxa"/>
            <w:tcBorders>
              <w:top w:val="nil" w:sz="6" w:space="0" w:color="auto"/>
              <w:left w:val="nil" w:sz="6" w:space="0" w:color="auto"/>
              <w:bottom w:val="single" w:sz="8" w:space="0" w:color="000000"/>
              <w:right w:val="nil" w:sz="6" w:space="0" w:color="auto"/>
            </w:tcBorders>
          </w:tcPr>
          <w:p>
            <w:pPr>
              <w:pStyle w:val="TableParagraph"/>
              <w:spacing w:line="205" w:lineRule="exact"/>
              <w:ind w:left="585" w:right="0"/>
              <w:jc w:val="left"/>
              <w:rPr>
                <w:rFonts w:ascii="宋体" w:hAnsi="宋体" w:cs="宋体" w:eastAsia="宋体" w:hint="default"/>
                <w:sz w:val="21"/>
                <w:szCs w:val="21"/>
              </w:rPr>
            </w:pPr>
            <w:r>
              <w:rPr>
                <w:rFonts w:ascii="宋体" w:hAnsi="宋体" w:cs="宋体" w:eastAsia="宋体" w:hint="default"/>
                <w:b/>
                <w:bCs/>
                <w:sz w:val="21"/>
                <w:szCs w:val="21"/>
              </w:rPr>
              <w:t>净额</w:t>
            </w:r>
            <w:r>
              <w:rPr>
                <w:rFonts w:ascii="宋体" w:hAnsi="宋体" w:cs="宋体" w:eastAsia="宋体" w:hint="default"/>
                <w:sz w:val="21"/>
                <w:szCs w:val="21"/>
              </w:rPr>
            </w:r>
          </w:p>
        </w:tc>
      </w:tr>
    </w:tbl>
    <w:p>
      <w:pPr>
        <w:spacing w:after="0" w:line="205" w:lineRule="exact"/>
        <w:jc w:val="left"/>
        <w:rPr>
          <w:rFonts w:ascii="宋体" w:hAnsi="宋体" w:cs="宋体" w:eastAsia="宋体" w:hint="default"/>
          <w:sz w:val="21"/>
          <w:szCs w:val="21"/>
        </w:rPr>
        <w:sectPr>
          <w:type w:val="continuous"/>
          <w:pgSz w:w="11910" w:h="16840"/>
          <w:pgMar w:top="1080" w:bottom="1380" w:left="1120" w:right="6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30" w:type="dxa"/>
        <w:tblLayout w:type="fixed"/>
        <w:tblCellMar>
          <w:top w:w="0" w:type="dxa"/>
          <w:left w:w="0" w:type="dxa"/>
          <w:bottom w:w="0" w:type="dxa"/>
          <w:right w:w="0" w:type="dxa"/>
        </w:tblCellMar>
        <w:tblLook w:val="01E0"/>
      </w:tblPr>
      <w:tblGrid>
        <w:gridCol w:w="1339"/>
        <w:gridCol w:w="2089"/>
        <w:gridCol w:w="1025"/>
        <w:gridCol w:w="1829"/>
        <w:gridCol w:w="1178"/>
        <w:gridCol w:w="1591"/>
      </w:tblGrid>
      <w:tr>
        <w:trPr>
          <w:trHeight w:val="405" w:hRule="exact"/>
        </w:trPr>
        <w:tc>
          <w:tcPr>
            <w:tcW w:w="1339" w:type="dxa"/>
            <w:tcBorders>
              <w:top w:val="single" w:sz="8" w:space="0" w:color="000000"/>
              <w:left w:val="nil" w:sz="6" w:space="0" w:color="auto"/>
              <w:bottom w:val="nil" w:sz="6" w:space="0" w:color="auto"/>
              <w:right w:val="nil" w:sz="6" w:space="0" w:color="auto"/>
            </w:tcBorders>
          </w:tcPr>
          <w:p>
            <w:pPr>
              <w:pStyle w:val="TableParagraph"/>
              <w:spacing w:line="240" w:lineRule="auto" w:before="27"/>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089" w:type="dxa"/>
            <w:tcBorders>
              <w:top w:val="single" w:sz="8" w:space="0" w:color="000000"/>
              <w:left w:val="nil" w:sz="6" w:space="0" w:color="auto"/>
              <w:bottom w:val="nil" w:sz="6" w:space="0" w:color="auto"/>
              <w:right w:val="nil" w:sz="6" w:space="0" w:color="auto"/>
            </w:tcBorders>
          </w:tcPr>
          <w:p>
            <w:pPr>
              <w:pStyle w:val="TableParagraph"/>
              <w:spacing w:line="240" w:lineRule="auto" w:before="27"/>
              <w:ind w:right="268"/>
              <w:jc w:val="right"/>
              <w:rPr>
                <w:rFonts w:ascii="宋体" w:hAnsi="宋体" w:cs="宋体" w:eastAsia="宋体" w:hint="default"/>
                <w:sz w:val="21"/>
                <w:szCs w:val="21"/>
              </w:rPr>
            </w:pPr>
            <w:r>
              <w:rPr>
                <w:rFonts w:ascii="宋体"/>
                <w:sz w:val="21"/>
              </w:rPr>
              <w:t>49,500,584.84</w:t>
            </w:r>
          </w:p>
        </w:tc>
        <w:tc>
          <w:tcPr>
            <w:tcW w:w="1025" w:type="dxa"/>
            <w:tcBorders>
              <w:top w:val="single" w:sz="8" w:space="0" w:color="000000"/>
              <w:left w:val="nil" w:sz="6" w:space="0" w:color="auto"/>
              <w:bottom w:val="nil" w:sz="6" w:space="0" w:color="auto"/>
              <w:right w:val="nil" w:sz="6" w:space="0" w:color="auto"/>
            </w:tcBorders>
          </w:tcPr>
          <w:p>
            <w:pPr>
              <w:pStyle w:val="TableParagraph"/>
              <w:spacing w:line="240" w:lineRule="auto" w:before="27"/>
              <w:ind w:right="117"/>
              <w:jc w:val="right"/>
              <w:rPr>
                <w:rFonts w:ascii="宋体" w:hAnsi="宋体" w:cs="宋体" w:eastAsia="宋体" w:hint="default"/>
                <w:sz w:val="21"/>
                <w:szCs w:val="21"/>
              </w:rPr>
            </w:pPr>
            <w:r>
              <w:rPr>
                <w:rFonts w:ascii="宋体"/>
                <w:sz w:val="21"/>
              </w:rPr>
              <w:t>71.85</w:t>
            </w:r>
          </w:p>
        </w:tc>
        <w:tc>
          <w:tcPr>
            <w:tcW w:w="1829" w:type="dxa"/>
            <w:tcBorders>
              <w:top w:val="single" w:sz="8" w:space="0" w:color="000000"/>
              <w:left w:val="nil" w:sz="6" w:space="0" w:color="auto"/>
              <w:bottom w:val="nil" w:sz="6" w:space="0" w:color="auto"/>
              <w:right w:val="nil" w:sz="6" w:space="0" w:color="auto"/>
            </w:tcBorders>
          </w:tcPr>
          <w:p>
            <w:pPr>
              <w:pStyle w:val="TableParagraph"/>
              <w:spacing w:line="240" w:lineRule="auto" w:before="27"/>
              <w:ind w:right="439"/>
              <w:jc w:val="right"/>
              <w:rPr>
                <w:rFonts w:ascii="宋体" w:hAnsi="宋体" w:cs="宋体" w:eastAsia="宋体" w:hint="default"/>
                <w:sz w:val="21"/>
                <w:szCs w:val="21"/>
              </w:rPr>
            </w:pPr>
            <w:r>
              <w:rPr>
                <w:rFonts w:ascii="宋体"/>
                <w:sz w:val="21"/>
              </w:rPr>
              <w:t>494,909.45</w:t>
            </w:r>
          </w:p>
        </w:tc>
        <w:tc>
          <w:tcPr>
            <w:tcW w:w="1178" w:type="dxa"/>
            <w:tcBorders>
              <w:top w:val="single" w:sz="8" w:space="0" w:color="000000"/>
              <w:left w:val="nil" w:sz="6" w:space="0" w:color="auto"/>
              <w:bottom w:val="nil" w:sz="6" w:space="0" w:color="auto"/>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sz w:val="21"/>
              </w:rPr>
              <w:t>1.00</w:t>
            </w:r>
          </w:p>
        </w:tc>
        <w:tc>
          <w:tcPr>
            <w:tcW w:w="1591" w:type="dxa"/>
            <w:tcBorders>
              <w:top w:val="single" w:sz="8" w:space="0" w:color="000000"/>
              <w:left w:val="nil" w:sz="6" w:space="0" w:color="auto"/>
              <w:bottom w:val="nil" w:sz="6" w:space="0" w:color="auto"/>
              <w:right w:val="nil" w:sz="6" w:space="0" w:color="auto"/>
            </w:tcBorders>
          </w:tcPr>
          <w:p>
            <w:pPr>
              <w:pStyle w:val="TableParagraph"/>
              <w:spacing w:line="240" w:lineRule="auto" w:before="27"/>
              <w:ind w:right="105"/>
              <w:jc w:val="right"/>
              <w:rPr>
                <w:rFonts w:ascii="宋体" w:hAnsi="宋体" w:cs="宋体" w:eastAsia="宋体" w:hint="default"/>
                <w:sz w:val="21"/>
                <w:szCs w:val="21"/>
              </w:rPr>
            </w:pPr>
            <w:r>
              <w:rPr>
                <w:rFonts w:ascii="宋体"/>
                <w:sz w:val="21"/>
              </w:rPr>
              <w:t>49,005,675.39</w:t>
            </w:r>
          </w:p>
        </w:tc>
      </w:tr>
      <w:tr>
        <w:trPr>
          <w:trHeight w:val="397" w:hRule="exact"/>
        </w:trPr>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8"/>
              <w:jc w:val="right"/>
              <w:rPr>
                <w:rFonts w:ascii="宋体" w:hAnsi="宋体" w:cs="宋体" w:eastAsia="宋体" w:hint="default"/>
                <w:sz w:val="21"/>
                <w:szCs w:val="21"/>
              </w:rPr>
            </w:pPr>
            <w:r>
              <w:rPr>
                <w:rFonts w:ascii="宋体"/>
                <w:sz w:val="21"/>
              </w:rPr>
              <w:t>13,771,079.03</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7"/>
              <w:jc w:val="right"/>
              <w:rPr>
                <w:rFonts w:ascii="宋体" w:hAnsi="宋体" w:cs="宋体" w:eastAsia="宋体" w:hint="default"/>
                <w:sz w:val="21"/>
                <w:szCs w:val="21"/>
              </w:rPr>
            </w:pPr>
            <w:r>
              <w:rPr>
                <w:rFonts w:ascii="宋体"/>
                <w:sz w:val="21"/>
              </w:rPr>
              <w:t>19.98</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36"/>
              <w:jc w:val="right"/>
              <w:rPr>
                <w:rFonts w:ascii="宋体" w:hAnsi="宋体" w:cs="宋体" w:eastAsia="宋体" w:hint="default"/>
                <w:sz w:val="21"/>
                <w:szCs w:val="21"/>
              </w:rPr>
            </w:pPr>
            <w:r>
              <w:rPr>
                <w:rFonts w:ascii="宋体"/>
                <w:sz w:val="21"/>
              </w:rPr>
              <w:t>2,754,215.86</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20.00</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11,016,863.17</w:t>
            </w:r>
          </w:p>
        </w:tc>
      </w:tr>
      <w:tr>
        <w:trPr>
          <w:trHeight w:val="397" w:hRule="exact"/>
        </w:trPr>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8"/>
              <w:jc w:val="right"/>
              <w:rPr>
                <w:rFonts w:ascii="宋体" w:hAnsi="宋体" w:cs="宋体" w:eastAsia="宋体" w:hint="default"/>
                <w:sz w:val="21"/>
                <w:szCs w:val="21"/>
              </w:rPr>
            </w:pPr>
            <w:r>
              <w:rPr>
                <w:rFonts w:ascii="宋体"/>
                <w:sz w:val="21"/>
              </w:rPr>
              <w:t>2,041,881.28</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7"/>
              <w:jc w:val="right"/>
              <w:rPr>
                <w:rFonts w:ascii="宋体" w:hAnsi="宋体" w:cs="宋体" w:eastAsia="宋体" w:hint="default"/>
                <w:sz w:val="21"/>
                <w:szCs w:val="21"/>
              </w:rPr>
            </w:pPr>
            <w:r>
              <w:rPr>
                <w:rFonts w:ascii="宋体"/>
                <w:sz w:val="21"/>
              </w:rPr>
              <w:t>2.96</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39"/>
              <w:jc w:val="right"/>
              <w:rPr>
                <w:rFonts w:ascii="宋体" w:hAnsi="宋体" w:cs="宋体" w:eastAsia="宋体" w:hint="default"/>
                <w:sz w:val="21"/>
                <w:szCs w:val="21"/>
              </w:rPr>
            </w:pPr>
            <w:r>
              <w:rPr>
                <w:rFonts w:ascii="宋体"/>
                <w:sz w:val="21"/>
              </w:rPr>
              <w:t>816,752.49</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40.00</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4"/>
              <w:jc w:val="right"/>
              <w:rPr>
                <w:rFonts w:ascii="宋体" w:hAnsi="宋体" w:cs="宋体" w:eastAsia="宋体" w:hint="default"/>
                <w:sz w:val="21"/>
                <w:szCs w:val="21"/>
              </w:rPr>
            </w:pPr>
            <w:r>
              <w:rPr>
                <w:rFonts w:ascii="宋体"/>
                <w:sz w:val="21"/>
              </w:rPr>
              <w:t>1,225,128.79</w:t>
            </w:r>
          </w:p>
        </w:tc>
      </w:tr>
      <w:tr>
        <w:trPr>
          <w:trHeight w:val="397" w:hRule="exact"/>
        </w:trPr>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8"/>
              <w:jc w:val="right"/>
              <w:rPr>
                <w:rFonts w:ascii="宋体" w:hAnsi="宋体" w:cs="宋体" w:eastAsia="宋体" w:hint="default"/>
                <w:sz w:val="21"/>
                <w:szCs w:val="21"/>
              </w:rPr>
            </w:pPr>
            <w:r>
              <w:rPr>
                <w:rFonts w:ascii="宋体"/>
                <w:sz w:val="21"/>
              </w:rPr>
              <w:t>1,721,118.15</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7"/>
              <w:jc w:val="right"/>
              <w:rPr>
                <w:rFonts w:ascii="宋体" w:hAnsi="宋体" w:cs="宋体" w:eastAsia="宋体" w:hint="default"/>
                <w:sz w:val="21"/>
                <w:szCs w:val="21"/>
              </w:rPr>
            </w:pPr>
            <w:r>
              <w:rPr>
                <w:rFonts w:ascii="宋体"/>
                <w:sz w:val="21"/>
              </w:rPr>
              <w:t>2.50</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36"/>
              <w:jc w:val="right"/>
              <w:rPr>
                <w:rFonts w:ascii="宋体" w:hAnsi="宋体" w:cs="宋体" w:eastAsia="宋体" w:hint="default"/>
                <w:sz w:val="21"/>
                <w:szCs w:val="21"/>
              </w:rPr>
            </w:pPr>
            <w:r>
              <w:rPr>
                <w:rFonts w:ascii="宋体"/>
                <w:sz w:val="21"/>
              </w:rPr>
              <w:t>1,032,670.83</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21"/>
                <w:szCs w:val="21"/>
              </w:rPr>
            </w:pPr>
            <w:r>
              <w:rPr>
                <w:rFonts w:ascii="宋体"/>
                <w:sz w:val="21"/>
              </w:rPr>
              <w:t>60.00</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21"/>
                <w:szCs w:val="21"/>
              </w:rPr>
            </w:pPr>
            <w:r>
              <w:rPr>
                <w:rFonts w:ascii="宋体"/>
                <w:sz w:val="21"/>
              </w:rPr>
              <w:t>688,447.32</w:t>
            </w:r>
          </w:p>
        </w:tc>
      </w:tr>
      <w:tr>
        <w:trPr>
          <w:trHeight w:val="397" w:hRule="exact"/>
        </w:trPr>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9"/>
              <w:jc w:val="right"/>
              <w:rPr>
                <w:rFonts w:ascii="宋体" w:hAnsi="宋体" w:cs="宋体" w:eastAsia="宋体" w:hint="default"/>
                <w:sz w:val="21"/>
                <w:szCs w:val="21"/>
              </w:rPr>
            </w:pPr>
            <w:r>
              <w:rPr>
                <w:rFonts w:ascii="宋体"/>
                <w:sz w:val="21"/>
              </w:rPr>
              <w:t>608,387.98</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7"/>
              <w:jc w:val="right"/>
              <w:rPr>
                <w:rFonts w:ascii="宋体" w:hAnsi="宋体" w:cs="宋体" w:eastAsia="宋体" w:hint="default"/>
                <w:sz w:val="21"/>
                <w:szCs w:val="21"/>
              </w:rPr>
            </w:pPr>
            <w:r>
              <w:rPr>
                <w:rFonts w:ascii="宋体"/>
                <w:sz w:val="21"/>
              </w:rPr>
              <w:t>0.88</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39"/>
              <w:jc w:val="right"/>
              <w:rPr>
                <w:rFonts w:ascii="宋体" w:hAnsi="宋体" w:cs="宋体" w:eastAsia="宋体" w:hint="default"/>
                <w:sz w:val="21"/>
                <w:szCs w:val="21"/>
              </w:rPr>
            </w:pPr>
            <w:r>
              <w:rPr>
                <w:rFonts w:ascii="宋体"/>
                <w:sz w:val="21"/>
              </w:rPr>
              <w:t>486,710.37</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80.00</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z w:val="21"/>
              </w:rPr>
              <w:t>121,677.61</w:t>
            </w:r>
          </w:p>
        </w:tc>
      </w:tr>
      <w:tr>
        <w:trPr>
          <w:trHeight w:val="404" w:hRule="exact"/>
        </w:trPr>
        <w:tc>
          <w:tcPr>
            <w:tcW w:w="1339"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089"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268"/>
              <w:jc w:val="right"/>
              <w:rPr>
                <w:rFonts w:ascii="宋体" w:hAnsi="宋体" w:cs="宋体" w:eastAsia="宋体" w:hint="default"/>
                <w:sz w:val="21"/>
                <w:szCs w:val="21"/>
              </w:rPr>
            </w:pPr>
            <w:r>
              <w:rPr>
                <w:rFonts w:ascii="宋体"/>
                <w:sz w:val="21"/>
              </w:rPr>
              <w:t>1,264,031.48</w:t>
            </w:r>
          </w:p>
        </w:tc>
        <w:tc>
          <w:tcPr>
            <w:tcW w:w="1025"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17"/>
              <w:jc w:val="right"/>
              <w:rPr>
                <w:rFonts w:ascii="宋体" w:hAnsi="宋体" w:cs="宋体" w:eastAsia="宋体" w:hint="default"/>
                <w:sz w:val="21"/>
                <w:szCs w:val="21"/>
              </w:rPr>
            </w:pPr>
            <w:r>
              <w:rPr>
                <w:rFonts w:ascii="宋体"/>
                <w:sz w:val="21"/>
              </w:rPr>
              <w:t>1.83</w:t>
            </w:r>
          </w:p>
        </w:tc>
        <w:tc>
          <w:tcPr>
            <w:tcW w:w="1829"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436"/>
              <w:jc w:val="right"/>
              <w:rPr>
                <w:rFonts w:ascii="宋体" w:hAnsi="宋体" w:cs="宋体" w:eastAsia="宋体" w:hint="default"/>
                <w:sz w:val="21"/>
                <w:szCs w:val="21"/>
              </w:rPr>
            </w:pPr>
            <w:r>
              <w:rPr>
                <w:rFonts w:ascii="宋体"/>
                <w:sz w:val="21"/>
              </w:rPr>
              <w:t>1,264,031.48</w:t>
            </w:r>
          </w:p>
        </w:tc>
        <w:tc>
          <w:tcPr>
            <w:tcW w:w="1178"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100.00</w:t>
            </w:r>
          </w:p>
        </w:tc>
        <w:tc>
          <w:tcPr>
            <w:tcW w:w="1591"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0</w:t>
            </w:r>
          </w:p>
        </w:tc>
      </w:tr>
      <w:tr>
        <w:trPr>
          <w:trHeight w:val="490" w:hRule="exact"/>
        </w:trPr>
        <w:tc>
          <w:tcPr>
            <w:tcW w:w="1339" w:type="dxa"/>
            <w:tcBorders>
              <w:top w:val="single" w:sz="4" w:space="0" w:color="000000"/>
              <w:left w:val="nil" w:sz="6" w:space="0" w:color="auto"/>
              <w:bottom w:val="single" w:sz="8" w:space="0" w:color="000000"/>
              <w:right w:val="nil" w:sz="6" w:space="0" w:color="auto"/>
            </w:tcBorders>
          </w:tcPr>
          <w:p>
            <w:pPr>
              <w:pStyle w:val="TableParagraph"/>
              <w:spacing w:line="240" w:lineRule="auto" w:before="65"/>
              <w:ind w:left="108"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89" w:type="dxa"/>
            <w:tcBorders>
              <w:top w:val="single" w:sz="4" w:space="0" w:color="000000"/>
              <w:left w:val="nil" w:sz="6" w:space="0" w:color="auto"/>
              <w:bottom w:val="single" w:sz="8" w:space="0" w:color="000000"/>
              <w:right w:val="nil" w:sz="6" w:space="0" w:color="auto"/>
            </w:tcBorders>
          </w:tcPr>
          <w:p>
            <w:pPr>
              <w:pStyle w:val="TableParagraph"/>
              <w:spacing w:line="240" w:lineRule="auto" w:before="65"/>
              <w:ind w:right="271"/>
              <w:jc w:val="right"/>
              <w:rPr>
                <w:rFonts w:ascii="宋体" w:hAnsi="宋体" w:cs="宋体" w:eastAsia="宋体" w:hint="default"/>
                <w:sz w:val="21"/>
                <w:szCs w:val="21"/>
              </w:rPr>
            </w:pPr>
            <w:r>
              <w:rPr>
                <w:rFonts w:ascii="宋体"/>
                <w:b/>
                <w:w w:val="95"/>
                <w:sz w:val="21"/>
              </w:rPr>
              <w:t>68,907,082.76</w:t>
            </w:r>
            <w:r>
              <w:rPr>
                <w:rFonts w:ascii="宋体"/>
                <w:sz w:val="21"/>
              </w:rPr>
            </w:r>
          </w:p>
        </w:tc>
        <w:tc>
          <w:tcPr>
            <w:tcW w:w="1025" w:type="dxa"/>
            <w:tcBorders>
              <w:top w:val="single" w:sz="4" w:space="0" w:color="000000"/>
              <w:left w:val="nil" w:sz="6" w:space="0" w:color="auto"/>
              <w:bottom w:val="single" w:sz="8" w:space="0" w:color="000000"/>
              <w:right w:val="nil" w:sz="6" w:space="0" w:color="auto"/>
            </w:tcBorders>
          </w:tcPr>
          <w:p>
            <w:pPr>
              <w:pStyle w:val="TableParagraph"/>
              <w:spacing w:line="240" w:lineRule="auto" w:before="65"/>
              <w:ind w:right="119"/>
              <w:jc w:val="right"/>
              <w:rPr>
                <w:rFonts w:ascii="宋体" w:hAnsi="宋体" w:cs="宋体" w:eastAsia="宋体" w:hint="default"/>
                <w:sz w:val="21"/>
                <w:szCs w:val="21"/>
              </w:rPr>
            </w:pPr>
            <w:r>
              <w:rPr>
                <w:rFonts w:ascii="宋体"/>
                <w:b/>
                <w:w w:val="95"/>
                <w:sz w:val="21"/>
              </w:rPr>
              <w:t>100.00</w:t>
            </w:r>
            <w:r>
              <w:rPr>
                <w:rFonts w:ascii="宋体"/>
                <w:sz w:val="21"/>
              </w:rPr>
            </w:r>
          </w:p>
        </w:tc>
        <w:tc>
          <w:tcPr>
            <w:tcW w:w="1829" w:type="dxa"/>
            <w:tcBorders>
              <w:top w:val="single" w:sz="4" w:space="0" w:color="000000"/>
              <w:left w:val="nil" w:sz="6" w:space="0" w:color="auto"/>
              <w:bottom w:val="single" w:sz="8" w:space="0" w:color="000000"/>
              <w:right w:val="nil" w:sz="6" w:space="0" w:color="auto"/>
            </w:tcBorders>
          </w:tcPr>
          <w:p>
            <w:pPr>
              <w:pStyle w:val="TableParagraph"/>
              <w:spacing w:line="240" w:lineRule="auto" w:before="65"/>
              <w:ind w:right="440"/>
              <w:jc w:val="right"/>
              <w:rPr>
                <w:rFonts w:ascii="宋体" w:hAnsi="宋体" w:cs="宋体" w:eastAsia="宋体" w:hint="default"/>
                <w:sz w:val="21"/>
                <w:szCs w:val="21"/>
              </w:rPr>
            </w:pPr>
            <w:r>
              <w:rPr>
                <w:rFonts w:ascii="宋体"/>
                <w:b/>
                <w:w w:val="95"/>
                <w:sz w:val="21"/>
              </w:rPr>
              <w:t>6,849,290.48</w:t>
            </w:r>
            <w:r>
              <w:rPr>
                <w:rFonts w:ascii="宋体"/>
                <w:sz w:val="21"/>
              </w:rPr>
            </w:r>
          </w:p>
        </w:tc>
        <w:tc>
          <w:tcPr>
            <w:tcW w:w="1178" w:type="dxa"/>
            <w:tcBorders>
              <w:top w:val="single" w:sz="4" w:space="0" w:color="000000"/>
              <w:left w:val="nil" w:sz="6" w:space="0" w:color="auto"/>
              <w:bottom w:val="single" w:sz="8" w:space="0" w:color="000000"/>
              <w:right w:val="nil" w:sz="6" w:space="0" w:color="auto"/>
            </w:tcBorders>
          </w:tcPr>
          <w:p>
            <w:pPr>
              <w:pStyle w:val="TableParagraph"/>
              <w:spacing w:line="240" w:lineRule="auto" w:before="65"/>
              <w:ind w:right="106"/>
              <w:jc w:val="right"/>
              <w:rPr>
                <w:rFonts w:ascii="宋体" w:hAnsi="宋体" w:cs="宋体" w:eastAsia="宋体" w:hint="default"/>
                <w:sz w:val="21"/>
                <w:szCs w:val="21"/>
              </w:rPr>
            </w:pPr>
            <w:r>
              <w:rPr>
                <w:rFonts w:ascii="宋体"/>
                <w:b/>
                <w:w w:val="95"/>
                <w:sz w:val="21"/>
              </w:rPr>
              <w:t>--</w:t>
            </w:r>
            <w:r>
              <w:rPr>
                <w:rFonts w:ascii="宋体"/>
                <w:sz w:val="21"/>
              </w:rPr>
            </w:r>
          </w:p>
        </w:tc>
        <w:tc>
          <w:tcPr>
            <w:tcW w:w="1591" w:type="dxa"/>
            <w:tcBorders>
              <w:top w:val="single" w:sz="4" w:space="0" w:color="000000"/>
              <w:left w:val="nil" w:sz="6" w:space="0" w:color="auto"/>
              <w:bottom w:val="single" w:sz="8" w:space="0" w:color="000000"/>
              <w:right w:val="nil" w:sz="6" w:space="0" w:color="auto"/>
            </w:tcBorders>
          </w:tcPr>
          <w:p>
            <w:pPr>
              <w:pStyle w:val="TableParagraph"/>
              <w:spacing w:line="240" w:lineRule="auto" w:before="65"/>
              <w:ind w:right="107"/>
              <w:jc w:val="right"/>
              <w:rPr>
                <w:rFonts w:ascii="宋体" w:hAnsi="宋体" w:cs="宋体" w:eastAsia="宋体" w:hint="default"/>
                <w:sz w:val="21"/>
                <w:szCs w:val="21"/>
              </w:rPr>
            </w:pPr>
            <w:r>
              <w:rPr>
                <w:rFonts w:ascii="宋体"/>
                <w:b/>
                <w:w w:val="95"/>
                <w:sz w:val="21"/>
              </w:rPr>
              <w:t>62,057,792.28</w:t>
            </w:r>
            <w:r>
              <w:rPr>
                <w:rFonts w:ascii="宋体"/>
                <w:sz w:val="21"/>
              </w:rPr>
            </w:r>
          </w:p>
        </w:tc>
      </w:tr>
    </w:tbl>
    <w:p>
      <w:pPr>
        <w:pStyle w:val="BodyText"/>
        <w:spacing w:line="240" w:lineRule="auto" w:before="11"/>
        <w:ind w:left="238" w:right="261"/>
        <w:jc w:val="left"/>
      </w:pPr>
      <w:r>
        <w:rPr/>
        <w:t>其他应收款按账龄披露（续）</w:t>
      </w:r>
    </w:p>
    <w:p>
      <w:pPr>
        <w:spacing w:line="240" w:lineRule="auto" w:before="12"/>
        <w:rPr>
          <w:rFonts w:ascii="宋体" w:hAnsi="宋体" w:cs="宋体" w:eastAsia="宋体" w:hint="default"/>
          <w:sz w:val="11"/>
          <w:szCs w:val="11"/>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1.2pt;height:1pt;mso-position-horizontal-relative:char;mso-position-vertical-relative:line" coordorigin="0,0" coordsize="9024,20">
            <v:group style="position:absolute;left:10;top:10;width:1422;height:2" coordorigin="10,10" coordsize="1422,2">
              <v:shape style="position:absolute;left:10;top:10;width:1422;height:2" coordorigin="10,10" coordsize="1422,0" path="m10,10l1432,10e" filled="false" stroked="true" strokeweight=".96001pt" strokecolor="#000000">
                <v:path arrowok="t"/>
              </v:shape>
            </v:group>
            <v:group style="position:absolute;left:1432;top:10;width:20;height:2" coordorigin="1432,10" coordsize="20,2">
              <v:shape style="position:absolute;left:1432;top:10;width:20;height:2" coordorigin="1432,10" coordsize="20,0" path="m1432,10l1451,10e" filled="false" stroked="true" strokeweight=".96001pt" strokecolor="#000000">
                <v:path arrowok="t"/>
              </v:shape>
            </v:group>
            <v:group style="position:absolute;left:1451;top:10;width:7564;height:2" coordorigin="1451,10" coordsize="7564,2">
              <v:shape style="position:absolute;left:1451;top:10;width:7564;height:2" coordorigin="1451,10" coordsize="7564,0" path="m1451,10l9014,10e" filled="false" stroked="true" strokeweight=".96001pt" strokecolor="#000000">
                <v:path arrowok="t"/>
              </v:shape>
            </v:group>
          </v:group>
        </w:pict>
      </w:r>
      <w:r>
        <w:rPr>
          <w:rFonts w:ascii="宋体" w:hAnsi="宋体" w:cs="宋体" w:eastAsia="宋体" w:hint="default"/>
          <w:sz w:val="2"/>
          <w:szCs w:val="2"/>
        </w:rPr>
      </w:r>
    </w:p>
    <w:p>
      <w:pPr>
        <w:spacing w:before="26"/>
        <w:ind w:left="5005" w:right="3628" w:firstLine="0"/>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bl>
      <w:tblPr>
        <w:tblW w:w="0" w:type="auto"/>
        <w:jc w:val="left"/>
        <w:tblInd w:w="130" w:type="dxa"/>
        <w:tblLayout w:type="fixed"/>
        <w:tblCellMar>
          <w:top w:w="0" w:type="dxa"/>
          <w:left w:w="0" w:type="dxa"/>
          <w:bottom w:w="0" w:type="dxa"/>
          <w:right w:w="0" w:type="dxa"/>
        </w:tblCellMar>
        <w:tblLook w:val="01E0"/>
      </w:tblPr>
      <w:tblGrid>
        <w:gridCol w:w="1337"/>
        <w:gridCol w:w="2062"/>
        <w:gridCol w:w="1012"/>
        <w:gridCol w:w="1696"/>
        <w:gridCol w:w="1352"/>
        <w:gridCol w:w="1591"/>
      </w:tblGrid>
      <w:tr>
        <w:trPr>
          <w:trHeight w:val="513" w:hRule="exact"/>
        </w:trPr>
        <w:tc>
          <w:tcPr>
            <w:tcW w:w="1337" w:type="dxa"/>
            <w:tcBorders>
              <w:top w:val="nil" w:sz="6" w:space="0" w:color="auto"/>
              <w:left w:val="nil" w:sz="6" w:space="0" w:color="auto"/>
              <w:bottom w:val="single" w:sz="8" w:space="0" w:color="000000"/>
              <w:right w:val="nil" w:sz="6" w:space="0" w:color="auto"/>
            </w:tcBorders>
          </w:tcPr>
          <w:p>
            <w:pPr>
              <w:pStyle w:val="TableParagraph"/>
              <w:tabs>
                <w:tab w:pos="530" w:val="left" w:leader="none"/>
              </w:tabs>
              <w:spacing w:line="199" w:lineRule="exact"/>
              <w:ind w:left="108" w:right="0"/>
              <w:jc w:val="left"/>
              <w:rPr>
                <w:rFonts w:ascii="宋体" w:hAnsi="宋体" w:cs="宋体" w:eastAsia="宋体" w:hint="default"/>
                <w:sz w:val="21"/>
                <w:szCs w:val="21"/>
              </w:rPr>
            </w:pPr>
            <w:r>
              <w:rPr>
                <w:rFonts w:ascii="宋体" w:hAnsi="宋体" w:cs="宋体" w:eastAsia="宋体" w:hint="default"/>
                <w:b/>
                <w:bCs/>
                <w:w w:val="95"/>
                <w:sz w:val="21"/>
                <w:szCs w:val="21"/>
              </w:rPr>
              <w:t>账</w:t>
              <w:tab/>
            </w:r>
            <w:r>
              <w:rPr>
                <w:rFonts w:ascii="宋体" w:hAnsi="宋体" w:cs="宋体" w:eastAsia="宋体" w:hint="default"/>
                <w:b/>
                <w:bCs/>
                <w:sz w:val="21"/>
                <w:szCs w:val="21"/>
              </w:rPr>
              <w:t>龄</w:t>
            </w:r>
            <w:r>
              <w:rPr>
                <w:rFonts w:ascii="宋体" w:hAnsi="宋体" w:cs="宋体" w:eastAsia="宋体" w:hint="default"/>
                <w:sz w:val="21"/>
                <w:szCs w:val="21"/>
              </w:rPr>
            </w:r>
          </w:p>
        </w:tc>
        <w:tc>
          <w:tcPr>
            <w:tcW w:w="2062" w:type="dxa"/>
            <w:tcBorders>
              <w:top w:val="nil" w:sz="6" w:space="0" w:color="auto"/>
              <w:left w:val="nil" w:sz="6" w:space="0" w:color="auto"/>
              <w:bottom w:val="single" w:sz="8" w:space="0" w:color="000000"/>
              <w:right w:val="nil" w:sz="6" w:space="0" w:color="auto"/>
            </w:tcBorders>
          </w:tcPr>
          <w:p>
            <w:pPr>
              <w:pStyle w:val="TableParagraph"/>
              <w:spacing w:line="240" w:lineRule="auto" w:before="122"/>
              <w:ind w:right="244"/>
              <w:jc w:val="right"/>
              <w:rPr>
                <w:rFonts w:ascii="宋体" w:hAnsi="宋体" w:cs="宋体" w:eastAsia="宋体" w:hint="default"/>
                <w:sz w:val="21"/>
                <w:szCs w:val="21"/>
              </w:rPr>
            </w:pPr>
            <w:r>
              <w:rPr>
                <w:rFonts w:ascii="宋体" w:hAnsi="宋体" w:cs="宋体" w:eastAsia="宋体" w:hint="default"/>
                <w:b/>
                <w:bCs/>
                <w:sz w:val="21"/>
                <w:szCs w:val="21"/>
              </w:rPr>
              <w:t>金</w:t>
            </w:r>
            <w:r>
              <w:rPr>
                <w:rFonts w:ascii="宋体" w:hAnsi="宋体" w:cs="宋体" w:eastAsia="宋体" w:hint="default"/>
                <w:b/>
                <w:bCs/>
                <w:spacing w:val="-2"/>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c>
          <w:tcPr>
            <w:tcW w:w="1012" w:type="dxa"/>
            <w:tcBorders>
              <w:top w:val="nil" w:sz="6" w:space="0" w:color="auto"/>
              <w:left w:val="nil" w:sz="6" w:space="0" w:color="auto"/>
              <w:bottom w:val="single" w:sz="8" w:space="0" w:color="000000"/>
              <w:right w:val="nil" w:sz="6" w:space="0" w:color="auto"/>
            </w:tcBorders>
          </w:tcPr>
          <w:p>
            <w:pPr>
              <w:pStyle w:val="TableParagraph"/>
              <w:spacing w:line="240" w:lineRule="auto" w:before="122"/>
              <w:ind w:right="130"/>
              <w:jc w:val="right"/>
              <w:rPr>
                <w:rFonts w:ascii="宋体" w:hAnsi="宋体" w:cs="宋体" w:eastAsia="宋体" w:hint="default"/>
                <w:sz w:val="21"/>
                <w:szCs w:val="21"/>
              </w:rPr>
            </w:pPr>
            <w:r>
              <w:rPr>
                <w:rFonts w:ascii="宋体" w:hAnsi="宋体" w:cs="宋体" w:eastAsia="宋体" w:hint="default"/>
                <w:b/>
                <w:bCs/>
                <w:w w:val="95"/>
                <w:sz w:val="21"/>
                <w:szCs w:val="21"/>
              </w:rPr>
              <w:t>比例</w:t>
            </w:r>
            <w:r>
              <w:rPr>
                <w:rFonts w:ascii="宋体" w:hAnsi="宋体" w:cs="宋体" w:eastAsia="宋体" w:hint="default"/>
                <w:b/>
                <w:bCs/>
                <w:w w:val="95"/>
                <w:sz w:val="21"/>
                <w:szCs w:val="21"/>
              </w:rPr>
              <w:t>%</w:t>
            </w:r>
            <w:r>
              <w:rPr>
                <w:rFonts w:ascii="宋体" w:hAnsi="宋体" w:cs="宋体" w:eastAsia="宋体" w:hint="default"/>
                <w:sz w:val="21"/>
                <w:szCs w:val="21"/>
              </w:rPr>
            </w:r>
          </w:p>
        </w:tc>
        <w:tc>
          <w:tcPr>
            <w:tcW w:w="1696" w:type="dxa"/>
            <w:tcBorders>
              <w:top w:val="nil" w:sz="6" w:space="0" w:color="auto"/>
              <w:left w:val="nil" w:sz="6" w:space="0" w:color="auto"/>
              <w:bottom w:val="single" w:sz="8" w:space="0" w:color="000000"/>
              <w:right w:val="nil" w:sz="6" w:space="0" w:color="auto"/>
            </w:tcBorders>
          </w:tcPr>
          <w:p>
            <w:pPr>
              <w:pStyle w:val="TableParagraph"/>
              <w:spacing w:line="240" w:lineRule="auto" w:before="122"/>
              <w:ind w:right="291"/>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352" w:type="dxa"/>
            <w:tcBorders>
              <w:top w:val="nil" w:sz="6" w:space="0" w:color="auto"/>
              <w:left w:val="nil" w:sz="6" w:space="0" w:color="auto"/>
              <w:bottom w:val="single" w:sz="8" w:space="0" w:color="000000"/>
              <w:right w:val="nil" w:sz="6" w:space="0" w:color="auto"/>
            </w:tcBorders>
          </w:tcPr>
          <w:p>
            <w:pPr>
              <w:pStyle w:val="TableParagraph"/>
              <w:spacing w:line="240" w:lineRule="auto" w:before="122"/>
              <w:ind w:right="107"/>
              <w:jc w:val="right"/>
              <w:rPr>
                <w:rFonts w:ascii="宋体" w:hAnsi="宋体" w:cs="宋体" w:eastAsia="宋体" w:hint="default"/>
                <w:sz w:val="21"/>
                <w:szCs w:val="21"/>
              </w:rPr>
            </w:pPr>
            <w:r>
              <w:rPr>
                <w:rFonts w:ascii="宋体" w:hAnsi="宋体" w:cs="宋体" w:eastAsia="宋体" w:hint="default"/>
                <w:b/>
                <w:bCs/>
                <w:w w:val="95"/>
                <w:sz w:val="21"/>
                <w:szCs w:val="21"/>
              </w:rPr>
              <w:t>计提比例</w:t>
            </w:r>
            <w:r>
              <w:rPr>
                <w:rFonts w:ascii="宋体" w:hAnsi="宋体" w:cs="宋体" w:eastAsia="宋体" w:hint="default"/>
                <w:b/>
                <w:bCs/>
                <w:w w:val="95"/>
                <w:sz w:val="21"/>
                <w:szCs w:val="21"/>
              </w:rPr>
              <w:t>%</w:t>
            </w:r>
            <w:r>
              <w:rPr>
                <w:rFonts w:ascii="宋体" w:hAnsi="宋体" w:cs="宋体" w:eastAsia="宋体" w:hint="default"/>
                <w:sz w:val="21"/>
                <w:szCs w:val="21"/>
              </w:rPr>
            </w:r>
          </w:p>
        </w:tc>
        <w:tc>
          <w:tcPr>
            <w:tcW w:w="1591" w:type="dxa"/>
            <w:tcBorders>
              <w:top w:val="nil" w:sz="6" w:space="0" w:color="auto"/>
              <w:left w:val="nil" w:sz="6" w:space="0" w:color="auto"/>
              <w:bottom w:val="single" w:sz="8" w:space="0" w:color="000000"/>
              <w:right w:val="nil" w:sz="6" w:space="0" w:color="auto"/>
            </w:tcBorders>
          </w:tcPr>
          <w:p>
            <w:pPr>
              <w:pStyle w:val="TableParagraph"/>
              <w:spacing w:line="240" w:lineRule="auto" w:before="122"/>
              <w:ind w:right="104"/>
              <w:jc w:val="right"/>
              <w:rPr>
                <w:rFonts w:ascii="宋体" w:hAnsi="宋体" w:cs="宋体" w:eastAsia="宋体" w:hint="default"/>
                <w:sz w:val="21"/>
                <w:szCs w:val="21"/>
              </w:rPr>
            </w:pPr>
            <w:r>
              <w:rPr>
                <w:rFonts w:ascii="宋体" w:hAnsi="宋体" w:cs="宋体" w:eastAsia="宋体" w:hint="default"/>
                <w:b/>
                <w:bCs/>
                <w:sz w:val="21"/>
                <w:szCs w:val="21"/>
              </w:rPr>
              <w:t>净额</w:t>
            </w:r>
            <w:r>
              <w:rPr>
                <w:rFonts w:ascii="宋体" w:hAnsi="宋体" w:cs="宋体" w:eastAsia="宋体" w:hint="default"/>
                <w:sz w:val="21"/>
                <w:szCs w:val="21"/>
              </w:rPr>
            </w:r>
          </w:p>
        </w:tc>
      </w:tr>
      <w:tr>
        <w:trPr>
          <w:trHeight w:val="405" w:hRule="exact"/>
        </w:trPr>
        <w:tc>
          <w:tcPr>
            <w:tcW w:w="1337" w:type="dxa"/>
            <w:tcBorders>
              <w:top w:val="single" w:sz="8" w:space="0" w:color="000000"/>
              <w:left w:val="nil" w:sz="6" w:space="0" w:color="auto"/>
              <w:bottom w:val="nil" w:sz="6" w:space="0" w:color="auto"/>
              <w:right w:val="nil" w:sz="6" w:space="0" w:color="auto"/>
            </w:tcBorders>
          </w:tcPr>
          <w:p>
            <w:pPr>
              <w:pStyle w:val="TableParagraph"/>
              <w:spacing w:line="240" w:lineRule="auto" w:before="16"/>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062" w:type="dxa"/>
            <w:tcBorders>
              <w:top w:val="single" w:sz="8" w:space="0" w:color="000000"/>
              <w:left w:val="nil" w:sz="6" w:space="0" w:color="auto"/>
              <w:bottom w:val="nil" w:sz="6" w:space="0" w:color="auto"/>
              <w:right w:val="nil" w:sz="6" w:space="0" w:color="auto"/>
            </w:tcBorders>
          </w:tcPr>
          <w:p>
            <w:pPr>
              <w:pStyle w:val="TableParagraph"/>
              <w:spacing w:line="240" w:lineRule="auto" w:before="16"/>
              <w:ind w:right="243"/>
              <w:jc w:val="right"/>
              <w:rPr>
                <w:rFonts w:ascii="宋体" w:hAnsi="宋体" w:cs="宋体" w:eastAsia="宋体" w:hint="default"/>
                <w:sz w:val="21"/>
                <w:szCs w:val="21"/>
              </w:rPr>
            </w:pPr>
            <w:r>
              <w:rPr>
                <w:rFonts w:ascii="宋体"/>
                <w:sz w:val="21"/>
              </w:rPr>
              <w:t>55,496,251.61</w:t>
            </w:r>
          </w:p>
        </w:tc>
        <w:tc>
          <w:tcPr>
            <w:tcW w:w="1012" w:type="dxa"/>
            <w:tcBorders>
              <w:top w:val="single" w:sz="8" w:space="0" w:color="000000"/>
              <w:left w:val="nil" w:sz="6" w:space="0" w:color="auto"/>
              <w:bottom w:val="nil" w:sz="6" w:space="0" w:color="auto"/>
              <w:right w:val="nil" w:sz="6" w:space="0" w:color="auto"/>
            </w:tcBorders>
          </w:tcPr>
          <w:p>
            <w:pPr>
              <w:pStyle w:val="TableParagraph"/>
              <w:spacing w:line="240" w:lineRule="auto" w:before="16"/>
              <w:ind w:right="130"/>
              <w:jc w:val="right"/>
              <w:rPr>
                <w:rFonts w:ascii="宋体" w:hAnsi="宋体" w:cs="宋体" w:eastAsia="宋体" w:hint="default"/>
                <w:sz w:val="21"/>
                <w:szCs w:val="21"/>
              </w:rPr>
            </w:pPr>
            <w:r>
              <w:rPr>
                <w:rFonts w:ascii="宋体"/>
                <w:sz w:val="21"/>
              </w:rPr>
              <w:t>78.9</w:t>
            </w:r>
          </w:p>
        </w:tc>
        <w:tc>
          <w:tcPr>
            <w:tcW w:w="1696" w:type="dxa"/>
            <w:tcBorders>
              <w:top w:val="single" w:sz="8" w:space="0" w:color="000000"/>
              <w:left w:val="nil" w:sz="6" w:space="0" w:color="auto"/>
              <w:bottom w:val="nil" w:sz="6" w:space="0" w:color="auto"/>
              <w:right w:val="nil" w:sz="6" w:space="0" w:color="auto"/>
            </w:tcBorders>
          </w:tcPr>
          <w:p>
            <w:pPr>
              <w:pStyle w:val="TableParagraph"/>
              <w:spacing w:line="240" w:lineRule="auto" w:before="16"/>
              <w:ind w:right="292"/>
              <w:jc w:val="right"/>
              <w:rPr>
                <w:rFonts w:ascii="宋体" w:hAnsi="宋体" w:cs="宋体" w:eastAsia="宋体" w:hint="default"/>
                <w:sz w:val="21"/>
                <w:szCs w:val="21"/>
              </w:rPr>
            </w:pPr>
            <w:r>
              <w:rPr>
                <w:rFonts w:ascii="宋体"/>
                <w:sz w:val="21"/>
              </w:rPr>
              <w:t>554,780.39</w:t>
            </w:r>
          </w:p>
        </w:tc>
        <w:tc>
          <w:tcPr>
            <w:tcW w:w="1352" w:type="dxa"/>
            <w:tcBorders>
              <w:top w:val="single" w:sz="8" w:space="0" w:color="000000"/>
              <w:left w:val="nil" w:sz="6" w:space="0" w:color="auto"/>
              <w:bottom w:val="nil" w:sz="6" w:space="0" w:color="auto"/>
              <w:right w:val="nil" w:sz="6" w:space="0" w:color="auto"/>
            </w:tcBorders>
          </w:tcPr>
          <w:p>
            <w:pPr>
              <w:pStyle w:val="TableParagraph"/>
              <w:spacing w:line="240" w:lineRule="auto" w:before="16"/>
              <w:ind w:right="106"/>
              <w:jc w:val="right"/>
              <w:rPr>
                <w:rFonts w:ascii="宋体" w:hAnsi="宋体" w:cs="宋体" w:eastAsia="宋体" w:hint="default"/>
                <w:sz w:val="21"/>
                <w:szCs w:val="21"/>
              </w:rPr>
            </w:pPr>
            <w:r>
              <w:rPr>
                <w:rFonts w:ascii="宋体"/>
                <w:sz w:val="21"/>
              </w:rPr>
              <w:t>1.00</w:t>
            </w:r>
          </w:p>
        </w:tc>
        <w:tc>
          <w:tcPr>
            <w:tcW w:w="1591" w:type="dxa"/>
            <w:tcBorders>
              <w:top w:val="single" w:sz="8" w:space="0" w:color="000000"/>
              <w:left w:val="nil" w:sz="6" w:space="0" w:color="auto"/>
              <w:bottom w:val="nil" w:sz="6" w:space="0" w:color="auto"/>
              <w:right w:val="nil" w:sz="6" w:space="0" w:color="auto"/>
            </w:tcBorders>
          </w:tcPr>
          <w:p>
            <w:pPr>
              <w:pStyle w:val="TableParagraph"/>
              <w:spacing w:line="240" w:lineRule="auto" w:before="16"/>
              <w:ind w:right="105"/>
              <w:jc w:val="right"/>
              <w:rPr>
                <w:rFonts w:ascii="宋体" w:hAnsi="宋体" w:cs="宋体" w:eastAsia="宋体" w:hint="default"/>
                <w:sz w:val="21"/>
                <w:szCs w:val="21"/>
              </w:rPr>
            </w:pPr>
            <w:r>
              <w:rPr>
                <w:rFonts w:ascii="宋体"/>
                <w:sz w:val="21"/>
              </w:rPr>
              <w:t>54,941,471.22</w:t>
            </w:r>
          </w:p>
        </w:tc>
      </w:tr>
      <w:tr>
        <w:trPr>
          <w:trHeight w:val="397" w:hRule="exact"/>
        </w:trPr>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4"/>
              <w:jc w:val="right"/>
              <w:rPr>
                <w:rFonts w:ascii="宋体" w:hAnsi="宋体" w:cs="宋体" w:eastAsia="宋体" w:hint="default"/>
                <w:sz w:val="21"/>
                <w:szCs w:val="21"/>
              </w:rPr>
            </w:pPr>
            <w:r>
              <w:rPr>
                <w:rFonts w:ascii="宋体"/>
                <w:sz w:val="21"/>
              </w:rPr>
              <w:t>4,575,244.86</w:t>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9"/>
              <w:jc w:val="right"/>
              <w:rPr>
                <w:rFonts w:ascii="宋体" w:hAnsi="宋体" w:cs="宋体" w:eastAsia="宋体" w:hint="default"/>
                <w:sz w:val="21"/>
                <w:szCs w:val="21"/>
              </w:rPr>
            </w:pPr>
            <w:r>
              <w:rPr>
                <w:rFonts w:ascii="宋体"/>
                <w:sz w:val="21"/>
              </w:rPr>
              <w:t>6.5</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92"/>
              <w:jc w:val="right"/>
              <w:rPr>
                <w:rFonts w:ascii="宋体" w:hAnsi="宋体" w:cs="宋体" w:eastAsia="宋体" w:hint="default"/>
                <w:sz w:val="21"/>
                <w:szCs w:val="21"/>
              </w:rPr>
            </w:pPr>
            <w:r>
              <w:rPr>
                <w:rFonts w:ascii="宋体"/>
                <w:sz w:val="21"/>
              </w:rPr>
              <w:t>915,049.02</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6"/>
              <w:jc w:val="right"/>
              <w:rPr>
                <w:rFonts w:ascii="宋体" w:hAnsi="宋体" w:cs="宋体" w:eastAsia="宋体" w:hint="default"/>
                <w:sz w:val="21"/>
                <w:szCs w:val="21"/>
              </w:rPr>
            </w:pPr>
            <w:r>
              <w:rPr>
                <w:rFonts w:ascii="宋体"/>
                <w:sz w:val="21"/>
              </w:rPr>
              <w:t>20.00</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4"/>
              <w:jc w:val="right"/>
              <w:rPr>
                <w:rFonts w:ascii="宋体" w:hAnsi="宋体" w:cs="宋体" w:eastAsia="宋体" w:hint="default"/>
                <w:sz w:val="21"/>
                <w:szCs w:val="21"/>
              </w:rPr>
            </w:pPr>
            <w:r>
              <w:rPr>
                <w:rFonts w:ascii="宋体"/>
                <w:sz w:val="21"/>
              </w:rPr>
              <w:t>3,660,195.84</w:t>
            </w:r>
          </w:p>
        </w:tc>
      </w:tr>
      <w:tr>
        <w:trPr>
          <w:trHeight w:val="397" w:hRule="exact"/>
        </w:trPr>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4"/>
              <w:jc w:val="right"/>
              <w:rPr>
                <w:rFonts w:ascii="宋体" w:hAnsi="宋体" w:cs="宋体" w:eastAsia="宋体" w:hint="default"/>
                <w:sz w:val="21"/>
                <w:szCs w:val="21"/>
              </w:rPr>
            </w:pPr>
            <w:r>
              <w:rPr>
                <w:rFonts w:ascii="宋体"/>
                <w:sz w:val="21"/>
              </w:rPr>
              <w:t>4,085,289.27</w:t>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0"/>
              <w:jc w:val="right"/>
              <w:rPr>
                <w:rFonts w:ascii="宋体" w:hAnsi="宋体" w:cs="宋体" w:eastAsia="宋体" w:hint="default"/>
                <w:sz w:val="21"/>
                <w:szCs w:val="21"/>
              </w:rPr>
            </w:pPr>
            <w:r>
              <w:rPr>
                <w:rFonts w:ascii="宋体"/>
                <w:sz w:val="21"/>
              </w:rPr>
              <w:t>5.81</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91"/>
              <w:jc w:val="right"/>
              <w:rPr>
                <w:rFonts w:ascii="宋体" w:hAnsi="宋体" w:cs="宋体" w:eastAsia="宋体" w:hint="default"/>
                <w:sz w:val="21"/>
                <w:szCs w:val="21"/>
              </w:rPr>
            </w:pPr>
            <w:r>
              <w:rPr>
                <w:rFonts w:ascii="宋体"/>
                <w:sz w:val="21"/>
              </w:rPr>
              <w:t>1,634,115.73</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6"/>
              <w:jc w:val="right"/>
              <w:rPr>
                <w:rFonts w:ascii="宋体" w:hAnsi="宋体" w:cs="宋体" w:eastAsia="宋体" w:hint="default"/>
                <w:sz w:val="21"/>
                <w:szCs w:val="21"/>
              </w:rPr>
            </w:pPr>
            <w:r>
              <w:rPr>
                <w:rFonts w:ascii="宋体"/>
                <w:sz w:val="21"/>
              </w:rPr>
              <w:t>40.00</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4"/>
              <w:jc w:val="right"/>
              <w:rPr>
                <w:rFonts w:ascii="宋体" w:hAnsi="宋体" w:cs="宋体" w:eastAsia="宋体" w:hint="default"/>
                <w:sz w:val="21"/>
                <w:szCs w:val="21"/>
              </w:rPr>
            </w:pPr>
            <w:r>
              <w:rPr>
                <w:rFonts w:ascii="宋体"/>
                <w:sz w:val="21"/>
              </w:rPr>
              <w:t>2,451,173.54</w:t>
            </w:r>
          </w:p>
        </w:tc>
      </w:tr>
      <w:tr>
        <w:trPr>
          <w:trHeight w:val="397" w:hRule="exact"/>
        </w:trPr>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4"/>
              <w:jc w:val="right"/>
              <w:rPr>
                <w:rFonts w:ascii="宋体" w:hAnsi="宋体" w:cs="宋体" w:eastAsia="宋体" w:hint="default"/>
                <w:sz w:val="21"/>
                <w:szCs w:val="21"/>
              </w:rPr>
            </w:pPr>
            <w:r>
              <w:rPr>
                <w:rFonts w:ascii="宋体"/>
                <w:sz w:val="21"/>
              </w:rPr>
              <w:t>4,682,582.04</w:t>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0"/>
              <w:jc w:val="right"/>
              <w:rPr>
                <w:rFonts w:ascii="宋体" w:hAnsi="宋体" w:cs="宋体" w:eastAsia="宋体" w:hint="default"/>
                <w:sz w:val="21"/>
                <w:szCs w:val="21"/>
              </w:rPr>
            </w:pPr>
            <w:r>
              <w:rPr>
                <w:rFonts w:ascii="宋体"/>
                <w:sz w:val="21"/>
              </w:rPr>
              <w:t>6.66</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91"/>
              <w:jc w:val="right"/>
              <w:rPr>
                <w:rFonts w:ascii="宋体" w:hAnsi="宋体" w:cs="宋体" w:eastAsia="宋体" w:hint="default"/>
                <w:sz w:val="21"/>
                <w:szCs w:val="21"/>
              </w:rPr>
            </w:pPr>
            <w:r>
              <w:rPr>
                <w:rFonts w:ascii="宋体"/>
                <w:sz w:val="21"/>
              </w:rPr>
              <w:t>2,809,549.20</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6"/>
              <w:jc w:val="right"/>
              <w:rPr>
                <w:rFonts w:ascii="宋体" w:hAnsi="宋体" w:cs="宋体" w:eastAsia="宋体" w:hint="default"/>
                <w:sz w:val="21"/>
                <w:szCs w:val="21"/>
              </w:rPr>
            </w:pPr>
            <w:r>
              <w:rPr>
                <w:rFonts w:ascii="宋体"/>
                <w:sz w:val="21"/>
              </w:rPr>
              <w:t>60.00</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4"/>
              <w:jc w:val="right"/>
              <w:rPr>
                <w:rFonts w:ascii="宋体" w:hAnsi="宋体" w:cs="宋体" w:eastAsia="宋体" w:hint="default"/>
                <w:sz w:val="21"/>
                <w:szCs w:val="21"/>
              </w:rPr>
            </w:pPr>
            <w:r>
              <w:rPr>
                <w:rFonts w:ascii="宋体"/>
                <w:sz w:val="21"/>
              </w:rPr>
              <w:t>1,873,032.84</w:t>
            </w:r>
          </w:p>
        </w:tc>
      </w:tr>
      <w:tr>
        <w:trPr>
          <w:trHeight w:val="397" w:hRule="exact"/>
        </w:trPr>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4"/>
              <w:jc w:val="right"/>
              <w:rPr>
                <w:rFonts w:ascii="宋体" w:hAnsi="宋体" w:cs="宋体" w:eastAsia="宋体" w:hint="default"/>
                <w:sz w:val="21"/>
                <w:szCs w:val="21"/>
              </w:rPr>
            </w:pPr>
            <w:r>
              <w:rPr>
                <w:rFonts w:ascii="宋体"/>
                <w:sz w:val="21"/>
              </w:rPr>
              <w:t>319,776.67</w:t>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0"/>
              <w:jc w:val="right"/>
              <w:rPr>
                <w:rFonts w:ascii="宋体" w:hAnsi="宋体" w:cs="宋体" w:eastAsia="宋体" w:hint="default"/>
                <w:sz w:val="21"/>
                <w:szCs w:val="21"/>
              </w:rPr>
            </w:pPr>
            <w:r>
              <w:rPr>
                <w:rFonts w:ascii="宋体"/>
                <w:sz w:val="21"/>
              </w:rPr>
              <w:t>0.45</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92"/>
              <w:jc w:val="right"/>
              <w:rPr>
                <w:rFonts w:ascii="宋体" w:hAnsi="宋体" w:cs="宋体" w:eastAsia="宋体" w:hint="default"/>
                <w:sz w:val="21"/>
                <w:szCs w:val="21"/>
              </w:rPr>
            </w:pPr>
            <w:r>
              <w:rPr>
                <w:rFonts w:ascii="宋体"/>
                <w:sz w:val="21"/>
              </w:rPr>
              <w:t>255,821.31</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6"/>
              <w:jc w:val="right"/>
              <w:rPr>
                <w:rFonts w:ascii="宋体" w:hAnsi="宋体" w:cs="宋体" w:eastAsia="宋体" w:hint="default"/>
                <w:sz w:val="21"/>
                <w:szCs w:val="21"/>
              </w:rPr>
            </w:pPr>
            <w:r>
              <w:rPr>
                <w:rFonts w:ascii="宋体"/>
                <w:sz w:val="21"/>
              </w:rPr>
              <w:t>80.00</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5"/>
              <w:jc w:val="right"/>
              <w:rPr>
                <w:rFonts w:ascii="宋体" w:hAnsi="宋体" w:cs="宋体" w:eastAsia="宋体" w:hint="default"/>
                <w:sz w:val="21"/>
                <w:szCs w:val="21"/>
              </w:rPr>
            </w:pPr>
            <w:r>
              <w:rPr>
                <w:rFonts w:ascii="宋体"/>
                <w:sz w:val="21"/>
              </w:rPr>
              <w:t>63,955.36</w:t>
            </w:r>
          </w:p>
        </w:tc>
      </w:tr>
      <w:tr>
        <w:trPr>
          <w:trHeight w:val="404" w:hRule="exact"/>
        </w:trPr>
        <w:tc>
          <w:tcPr>
            <w:tcW w:w="1337"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108"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062"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244"/>
              <w:jc w:val="right"/>
              <w:rPr>
                <w:rFonts w:ascii="宋体" w:hAnsi="宋体" w:cs="宋体" w:eastAsia="宋体" w:hint="default"/>
                <w:sz w:val="21"/>
                <w:szCs w:val="21"/>
              </w:rPr>
            </w:pPr>
            <w:r>
              <w:rPr>
                <w:rFonts w:ascii="宋体"/>
                <w:sz w:val="21"/>
              </w:rPr>
              <w:t>1,183,854.43</w:t>
            </w:r>
          </w:p>
        </w:tc>
        <w:tc>
          <w:tcPr>
            <w:tcW w:w="1012"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130"/>
              <w:jc w:val="right"/>
              <w:rPr>
                <w:rFonts w:ascii="宋体" w:hAnsi="宋体" w:cs="宋体" w:eastAsia="宋体" w:hint="default"/>
                <w:sz w:val="21"/>
                <w:szCs w:val="21"/>
              </w:rPr>
            </w:pPr>
            <w:r>
              <w:rPr>
                <w:rFonts w:ascii="宋体"/>
                <w:sz w:val="21"/>
              </w:rPr>
              <w:t>1.68</w:t>
            </w:r>
          </w:p>
        </w:tc>
        <w:tc>
          <w:tcPr>
            <w:tcW w:w="1696"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291"/>
              <w:jc w:val="right"/>
              <w:rPr>
                <w:rFonts w:ascii="宋体" w:hAnsi="宋体" w:cs="宋体" w:eastAsia="宋体" w:hint="default"/>
                <w:sz w:val="21"/>
                <w:szCs w:val="21"/>
              </w:rPr>
            </w:pPr>
            <w:r>
              <w:rPr>
                <w:rFonts w:ascii="宋体"/>
                <w:sz w:val="21"/>
              </w:rPr>
              <w:t>1,183,854.43</w:t>
            </w:r>
          </w:p>
        </w:tc>
        <w:tc>
          <w:tcPr>
            <w:tcW w:w="1352"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106"/>
              <w:jc w:val="right"/>
              <w:rPr>
                <w:rFonts w:ascii="宋体" w:hAnsi="宋体" w:cs="宋体" w:eastAsia="宋体" w:hint="default"/>
                <w:sz w:val="21"/>
                <w:szCs w:val="21"/>
              </w:rPr>
            </w:pPr>
            <w:r>
              <w:rPr>
                <w:rFonts w:ascii="宋体"/>
                <w:sz w:val="21"/>
              </w:rPr>
              <w:t>100.00</w:t>
            </w:r>
          </w:p>
        </w:tc>
        <w:tc>
          <w:tcPr>
            <w:tcW w:w="1591"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105"/>
              <w:jc w:val="right"/>
              <w:rPr>
                <w:rFonts w:ascii="宋体" w:hAnsi="宋体" w:cs="宋体" w:eastAsia="宋体" w:hint="default"/>
                <w:sz w:val="21"/>
                <w:szCs w:val="21"/>
              </w:rPr>
            </w:pPr>
            <w:r>
              <w:rPr>
                <w:rFonts w:ascii="宋体"/>
                <w:sz w:val="21"/>
              </w:rPr>
              <w:t>0</w:t>
            </w:r>
          </w:p>
        </w:tc>
      </w:tr>
      <w:tr>
        <w:trPr>
          <w:trHeight w:val="446" w:hRule="exact"/>
        </w:trPr>
        <w:tc>
          <w:tcPr>
            <w:tcW w:w="1337"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left="108"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62"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47"/>
              <w:jc w:val="right"/>
              <w:rPr>
                <w:rFonts w:ascii="宋体" w:hAnsi="宋体" w:cs="宋体" w:eastAsia="宋体" w:hint="default"/>
                <w:sz w:val="21"/>
                <w:szCs w:val="21"/>
              </w:rPr>
            </w:pPr>
            <w:r>
              <w:rPr>
                <w:rFonts w:ascii="宋体"/>
                <w:b/>
                <w:w w:val="95"/>
                <w:sz w:val="21"/>
              </w:rPr>
              <w:t>70,342,998.88</w:t>
            </w:r>
            <w:r>
              <w:rPr>
                <w:rFonts w:ascii="宋体"/>
                <w:sz w:val="21"/>
              </w:rPr>
            </w:r>
          </w:p>
        </w:tc>
        <w:tc>
          <w:tcPr>
            <w:tcW w:w="1012"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31"/>
              <w:jc w:val="right"/>
              <w:rPr>
                <w:rFonts w:ascii="宋体" w:hAnsi="宋体" w:cs="宋体" w:eastAsia="宋体" w:hint="default"/>
                <w:sz w:val="21"/>
                <w:szCs w:val="21"/>
              </w:rPr>
            </w:pPr>
            <w:r>
              <w:rPr>
                <w:rFonts w:ascii="宋体"/>
                <w:b/>
                <w:w w:val="95"/>
                <w:sz w:val="21"/>
              </w:rPr>
              <w:t>100.00</w:t>
            </w:r>
            <w:r>
              <w:rPr>
                <w:rFonts w:ascii="宋体"/>
                <w:sz w:val="21"/>
              </w:rPr>
            </w:r>
          </w:p>
        </w:tc>
        <w:tc>
          <w:tcPr>
            <w:tcW w:w="1696"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94"/>
              <w:jc w:val="right"/>
              <w:rPr>
                <w:rFonts w:ascii="宋体" w:hAnsi="宋体" w:cs="宋体" w:eastAsia="宋体" w:hint="default"/>
                <w:sz w:val="21"/>
                <w:szCs w:val="21"/>
              </w:rPr>
            </w:pPr>
            <w:r>
              <w:rPr>
                <w:rFonts w:ascii="宋体"/>
                <w:b/>
                <w:w w:val="95"/>
                <w:sz w:val="21"/>
              </w:rPr>
              <w:t>7,353,170.08</w:t>
            </w:r>
            <w:r>
              <w:rPr>
                <w:rFonts w:ascii="宋体"/>
                <w:sz w:val="21"/>
              </w:rPr>
            </w:r>
          </w:p>
        </w:tc>
        <w:tc>
          <w:tcPr>
            <w:tcW w:w="1352"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06"/>
              <w:jc w:val="right"/>
              <w:rPr>
                <w:rFonts w:ascii="宋体" w:hAnsi="宋体" w:cs="宋体" w:eastAsia="宋体" w:hint="default"/>
                <w:sz w:val="21"/>
                <w:szCs w:val="21"/>
              </w:rPr>
            </w:pPr>
            <w:r>
              <w:rPr>
                <w:rFonts w:ascii="宋体"/>
                <w:b/>
                <w:w w:val="95"/>
                <w:sz w:val="21"/>
              </w:rPr>
              <w:t>--</w:t>
            </w:r>
            <w:r>
              <w:rPr>
                <w:rFonts w:ascii="宋体"/>
                <w:sz w:val="21"/>
              </w:rPr>
            </w:r>
          </w:p>
        </w:tc>
        <w:tc>
          <w:tcPr>
            <w:tcW w:w="1591"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07"/>
              <w:jc w:val="right"/>
              <w:rPr>
                <w:rFonts w:ascii="宋体" w:hAnsi="宋体" w:cs="宋体" w:eastAsia="宋体" w:hint="default"/>
                <w:sz w:val="21"/>
                <w:szCs w:val="21"/>
              </w:rPr>
            </w:pPr>
            <w:r>
              <w:rPr>
                <w:rFonts w:ascii="宋体"/>
                <w:b/>
                <w:w w:val="95"/>
                <w:sz w:val="21"/>
              </w:rPr>
              <w:t>62,989,828.80</w:t>
            </w:r>
            <w:r>
              <w:rPr>
                <w:rFonts w:ascii="宋体"/>
                <w:sz w:val="21"/>
              </w:rPr>
            </w:r>
          </w:p>
        </w:tc>
      </w:tr>
    </w:tbl>
    <w:p>
      <w:pPr>
        <w:spacing w:line="240" w:lineRule="auto" w:before="0"/>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54.2pt;height:1pt;mso-position-horizontal-relative:char;mso-position-vertical-relative:line" coordorigin="0,0" coordsize="9084,20">
            <v:group style="position:absolute;left:10;top:10;width:1437;height:2" coordorigin="10,10" coordsize="1437,2">
              <v:shape style="position:absolute;left:10;top:10;width:1437;height:2" coordorigin="10,10" coordsize="1437,0" path="m10,10l1446,10e" filled="false" stroked="true" strokeweight=".95999pt" strokecolor="#000000">
                <v:path arrowok="t"/>
              </v:shape>
            </v:group>
            <v:group style="position:absolute;left:1432;top:10;width:20;height:2" coordorigin="1432,10" coordsize="20,2">
              <v:shape style="position:absolute;left:1432;top:10;width:20;height:2" coordorigin="1432,10" coordsize="20,0" path="m1432,10l1451,10e" filled="false" stroked="true" strokeweight=".95999pt" strokecolor="#000000">
                <v:path arrowok="t"/>
              </v:shape>
            </v:group>
            <v:group style="position:absolute;left:1451;top:10;width:1836;height:2" coordorigin="1451,10" coordsize="1836,2">
              <v:shape style="position:absolute;left:1451;top:10;width:1836;height:2" coordorigin="1451,10" coordsize="1836,0" path="m1451,10l3286,10e" filled="false" stroked="true" strokeweight=".95999pt" strokecolor="#000000">
                <v:path arrowok="t"/>
              </v:shape>
            </v:group>
            <v:group style="position:absolute;left:3272;top:10;width:20;height:2" coordorigin="3272,10" coordsize="20,2">
              <v:shape style="position:absolute;left:3272;top:10;width:20;height:2" coordorigin="3272,10" coordsize="20,0" path="m3272,10l3291,10e" filled="false" stroked="true" strokeweight=".95999pt" strokecolor="#000000">
                <v:path arrowok="t"/>
              </v:shape>
            </v:group>
            <v:group style="position:absolute;left:3291;top:10;width:1120;height:2" coordorigin="3291,10" coordsize="1120,2">
              <v:shape style="position:absolute;left:3291;top:10;width:1120;height:2" coordorigin="3291,10" coordsize="1120,0" path="m3291,10l4410,10e" filled="false" stroked="true" strokeweight=".95999pt" strokecolor="#000000">
                <v:path arrowok="t"/>
              </v:shape>
            </v:group>
            <v:group style="position:absolute;left:4396;top:10;width:20;height:2" coordorigin="4396,10" coordsize="20,2">
              <v:shape style="position:absolute;left:4396;top:10;width:20;height:2" coordorigin="4396,10" coordsize="20,0" path="m4396,10l4415,10e" filled="false" stroked="true" strokeweight=".95999pt" strokecolor="#000000">
                <v:path arrowok="t"/>
              </v:shape>
            </v:group>
            <v:group style="position:absolute;left:4415;top:10;width:1530;height:2" coordorigin="4415,10" coordsize="1530,2">
              <v:shape style="position:absolute;left:4415;top:10;width:1530;height:2" coordorigin="4415,10" coordsize="1530,0" path="m4415,10l5945,10e" filled="false" stroked="true" strokeweight=".95999pt" strokecolor="#000000">
                <v:path arrowok="t"/>
              </v:shape>
            </v:group>
            <v:group style="position:absolute;left:5931;top:10;width:20;height:2" coordorigin="5931,10" coordsize="20,2">
              <v:shape style="position:absolute;left:5931;top:10;width:20;height:2" coordorigin="5931,10" coordsize="20,0" path="m5931,10l5950,10e" filled="false" stroked="true" strokeweight=".95999pt" strokecolor="#000000">
                <v:path arrowok="t"/>
              </v:shape>
            </v:group>
            <v:group style="position:absolute;left:5950;top:10;width:1532;height:2" coordorigin="5950,10" coordsize="1532,2">
              <v:shape style="position:absolute;left:5950;top:10;width:1532;height:2" coordorigin="5950,10" coordsize="1532,0" path="m5950,10l7482,10e" filled="false" stroked="true" strokeweight=".95999pt" strokecolor="#000000">
                <v:path arrowok="t"/>
              </v:shape>
            </v:group>
            <v:group style="position:absolute;left:7467;top:10;width:20;height:2" coordorigin="7467,10" coordsize="20,2">
              <v:shape style="position:absolute;left:7467;top:10;width:20;height:2" coordorigin="7467,10" coordsize="20,0" path="m7467,10l7486,10e" filled="false" stroked="true" strokeweight=".95999pt" strokecolor="#000000">
                <v:path arrowok="t"/>
              </v:shape>
            </v:group>
            <v:group style="position:absolute;left:7486;top:10;width:1588;height:2" coordorigin="7486,10" coordsize="1588,2">
              <v:shape style="position:absolute;left:7486;top:10;width:1588;height:2" coordorigin="7486,10" coordsize="1588,0" path="m7486,10l9074,10e" filled="false" stroked="true" strokeweight=".95999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b/>
          <w:bCs/>
          <w:sz w:val="20"/>
          <w:szCs w:val="20"/>
        </w:rPr>
      </w:pPr>
    </w:p>
    <w:p>
      <w:pPr>
        <w:pStyle w:val="Heading2"/>
        <w:spacing w:line="240" w:lineRule="auto"/>
        <w:ind w:left="238" w:right="261"/>
        <w:jc w:val="left"/>
        <w:rPr>
          <w:b w:val="0"/>
          <w:bCs w:val="0"/>
        </w:rPr>
      </w:pPr>
      <w:r>
        <w:rPr>
          <w:rFonts w:ascii="宋体" w:hAnsi="宋体" w:cs="宋体" w:eastAsia="宋体" w:hint="default"/>
        </w:rPr>
        <w:t>(2).</w:t>
      </w:r>
      <w:r>
        <w:rPr>
          <w:rFonts w:ascii="宋体" w:hAnsi="宋体" w:cs="宋体" w:eastAsia="宋体" w:hint="default"/>
          <w:spacing w:val="-35"/>
        </w:rPr>
        <w:t> </w:t>
      </w:r>
      <w:r>
        <w:rPr/>
        <w:t>本期计提、收回或转回的坏账准备情况：</w:t>
      </w:r>
      <w:r>
        <w:rPr>
          <w:b w:val="0"/>
          <w:bCs w:val="0"/>
        </w:rPr>
      </w:r>
    </w:p>
    <w:p>
      <w:pPr>
        <w:pStyle w:val="BodyText"/>
        <w:spacing w:line="310" w:lineRule="exact" w:before="89"/>
        <w:ind w:left="238" w:right="218" w:firstLine="480"/>
        <w:jc w:val="left"/>
      </w:pPr>
      <w:r>
        <w:rPr/>
        <w:t>本期坏账准备变动金额</w:t>
      </w:r>
      <w:r>
        <w:rPr>
          <w:rFonts w:ascii="宋体" w:hAnsi="宋体" w:cs="宋体" w:eastAsia="宋体" w:hint="default"/>
        </w:rPr>
        <w:t>-706,927.02</w:t>
      </w:r>
      <w:r>
        <w:rPr>
          <w:rFonts w:ascii="宋体" w:hAnsi="宋体" w:cs="宋体" w:eastAsia="宋体" w:hint="default"/>
          <w:spacing w:val="-76"/>
        </w:rPr>
        <w:t> </w:t>
      </w:r>
      <w:r>
        <w:rPr>
          <w:spacing w:val="-6"/>
        </w:rPr>
        <w:t>元，其中计提坏账准备金额</w:t>
      </w:r>
      <w:r>
        <w:rPr>
          <w:rFonts w:ascii="宋体" w:hAnsi="宋体" w:cs="宋体" w:eastAsia="宋体" w:hint="default"/>
          <w:spacing w:val="-6"/>
        </w:rPr>
        <w:t>-555,705.27</w:t>
      </w:r>
      <w:r>
        <w:rPr>
          <w:rFonts w:ascii="宋体" w:hAnsi="宋体" w:cs="宋体" w:eastAsia="宋体" w:hint="default"/>
          <w:spacing w:val="-76"/>
        </w:rPr>
        <w:t> </w:t>
      </w:r>
      <w:r>
        <w:rPr/>
        <w:t>元， 汇率变动影响金额</w:t>
      </w:r>
      <w:r>
        <w:rPr>
          <w:spacing w:val="-60"/>
        </w:rPr>
        <w:t> </w:t>
      </w:r>
      <w:r>
        <w:rPr>
          <w:rFonts w:ascii="宋体" w:hAnsi="宋体" w:cs="宋体" w:eastAsia="宋体" w:hint="default"/>
        </w:rPr>
        <w:t>13,267.15</w:t>
      </w:r>
      <w:r>
        <w:rPr>
          <w:rFonts w:ascii="宋体" w:hAnsi="宋体" w:cs="宋体" w:eastAsia="宋体" w:hint="default"/>
          <w:spacing w:val="-60"/>
        </w:rPr>
        <w:t> </w:t>
      </w:r>
      <w:r>
        <w:rPr/>
        <w:t>元，收购石家庄华胜正明软件技术有限公司影响金额</w:t>
      </w:r>
    </w:p>
    <w:p>
      <w:pPr>
        <w:pStyle w:val="BodyText"/>
        <w:spacing w:line="310" w:lineRule="exact" w:before="2"/>
        <w:ind w:left="238" w:right="218"/>
        <w:jc w:val="left"/>
      </w:pPr>
      <w:r>
        <w:rPr>
          <w:rFonts w:ascii="宋体" w:hAnsi="宋体" w:cs="宋体" w:eastAsia="宋体" w:hint="default"/>
        </w:rPr>
        <w:t>30,153.30</w:t>
      </w:r>
      <w:r>
        <w:rPr>
          <w:rFonts w:ascii="宋体" w:hAnsi="宋体" w:cs="宋体" w:eastAsia="宋体" w:hint="default"/>
          <w:spacing w:val="-54"/>
        </w:rPr>
        <w:t> </w:t>
      </w:r>
      <w:r>
        <w:rPr>
          <w:spacing w:val="-6"/>
        </w:rPr>
        <w:t>元，核销坏账准备金额</w:t>
      </w:r>
      <w:r>
        <w:rPr>
          <w:spacing w:val="-54"/>
        </w:rPr>
        <w:t> </w:t>
      </w:r>
      <w:r>
        <w:rPr>
          <w:rFonts w:ascii="宋体" w:hAnsi="宋体" w:cs="宋体" w:eastAsia="宋体" w:hint="default"/>
        </w:rPr>
        <w:t>194,642.20</w:t>
      </w:r>
      <w:r>
        <w:rPr>
          <w:rFonts w:ascii="宋体" w:hAnsi="宋体" w:cs="宋体" w:eastAsia="宋体" w:hint="default"/>
          <w:spacing w:val="-54"/>
        </w:rPr>
        <w:t> </w:t>
      </w:r>
      <w:r>
        <w:rPr>
          <w:spacing w:val="-4"/>
        </w:rPr>
        <w:t>元，无收回或转回原单项计提的坏账准</w:t>
      </w:r>
      <w:r>
        <w:rPr/>
        <w:t> 备情况。</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41"/>
          <w:pgSz w:w="11910" w:h="16840"/>
          <w:pgMar w:footer="1194" w:header="882" w:top="1120" w:bottom="1380" w:left="1560" w:right="1040"/>
        </w:sectPr>
      </w:pPr>
    </w:p>
    <w:p>
      <w:pPr>
        <w:pStyle w:val="Heading2"/>
        <w:spacing w:line="240" w:lineRule="auto" w:before="159"/>
        <w:ind w:left="238" w:right="-9"/>
        <w:jc w:val="left"/>
        <w:rPr>
          <w:b w:val="0"/>
          <w:bCs w:val="0"/>
        </w:rPr>
      </w:pPr>
      <w:r>
        <w:rPr>
          <w:rFonts w:ascii="宋体" w:hAnsi="宋体" w:cs="宋体" w:eastAsia="宋体" w:hint="default"/>
        </w:rPr>
        <w:t>(3).</w:t>
      </w:r>
      <w:r>
        <w:rPr>
          <w:rFonts w:ascii="宋体" w:hAnsi="宋体" w:cs="宋体" w:eastAsia="宋体" w:hint="default"/>
          <w:spacing w:val="-31"/>
        </w:rPr>
        <w:t> </w:t>
      </w:r>
      <w:r>
        <w:rPr/>
        <w:t>本期实际核销的其他应收款情况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2"/>
        <w:rPr>
          <w:rFonts w:ascii="宋体" w:hAnsi="宋体" w:cs="宋体" w:eastAsia="宋体" w:hint="default"/>
          <w:b/>
          <w:bCs/>
          <w:sz w:val="20"/>
          <w:szCs w:val="20"/>
        </w:rPr>
      </w:pPr>
    </w:p>
    <w:p>
      <w:pPr>
        <w:tabs>
          <w:tab w:pos="1287" w:val="left" w:leader="none"/>
        </w:tabs>
        <w:spacing w:before="0"/>
        <w:ind w:left="23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560" w:right="1040"/>
          <w:cols w:num="2" w:equalWidth="0">
            <w:col w:w="4197" w:space="2327"/>
            <w:col w:w="2786"/>
          </w:cols>
        </w:sectPr>
      </w:pPr>
    </w:p>
    <w:p>
      <w:pPr>
        <w:spacing w:line="240" w:lineRule="auto" w:before="7"/>
        <w:rPr>
          <w:rFonts w:ascii="宋体" w:hAnsi="宋体" w:cs="宋体" w:eastAsia="宋体" w:hint="default"/>
          <w:sz w:val="2"/>
          <w:szCs w:val="2"/>
        </w:rPr>
      </w:pPr>
    </w:p>
    <w:tbl>
      <w:tblPr>
        <w:tblW w:w="0" w:type="auto"/>
        <w:jc w:val="left"/>
        <w:tblInd w:w="199" w:type="dxa"/>
        <w:tblLayout w:type="fixed"/>
        <w:tblCellMar>
          <w:top w:w="0" w:type="dxa"/>
          <w:left w:w="0" w:type="dxa"/>
          <w:bottom w:w="0" w:type="dxa"/>
          <w:right w:w="0" w:type="dxa"/>
        </w:tblCellMar>
        <w:tblLook w:val="01E0"/>
      </w:tblPr>
      <w:tblGrid>
        <w:gridCol w:w="4431"/>
        <w:gridCol w:w="4466"/>
      </w:tblGrid>
      <w:tr>
        <w:trPr>
          <w:trHeight w:val="287" w:hRule="exact"/>
        </w:trPr>
        <w:tc>
          <w:tcPr>
            <w:tcW w:w="44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2"/>
              <w:jc w:val="center"/>
              <w:rPr>
                <w:rFonts w:ascii="宋体" w:hAnsi="宋体" w:cs="宋体" w:eastAsia="宋体" w:hint="default"/>
                <w:sz w:val="21"/>
                <w:szCs w:val="21"/>
              </w:rPr>
            </w:pPr>
            <w:r>
              <w:rPr>
                <w:rFonts w:ascii="宋体" w:hAnsi="宋体" w:cs="宋体" w:eastAsia="宋体" w:hint="default"/>
                <w:sz w:val="21"/>
                <w:szCs w:val="21"/>
              </w:rPr>
              <w:t>项目</w:t>
            </w:r>
          </w:p>
        </w:tc>
        <w:tc>
          <w:tcPr>
            <w:tcW w:w="44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5"/>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7" w:hRule="exact"/>
        </w:trPr>
        <w:tc>
          <w:tcPr>
            <w:tcW w:w="44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4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pacing w:val="-1"/>
                <w:sz w:val="21"/>
              </w:rPr>
              <w:t>194,642.20</w:t>
            </w:r>
          </w:p>
        </w:tc>
      </w:tr>
    </w:tbl>
    <w:p>
      <w:pPr>
        <w:spacing w:line="240" w:lineRule="auto" w:before="7"/>
        <w:rPr>
          <w:rFonts w:ascii="宋体" w:hAnsi="宋体" w:cs="宋体" w:eastAsia="宋体" w:hint="default"/>
          <w:sz w:val="20"/>
          <w:szCs w:val="20"/>
        </w:rPr>
      </w:pPr>
    </w:p>
    <w:p>
      <w:pPr>
        <w:pStyle w:val="Heading2"/>
        <w:spacing w:line="240" w:lineRule="auto"/>
        <w:ind w:left="238" w:right="261"/>
        <w:jc w:val="left"/>
        <w:rPr>
          <w:b w:val="0"/>
          <w:bCs w:val="0"/>
        </w:rPr>
      </w:pPr>
      <w:r>
        <w:rPr>
          <w:rFonts w:ascii="宋体" w:hAnsi="宋体" w:cs="宋体" w:eastAsia="宋体" w:hint="default"/>
        </w:rPr>
        <w:t>(4).</w:t>
      </w:r>
      <w:r>
        <w:rPr>
          <w:rFonts w:ascii="宋体" w:hAnsi="宋体" w:cs="宋体" w:eastAsia="宋体" w:hint="default"/>
          <w:spacing w:val="-31"/>
        </w:rPr>
        <w:t> </w:t>
      </w:r>
      <w:r>
        <w:rPr/>
        <w:t>其他应收款按款项性质分类情况</w:t>
      </w:r>
      <w:r>
        <w:rPr>
          <w:b w:val="0"/>
          <w:bCs w:val="0"/>
        </w:rPr>
      </w:r>
    </w:p>
    <w:p>
      <w:pPr>
        <w:spacing w:line="240" w:lineRule="auto" w:before="4"/>
        <w:rPr>
          <w:rFonts w:ascii="宋体" w:hAnsi="宋体" w:cs="宋体" w:eastAsia="宋体" w:hint="default"/>
          <w:b/>
          <w:bCs/>
          <w:sz w:val="7"/>
          <w:szCs w:val="7"/>
        </w:rPr>
      </w:pPr>
    </w:p>
    <w:tbl>
      <w:tblPr>
        <w:tblW w:w="0" w:type="auto"/>
        <w:jc w:val="left"/>
        <w:tblInd w:w="125" w:type="dxa"/>
        <w:tblLayout w:type="fixed"/>
        <w:tblCellMar>
          <w:top w:w="0" w:type="dxa"/>
          <w:left w:w="0" w:type="dxa"/>
          <w:bottom w:w="0" w:type="dxa"/>
          <w:right w:w="0" w:type="dxa"/>
        </w:tblCellMar>
        <w:tblLook w:val="01E0"/>
      </w:tblPr>
      <w:tblGrid>
        <w:gridCol w:w="3076"/>
        <w:gridCol w:w="2982"/>
        <w:gridCol w:w="2992"/>
      </w:tblGrid>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4,118,152.47</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5,195,303.36</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58,595,599.78</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47,191,551.16</w:t>
            </w:r>
          </w:p>
        </w:tc>
      </w:tr>
      <w:tr>
        <w:trPr>
          <w:trHeight w:val="284"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预支款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8,168,833.48</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8,883,438.79</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13,773,129.43</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23,090,400.15</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84,655,715.16</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84,360,693.46</w:t>
            </w:r>
          </w:p>
        </w:tc>
      </w:tr>
    </w:tbl>
    <w:p>
      <w:pPr>
        <w:spacing w:after="0" w:line="240" w:lineRule="exact"/>
        <w:jc w:val="right"/>
        <w:rPr>
          <w:rFonts w:ascii="宋体" w:hAnsi="宋体" w:cs="宋体" w:eastAsia="宋体" w:hint="default"/>
          <w:sz w:val="21"/>
          <w:szCs w:val="21"/>
        </w:rPr>
        <w:sectPr>
          <w:type w:val="continuous"/>
          <w:pgSz w:w="11910" w:h="16840"/>
          <w:pgMar w:top="1080" w:bottom="1380" w:left="1560" w:right="1040"/>
        </w:sectPr>
      </w:pPr>
    </w:p>
    <w:p>
      <w:pPr>
        <w:spacing w:line="240" w:lineRule="auto" w:before="9"/>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footerReference w:type="default" r:id="rId42"/>
          <w:pgSz w:w="11910" w:h="16840"/>
          <w:pgMar w:footer="1194" w:header="882" w:top="1120" w:bottom="1380" w:left="820" w:right="700"/>
          <w:pgNumType w:start="121"/>
        </w:sectPr>
      </w:pPr>
    </w:p>
    <w:p>
      <w:pPr>
        <w:pStyle w:val="Heading2"/>
        <w:spacing w:line="240" w:lineRule="auto"/>
        <w:ind w:left="978" w:right="-1"/>
        <w:jc w:val="left"/>
        <w:rPr>
          <w:b w:val="0"/>
          <w:bCs w:val="0"/>
        </w:rPr>
      </w:pPr>
      <w:r>
        <w:rPr>
          <w:rFonts w:ascii="宋体" w:hAnsi="宋体" w:cs="宋体" w:eastAsia="宋体" w:hint="default"/>
        </w:rPr>
        <w:t>(5).</w:t>
      </w:r>
      <w:r>
        <w:rPr>
          <w:rFonts w:ascii="宋体" w:hAnsi="宋体" w:cs="宋体" w:eastAsia="宋体" w:hint="default"/>
          <w:spacing w:val="-40"/>
        </w:rPr>
        <w:t> </w:t>
      </w:r>
      <w:r>
        <w:rPr/>
        <w:t>按欠款方归集的期末余额前五名的其他应收款情况：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tabs>
          <w:tab w:pos="1408" w:val="left" w:leader="none"/>
        </w:tabs>
        <w:spacing w:before="139"/>
        <w:ind w:left="358"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820" w:right="700"/>
          <w:cols w:num="2" w:equalWidth="0">
            <w:col w:w="7104" w:space="40"/>
            <w:col w:w="3246"/>
          </w:cols>
        </w:sectPr>
      </w:pPr>
    </w:p>
    <w:p>
      <w:pPr>
        <w:spacing w:line="240" w:lineRule="auto" w:before="7"/>
        <w:rPr>
          <w:rFonts w:ascii="宋体" w:hAnsi="宋体" w:cs="宋体" w:eastAsia="宋体" w:hint="default"/>
          <w:sz w:val="2"/>
          <w:szCs w:val="2"/>
        </w:rPr>
      </w:pPr>
    </w:p>
    <w:tbl>
      <w:tblPr>
        <w:tblW w:w="0" w:type="auto"/>
        <w:jc w:val="left"/>
        <w:tblInd w:w="939" w:type="dxa"/>
        <w:tblLayout w:type="fixed"/>
        <w:tblCellMar>
          <w:top w:w="0" w:type="dxa"/>
          <w:left w:w="0" w:type="dxa"/>
          <w:bottom w:w="0" w:type="dxa"/>
          <w:right w:w="0" w:type="dxa"/>
        </w:tblCellMar>
        <w:tblLook w:val="01E0"/>
      </w:tblPr>
      <w:tblGrid>
        <w:gridCol w:w="2057"/>
        <w:gridCol w:w="1158"/>
        <w:gridCol w:w="1500"/>
        <w:gridCol w:w="1134"/>
        <w:gridCol w:w="1566"/>
        <w:gridCol w:w="1481"/>
      </w:tblGrid>
      <w:tr>
        <w:trPr>
          <w:trHeight w:val="833" w:hRule="exact"/>
        </w:trPr>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430" w:right="186" w:hanging="316"/>
              <w:jc w:val="left"/>
              <w:rPr>
                <w:rFonts w:ascii="宋体" w:hAnsi="宋体" w:cs="宋体" w:eastAsia="宋体" w:hint="default"/>
                <w:sz w:val="21"/>
                <w:szCs w:val="21"/>
              </w:rPr>
            </w:pPr>
            <w:r>
              <w:rPr>
                <w:rFonts w:ascii="宋体" w:hAnsi="宋体" w:cs="宋体" w:eastAsia="宋体" w:hint="default"/>
                <w:sz w:val="21"/>
                <w:szCs w:val="21"/>
              </w:rPr>
              <w:t>款项的性 质</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7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13"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9"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6"/>
              <w:ind w:left="407" w:right="40" w:hanging="369"/>
              <w:jc w:val="left"/>
              <w:rPr>
                <w:rFonts w:ascii="宋体" w:hAnsi="宋体" w:cs="宋体" w:eastAsia="宋体" w:hint="default"/>
                <w:sz w:val="21"/>
                <w:szCs w:val="21"/>
              </w:rPr>
            </w:pPr>
            <w:r>
              <w:rPr>
                <w:rFonts w:ascii="宋体" w:hAnsi="宋体" w:cs="宋体" w:eastAsia="宋体" w:hint="default"/>
                <w:sz w:val="21"/>
                <w:szCs w:val="21"/>
              </w:rPr>
              <w:t>末余额合计数的 比例</w:t>
            </w:r>
            <w:r>
              <w:rPr>
                <w:rFonts w:ascii="宋体" w:hAnsi="宋体" w:cs="宋体" w:eastAsia="宋体" w:hint="default"/>
                <w:sz w:val="21"/>
                <w:szCs w:val="21"/>
              </w:rPr>
              <w:t>(%)</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13" w:right="311"/>
              <w:jc w:val="left"/>
              <w:rPr>
                <w:rFonts w:ascii="宋体" w:hAnsi="宋体" w:cs="宋体" w:eastAsia="宋体" w:hint="default"/>
                <w:sz w:val="21"/>
                <w:szCs w:val="21"/>
              </w:rPr>
            </w:pPr>
            <w:r>
              <w:rPr>
                <w:rFonts w:ascii="宋体" w:hAnsi="宋体" w:cs="宋体" w:eastAsia="宋体" w:hint="default"/>
                <w:sz w:val="21"/>
                <w:szCs w:val="21"/>
              </w:rPr>
              <w:t>坏账准备 期末余额</w:t>
            </w:r>
          </w:p>
        </w:tc>
      </w:tr>
      <w:tr>
        <w:trPr>
          <w:trHeight w:val="559" w:hRule="exact"/>
        </w:trPr>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安力博发集团有限公</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代垫款</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6" w:right="0"/>
              <w:jc w:val="center"/>
              <w:rPr>
                <w:rFonts w:ascii="宋体" w:hAnsi="宋体" w:cs="宋体" w:eastAsia="宋体" w:hint="default"/>
                <w:sz w:val="21"/>
                <w:szCs w:val="21"/>
              </w:rPr>
            </w:pPr>
            <w:r>
              <w:rPr>
                <w:rFonts w:ascii="宋体"/>
                <w:sz w:val="21"/>
              </w:rPr>
              <w:t>7,925,262.42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9.36</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1,585,052.48</w:t>
            </w:r>
          </w:p>
        </w:tc>
      </w:tr>
      <w:tr>
        <w:trPr>
          <w:trHeight w:val="832" w:hRule="exact"/>
        </w:trPr>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中国移动通信集团贵</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州有限公司</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6" w:right="0"/>
              <w:jc w:val="center"/>
              <w:rPr>
                <w:rFonts w:ascii="宋体" w:hAnsi="宋体" w:cs="宋体" w:eastAsia="宋体" w:hint="default"/>
                <w:sz w:val="21"/>
                <w:szCs w:val="21"/>
              </w:rPr>
            </w:pPr>
            <w:r>
              <w:rPr>
                <w:rFonts w:ascii="宋体"/>
                <w:sz w:val="21"/>
              </w:rPr>
              <w:t>4,459,920.90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5.27</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166,580.26</w:t>
            </w:r>
          </w:p>
        </w:tc>
      </w:tr>
      <w:tr>
        <w:trPr>
          <w:trHeight w:val="560" w:hRule="exact"/>
        </w:trPr>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中国邮电器材集团公</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sz w:val="21"/>
              </w:rPr>
              <w:t>3,690,000.00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4.36</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36,900.00</w:t>
            </w:r>
          </w:p>
        </w:tc>
      </w:tr>
      <w:tr>
        <w:trPr>
          <w:trHeight w:val="832" w:hRule="exact"/>
        </w:trPr>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STUDENT FINANCIAL</w:t>
            </w:r>
          </w:p>
          <w:p>
            <w:pPr>
              <w:pStyle w:val="TableParagraph"/>
              <w:spacing w:line="240" w:lineRule="auto" w:before="8"/>
              <w:ind w:right="0"/>
              <w:jc w:val="left"/>
              <w:rPr>
                <w:rFonts w:ascii="宋体" w:hAnsi="宋体" w:cs="宋体" w:eastAsia="宋体" w:hint="default"/>
                <w:sz w:val="20"/>
                <w:szCs w:val="20"/>
              </w:rPr>
            </w:pPr>
          </w:p>
          <w:p>
            <w:pPr>
              <w:pStyle w:val="TableParagraph"/>
              <w:tabs>
                <w:tab w:pos="1283" w:val="left" w:leader="none"/>
              </w:tabs>
              <w:spacing w:line="240" w:lineRule="auto"/>
              <w:ind w:left="24" w:right="0"/>
              <w:jc w:val="left"/>
              <w:rPr>
                <w:rFonts w:ascii="宋体" w:hAnsi="宋体" w:cs="宋体" w:eastAsia="宋体" w:hint="default"/>
                <w:sz w:val="21"/>
                <w:szCs w:val="21"/>
              </w:rPr>
            </w:pPr>
            <w:r>
              <w:rPr>
                <w:rFonts w:ascii="宋体"/>
                <w:sz w:val="21"/>
              </w:rPr>
              <w:t>ASSISTANCE</w:t>
              <w:tab/>
              <w:t>AGENCY</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6" w:right="0"/>
              <w:jc w:val="center"/>
              <w:rPr>
                <w:rFonts w:ascii="宋体" w:hAnsi="宋体" w:cs="宋体" w:eastAsia="宋体" w:hint="default"/>
                <w:sz w:val="21"/>
                <w:szCs w:val="21"/>
              </w:rPr>
            </w:pPr>
            <w:r>
              <w:rPr>
                <w:rFonts w:ascii="宋体"/>
                <w:sz w:val="21"/>
              </w:rPr>
              <w:t>1,638,150.85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1.94</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0</w:t>
            </w:r>
          </w:p>
        </w:tc>
      </w:tr>
      <w:tr>
        <w:trPr>
          <w:trHeight w:val="559" w:hRule="exact"/>
        </w:trPr>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上海真赛机电科技有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sz w:val="21"/>
              </w:rPr>
              <w:t>1,439,435.59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1.70</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0</w:t>
            </w:r>
          </w:p>
        </w:tc>
      </w:tr>
      <w:tr>
        <w:trPr>
          <w:trHeight w:val="287" w:hRule="exact"/>
        </w:trPr>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9"/>
              <w:jc w:val="center"/>
              <w:rPr>
                <w:rFonts w:ascii="宋体" w:hAnsi="宋体" w:cs="宋体" w:eastAsia="宋体" w:hint="default"/>
                <w:sz w:val="21"/>
                <w:szCs w:val="21"/>
              </w:rPr>
            </w:pPr>
            <w:r>
              <w:rPr>
                <w:rFonts w:ascii="宋体"/>
                <w:sz w:val="21"/>
              </w:rPr>
              <w:t>/</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8"/>
              <w:jc w:val="center"/>
              <w:rPr>
                <w:rFonts w:ascii="宋体" w:hAnsi="宋体" w:cs="宋体" w:eastAsia="宋体" w:hint="default"/>
                <w:sz w:val="21"/>
                <w:szCs w:val="21"/>
              </w:rPr>
            </w:pPr>
            <w:r>
              <w:rPr>
                <w:rFonts w:ascii="宋体"/>
                <w:sz w:val="21"/>
              </w:rPr>
              <w:t>19,152,769.76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1"/>
              <w:jc w:val="center"/>
              <w:rPr>
                <w:rFonts w:ascii="宋体" w:hAnsi="宋体" w:cs="宋体" w:eastAsia="宋体" w:hint="default"/>
                <w:sz w:val="21"/>
                <w:szCs w:val="21"/>
              </w:rPr>
            </w:pPr>
            <w:r>
              <w:rPr>
                <w:rFonts w:ascii="宋体"/>
                <w:sz w:val="21"/>
              </w:rPr>
              <w:t>/</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22.63</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1,788,532.74</w:t>
            </w:r>
          </w:p>
        </w:tc>
      </w:tr>
    </w:tbl>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80" w:bottom="1380" w:left="820" w:right="700"/>
        </w:sectPr>
      </w:pPr>
    </w:p>
    <w:p>
      <w:pPr>
        <w:pStyle w:val="Heading2"/>
        <w:spacing w:line="240" w:lineRule="auto"/>
        <w:ind w:left="978" w:right="-16"/>
        <w:jc w:val="left"/>
        <w:rPr>
          <w:b w:val="0"/>
          <w:bCs w:val="0"/>
        </w:rPr>
      </w:pPr>
      <w:r>
        <w:rPr>
          <w:rFonts w:ascii="宋体" w:hAnsi="宋体" w:cs="宋体" w:eastAsia="宋体" w:hint="default"/>
        </w:rPr>
        <w:t>6</w:t>
      </w:r>
      <w:r>
        <w:rPr/>
        <w:t>、</w:t>
      </w:r>
      <w:r>
        <w:rPr>
          <w:spacing w:val="-64"/>
        </w:rPr>
        <w:t> </w:t>
      </w:r>
      <w:r>
        <w:rPr/>
        <w:t>存货</w:t>
      </w:r>
      <w:r>
        <w:rPr>
          <w:b w:val="0"/>
          <w:bCs w:val="0"/>
        </w:rPr>
      </w:r>
    </w:p>
    <w:p>
      <w:pPr>
        <w:pStyle w:val="Heading2"/>
        <w:spacing w:line="240" w:lineRule="auto" w:before="58"/>
        <w:ind w:left="978" w:right="-16"/>
        <w:jc w:val="left"/>
        <w:rPr>
          <w:b w:val="0"/>
          <w:bCs w:val="0"/>
        </w:rPr>
      </w:pPr>
      <w:r>
        <w:rPr>
          <w:rFonts w:ascii="宋体" w:hAnsi="宋体" w:cs="宋体" w:eastAsia="宋体" w:hint="default"/>
        </w:rPr>
        <w:t>(1).</w:t>
      </w:r>
      <w:r>
        <w:rPr>
          <w:rFonts w:ascii="宋体" w:hAnsi="宋体" w:cs="宋体" w:eastAsia="宋体" w:hint="default"/>
          <w:spacing w:val="22"/>
        </w:rPr>
        <w:t> </w:t>
      </w:r>
      <w:r>
        <w:rPr/>
        <w:t>存货分类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tabs>
          <w:tab w:pos="2027" w:val="left" w:leader="none"/>
        </w:tabs>
        <w:spacing w:before="0"/>
        <w:ind w:left="97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820" w:right="700"/>
          <w:cols w:num="2" w:equalWidth="0">
            <w:col w:w="2573" w:space="3951"/>
            <w:col w:w="3866"/>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128"/>
        <w:gridCol w:w="1537"/>
        <w:gridCol w:w="1432"/>
        <w:gridCol w:w="1537"/>
        <w:gridCol w:w="1537"/>
        <w:gridCol w:w="1432"/>
        <w:gridCol w:w="1537"/>
      </w:tblGrid>
      <w:tr>
        <w:trPr>
          <w:trHeight w:val="288" w:hRule="exact"/>
        </w:trPr>
        <w:tc>
          <w:tcPr>
            <w:tcW w:w="1128" w:type="dxa"/>
            <w:vMerge w:val="restart"/>
            <w:tcBorders>
              <w:top w:val="single" w:sz="6" w:space="0" w:color="000000"/>
              <w:left w:val="single" w:sz="6" w:space="0" w:color="000000"/>
              <w:right w:val="single" w:sz="6" w:space="0" w:color="000000"/>
            </w:tcBorders>
          </w:tcPr>
          <w:p>
            <w:pPr>
              <w:pStyle w:val="TableParagraph"/>
              <w:spacing w:line="240" w:lineRule="auto" w:before="108"/>
              <w:ind w:left="34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50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50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1128" w:type="dxa"/>
            <w:vMerge/>
            <w:tcBorders>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85"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3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85"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3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7" w:hRule="exact"/>
        </w:trPr>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1,231,940.63</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0.00</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1,231,940.63</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right"/>
              <w:rPr>
                <w:rFonts w:ascii="宋体" w:hAnsi="宋体" w:cs="宋体" w:eastAsia="宋体" w:hint="default"/>
                <w:sz w:val="21"/>
                <w:szCs w:val="21"/>
              </w:rPr>
            </w:pPr>
            <w:r>
              <w:rPr>
                <w:rFonts w:ascii="宋体"/>
                <w:sz w:val="21"/>
              </w:rPr>
              <w:t>0.00</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0.00</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right"/>
              <w:rPr>
                <w:rFonts w:ascii="宋体" w:hAnsi="宋体" w:cs="宋体" w:eastAsia="宋体" w:hint="default"/>
                <w:sz w:val="21"/>
                <w:szCs w:val="21"/>
              </w:rPr>
            </w:pPr>
            <w:r>
              <w:rPr>
                <w:rFonts w:ascii="宋体"/>
                <w:sz w:val="21"/>
              </w:rPr>
              <w:t>0.00</w:t>
            </w:r>
          </w:p>
        </w:tc>
      </w:tr>
      <w:tr>
        <w:trPr>
          <w:trHeight w:val="288" w:hRule="exact"/>
        </w:trPr>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外购商品</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201,846,744.57</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38,130,538.44</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163,716,206.13</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256,436,223.39</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47,154,608.60</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209,281,614.79</w:t>
            </w:r>
          </w:p>
        </w:tc>
      </w:tr>
      <w:tr>
        <w:trPr>
          <w:trHeight w:val="287" w:hRule="exact"/>
        </w:trPr>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试用商品</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23,303,522.58</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2,782,267.88</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20,521,254.70</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4,776,114.68</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819,798.94</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3,956,315.74</w:t>
            </w:r>
          </w:p>
        </w:tc>
      </w:tr>
      <w:tr>
        <w:trPr>
          <w:trHeight w:val="288" w:hRule="exact"/>
        </w:trPr>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451,518,378.11</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0.00</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451,518,378.11</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261,251,087.34</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286,968.40</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260,964,118.94</w:t>
            </w:r>
          </w:p>
        </w:tc>
      </w:tr>
      <w:tr>
        <w:trPr>
          <w:trHeight w:val="287" w:hRule="exact"/>
        </w:trPr>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外购服务费</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38,979,366.33</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0.00</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38,979,366.33</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45,822,528.43</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0.00</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45,822,528.43</w:t>
            </w:r>
          </w:p>
        </w:tc>
      </w:tr>
      <w:tr>
        <w:trPr>
          <w:trHeight w:val="288" w:hRule="exact"/>
        </w:trPr>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劳务成本</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right"/>
              <w:rPr>
                <w:rFonts w:ascii="宋体" w:hAnsi="宋体" w:cs="宋体" w:eastAsia="宋体" w:hint="default"/>
                <w:sz w:val="21"/>
                <w:szCs w:val="21"/>
              </w:rPr>
            </w:pPr>
            <w:r>
              <w:rPr>
                <w:rFonts w:ascii="宋体"/>
                <w:sz w:val="21"/>
              </w:rPr>
              <w:t>0.00</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0.00</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right"/>
              <w:rPr>
                <w:rFonts w:ascii="宋体" w:hAnsi="宋体" w:cs="宋体" w:eastAsia="宋体" w:hint="default"/>
                <w:sz w:val="21"/>
                <w:szCs w:val="21"/>
              </w:rPr>
            </w:pPr>
            <w:r>
              <w:rPr>
                <w:rFonts w:ascii="宋体"/>
                <w:sz w:val="21"/>
              </w:rPr>
              <w:t>0.00</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1,084,570.41</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0.00</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1,084,570.41</w:t>
            </w:r>
          </w:p>
        </w:tc>
      </w:tr>
      <w:tr>
        <w:trPr>
          <w:trHeight w:val="287" w:hRule="exact"/>
        </w:trPr>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4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716,879,952.22</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40,912,806.32</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675,967,145.90</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569,370,524.25</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48,261,375.94</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521,109,148.31</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080" w:bottom="1380" w:left="820" w:right="700"/>
        </w:sectPr>
      </w:pPr>
    </w:p>
    <w:p>
      <w:pPr>
        <w:pStyle w:val="Heading2"/>
        <w:spacing w:line="240" w:lineRule="auto"/>
        <w:ind w:left="978" w:right="-13"/>
        <w:jc w:val="left"/>
        <w:rPr>
          <w:b w:val="0"/>
          <w:bCs w:val="0"/>
        </w:rPr>
      </w:pPr>
      <w:r>
        <w:rPr>
          <w:rFonts w:ascii="宋体" w:hAnsi="宋体" w:cs="宋体" w:eastAsia="宋体" w:hint="default"/>
        </w:rPr>
        <w:t>(2).</w:t>
      </w:r>
      <w:r>
        <w:rPr>
          <w:rFonts w:ascii="宋体" w:hAnsi="宋体" w:cs="宋体" w:eastAsia="宋体" w:hint="default"/>
          <w:spacing w:val="16"/>
        </w:rPr>
        <w:t> </w:t>
      </w:r>
      <w:r>
        <w:rPr/>
        <w:t>存货跌价准备</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tabs>
          <w:tab w:pos="2027" w:val="left" w:leader="none"/>
        </w:tabs>
        <w:spacing w:before="139"/>
        <w:ind w:left="97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820" w:right="700"/>
          <w:cols w:num="2" w:equalWidth="0">
            <w:col w:w="3052" w:space="3472"/>
            <w:col w:w="3866"/>
          </w:cols>
        </w:sectPr>
      </w:pPr>
    </w:p>
    <w:p>
      <w:pPr>
        <w:spacing w:line="240" w:lineRule="auto" w:before="7"/>
        <w:rPr>
          <w:rFonts w:ascii="宋体" w:hAnsi="宋体" w:cs="宋体" w:eastAsia="宋体" w:hint="default"/>
          <w:sz w:val="2"/>
          <w:szCs w:val="2"/>
        </w:rPr>
      </w:pPr>
    </w:p>
    <w:tbl>
      <w:tblPr>
        <w:tblW w:w="0" w:type="auto"/>
        <w:jc w:val="left"/>
        <w:tblInd w:w="546" w:type="dxa"/>
        <w:tblLayout w:type="fixed"/>
        <w:tblCellMar>
          <w:top w:w="0" w:type="dxa"/>
          <w:left w:w="0" w:type="dxa"/>
          <w:bottom w:w="0" w:type="dxa"/>
          <w:right w:w="0" w:type="dxa"/>
        </w:tblCellMar>
        <w:tblLook w:val="01E0"/>
      </w:tblPr>
      <w:tblGrid>
        <w:gridCol w:w="1240"/>
        <w:gridCol w:w="1420"/>
        <w:gridCol w:w="1419"/>
        <w:gridCol w:w="1134"/>
        <w:gridCol w:w="1462"/>
        <w:gridCol w:w="1234"/>
        <w:gridCol w:w="1427"/>
      </w:tblGrid>
      <w:tr>
        <w:trPr>
          <w:trHeight w:val="248" w:hRule="exact"/>
        </w:trPr>
        <w:tc>
          <w:tcPr>
            <w:tcW w:w="1240" w:type="dxa"/>
            <w:vMerge w:val="restart"/>
            <w:tcBorders>
              <w:top w:val="single" w:sz="4" w:space="0" w:color="000000"/>
              <w:left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20" w:type="dxa"/>
            <w:vMerge w:val="restart"/>
            <w:tcBorders>
              <w:top w:val="single" w:sz="4" w:space="0" w:color="000000"/>
              <w:left w:val="single" w:sz="4" w:space="0" w:color="000000"/>
              <w:right w:val="single" w:sz="4" w:space="0" w:color="000000"/>
            </w:tcBorders>
          </w:tcPr>
          <w:p>
            <w:pPr>
              <w:pStyle w:val="TableParagraph"/>
              <w:spacing w:line="240" w:lineRule="auto" w:before="128"/>
              <w:ind w:left="3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72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6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0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427" w:type="dxa"/>
            <w:vMerge w:val="restart"/>
            <w:tcBorders>
              <w:top w:val="single" w:sz="4" w:space="0" w:color="000000"/>
              <w:left w:val="single" w:sz="4" w:space="0" w:color="000000"/>
              <w:right w:val="single" w:sz="4" w:space="0" w:color="000000"/>
            </w:tcBorders>
          </w:tcPr>
          <w:p>
            <w:pPr>
              <w:pStyle w:val="TableParagraph"/>
              <w:spacing w:line="240" w:lineRule="auto" w:before="128"/>
              <w:ind w:left="34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11" w:hRule="exact"/>
        </w:trPr>
        <w:tc>
          <w:tcPr>
            <w:tcW w:w="1240" w:type="dxa"/>
            <w:vMerge/>
            <w:tcBorders>
              <w:left w:val="single" w:sz="4" w:space="0" w:color="000000"/>
              <w:bottom w:val="single" w:sz="4" w:space="0" w:color="000000"/>
              <w:right w:val="single" w:sz="4" w:space="0" w:color="000000"/>
            </w:tcBorders>
          </w:tcPr>
          <w:p>
            <w:pPr/>
          </w:p>
        </w:tc>
        <w:tc>
          <w:tcPr>
            <w:tcW w:w="1420"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74"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27" w:type="dxa"/>
            <w:vMerge/>
            <w:tcBorders>
              <w:left w:val="single" w:sz="4" w:space="0" w:color="000000"/>
              <w:bottom w:val="single" w:sz="4" w:space="0" w:color="000000"/>
              <w:right w:val="single" w:sz="4" w:space="0" w:color="000000"/>
            </w:tcBorders>
          </w:tcPr>
          <w:p>
            <w:pPr/>
          </w:p>
        </w:tc>
      </w:tr>
      <w:tr>
        <w:trPr>
          <w:trHeight w:val="244" w:hRule="exact"/>
        </w:trPr>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06"/>
              <w:jc w:val="right"/>
              <w:rPr>
                <w:rFonts w:ascii="宋体" w:hAnsi="宋体" w:cs="宋体" w:eastAsia="宋体" w:hint="default"/>
                <w:sz w:val="18"/>
                <w:szCs w:val="18"/>
              </w:rPr>
            </w:pPr>
            <w:r>
              <w:rPr>
                <w:rFonts w:ascii="宋体" w:hAnsi="宋体" w:cs="宋体" w:eastAsia="宋体" w:hint="default"/>
                <w:sz w:val="18"/>
                <w:szCs w:val="18"/>
              </w:rPr>
              <w:t>外购商品</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47,154,608.60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10,213.54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8,649,769.14</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384,514.56</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38,130,538.44</w:t>
            </w:r>
          </w:p>
        </w:tc>
      </w:tr>
      <w:tr>
        <w:trPr>
          <w:trHeight w:val="242" w:hRule="exact"/>
        </w:trPr>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06"/>
              <w:jc w:val="right"/>
              <w:rPr>
                <w:rFonts w:ascii="宋体" w:hAnsi="宋体" w:cs="宋体" w:eastAsia="宋体" w:hint="default"/>
                <w:sz w:val="18"/>
                <w:szCs w:val="18"/>
              </w:rPr>
            </w:pPr>
            <w:r>
              <w:rPr>
                <w:rFonts w:ascii="宋体" w:hAnsi="宋体" w:cs="宋体" w:eastAsia="宋体" w:hint="default"/>
                <w:sz w:val="18"/>
                <w:szCs w:val="18"/>
              </w:rPr>
              <w:t>试用商品</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819,798.94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1,962,468.94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2,782,267.88</w:t>
            </w:r>
          </w:p>
        </w:tc>
      </w:tr>
      <w:tr>
        <w:trPr>
          <w:trHeight w:val="244" w:hRule="exact"/>
        </w:trPr>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406"/>
              <w:jc w:val="right"/>
              <w:rPr>
                <w:rFonts w:ascii="宋体" w:hAnsi="宋体" w:cs="宋体" w:eastAsia="宋体" w:hint="default"/>
                <w:sz w:val="18"/>
                <w:szCs w:val="18"/>
              </w:rPr>
            </w:pPr>
            <w:r>
              <w:rPr>
                <w:rFonts w:ascii="宋体" w:hAnsi="宋体" w:cs="宋体" w:eastAsia="宋体" w:hint="default"/>
                <w:sz w:val="18"/>
                <w:szCs w:val="18"/>
              </w:rPr>
              <w:t>发出商品</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7"/>
              <w:jc w:val="right"/>
              <w:rPr>
                <w:rFonts w:ascii="宋体" w:hAnsi="宋体" w:cs="宋体" w:eastAsia="宋体" w:hint="default"/>
                <w:sz w:val="18"/>
                <w:szCs w:val="18"/>
              </w:rPr>
            </w:pPr>
            <w:r>
              <w:rPr>
                <w:rFonts w:ascii="宋体"/>
                <w:sz w:val="18"/>
              </w:rPr>
              <w:t>286,968.40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2,255.72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289,224.12</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7"/>
              <w:jc w:val="right"/>
              <w:rPr>
                <w:rFonts w:ascii="宋体" w:hAnsi="宋体" w:cs="宋体" w:eastAsia="宋体" w:hint="default"/>
                <w:sz w:val="18"/>
                <w:szCs w:val="18"/>
              </w:rPr>
            </w:pPr>
            <w:r>
              <w:rPr>
                <w:rFonts w:ascii="宋体"/>
                <w:sz w:val="18"/>
              </w:rPr>
              <w:t>0.00</w:t>
            </w:r>
          </w:p>
        </w:tc>
      </w:tr>
      <w:tr>
        <w:trPr>
          <w:trHeight w:val="245" w:hRule="exact"/>
        </w:trPr>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434"/>
              <w:jc w:val="right"/>
              <w:rPr>
                <w:rFonts w:ascii="宋体" w:hAnsi="宋体" w:cs="宋体" w:eastAsia="宋体" w:hint="default"/>
                <w:sz w:val="18"/>
                <w:szCs w:val="18"/>
              </w:rPr>
            </w:pPr>
            <w:r>
              <w:rPr>
                <w:rFonts w:ascii="宋体" w:hAnsi="宋体" w:cs="宋体" w:eastAsia="宋体" w:hint="default"/>
                <w:sz w:val="18"/>
                <w:szCs w:val="18"/>
              </w:rPr>
              <w:t>合计</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7"/>
              <w:jc w:val="right"/>
              <w:rPr>
                <w:rFonts w:ascii="宋体" w:hAnsi="宋体" w:cs="宋体" w:eastAsia="宋体" w:hint="default"/>
                <w:sz w:val="18"/>
                <w:szCs w:val="18"/>
              </w:rPr>
            </w:pPr>
            <w:r>
              <w:rPr>
                <w:rFonts w:ascii="宋体"/>
                <w:sz w:val="18"/>
              </w:rPr>
              <w:t>48,261,375.94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1,962,468.94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12,469.26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8,649,769.14</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673,738.68</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7"/>
              <w:jc w:val="right"/>
              <w:rPr>
                <w:rFonts w:ascii="宋体" w:hAnsi="宋体" w:cs="宋体" w:eastAsia="宋体" w:hint="default"/>
                <w:sz w:val="18"/>
                <w:szCs w:val="18"/>
              </w:rPr>
            </w:pPr>
            <w:r>
              <w:rPr>
                <w:rFonts w:ascii="宋体"/>
                <w:sz w:val="18"/>
              </w:rPr>
              <w:t>40,912,806.32</w:t>
            </w:r>
          </w:p>
        </w:tc>
      </w:tr>
    </w:tbl>
    <w:p>
      <w:pPr>
        <w:pStyle w:val="BodyText"/>
        <w:spacing w:line="240" w:lineRule="auto" w:before="81"/>
        <w:ind w:left="978" w:right="0"/>
        <w:jc w:val="left"/>
      </w:pPr>
      <w:r>
        <w:rPr/>
        <w:t>存货跌价准备（续）</w:t>
      </w:r>
    </w:p>
    <w:p>
      <w:pPr>
        <w:spacing w:line="240" w:lineRule="auto" w:before="12"/>
        <w:rPr>
          <w:rFonts w:ascii="宋体" w:hAnsi="宋体" w:cs="宋体" w:eastAsia="宋体" w:hint="default"/>
          <w:sz w:val="11"/>
          <w:szCs w:val="11"/>
        </w:rPr>
      </w:pPr>
    </w:p>
    <w:tbl>
      <w:tblPr>
        <w:tblW w:w="0" w:type="auto"/>
        <w:jc w:val="left"/>
        <w:tblInd w:w="870" w:type="dxa"/>
        <w:tblLayout w:type="fixed"/>
        <w:tblCellMar>
          <w:top w:w="0" w:type="dxa"/>
          <w:left w:w="0" w:type="dxa"/>
          <w:bottom w:w="0" w:type="dxa"/>
          <w:right w:w="0" w:type="dxa"/>
        </w:tblCellMar>
        <w:tblLook w:val="01E0"/>
      </w:tblPr>
      <w:tblGrid>
        <w:gridCol w:w="2724"/>
        <w:gridCol w:w="6326"/>
      </w:tblGrid>
      <w:tr>
        <w:trPr>
          <w:trHeight w:val="984" w:hRule="exact"/>
        </w:trPr>
        <w:tc>
          <w:tcPr>
            <w:tcW w:w="2724" w:type="dxa"/>
            <w:tcBorders>
              <w:top w:val="single" w:sz="8"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81" w:right="0"/>
              <w:jc w:val="left"/>
              <w:rPr>
                <w:rFonts w:ascii="宋体" w:hAnsi="宋体" w:cs="宋体" w:eastAsia="宋体" w:hint="default"/>
                <w:sz w:val="21"/>
                <w:szCs w:val="21"/>
              </w:rPr>
            </w:pPr>
            <w:r>
              <w:rPr>
                <w:rFonts w:ascii="宋体" w:hAnsi="宋体" w:cs="宋体" w:eastAsia="宋体" w:hint="default"/>
                <w:b/>
                <w:bCs/>
                <w:sz w:val="21"/>
                <w:szCs w:val="21"/>
              </w:rPr>
              <w:t>存货种类</w:t>
            </w:r>
            <w:r>
              <w:rPr>
                <w:rFonts w:ascii="宋体" w:hAnsi="宋体" w:cs="宋体" w:eastAsia="宋体" w:hint="default"/>
                <w:sz w:val="21"/>
                <w:szCs w:val="21"/>
              </w:rPr>
            </w:r>
          </w:p>
        </w:tc>
        <w:tc>
          <w:tcPr>
            <w:tcW w:w="6326" w:type="dxa"/>
            <w:tcBorders>
              <w:top w:val="single" w:sz="8"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72" w:lineRule="exact"/>
              <w:ind w:left="4321" w:right="106" w:firstLine="422"/>
              <w:jc w:val="right"/>
              <w:rPr>
                <w:rFonts w:ascii="宋体" w:hAnsi="宋体" w:cs="宋体" w:eastAsia="宋体" w:hint="default"/>
                <w:sz w:val="21"/>
                <w:szCs w:val="21"/>
              </w:rPr>
            </w:pPr>
            <w:r>
              <w:rPr>
                <w:rFonts w:ascii="宋体" w:hAnsi="宋体" w:cs="宋体" w:eastAsia="宋体" w:hint="default"/>
                <w:b/>
                <w:bCs/>
                <w:w w:val="95"/>
                <w:sz w:val="21"/>
                <w:szCs w:val="21"/>
              </w:rPr>
              <w:t>本期转回或转销</w:t>
            </w:r>
            <w:r>
              <w:rPr>
                <w:rFonts w:ascii="宋体" w:hAnsi="宋体" w:cs="宋体" w:eastAsia="宋体" w:hint="default"/>
                <w:b/>
                <w:bCs/>
                <w:w w:val="99"/>
                <w:sz w:val="21"/>
                <w:szCs w:val="21"/>
              </w:rPr>
              <w:t> </w:t>
            </w:r>
            <w:r>
              <w:rPr>
                <w:rFonts w:ascii="宋体" w:hAnsi="宋体" w:cs="宋体" w:eastAsia="宋体" w:hint="default"/>
                <w:b/>
                <w:bCs/>
                <w:w w:val="95"/>
                <w:sz w:val="21"/>
                <w:szCs w:val="21"/>
              </w:rPr>
              <w:t>存货跌价准备的原因</w:t>
            </w:r>
            <w:r>
              <w:rPr>
                <w:rFonts w:ascii="宋体" w:hAnsi="宋体" w:cs="宋体" w:eastAsia="宋体" w:hint="default"/>
                <w:sz w:val="21"/>
                <w:szCs w:val="21"/>
              </w:rPr>
            </w:r>
          </w:p>
        </w:tc>
      </w:tr>
      <w:tr>
        <w:trPr>
          <w:trHeight w:val="397" w:hRule="exact"/>
        </w:trPr>
        <w:tc>
          <w:tcPr>
            <w:tcW w:w="2724"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08" w:right="0"/>
              <w:jc w:val="left"/>
              <w:rPr>
                <w:rFonts w:ascii="宋体" w:hAnsi="宋体" w:cs="宋体" w:eastAsia="宋体" w:hint="default"/>
                <w:sz w:val="21"/>
                <w:szCs w:val="21"/>
              </w:rPr>
            </w:pPr>
            <w:r>
              <w:rPr>
                <w:rFonts w:ascii="宋体" w:hAnsi="宋体" w:cs="宋体" w:eastAsia="宋体" w:hint="default"/>
                <w:sz w:val="21"/>
                <w:szCs w:val="21"/>
              </w:rPr>
              <w:t>外购商品</w:t>
            </w:r>
          </w:p>
        </w:tc>
        <w:tc>
          <w:tcPr>
            <w:tcW w:w="6326"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775" w:right="0"/>
              <w:jc w:val="left"/>
              <w:rPr>
                <w:rFonts w:ascii="宋体" w:hAnsi="宋体" w:cs="宋体" w:eastAsia="宋体" w:hint="default"/>
                <w:sz w:val="21"/>
                <w:szCs w:val="21"/>
              </w:rPr>
            </w:pPr>
            <w:r>
              <w:rPr>
                <w:rFonts w:ascii="宋体" w:hAnsi="宋体" w:cs="宋体" w:eastAsia="宋体" w:hint="default"/>
                <w:sz w:val="21"/>
                <w:szCs w:val="21"/>
              </w:rPr>
              <w:t>期末可变现净值低于成本的差额较期初减少</w:t>
            </w:r>
          </w:p>
        </w:tc>
      </w:tr>
    </w:tbl>
    <w:p>
      <w:pPr>
        <w:spacing w:after="0" w:line="240" w:lineRule="auto"/>
        <w:jc w:val="left"/>
        <w:rPr>
          <w:rFonts w:ascii="宋体" w:hAnsi="宋体" w:cs="宋体" w:eastAsia="宋体" w:hint="default"/>
          <w:sz w:val="21"/>
          <w:szCs w:val="21"/>
        </w:rPr>
        <w:sectPr>
          <w:type w:val="continuous"/>
          <w:pgSz w:w="11910" w:h="16840"/>
          <w:pgMar w:top="1080" w:bottom="1380" w:left="820" w:right="70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30" w:type="dxa"/>
        <w:tblLayout w:type="fixed"/>
        <w:tblCellMar>
          <w:top w:w="0" w:type="dxa"/>
          <w:left w:w="0" w:type="dxa"/>
          <w:bottom w:w="0" w:type="dxa"/>
          <w:right w:w="0" w:type="dxa"/>
        </w:tblCellMar>
        <w:tblLook w:val="01E0"/>
      </w:tblPr>
      <w:tblGrid>
        <w:gridCol w:w="2724"/>
        <w:gridCol w:w="2816"/>
      </w:tblGrid>
      <w:tr>
        <w:trPr>
          <w:trHeight w:val="407" w:hRule="exact"/>
        </w:trPr>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8"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775" w:right="0"/>
              <w:jc w:val="left"/>
              <w:rPr>
                <w:rFonts w:ascii="宋体" w:hAnsi="宋体" w:cs="宋体" w:eastAsia="宋体" w:hint="default"/>
                <w:sz w:val="21"/>
                <w:szCs w:val="21"/>
              </w:rPr>
            </w:pPr>
            <w:r>
              <w:rPr>
                <w:rFonts w:ascii="宋体" w:hAnsi="宋体" w:cs="宋体" w:eastAsia="宋体" w:hint="default"/>
                <w:sz w:val="21"/>
                <w:szCs w:val="21"/>
              </w:rPr>
              <w:t>本期出售</w:t>
            </w:r>
          </w:p>
        </w:tc>
      </w:tr>
    </w:tbl>
    <w:p>
      <w:pPr>
        <w:spacing w:line="240" w:lineRule="auto" w:before="1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60" w:right="1040"/>
        </w:sectPr>
      </w:pPr>
    </w:p>
    <w:p>
      <w:pPr>
        <w:pStyle w:val="Heading2"/>
        <w:spacing w:line="240" w:lineRule="auto"/>
        <w:ind w:left="238" w:right="-11"/>
        <w:jc w:val="left"/>
        <w:rPr>
          <w:b w:val="0"/>
          <w:bCs w:val="0"/>
        </w:rPr>
      </w:pPr>
      <w:r>
        <w:rPr/>
        <w:pict>
          <v:group style="position:absolute;margin-left:84.260002pt;margin-top:-34.184402pt;width:453pt;height:.5pt;mso-position-horizontal-relative:page;mso-position-vertical-relative:paragraph;z-index:-982864" coordorigin="1685,-684" coordsize="9060,10">
            <v:group style="position:absolute;left:1690;top:-679;width:1904;height:2" coordorigin="1690,-679" coordsize="1904,2">
              <v:shape style="position:absolute;left:1690;top:-679;width:1904;height:2" coordorigin="1690,-679" coordsize="1904,0" path="m1690,-679l3593,-679e" filled="false" stroked="true" strokeweight=".48pt" strokecolor="#000000">
                <v:path arrowok="t"/>
              </v:shape>
            </v:group>
            <v:group style="position:absolute;left:3593;top:-679;width:10;height:2" coordorigin="3593,-679" coordsize="10,2">
              <v:shape style="position:absolute;left:3593;top:-679;width:10;height:2" coordorigin="3593,-679" coordsize="10,0" path="m3593,-679l3603,-679e" filled="false" stroked="true" strokeweight=".48pt" strokecolor="#000000">
                <v:path arrowok="t"/>
              </v:shape>
            </v:group>
            <v:group style="position:absolute;left:3603;top:-679;width:2479;height:2" coordorigin="3603,-679" coordsize="2479,2">
              <v:shape style="position:absolute;left:3603;top:-679;width:2479;height:2" coordorigin="3603,-679" coordsize="2479,0" path="m3603,-679l6081,-679e" filled="false" stroked="true" strokeweight=".48pt" strokecolor="#000000">
                <v:path arrowok="t"/>
              </v:shape>
            </v:group>
            <v:group style="position:absolute;left:6081;top:-679;width:10;height:2" coordorigin="6081,-679" coordsize="10,2">
              <v:shape style="position:absolute;left:6081;top:-679;width:10;height:2" coordorigin="6081,-679" coordsize="10,0" path="m6081,-679l6091,-679e" filled="false" stroked="true" strokeweight=".48pt" strokecolor="#000000">
                <v:path arrowok="t"/>
              </v:shape>
            </v:group>
            <v:group style="position:absolute;left:6091;top:-679;width:4650;height:2" coordorigin="6091,-679" coordsize="4650,2">
              <v:shape style="position:absolute;left:6091;top:-679;width:4650;height:2" coordorigin="6091,-679" coordsize="4650,0" path="m6091,-679l10740,-679e" filled="false" stroked="true" strokeweight=".48pt" strokecolor="#000000">
                <v:path arrowok="t"/>
              </v:shape>
            </v:group>
            <w10:wrap type="none"/>
          </v:group>
        </w:pict>
      </w:r>
      <w:r>
        <w:rPr/>
        <w:pict>
          <v:group style="position:absolute;margin-left:83.540001pt;margin-top:-13.844402pt;width:453.7pt;height:.5pt;mso-position-horizontal-relative:page;mso-position-vertical-relative:paragraph;z-index:-982840" coordorigin="1671,-277" coordsize="9074,10">
            <v:group style="position:absolute;left:1676;top:-272;width:1918;height:2" coordorigin="1676,-272" coordsize="1918,2">
              <v:shape style="position:absolute;left:1676;top:-272;width:1918;height:2" coordorigin="1676,-272" coordsize="1918,0" path="m1676,-272l3593,-272e" filled="false" stroked="true" strokeweight=".48pt" strokecolor="#000000">
                <v:path arrowok="t"/>
              </v:shape>
            </v:group>
            <v:group style="position:absolute;left:3579;top:-272;width:10;height:2" coordorigin="3579,-272" coordsize="10,2">
              <v:shape style="position:absolute;left:3579;top:-272;width:10;height:2" coordorigin="3579,-272" coordsize="10,0" path="m3579,-272l3588,-272e" filled="false" stroked="true" strokeweight=".48pt" strokecolor="#000000">
                <v:path arrowok="t"/>
              </v:shape>
            </v:group>
            <v:group style="position:absolute;left:3588;top:-272;width:2493;height:2" coordorigin="3588,-272" coordsize="2493,2">
              <v:shape style="position:absolute;left:3588;top:-272;width:2493;height:2" coordorigin="3588,-272" coordsize="2493,0" path="m3588,-272l6081,-272e" filled="false" stroked="true" strokeweight=".48pt" strokecolor="#000000">
                <v:path arrowok="t"/>
              </v:shape>
            </v:group>
            <v:group style="position:absolute;left:6067;top:-272;width:10;height:2" coordorigin="6067,-272" coordsize="10,2">
              <v:shape style="position:absolute;left:6067;top:-272;width:10;height:2" coordorigin="6067,-272" coordsize="10,0" path="m6067,-272l6076,-272e" filled="false" stroked="true" strokeweight=".48pt" strokecolor="#000000">
                <v:path arrowok="t"/>
              </v:shape>
            </v:group>
            <v:group style="position:absolute;left:6076;top:-272;width:4664;height:2" coordorigin="6076,-272" coordsize="4664,2">
              <v:shape style="position:absolute;left:6076;top:-272;width:4664;height:2" coordorigin="6076,-272" coordsize="4664,0" path="m6076,-272l10740,-272e" filled="false" stroked="true" strokeweight=".48pt" strokecolor="#000000">
                <v:path arrowok="t"/>
              </v:shape>
            </v:group>
            <w10:wrap type="none"/>
          </v:group>
        </w:pict>
      </w:r>
      <w:r>
        <w:rPr>
          <w:rFonts w:ascii="宋体" w:hAnsi="宋体" w:cs="宋体" w:eastAsia="宋体" w:hint="default"/>
        </w:rPr>
        <w:t>7</w:t>
      </w:r>
      <w:r>
        <w:rPr/>
        <w:t>、</w:t>
      </w:r>
      <w:r>
        <w:rPr>
          <w:spacing w:val="-74"/>
        </w:rPr>
        <w:t> </w:t>
      </w:r>
      <w:r>
        <w:rPr/>
        <w:t>划分为持有待售的资产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tabs>
          <w:tab w:pos="1287" w:val="left" w:leader="none"/>
        </w:tabs>
        <w:spacing w:before="140"/>
        <w:ind w:left="23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560" w:right="1040"/>
          <w:cols w:num="2" w:equalWidth="0">
            <w:col w:w="3066" w:space="3458"/>
            <w:col w:w="2786"/>
          </w:cols>
        </w:sectPr>
      </w:pPr>
    </w:p>
    <w:p>
      <w:pPr>
        <w:spacing w:line="240" w:lineRule="auto" w:before="4"/>
        <w:rPr>
          <w:rFonts w:ascii="宋体" w:hAnsi="宋体" w:cs="宋体" w:eastAsia="宋体" w:hint="default"/>
          <w:sz w:val="23"/>
          <w:szCs w:val="23"/>
        </w:rPr>
      </w:pPr>
    </w:p>
    <w:tbl>
      <w:tblPr>
        <w:tblW w:w="0" w:type="auto"/>
        <w:jc w:val="left"/>
        <w:tblInd w:w="223" w:type="dxa"/>
        <w:tblLayout w:type="fixed"/>
        <w:tblCellMar>
          <w:top w:w="0" w:type="dxa"/>
          <w:left w:w="0" w:type="dxa"/>
          <w:bottom w:w="0" w:type="dxa"/>
          <w:right w:w="0" w:type="dxa"/>
        </w:tblCellMar>
        <w:tblLook w:val="01E0"/>
      </w:tblPr>
      <w:tblGrid>
        <w:gridCol w:w="4659"/>
        <w:gridCol w:w="2252"/>
        <w:gridCol w:w="1938"/>
      </w:tblGrid>
      <w:tr>
        <w:trPr>
          <w:trHeight w:val="416" w:hRule="exact"/>
        </w:trPr>
        <w:tc>
          <w:tcPr>
            <w:tcW w:w="4659"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left="118" w:right="0"/>
              <w:jc w:val="left"/>
              <w:rPr>
                <w:rFonts w:ascii="宋体" w:hAnsi="宋体" w:cs="宋体" w:eastAsia="宋体" w:hint="default"/>
                <w:sz w:val="21"/>
                <w:szCs w:val="21"/>
              </w:rPr>
            </w:pPr>
            <w:r>
              <w:rPr>
                <w:rFonts w:ascii="宋体" w:hAnsi="宋体" w:cs="宋体" w:eastAsia="宋体" w:hint="default"/>
                <w:b/>
                <w:bCs/>
                <w:sz w:val="21"/>
                <w:szCs w:val="21"/>
              </w:rPr>
              <w:t>项</w:t>
            </w:r>
            <w:r>
              <w:rPr>
                <w:rFonts w:ascii="宋体" w:hAnsi="宋体" w:cs="宋体" w:eastAsia="宋体" w:hint="default"/>
                <w:b/>
                <w:bCs/>
                <w:spacing w:val="-2"/>
                <w:sz w:val="21"/>
                <w:szCs w:val="21"/>
              </w:rPr>
              <w:t> </w:t>
            </w:r>
            <w:r>
              <w:rPr>
                <w:rFonts w:ascii="宋体" w:hAnsi="宋体" w:cs="宋体" w:eastAsia="宋体" w:hint="default"/>
                <w:b/>
                <w:bCs/>
                <w:sz w:val="21"/>
                <w:szCs w:val="21"/>
              </w:rPr>
              <w:t>目</w:t>
            </w:r>
            <w:r>
              <w:rPr>
                <w:rFonts w:ascii="宋体" w:hAnsi="宋体" w:cs="宋体" w:eastAsia="宋体" w:hint="default"/>
                <w:sz w:val="21"/>
                <w:szCs w:val="21"/>
              </w:rPr>
            </w:r>
          </w:p>
        </w:tc>
        <w:tc>
          <w:tcPr>
            <w:tcW w:w="2252"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right="643"/>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938"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406" w:hRule="exact"/>
        </w:trPr>
        <w:tc>
          <w:tcPr>
            <w:tcW w:w="4659" w:type="dxa"/>
            <w:tcBorders>
              <w:top w:val="single" w:sz="8" w:space="0" w:color="000000"/>
              <w:left w:val="nil" w:sz="6" w:space="0" w:color="auto"/>
              <w:bottom w:val="nil" w:sz="6" w:space="0" w:color="auto"/>
              <w:right w:val="nil" w:sz="6" w:space="0" w:color="auto"/>
            </w:tcBorders>
          </w:tcPr>
          <w:p>
            <w:pPr>
              <w:pStyle w:val="TableParagraph"/>
              <w:spacing w:line="240" w:lineRule="auto" w:before="28"/>
              <w:ind w:left="117" w:right="0"/>
              <w:jc w:val="left"/>
              <w:rPr>
                <w:rFonts w:ascii="宋体" w:hAnsi="宋体" w:cs="宋体" w:eastAsia="宋体" w:hint="default"/>
                <w:sz w:val="21"/>
                <w:szCs w:val="21"/>
              </w:rPr>
            </w:pPr>
            <w:r>
              <w:rPr>
                <w:rFonts w:ascii="宋体" w:hAnsi="宋体" w:cs="宋体" w:eastAsia="宋体" w:hint="default"/>
                <w:b/>
                <w:bCs/>
                <w:sz w:val="21"/>
                <w:szCs w:val="21"/>
              </w:rPr>
              <w:t>划分为持有待售的资产：</w:t>
            </w:r>
            <w:r>
              <w:rPr>
                <w:rFonts w:ascii="宋体" w:hAnsi="宋体" w:cs="宋体" w:eastAsia="宋体" w:hint="default"/>
                <w:sz w:val="21"/>
                <w:szCs w:val="21"/>
              </w:rPr>
            </w:r>
          </w:p>
        </w:tc>
        <w:tc>
          <w:tcPr>
            <w:tcW w:w="2252" w:type="dxa"/>
            <w:tcBorders>
              <w:top w:val="single" w:sz="8" w:space="0" w:color="000000"/>
              <w:left w:val="nil" w:sz="6" w:space="0" w:color="auto"/>
              <w:bottom w:val="nil" w:sz="6" w:space="0" w:color="auto"/>
              <w:right w:val="nil" w:sz="6" w:space="0" w:color="auto"/>
            </w:tcBorders>
          </w:tcPr>
          <w:p>
            <w:pPr/>
          </w:p>
        </w:tc>
        <w:tc>
          <w:tcPr>
            <w:tcW w:w="1938" w:type="dxa"/>
            <w:tcBorders>
              <w:top w:val="single" w:sz="8" w:space="0" w:color="000000"/>
              <w:left w:val="nil" w:sz="6" w:space="0" w:color="auto"/>
              <w:bottom w:val="nil" w:sz="6" w:space="0" w:color="auto"/>
              <w:right w:val="nil" w:sz="6" w:space="0" w:color="auto"/>
            </w:tcBorders>
          </w:tcPr>
          <w:p>
            <w:pPr/>
          </w:p>
        </w:tc>
      </w:tr>
      <w:tr>
        <w:trPr>
          <w:trHeight w:val="397" w:hRule="exact"/>
        </w:trPr>
        <w:tc>
          <w:tcPr>
            <w:tcW w:w="465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17" w:right="0"/>
              <w:jc w:val="left"/>
              <w:rPr>
                <w:rFonts w:ascii="宋体" w:hAnsi="宋体" w:cs="宋体" w:eastAsia="宋体" w:hint="default"/>
                <w:sz w:val="21"/>
                <w:szCs w:val="21"/>
              </w:rPr>
            </w:pPr>
            <w:r>
              <w:rPr>
                <w:rFonts w:ascii="宋体" w:hAnsi="宋体" w:cs="宋体" w:eastAsia="宋体" w:hint="default"/>
                <w:sz w:val="21"/>
                <w:szCs w:val="21"/>
              </w:rPr>
              <w:t>划分为持有待售的处置组中的资产</w:t>
            </w: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60"/>
              <w:jc w:val="right"/>
              <w:rPr>
                <w:rFonts w:ascii="宋体" w:hAnsi="宋体" w:cs="宋体" w:eastAsia="宋体" w:hint="default"/>
                <w:sz w:val="21"/>
                <w:szCs w:val="21"/>
              </w:rPr>
            </w:pPr>
            <w:r>
              <w:rPr>
                <w:rFonts w:ascii="宋体"/>
                <w:sz w:val="21"/>
              </w:rPr>
              <w:t>0</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right"/>
              <w:rPr>
                <w:rFonts w:ascii="宋体" w:hAnsi="宋体" w:cs="宋体" w:eastAsia="宋体" w:hint="default"/>
                <w:sz w:val="21"/>
                <w:szCs w:val="21"/>
              </w:rPr>
            </w:pPr>
            <w:r>
              <w:rPr>
                <w:rFonts w:ascii="宋体"/>
                <w:sz w:val="21"/>
              </w:rPr>
              <w:t>66,198,928.99</w:t>
            </w:r>
          </w:p>
        </w:tc>
      </w:tr>
      <w:tr>
        <w:trPr>
          <w:trHeight w:val="408" w:hRule="exact"/>
        </w:trPr>
        <w:tc>
          <w:tcPr>
            <w:tcW w:w="4659"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11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i-Sprint Innovations Pte</w:t>
            </w:r>
            <w:r>
              <w:rPr>
                <w:rFonts w:ascii="宋体" w:hAnsi="宋体" w:cs="宋体" w:eastAsia="宋体" w:hint="default"/>
                <w:spacing w:val="-3"/>
                <w:sz w:val="21"/>
                <w:szCs w:val="21"/>
              </w:rPr>
              <w:t> </w:t>
            </w:r>
            <w:r>
              <w:rPr>
                <w:rFonts w:ascii="宋体" w:hAnsi="宋体" w:cs="宋体" w:eastAsia="宋体" w:hint="default"/>
                <w:sz w:val="21"/>
                <w:szCs w:val="21"/>
              </w:rPr>
              <w:t>Ltd</w:t>
            </w:r>
          </w:p>
        </w:tc>
        <w:tc>
          <w:tcPr>
            <w:tcW w:w="2252"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560"/>
              <w:jc w:val="right"/>
              <w:rPr>
                <w:rFonts w:ascii="宋体" w:hAnsi="宋体" w:cs="宋体" w:eastAsia="宋体" w:hint="default"/>
                <w:sz w:val="21"/>
                <w:szCs w:val="21"/>
              </w:rPr>
            </w:pPr>
            <w:r>
              <w:rPr>
                <w:rFonts w:ascii="宋体"/>
                <w:sz w:val="21"/>
              </w:rPr>
              <w:t>0</w:t>
            </w:r>
          </w:p>
        </w:tc>
        <w:tc>
          <w:tcPr>
            <w:tcW w:w="1938"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0"/>
              <w:jc w:val="right"/>
              <w:rPr>
                <w:rFonts w:ascii="宋体" w:hAnsi="宋体" w:cs="宋体" w:eastAsia="宋体" w:hint="default"/>
                <w:sz w:val="21"/>
                <w:szCs w:val="21"/>
              </w:rPr>
            </w:pPr>
            <w:r>
              <w:rPr>
                <w:rFonts w:ascii="宋体"/>
                <w:sz w:val="21"/>
              </w:rPr>
              <w:t>66,198,928.99</w:t>
            </w:r>
          </w:p>
        </w:tc>
      </w:tr>
      <w:tr>
        <w:trPr>
          <w:trHeight w:val="418" w:hRule="exact"/>
        </w:trPr>
        <w:tc>
          <w:tcPr>
            <w:tcW w:w="4659" w:type="dxa"/>
            <w:tcBorders>
              <w:top w:val="single" w:sz="8" w:space="0" w:color="000000"/>
              <w:left w:val="nil" w:sz="6" w:space="0" w:color="auto"/>
              <w:bottom w:val="single" w:sz="8" w:space="0" w:color="000000"/>
              <w:right w:val="nil" w:sz="6" w:space="0" w:color="auto"/>
            </w:tcBorders>
          </w:tcPr>
          <w:p>
            <w:pPr>
              <w:pStyle w:val="TableParagraph"/>
              <w:spacing w:line="240" w:lineRule="auto" w:before="28"/>
              <w:ind w:left="118" w:right="0"/>
              <w:jc w:val="left"/>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2"/>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2252" w:type="dxa"/>
            <w:tcBorders>
              <w:top w:val="single" w:sz="8" w:space="0" w:color="000000"/>
              <w:left w:val="nil" w:sz="6" w:space="0" w:color="auto"/>
              <w:bottom w:val="single" w:sz="8" w:space="0" w:color="000000"/>
              <w:right w:val="nil" w:sz="6" w:space="0" w:color="auto"/>
            </w:tcBorders>
          </w:tcPr>
          <w:p>
            <w:pPr>
              <w:pStyle w:val="TableParagraph"/>
              <w:spacing w:line="240" w:lineRule="auto" w:before="28"/>
              <w:ind w:right="561"/>
              <w:jc w:val="right"/>
              <w:rPr>
                <w:rFonts w:ascii="宋体" w:hAnsi="宋体" w:cs="宋体" w:eastAsia="宋体" w:hint="default"/>
                <w:sz w:val="21"/>
                <w:szCs w:val="21"/>
              </w:rPr>
            </w:pPr>
            <w:r>
              <w:rPr>
                <w:rFonts w:ascii="宋体"/>
                <w:b/>
                <w:w w:val="99"/>
                <w:sz w:val="21"/>
              </w:rPr>
              <w:t>0</w:t>
            </w:r>
            <w:r>
              <w:rPr>
                <w:rFonts w:ascii="宋体"/>
                <w:sz w:val="21"/>
              </w:rPr>
            </w:r>
          </w:p>
        </w:tc>
        <w:tc>
          <w:tcPr>
            <w:tcW w:w="1938" w:type="dxa"/>
            <w:tcBorders>
              <w:top w:val="single" w:sz="8" w:space="0" w:color="000000"/>
              <w:left w:val="nil" w:sz="6" w:space="0" w:color="auto"/>
              <w:bottom w:val="single" w:sz="8" w:space="0" w:color="000000"/>
              <w:right w:val="nil" w:sz="6" w:space="0" w:color="auto"/>
            </w:tcBorders>
          </w:tcPr>
          <w:p>
            <w:pPr>
              <w:pStyle w:val="TableParagraph"/>
              <w:spacing w:line="240" w:lineRule="auto" w:before="28"/>
              <w:ind w:right="0"/>
              <w:jc w:val="right"/>
              <w:rPr>
                <w:rFonts w:ascii="宋体" w:hAnsi="宋体" w:cs="宋体" w:eastAsia="宋体" w:hint="default"/>
                <w:sz w:val="21"/>
                <w:szCs w:val="21"/>
              </w:rPr>
            </w:pPr>
            <w:r>
              <w:rPr>
                <w:rFonts w:ascii="宋体"/>
                <w:b/>
                <w:w w:val="95"/>
                <w:sz w:val="21"/>
              </w:rPr>
              <w:t>66,198,928.99</w:t>
            </w:r>
            <w:r>
              <w:rPr>
                <w:rFonts w:ascii="宋体"/>
                <w:sz w:val="21"/>
              </w:rPr>
            </w:r>
          </w:p>
        </w:tc>
      </w:tr>
      <w:tr>
        <w:trPr>
          <w:trHeight w:val="405" w:hRule="exact"/>
        </w:trPr>
        <w:tc>
          <w:tcPr>
            <w:tcW w:w="4659" w:type="dxa"/>
            <w:tcBorders>
              <w:top w:val="single" w:sz="8" w:space="0" w:color="000000"/>
              <w:left w:val="nil" w:sz="6" w:space="0" w:color="auto"/>
              <w:bottom w:val="nil" w:sz="6" w:space="0" w:color="auto"/>
              <w:right w:val="nil" w:sz="6" w:space="0" w:color="auto"/>
            </w:tcBorders>
          </w:tcPr>
          <w:p>
            <w:pPr>
              <w:pStyle w:val="TableParagraph"/>
              <w:spacing w:line="240" w:lineRule="auto" w:before="27"/>
              <w:ind w:left="117" w:right="0"/>
              <w:jc w:val="left"/>
              <w:rPr>
                <w:rFonts w:ascii="宋体" w:hAnsi="宋体" w:cs="宋体" w:eastAsia="宋体" w:hint="default"/>
                <w:sz w:val="21"/>
                <w:szCs w:val="21"/>
              </w:rPr>
            </w:pPr>
            <w:r>
              <w:rPr>
                <w:rFonts w:ascii="宋体" w:hAnsi="宋体" w:cs="宋体" w:eastAsia="宋体" w:hint="default"/>
                <w:b/>
                <w:bCs/>
                <w:sz w:val="21"/>
                <w:szCs w:val="21"/>
              </w:rPr>
              <w:t>划分为持有待售的负债：</w:t>
            </w:r>
            <w:r>
              <w:rPr>
                <w:rFonts w:ascii="宋体" w:hAnsi="宋体" w:cs="宋体" w:eastAsia="宋体" w:hint="default"/>
                <w:sz w:val="21"/>
                <w:szCs w:val="21"/>
              </w:rPr>
            </w:r>
          </w:p>
        </w:tc>
        <w:tc>
          <w:tcPr>
            <w:tcW w:w="2252" w:type="dxa"/>
            <w:tcBorders>
              <w:top w:val="single" w:sz="8" w:space="0" w:color="000000"/>
              <w:left w:val="nil" w:sz="6" w:space="0" w:color="auto"/>
              <w:bottom w:val="nil" w:sz="6" w:space="0" w:color="auto"/>
              <w:right w:val="nil" w:sz="6" w:space="0" w:color="auto"/>
            </w:tcBorders>
          </w:tcPr>
          <w:p>
            <w:pPr/>
          </w:p>
        </w:tc>
        <w:tc>
          <w:tcPr>
            <w:tcW w:w="1938" w:type="dxa"/>
            <w:tcBorders>
              <w:top w:val="single" w:sz="8" w:space="0" w:color="000000"/>
              <w:left w:val="nil" w:sz="6" w:space="0" w:color="auto"/>
              <w:bottom w:val="nil" w:sz="6" w:space="0" w:color="auto"/>
              <w:right w:val="nil" w:sz="6" w:space="0" w:color="auto"/>
            </w:tcBorders>
          </w:tcPr>
          <w:p>
            <w:pPr/>
          </w:p>
        </w:tc>
      </w:tr>
      <w:tr>
        <w:trPr>
          <w:trHeight w:val="397" w:hRule="exact"/>
        </w:trPr>
        <w:tc>
          <w:tcPr>
            <w:tcW w:w="465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17" w:right="0"/>
              <w:jc w:val="left"/>
              <w:rPr>
                <w:rFonts w:ascii="宋体" w:hAnsi="宋体" w:cs="宋体" w:eastAsia="宋体" w:hint="default"/>
                <w:sz w:val="21"/>
                <w:szCs w:val="21"/>
              </w:rPr>
            </w:pPr>
            <w:r>
              <w:rPr>
                <w:rFonts w:ascii="宋体" w:hAnsi="宋体" w:cs="宋体" w:eastAsia="宋体" w:hint="default"/>
                <w:sz w:val="21"/>
                <w:szCs w:val="21"/>
              </w:rPr>
              <w:t>划分为持有待售的处置组中的负债</w:t>
            </w: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60"/>
              <w:jc w:val="right"/>
              <w:rPr>
                <w:rFonts w:ascii="宋体" w:hAnsi="宋体" w:cs="宋体" w:eastAsia="宋体" w:hint="default"/>
                <w:sz w:val="21"/>
                <w:szCs w:val="21"/>
              </w:rPr>
            </w:pPr>
            <w:r>
              <w:rPr>
                <w:rFonts w:ascii="宋体"/>
                <w:sz w:val="21"/>
              </w:rPr>
              <w:t>0</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right"/>
              <w:rPr>
                <w:rFonts w:ascii="宋体" w:hAnsi="宋体" w:cs="宋体" w:eastAsia="宋体" w:hint="default"/>
                <w:sz w:val="21"/>
                <w:szCs w:val="21"/>
              </w:rPr>
            </w:pPr>
            <w:r>
              <w:rPr>
                <w:rFonts w:ascii="宋体"/>
                <w:sz w:val="21"/>
              </w:rPr>
              <w:t>25,103,938.01</w:t>
            </w:r>
          </w:p>
        </w:tc>
      </w:tr>
      <w:tr>
        <w:trPr>
          <w:trHeight w:val="408" w:hRule="exact"/>
        </w:trPr>
        <w:tc>
          <w:tcPr>
            <w:tcW w:w="4659"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11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i-Sprint Innovations Pte</w:t>
            </w:r>
            <w:r>
              <w:rPr>
                <w:rFonts w:ascii="宋体" w:hAnsi="宋体" w:cs="宋体" w:eastAsia="宋体" w:hint="default"/>
                <w:spacing w:val="-3"/>
                <w:sz w:val="21"/>
                <w:szCs w:val="21"/>
              </w:rPr>
              <w:t> </w:t>
            </w:r>
            <w:r>
              <w:rPr>
                <w:rFonts w:ascii="宋体" w:hAnsi="宋体" w:cs="宋体" w:eastAsia="宋体" w:hint="default"/>
                <w:sz w:val="21"/>
                <w:szCs w:val="21"/>
              </w:rPr>
              <w:t>Ltd</w:t>
            </w:r>
          </w:p>
        </w:tc>
        <w:tc>
          <w:tcPr>
            <w:tcW w:w="2252"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560"/>
              <w:jc w:val="right"/>
              <w:rPr>
                <w:rFonts w:ascii="宋体" w:hAnsi="宋体" w:cs="宋体" w:eastAsia="宋体" w:hint="default"/>
                <w:sz w:val="21"/>
                <w:szCs w:val="21"/>
              </w:rPr>
            </w:pPr>
            <w:r>
              <w:rPr>
                <w:rFonts w:ascii="宋体"/>
                <w:sz w:val="21"/>
              </w:rPr>
              <w:t>0</w:t>
            </w:r>
          </w:p>
        </w:tc>
        <w:tc>
          <w:tcPr>
            <w:tcW w:w="1938"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0"/>
              <w:jc w:val="right"/>
              <w:rPr>
                <w:rFonts w:ascii="宋体" w:hAnsi="宋体" w:cs="宋体" w:eastAsia="宋体" w:hint="default"/>
                <w:sz w:val="21"/>
                <w:szCs w:val="21"/>
              </w:rPr>
            </w:pPr>
            <w:r>
              <w:rPr>
                <w:rFonts w:ascii="宋体"/>
                <w:sz w:val="21"/>
              </w:rPr>
              <w:t>25,103,938.01</w:t>
            </w:r>
          </w:p>
        </w:tc>
      </w:tr>
      <w:tr>
        <w:trPr>
          <w:trHeight w:val="418" w:hRule="exact"/>
        </w:trPr>
        <w:tc>
          <w:tcPr>
            <w:tcW w:w="4659" w:type="dxa"/>
            <w:tcBorders>
              <w:top w:val="single" w:sz="8" w:space="0" w:color="000000"/>
              <w:left w:val="nil" w:sz="6" w:space="0" w:color="auto"/>
              <w:bottom w:val="single" w:sz="8" w:space="0" w:color="000000"/>
              <w:right w:val="nil" w:sz="6" w:space="0" w:color="auto"/>
            </w:tcBorders>
          </w:tcPr>
          <w:p>
            <w:pPr>
              <w:pStyle w:val="TableParagraph"/>
              <w:spacing w:line="240" w:lineRule="auto" w:before="28"/>
              <w:ind w:left="118" w:right="0"/>
              <w:jc w:val="left"/>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2"/>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2252" w:type="dxa"/>
            <w:tcBorders>
              <w:top w:val="single" w:sz="8" w:space="0" w:color="000000"/>
              <w:left w:val="nil" w:sz="6" w:space="0" w:color="auto"/>
              <w:bottom w:val="single" w:sz="8" w:space="0" w:color="000000"/>
              <w:right w:val="nil" w:sz="6" w:space="0" w:color="auto"/>
            </w:tcBorders>
          </w:tcPr>
          <w:p>
            <w:pPr>
              <w:pStyle w:val="TableParagraph"/>
              <w:spacing w:line="240" w:lineRule="auto" w:before="28"/>
              <w:ind w:right="561"/>
              <w:jc w:val="right"/>
              <w:rPr>
                <w:rFonts w:ascii="宋体" w:hAnsi="宋体" w:cs="宋体" w:eastAsia="宋体" w:hint="default"/>
                <w:sz w:val="21"/>
                <w:szCs w:val="21"/>
              </w:rPr>
            </w:pPr>
            <w:r>
              <w:rPr>
                <w:rFonts w:ascii="宋体"/>
                <w:b/>
                <w:w w:val="99"/>
                <w:sz w:val="21"/>
              </w:rPr>
              <w:t>0</w:t>
            </w:r>
            <w:r>
              <w:rPr>
                <w:rFonts w:ascii="宋体"/>
                <w:sz w:val="21"/>
              </w:rPr>
            </w:r>
          </w:p>
        </w:tc>
        <w:tc>
          <w:tcPr>
            <w:tcW w:w="1938" w:type="dxa"/>
            <w:tcBorders>
              <w:top w:val="single" w:sz="8" w:space="0" w:color="000000"/>
              <w:left w:val="nil" w:sz="6" w:space="0" w:color="auto"/>
              <w:bottom w:val="single" w:sz="8" w:space="0" w:color="000000"/>
              <w:right w:val="nil" w:sz="6" w:space="0" w:color="auto"/>
            </w:tcBorders>
          </w:tcPr>
          <w:p>
            <w:pPr>
              <w:pStyle w:val="TableParagraph"/>
              <w:spacing w:line="240" w:lineRule="auto" w:before="28"/>
              <w:ind w:right="0"/>
              <w:jc w:val="right"/>
              <w:rPr>
                <w:rFonts w:ascii="宋体" w:hAnsi="宋体" w:cs="宋体" w:eastAsia="宋体" w:hint="default"/>
                <w:sz w:val="21"/>
                <w:szCs w:val="21"/>
              </w:rPr>
            </w:pPr>
            <w:r>
              <w:rPr>
                <w:rFonts w:ascii="宋体"/>
                <w:b/>
                <w:w w:val="95"/>
                <w:sz w:val="21"/>
              </w:rPr>
              <w:t>25,103,938.01</w:t>
            </w:r>
            <w:r>
              <w:rPr>
                <w:rFonts w:ascii="宋体"/>
                <w:sz w:val="21"/>
              </w:rPr>
            </w:r>
          </w:p>
        </w:tc>
      </w:tr>
    </w:tbl>
    <w:p>
      <w:pPr>
        <w:spacing w:line="312" w:lineRule="exact" w:before="81"/>
        <w:ind w:left="238" w:right="81" w:firstLine="0"/>
        <w:jc w:val="left"/>
        <w:rPr>
          <w:rFonts w:ascii="宋体" w:hAnsi="宋体" w:cs="宋体" w:eastAsia="宋体" w:hint="default"/>
          <w:sz w:val="21"/>
          <w:szCs w:val="21"/>
        </w:rPr>
      </w:pPr>
      <w:r>
        <w:rPr>
          <w:rFonts w:ascii="宋体" w:hAnsi="宋体" w:cs="宋体" w:eastAsia="宋体" w:hint="default"/>
          <w:spacing w:val="-8"/>
          <w:sz w:val="24"/>
          <w:szCs w:val="24"/>
        </w:rPr>
        <w:t>说明：</w:t>
      </w:r>
      <w:r>
        <w:rPr>
          <w:rFonts w:ascii="宋体" w:hAnsi="宋体" w:cs="宋体" w:eastAsia="宋体" w:hint="default"/>
          <w:spacing w:val="-8"/>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pacing w:val="-4"/>
          <w:sz w:val="24"/>
          <w:szCs w:val="24"/>
        </w:rPr>
        <w:t>日，本公司之间接控制子公司</w:t>
      </w:r>
      <w:r>
        <w:rPr>
          <w:rFonts w:ascii="宋体" w:hAnsi="宋体" w:cs="宋体" w:eastAsia="宋体" w:hint="default"/>
          <w:spacing w:val="-60"/>
          <w:sz w:val="24"/>
          <w:szCs w:val="24"/>
        </w:rPr>
        <w:t> </w:t>
      </w:r>
      <w:r>
        <w:rPr>
          <w:rFonts w:ascii="宋体" w:hAnsi="宋体" w:cs="宋体" w:eastAsia="宋体" w:hint="default"/>
          <w:sz w:val="21"/>
          <w:szCs w:val="21"/>
        </w:rPr>
        <w:t>Automated</w:t>
      </w:r>
      <w:r>
        <w:rPr>
          <w:rFonts w:ascii="宋体" w:hAnsi="宋体" w:cs="宋体" w:eastAsia="宋体" w:hint="default"/>
          <w:spacing w:val="-52"/>
          <w:sz w:val="21"/>
          <w:szCs w:val="21"/>
        </w:rPr>
        <w:t> </w:t>
      </w:r>
      <w:r>
        <w:rPr>
          <w:rFonts w:ascii="宋体" w:hAnsi="宋体" w:cs="宋体" w:eastAsia="宋体" w:hint="default"/>
          <w:sz w:val="21"/>
          <w:szCs w:val="21"/>
        </w:rPr>
        <w:t>Systems</w:t>
      </w:r>
      <w:r>
        <w:rPr>
          <w:rFonts w:ascii="宋体" w:hAnsi="宋体" w:cs="宋体" w:eastAsia="宋体" w:hint="default"/>
          <w:spacing w:val="-52"/>
          <w:sz w:val="21"/>
          <w:szCs w:val="21"/>
        </w:rPr>
        <w:t> </w:t>
      </w:r>
      <w:r>
        <w:rPr>
          <w:rFonts w:ascii="宋体" w:hAnsi="宋体" w:cs="宋体" w:eastAsia="宋体" w:hint="default"/>
          <w:sz w:val="21"/>
          <w:szCs w:val="21"/>
        </w:rPr>
        <w:t>Holdings</w:t>
      </w:r>
      <w:r>
        <w:rPr>
          <w:rFonts w:ascii="宋体" w:hAnsi="宋体" w:cs="宋体" w:eastAsia="宋体" w:hint="default"/>
          <w:spacing w:val="-54"/>
          <w:sz w:val="21"/>
          <w:szCs w:val="21"/>
        </w:rPr>
        <w:t> </w:t>
      </w:r>
      <w:r>
        <w:rPr>
          <w:rFonts w:ascii="宋体" w:hAnsi="宋体" w:cs="宋体" w:eastAsia="宋体" w:hint="default"/>
          <w:sz w:val="21"/>
          <w:szCs w:val="21"/>
        </w:rPr>
        <w:t>Limited</w:t>
      </w:r>
    </w:p>
    <w:p>
      <w:pPr>
        <w:pStyle w:val="BodyText"/>
        <w:spacing w:line="237" w:lineRule="auto" w:before="1"/>
        <w:ind w:left="238" w:right="81"/>
        <w:jc w:val="left"/>
      </w:pPr>
      <w:r>
        <w:rPr/>
        <w:t>（简称</w:t>
      </w:r>
      <w:r>
        <w:rPr>
          <w:spacing w:val="-55"/>
        </w:rPr>
        <w:t> </w:t>
      </w:r>
      <w:r>
        <w:rPr>
          <w:rFonts w:ascii="宋体" w:hAnsi="宋体" w:cs="宋体" w:eastAsia="宋体" w:hint="default"/>
        </w:rPr>
        <w:t>ASL</w:t>
      </w:r>
      <w:r>
        <w:rPr>
          <w:rFonts w:ascii="宋体" w:hAnsi="宋体" w:cs="宋体" w:eastAsia="宋体" w:hint="default"/>
          <w:spacing w:val="-55"/>
        </w:rPr>
        <w:t> </w:t>
      </w:r>
      <w:r>
        <w:rPr/>
        <w:t>公司）之全资子公司</w:t>
      </w:r>
      <w:r>
        <w:rPr>
          <w:spacing w:val="-55"/>
        </w:rPr>
        <w:t> </w:t>
      </w:r>
      <w:r>
        <w:rPr>
          <w:rFonts w:ascii="宋体" w:hAnsi="宋体" w:cs="宋体" w:eastAsia="宋体" w:hint="default"/>
        </w:rPr>
        <w:t>I-Sprint</w:t>
      </w:r>
      <w:r>
        <w:rPr>
          <w:rFonts w:ascii="宋体" w:hAnsi="宋体" w:cs="宋体" w:eastAsia="宋体" w:hint="default"/>
          <w:spacing w:val="11"/>
        </w:rPr>
        <w:t> </w:t>
      </w:r>
      <w:r>
        <w:rPr>
          <w:rFonts w:ascii="宋体" w:hAnsi="宋体" w:cs="宋体" w:eastAsia="宋体" w:hint="default"/>
        </w:rPr>
        <w:t>Innovations</w:t>
      </w:r>
      <w:r>
        <w:rPr>
          <w:rFonts w:ascii="宋体" w:hAnsi="宋体" w:cs="宋体" w:eastAsia="宋体" w:hint="default"/>
          <w:spacing w:val="11"/>
        </w:rPr>
        <w:t> </w:t>
      </w:r>
      <w:r>
        <w:rPr>
          <w:rFonts w:ascii="宋体" w:hAnsi="宋体" w:cs="宋体" w:eastAsia="宋体" w:hint="default"/>
        </w:rPr>
        <w:t>Pte</w:t>
      </w:r>
      <w:r>
        <w:rPr>
          <w:rFonts w:ascii="宋体" w:hAnsi="宋体" w:cs="宋体" w:eastAsia="宋体" w:hint="default"/>
          <w:spacing w:val="11"/>
        </w:rPr>
        <w:t> </w:t>
      </w:r>
      <w:r>
        <w:rPr>
          <w:rFonts w:ascii="宋体" w:hAnsi="宋体" w:cs="宋体" w:eastAsia="宋体" w:hint="default"/>
        </w:rPr>
        <w:t>Ltd.</w:t>
      </w:r>
      <w:r>
        <w:rPr/>
        <w:t>（简称</w:t>
      </w:r>
      <w:r>
        <w:rPr>
          <w:spacing w:val="-55"/>
        </w:rPr>
        <w:t> </w:t>
      </w:r>
      <w:r>
        <w:rPr>
          <w:rFonts w:ascii="宋体" w:hAnsi="宋体" w:cs="宋体" w:eastAsia="宋体" w:hint="default"/>
        </w:rPr>
        <w:t>I-Sprint</w:t>
      </w:r>
      <w:r>
        <w:rPr/>
        <w:t>） </w:t>
      </w:r>
      <w:r>
        <w:rPr>
          <w:spacing w:val="-7"/>
        </w:rPr>
        <w:t>与独立第三方的认购事项全部完成，</w:t>
      </w:r>
      <w:r>
        <w:rPr>
          <w:rFonts w:ascii="宋体" w:hAnsi="宋体" w:cs="宋体" w:eastAsia="宋体" w:hint="default"/>
          <w:spacing w:val="-7"/>
        </w:rPr>
        <w:t>ASL</w:t>
      </w:r>
      <w:r>
        <w:rPr>
          <w:rFonts w:ascii="宋体" w:hAnsi="宋体" w:cs="宋体" w:eastAsia="宋体" w:hint="default"/>
          <w:spacing w:val="-71"/>
        </w:rPr>
        <w:t> </w:t>
      </w:r>
      <w:r>
        <w:rPr/>
        <w:t>公司在</w:t>
      </w:r>
      <w:r>
        <w:rPr>
          <w:spacing w:val="-71"/>
        </w:rPr>
        <w:t> </w:t>
      </w:r>
      <w:r>
        <w:rPr>
          <w:rFonts w:ascii="宋体" w:hAnsi="宋体" w:cs="宋体" w:eastAsia="宋体" w:hint="default"/>
        </w:rPr>
        <w:t>I-Sprint</w:t>
      </w:r>
      <w:r>
        <w:rPr>
          <w:rFonts w:ascii="宋体" w:hAnsi="宋体" w:cs="宋体" w:eastAsia="宋体" w:hint="default"/>
          <w:spacing w:val="-71"/>
        </w:rPr>
        <w:t> </w:t>
      </w:r>
      <w:r>
        <w:rPr/>
        <w:t>的持股比例减少至</w:t>
      </w:r>
      <w:r>
        <w:rPr>
          <w:spacing w:val="-71"/>
        </w:rPr>
        <w:t> </w:t>
      </w:r>
      <w:r>
        <w:rPr>
          <w:rFonts w:ascii="宋体" w:hAnsi="宋体" w:cs="宋体" w:eastAsia="宋体" w:hint="default"/>
        </w:rPr>
        <w:t>48.22%</w:t>
      </w:r>
      <w:r>
        <w:rPr/>
        <w:t>，</w:t>
      </w:r>
      <w:r>
        <w:rPr>
          <w:spacing w:val="-115"/>
        </w:rPr>
        <w:t> </w:t>
      </w:r>
      <w:r>
        <w:rPr>
          <w:rFonts w:ascii="宋体" w:hAnsi="宋体" w:cs="宋体" w:eastAsia="宋体" w:hint="default"/>
        </w:rPr>
        <w:t>ASL</w:t>
      </w:r>
      <w:r>
        <w:rPr>
          <w:rFonts w:ascii="宋体" w:hAnsi="宋体" w:cs="宋体" w:eastAsia="宋体" w:hint="default"/>
          <w:spacing w:val="-60"/>
        </w:rPr>
        <w:t> </w:t>
      </w:r>
      <w:r>
        <w:rPr/>
        <w:t>公司不再控制</w:t>
      </w:r>
      <w:r>
        <w:rPr>
          <w:spacing w:val="-60"/>
        </w:rPr>
        <w:t> </w:t>
      </w:r>
      <w:r>
        <w:rPr>
          <w:rFonts w:ascii="宋体" w:hAnsi="宋体" w:cs="宋体" w:eastAsia="宋体" w:hint="default"/>
        </w:rPr>
        <w:t>I-Sprint</w:t>
      </w:r>
      <w:r>
        <w:rPr>
          <w:rFonts w:ascii="宋体" w:hAnsi="宋体" w:cs="宋体" w:eastAsia="宋体" w:hint="default"/>
          <w:spacing w:val="-60"/>
        </w:rPr>
        <w:t> </w:t>
      </w:r>
      <w:r>
        <w:rPr/>
        <w:t>及其子公司（</w:t>
      </w:r>
      <w:r>
        <w:rPr>
          <w:rFonts w:ascii="宋体" w:hAnsi="宋体" w:cs="宋体" w:eastAsia="宋体" w:hint="default"/>
        </w:rPr>
        <w:t>I-Sprint</w:t>
      </w:r>
      <w:r>
        <w:rPr>
          <w:rFonts w:ascii="宋体" w:hAnsi="宋体" w:cs="宋体" w:eastAsia="宋体" w:hint="default"/>
          <w:spacing w:val="-60"/>
        </w:rPr>
        <w:t> </w:t>
      </w:r>
      <w:r>
        <w:rPr/>
        <w:t>集团）。</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80" w:bottom="1380" w:left="1560" w:right="1040"/>
        </w:sectPr>
      </w:pPr>
    </w:p>
    <w:p>
      <w:pPr>
        <w:pStyle w:val="Heading2"/>
        <w:spacing w:line="240" w:lineRule="auto" w:before="189"/>
        <w:ind w:left="238" w:right="-11"/>
        <w:jc w:val="left"/>
        <w:rPr>
          <w:b w:val="0"/>
          <w:bCs w:val="0"/>
        </w:rPr>
      </w:pPr>
      <w:r>
        <w:rPr>
          <w:rFonts w:ascii="宋体" w:hAnsi="宋体" w:cs="宋体" w:eastAsia="宋体" w:hint="default"/>
        </w:rPr>
        <w:t>8</w:t>
      </w:r>
      <w:r>
        <w:rPr/>
        <w:t>、</w:t>
      </w:r>
      <w:r>
        <w:rPr>
          <w:spacing w:val="-75"/>
        </w:rPr>
        <w:t> </w:t>
      </w:r>
      <w:r>
        <w:rPr/>
        <w:t>一年内到期的非流动资产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
        <w:rPr>
          <w:rFonts w:ascii="宋体" w:hAnsi="宋体" w:cs="宋体" w:eastAsia="宋体" w:hint="default"/>
          <w:b/>
          <w:bCs/>
          <w:sz w:val="23"/>
          <w:szCs w:val="23"/>
        </w:rPr>
      </w:pPr>
    </w:p>
    <w:p>
      <w:pPr>
        <w:tabs>
          <w:tab w:pos="1288" w:val="left" w:leader="none"/>
        </w:tabs>
        <w:spacing w:before="0"/>
        <w:ind w:left="238"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560" w:right="1040"/>
          <w:cols w:num="2" w:equalWidth="0">
            <w:col w:w="3306" w:space="3007"/>
            <w:col w:w="299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287"/>
        <w:gridCol w:w="2897"/>
        <w:gridCol w:w="2866"/>
      </w:tblGrid>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年内到期的长期应收款</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301,150,743.41</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231,365,636.64</w:t>
            </w:r>
          </w:p>
        </w:tc>
      </w:tr>
      <w:tr>
        <w:trPr>
          <w:trHeight w:val="283" w:hRule="exact"/>
        </w:trPr>
        <w:tc>
          <w:tcPr>
            <w:tcW w:w="3287"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c>
          <w:tcPr>
            <w:tcW w:w="286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5"/>
              <w:jc w:val="center"/>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301,150,743.41</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231,365,636.64</w:t>
            </w:r>
          </w:p>
        </w:tc>
      </w:tr>
    </w:tbl>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80" w:bottom="1380" w:left="1560" w:right="1040"/>
        </w:sectPr>
      </w:pPr>
    </w:p>
    <w:p>
      <w:pPr>
        <w:pStyle w:val="Heading2"/>
        <w:spacing w:line="240" w:lineRule="auto"/>
        <w:ind w:left="238" w:right="-15"/>
        <w:jc w:val="left"/>
        <w:rPr>
          <w:b w:val="0"/>
          <w:bCs w:val="0"/>
        </w:rPr>
      </w:pPr>
      <w:r>
        <w:rPr>
          <w:rFonts w:ascii="宋体" w:hAnsi="宋体" w:cs="宋体" w:eastAsia="宋体" w:hint="default"/>
        </w:rPr>
        <w:t>9</w:t>
      </w:r>
      <w:r>
        <w:rPr/>
        <w:t>、</w:t>
      </w:r>
      <w:r>
        <w:rPr>
          <w:spacing w:val="-70"/>
        </w:rPr>
        <w:t> </w:t>
      </w:r>
      <w:r>
        <w:rPr/>
        <w:t>其他流动资产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tabs>
          <w:tab w:pos="1287" w:val="left" w:leader="none"/>
        </w:tabs>
        <w:spacing w:before="140"/>
        <w:ind w:left="23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560" w:right="1040"/>
          <w:cols w:num="2" w:equalWidth="0">
            <w:col w:w="2102" w:space="4422"/>
            <w:col w:w="2786"/>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287"/>
        <w:gridCol w:w="2917"/>
        <w:gridCol w:w="2846"/>
      </w:tblGrid>
      <w:tr>
        <w:trPr>
          <w:trHeight w:val="51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427"/>
              <w:jc w:val="right"/>
              <w:rPr>
                <w:rFonts w:ascii="宋体" w:hAnsi="宋体" w:cs="宋体" w:eastAsia="宋体" w:hint="default"/>
                <w:sz w:val="21"/>
                <w:szCs w:val="21"/>
              </w:rPr>
            </w:pPr>
            <w:r>
              <w:rPr>
                <w:rFonts w:ascii="宋体" w:hAnsi="宋体" w:cs="宋体" w:eastAsia="宋体" w:hint="default"/>
                <w:sz w:val="21"/>
                <w:szCs w:val="21"/>
              </w:rPr>
              <w:t>项目</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预缴增值税</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2,705,159.05</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3,371,618.08</w:t>
            </w:r>
          </w:p>
        </w:tc>
      </w:tr>
      <w:tr>
        <w:trPr>
          <w:trHeight w:val="28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预缴营业税</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104,465.15</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131,578.73</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预缴所得税</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6,005,686.88</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7,609,253.21</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预缴教育费附加</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3,735.15</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3,735.15</w:t>
            </w:r>
          </w:p>
        </w:tc>
      </w:tr>
      <w:tr>
        <w:trPr>
          <w:trHeight w:val="28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62,500,000.00</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31,000,000.00</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80"/>
              <w:jc w:val="right"/>
              <w:rPr>
                <w:rFonts w:ascii="宋体" w:hAnsi="宋体" w:cs="宋体" w:eastAsia="宋体" w:hint="default"/>
                <w:sz w:val="21"/>
                <w:szCs w:val="21"/>
              </w:rPr>
            </w:pPr>
            <w:r>
              <w:rPr>
                <w:rFonts w:ascii="宋体" w:hAnsi="宋体" w:cs="宋体" w:eastAsia="宋体" w:hint="default"/>
                <w:sz w:val="21"/>
                <w:szCs w:val="21"/>
              </w:rPr>
              <w:t>合计</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71,319,046.23</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42,116,185.17</w:t>
            </w:r>
          </w:p>
        </w:tc>
      </w:tr>
    </w:tbl>
    <w:p>
      <w:pPr>
        <w:pStyle w:val="BodyText"/>
        <w:spacing w:line="240" w:lineRule="auto" w:before="81"/>
        <w:ind w:left="238" w:right="261"/>
        <w:jc w:val="left"/>
      </w:pPr>
      <w:r>
        <w:rPr/>
        <w:t>说明：银行理财产品系理财期限不超过</w:t>
      </w:r>
      <w:r>
        <w:rPr>
          <w:spacing w:val="-60"/>
        </w:rPr>
        <w:t> </w:t>
      </w:r>
      <w:r>
        <w:rPr>
          <w:rFonts w:ascii="宋体" w:hAnsi="宋体" w:cs="宋体" w:eastAsia="宋体" w:hint="default"/>
        </w:rPr>
        <w:t>1</w:t>
      </w:r>
      <w:r>
        <w:rPr>
          <w:rFonts w:ascii="宋体" w:hAnsi="宋体" w:cs="宋体" w:eastAsia="宋体" w:hint="default"/>
          <w:spacing w:val="-60"/>
        </w:rPr>
        <w:t> </w:t>
      </w:r>
      <w:r>
        <w:rPr/>
        <w:t>年的银行理财产品。</w:t>
      </w:r>
    </w:p>
    <w:p>
      <w:pPr>
        <w:spacing w:after="0" w:line="240" w:lineRule="auto"/>
        <w:jc w:val="left"/>
        <w:sectPr>
          <w:type w:val="continuous"/>
          <w:pgSz w:w="11910" w:h="16840"/>
          <w:pgMar w:top="1080" w:bottom="1380" w:left="1560" w:right="104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840" w:right="500"/>
        </w:sectPr>
      </w:pPr>
    </w:p>
    <w:p>
      <w:pPr>
        <w:pStyle w:val="Heading2"/>
        <w:spacing w:line="240" w:lineRule="auto"/>
        <w:ind w:left="958" w:right="0"/>
        <w:jc w:val="left"/>
        <w:rPr>
          <w:b w:val="0"/>
          <w:bCs w:val="0"/>
        </w:rPr>
      </w:pPr>
      <w:r>
        <w:rPr>
          <w:rFonts w:ascii="宋体" w:hAnsi="宋体" w:cs="宋体" w:eastAsia="宋体" w:hint="default"/>
        </w:rPr>
        <w:t>10</w:t>
      </w:r>
      <w:r>
        <w:rPr/>
        <w:t>、</w:t>
      </w:r>
      <w:r>
        <w:rPr>
          <w:spacing w:val="-109"/>
        </w:rPr>
        <w:t> </w:t>
      </w:r>
      <w:r>
        <w:rPr/>
        <w:t>可供出售金融资产</w:t>
      </w:r>
      <w:r>
        <w:rPr>
          <w:b w:val="0"/>
          <w:bCs w:val="0"/>
        </w:rPr>
      </w:r>
    </w:p>
    <w:p>
      <w:pPr>
        <w:tabs>
          <w:tab w:pos="1602" w:val="left" w:leader="none"/>
        </w:tabs>
        <w:spacing w:before="60"/>
        <w:ind w:left="958" w:right="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w w:val="95"/>
          <w:sz w:val="21"/>
          <w:szCs w:val="21"/>
        </w:rPr>
        <w:t>可供出售金融资产情况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6"/>
          <w:szCs w:val="16"/>
        </w:rPr>
      </w:pPr>
    </w:p>
    <w:p>
      <w:pPr>
        <w:tabs>
          <w:tab w:pos="2007" w:val="left" w:leader="none"/>
        </w:tabs>
        <w:spacing w:before="0"/>
        <w:ind w:left="95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840" w:right="500"/>
          <w:cols w:num="2" w:equalWidth="0">
            <w:col w:w="3709" w:space="2815"/>
            <w:col w:w="4046"/>
          </w:cols>
        </w:sectPr>
      </w:pPr>
    </w:p>
    <w:p>
      <w:pPr>
        <w:spacing w:line="240" w:lineRule="auto" w:before="7"/>
        <w:rPr>
          <w:rFonts w:ascii="宋体" w:hAnsi="宋体" w:cs="宋体" w:eastAsia="宋体" w:hint="default"/>
          <w:sz w:val="2"/>
          <w:szCs w:val="2"/>
        </w:rPr>
      </w:pPr>
    </w:p>
    <w:tbl>
      <w:tblPr>
        <w:tblW w:w="0" w:type="auto"/>
        <w:jc w:val="left"/>
        <w:tblInd w:w="919" w:type="dxa"/>
        <w:tblLayout w:type="fixed"/>
        <w:tblCellMar>
          <w:top w:w="0" w:type="dxa"/>
          <w:left w:w="0" w:type="dxa"/>
          <w:bottom w:w="0" w:type="dxa"/>
          <w:right w:w="0" w:type="dxa"/>
        </w:tblCellMar>
        <w:tblLook w:val="01E0"/>
      </w:tblPr>
      <w:tblGrid>
        <w:gridCol w:w="1975"/>
        <w:gridCol w:w="1427"/>
        <w:gridCol w:w="935"/>
        <w:gridCol w:w="1428"/>
        <w:gridCol w:w="1112"/>
        <w:gridCol w:w="907"/>
        <w:gridCol w:w="1112"/>
      </w:tblGrid>
      <w:tr>
        <w:trPr>
          <w:trHeight w:val="288" w:hRule="exact"/>
        </w:trPr>
        <w:tc>
          <w:tcPr>
            <w:tcW w:w="1975" w:type="dxa"/>
            <w:vMerge w:val="restart"/>
            <w:tcBorders>
              <w:top w:val="single" w:sz="6" w:space="0" w:color="000000"/>
              <w:left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3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1975" w:type="dxa"/>
            <w:vMerge/>
            <w:tcBorders>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8"/>
              <w:jc w:val="right"/>
              <w:rPr>
                <w:rFonts w:ascii="宋体" w:hAnsi="宋体" w:cs="宋体" w:eastAsia="宋体" w:hint="default"/>
                <w:sz w:val="21"/>
                <w:szCs w:val="21"/>
              </w:rPr>
            </w:pPr>
            <w:r>
              <w:rPr>
                <w:rFonts w:ascii="宋体" w:hAnsi="宋体" w:cs="宋体" w:eastAsia="宋体" w:hint="default"/>
                <w:sz w:val="21"/>
                <w:szCs w:val="21"/>
              </w:rPr>
              <w:t>减值准备</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减值准备</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7" w:hRule="exact"/>
        </w:trPr>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可供出售债务工具：</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50,000,000.00</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50,000,000.00</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0.00</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0.00</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0.00</w:t>
            </w:r>
          </w:p>
        </w:tc>
      </w:tr>
      <w:tr>
        <w:trPr>
          <w:trHeight w:val="288" w:hRule="exact"/>
        </w:trPr>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17,400,000.00</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17,400,000.00</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300,000.00</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0.00</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300,000.00</w:t>
            </w:r>
          </w:p>
        </w:tc>
      </w:tr>
      <w:tr>
        <w:trPr>
          <w:trHeight w:val="559" w:hRule="exact"/>
        </w:trPr>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39" w:right="0"/>
              <w:jc w:val="left"/>
              <w:rPr>
                <w:rFonts w:ascii="宋体" w:hAnsi="宋体" w:cs="宋体" w:eastAsia="宋体" w:hint="default"/>
                <w:sz w:val="21"/>
                <w:szCs w:val="21"/>
              </w:rPr>
            </w:pPr>
            <w:r>
              <w:rPr>
                <w:rFonts w:ascii="宋体" w:hAnsi="宋体" w:cs="宋体" w:eastAsia="宋体" w:hint="default"/>
                <w:sz w:val="21"/>
                <w:szCs w:val="21"/>
              </w:rPr>
              <w:t>按公允价值计量</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的</w:t>
            </w:r>
          </w:p>
        </w:tc>
        <w:tc>
          <w:tcPr>
            <w:tcW w:w="1427" w:type="dxa"/>
            <w:tcBorders>
              <w:top w:val="single" w:sz="6" w:space="0" w:color="000000"/>
              <w:left w:val="single" w:sz="6" w:space="0" w:color="000000"/>
              <w:bottom w:val="single" w:sz="6" w:space="0" w:color="000000"/>
              <w:right w:val="single" w:sz="6" w:space="0" w:color="000000"/>
            </w:tcBorders>
          </w:tcPr>
          <w:p>
            <w:pPr/>
          </w:p>
        </w:tc>
        <w:tc>
          <w:tcPr>
            <w:tcW w:w="935"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c>
          <w:tcPr>
            <w:tcW w:w="1112"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
        </w:tc>
        <w:tc>
          <w:tcPr>
            <w:tcW w:w="111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center"/>
              <w:rPr>
                <w:rFonts w:ascii="宋体" w:hAnsi="宋体" w:cs="宋体" w:eastAsia="宋体" w:hint="default"/>
                <w:sz w:val="21"/>
                <w:szCs w:val="21"/>
              </w:rPr>
            </w:pPr>
            <w:r>
              <w:rPr>
                <w:rFonts w:ascii="宋体" w:hAnsi="宋体" w:cs="宋体" w:eastAsia="宋体" w:hint="default"/>
                <w:sz w:val="21"/>
                <w:szCs w:val="21"/>
              </w:rPr>
              <w:t>按成本计量的</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17,400,000.00</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17,400,000.00</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300,000.00</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0.00</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300,000.00</w:t>
            </w:r>
          </w:p>
        </w:tc>
      </w:tr>
      <w:tr>
        <w:trPr>
          <w:trHeight w:val="287" w:hRule="exact"/>
        </w:trPr>
        <w:tc>
          <w:tcPr>
            <w:tcW w:w="1975"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935"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c>
          <w:tcPr>
            <w:tcW w:w="1112"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
        </w:tc>
        <w:tc>
          <w:tcPr>
            <w:tcW w:w="111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975"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935"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c>
          <w:tcPr>
            <w:tcW w:w="1112"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
        </w:tc>
        <w:tc>
          <w:tcPr>
            <w:tcW w:w="111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67,400,000.00</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0.00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67,400,000.00</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300,000.00</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0.00</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300,000.00</w:t>
            </w:r>
          </w:p>
        </w:tc>
      </w:tr>
    </w:tbl>
    <w:p>
      <w:pPr>
        <w:spacing w:line="240" w:lineRule="auto" w:before="7"/>
        <w:rPr>
          <w:rFonts w:ascii="宋体" w:hAnsi="宋体" w:cs="宋体" w:eastAsia="宋体" w:hint="default"/>
          <w:sz w:val="20"/>
          <w:szCs w:val="20"/>
        </w:rPr>
      </w:pPr>
    </w:p>
    <w:p>
      <w:pPr>
        <w:pStyle w:val="Heading2"/>
        <w:spacing w:line="240" w:lineRule="auto"/>
        <w:ind w:left="958" w:right="0"/>
        <w:jc w:val="left"/>
        <w:rPr>
          <w:b w:val="0"/>
          <w:bCs w:val="0"/>
        </w:rPr>
      </w:pPr>
      <w:r>
        <w:rPr>
          <w:rFonts w:ascii="宋体" w:hAnsi="宋体" w:cs="宋体" w:eastAsia="宋体" w:hint="default"/>
        </w:rPr>
        <w:t>(2).</w:t>
      </w:r>
      <w:r>
        <w:rPr>
          <w:rFonts w:ascii="宋体" w:hAnsi="宋体" w:cs="宋体" w:eastAsia="宋体" w:hint="default"/>
          <w:spacing w:val="21"/>
        </w:rPr>
        <w:t> </w:t>
      </w:r>
      <w:r>
        <w:rPr/>
        <w:t>按公允价值计量的可供出售金融资产</w:t>
      </w:r>
      <w:r>
        <w:rPr>
          <w:b w:val="0"/>
          <w:bCs w:val="0"/>
        </w:rPr>
      </w:r>
    </w:p>
    <w:p>
      <w:pPr>
        <w:spacing w:line="240" w:lineRule="auto" w:before="4"/>
        <w:rPr>
          <w:rFonts w:ascii="宋体" w:hAnsi="宋体" w:cs="宋体" w:eastAsia="宋体" w:hint="default"/>
          <w:b/>
          <w:bCs/>
          <w:sz w:val="7"/>
          <w:szCs w:val="7"/>
        </w:rPr>
      </w:pPr>
    </w:p>
    <w:tbl>
      <w:tblPr>
        <w:tblW w:w="0" w:type="auto"/>
        <w:jc w:val="left"/>
        <w:tblInd w:w="932" w:type="dxa"/>
        <w:tblLayout w:type="fixed"/>
        <w:tblCellMar>
          <w:top w:w="0" w:type="dxa"/>
          <w:left w:w="0" w:type="dxa"/>
          <w:bottom w:w="0" w:type="dxa"/>
          <w:right w:w="0" w:type="dxa"/>
        </w:tblCellMar>
        <w:tblLook w:val="01E0"/>
      </w:tblPr>
      <w:tblGrid>
        <w:gridCol w:w="2430"/>
        <w:gridCol w:w="1560"/>
        <w:gridCol w:w="2552"/>
        <w:gridCol w:w="2126"/>
      </w:tblGrid>
      <w:tr>
        <w:trPr>
          <w:trHeight w:val="445" w:hRule="exact"/>
        </w:trPr>
        <w:tc>
          <w:tcPr>
            <w:tcW w:w="243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b/>
                <w:bCs/>
                <w:sz w:val="20"/>
                <w:szCs w:val="20"/>
              </w:rPr>
              <w:t>可供出售金融资产分类</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73" w:right="0"/>
              <w:jc w:val="left"/>
              <w:rPr>
                <w:rFonts w:ascii="宋体" w:hAnsi="宋体" w:cs="宋体" w:eastAsia="宋体" w:hint="default"/>
                <w:sz w:val="20"/>
                <w:szCs w:val="20"/>
              </w:rPr>
            </w:pPr>
            <w:r>
              <w:rPr>
                <w:rFonts w:ascii="宋体" w:hAnsi="宋体" w:cs="宋体" w:eastAsia="宋体" w:hint="default"/>
                <w:b/>
                <w:bCs/>
                <w:sz w:val="20"/>
                <w:szCs w:val="20"/>
              </w:rPr>
              <w:t>可供出售</w:t>
            </w:r>
            <w:r>
              <w:rPr>
                <w:rFonts w:ascii="宋体" w:hAnsi="宋体" w:cs="宋体" w:eastAsia="宋体" w:hint="default"/>
                <w:sz w:val="20"/>
                <w:szCs w:val="20"/>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868" w:right="0"/>
              <w:jc w:val="left"/>
              <w:rPr>
                <w:rFonts w:ascii="宋体" w:hAnsi="宋体" w:cs="宋体" w:eastAsia="宋体" w:hint="default"/>
                <w:sz w:val="20"/>
                <w:szCs w:val="20"/>
              </w:rPr>
            </w:pPr>
            <w:r>
              <w:rPr>
                <w:rFonts w:ascii="宋体" w:hAnsi="宋体" w:cs="宋体" w:eastAsia="宋体" w:hint="default"/>
                <w:b/>
                <w:bCs/>
                <w:sz w:val="20"/>
                <w:szCs w:val="20"/>
              </w:rPr>
              <w:t>可供出售</w:t>
            </w:r>
            <w:r>
              <w:rPr>
                <w:rFonts w:ascii="宋体" w:hAnsi="宋体" w:cs="宋体" w:eastAsia="宋体" w:hint="default"/>
                <w:sz w:val="20"/>
                <w:szCs w:val="20"/>
              </w:rPr>
            </w:r>
          </w:p>
        </w:tc>
        <w:tc>
          <w:tcPr>
            <w:tcW w:w="212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r>
      <w:tr>
        <w:trPr>
          <w:trHeight w:val="280" w:hRule="exact"/>
        </w:trPr>
        <w:tc>
          <w:tcPr>
            <w:tcW w:w="2430"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73" w:right="0"/>
              <w:jc w:val="left"/>
              <w:rPr>
                <w:rFonts w:ascii="宋体" w:hAnsi="宋体" w:cs="宋体" w:eastAsia="宋体" w:hint="default"/>
                <w:sz w:val="20"/>
                <w:szCs w:val="20"/>
              </w:rPr>
            </w:pPr>
            <w:r>
              <w:rPr>
                <w:rFonts w:ascii="宋体" w:hAnsi="宋体" w:cs="宋体" w:eastAsia="宋体" w:hint="default"/>
                <w:b/>
                <w:bCs/>
                <w:sz w:val="20"/>
                <w:szCs w:val="20"/>
              </w:rPr>
              <w:t>权益工具</w:t>
            </w:r>
            <w:r>
              <w:rPr>
                <w:rFonts w:ascii="宋体" w:hAnsi="宋体" w:cs="宋体" w:eastAsia="宋体" w:hint="default"/>
                <w:sz w:val="20"/>
                <w:szCs w:val="20"/>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868" w:right="0"/>
              <w:jc w:val="left"/>
              <w:rPr>
                <w:rFonts w:ascii="宋体" w:hAnsi="宋体" w:cs="宋体" w:eastAsia="宋体" w:hint="default"/>
                <w:sz w:val="20"/>
                <w:szCs w:val="20"/>
              </w:rPr>
            </w:pPr>
            <w:r>
              <w:rPr>
                <w:rFonts w:ascii="宋体" w:hAnsi="宋体" w:cs="宋体" w:eastAsia="宋体" w:hint="default"/>
                <w:b/>
                <w:bCs/>
                <w:sz w:val="20"/>
                <w:szCs w:val="20"/>
              </w:rPr>
              <w:t>债务工具</w:t>
            </w:r>
            <w:r>
              <w:rPr>
                <w:rFonts w:ascii="宋体" w:hAnsi="宋体" w:cs="宋体" w:eastAsia="宋体" w:hint="default"/>
                <w:sz w:val="20"/>
                <w:szCs w:val="20"/>
              </w:rPr>
            </w:r>
          </w:p>
        </w:tc>
        <w:tc>
          <w:tcPr>
            <w:tcW w:w="2126" w:type="dxa"/>
            <w:vMerge/>
            <w:tcBorders>
              <w:left w:val="single" w:sz="4" w:space="0" w:color="000000"/>
              <w:bottom w:val="single" w:sz="4" w:space="0" w:color="000000"/>
              <w:right w:val="single" w:sz="4" w:space="0" w:color="000000"/>
            </w:tcBorders>
          </w:tcPr>
          <w:p>
            <w:pPr/>
          </w:p>
        </w:tc>
      </w:tr>
      <w:tr>
        <w:trPr>
          <w:trHeight w:val="683" w:hRule="exact"/>
        </w:trPr>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1"/>
              <w:ind w:left="103" w:right="89"/>
              <w:jc w:val="left"/>
              <w:rPr>
                <w:rFonts w:ascii="宋体" w:hAnsi="宋体" w:cs="宋体" w:eastAsia="宋体" w:hint="default"/>
                <w:sz w:val="20"/>
                <w:szCs w:val="20"/>
              </w:rPr>
            </w:pPr>
            <w:r>
              <w:rPr>
                <w:rFonts w:ascii="宋体" w:hAnsi="宋体" w:cs="宋体" w:eastAsia="宋体" w:hint="default"/>
                <w:spacing w:val="10"/>
                <w:sz w:val="20"/>
                <w:szCs w:val="20"/>
              </w:rPr>
              <w:t>权益工具的成本</w:t>
            </w:r>
            <w:r>
              <w:rPr>
                <w:rFonts w:ascii="宋体" w:hAnsi="宋体" w:cs="宋体" w:eastAsia="宋体" w:hint="default"/>
                <w:spacing w:val="10"/>
                <w:sz w:val="20"/>
                <w:szCs w:val="20"/>
              </w:rPr>
              <w:t>/</w:t>
            </w:r>
            <w:r>
              <w:rPr>
                <w:rFonts w:ascii="宋体" w:hAnsi="宋体" w:cs="宋体" w:eastAsia="宋体" w:hint="default"/>
                <w:spacing w:val="10"/>
                <w:sz w:val="20"/>
                <w:szCs w:val="20"/>
              </w:rPr>
              <w:t>债务工</w:t>
            </w:r>
            <w:r>
              <w:rPr>
                <w:rFonts w:ascii="宋体" w:hAnsi="宋体" w:cs="宋体" w:eastAsia="宋体" w:hint="default"/>
                <w:spacing w:val="-91"/>
                <w:sz w:val="20"/>
                <w:szCs w:val="20"/>
              </w:rPr>
              <w:t> </w:t>
            </w:r>
            <w:r>
              <w:rPr>
                <w:rFonts w:ascii="宋体" w:hAnsi="宋体" w:cs="宋体" w:eastAsia="宋体" w:hint="default"/>
                <w:sz w:val="20"/>
                <w:szCs w:val="20"/>
              </w:rPr>
              <w:t>具的摊余成本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right="101"/>
              <w:jc w:val="right"/>
              <w:rPr>
                <w:rFonts w:ascii="宋体" w:hAnsi="宋体" w:cs="宋体" w:eastAsia="宋体" w:hint="default"/>
                <w:sz w:val="20"/>
                <w:szCs w:val="20"/>
              </w:rPr>
            </w:pPr>
            <w:r>
              <w:rPr>
                <w:rFonts w:ascii="宋体"/>
                <w:spacing w:val="-1"/>
                <w:sz w:val="20"/>
              </w:rPr>
              <w:t>50,000,000.00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right="100"/>
              <w:jc w:val="right"/>
              <w:rPr>
                <w:rFonts w:ascii="宋体" w:hAnsi="宋体" w:cs="宋体" w:eastAsia="宋体" w:hint="default"/>
                <w:sz w:val="20"/>
                <w:szCs w:val="20"/>
              </w:rPr>
            </w:pPr>
            <w:r>
              <w:rPr>
                <w:rFonts w:ascii="宋体"/>
                <w:spacing w:val="-1"/>
                <w:sz w:val="20"/>
              </w:rPr>
              <w:t>50,000,000.00</w:t>
            </w:r>
          </w:p>
        </w:tc>
      </w:tr>
      <w:tr>
        <w:trPr>
          <w:trHeight w:val="281" w:hRule="exact"/>
        </w:trPr>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z w:val="20"/>
                <w:szCs w:val="20"/>
              </w:rPr>
              <w:t>公允价值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0.00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0.00</w:t>
            </w:r>
          </w:p>
        </w:tc>
      </w:tr>
      <w:tr>
        <w:trPr>
          <w:trHeight w:val="852" w:hRule="exact"/>
        </w:trPr>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55"/>
              <w:ind w:left="103" w:right="114"/>
              <w:jc w:val="left"/>
              <w:rPr>
                <w:rFonts w:ascii="宋体" w:hAnsi="宋体" w:cs="宋体" w:eastAsia="宋体" w:hint="default"/>
                <w:sz w:val="20"/>
                <w:szCs w:val="20"/>
              </w:rPr>
            </w:pPr>
            <w:r>
              <w:rPr>
                <w:rFonts w:ascii="宋体" w:hAnsi="宋体" w:cs="宋体" w:eastAsia="宋体" w:hint="default"/>
                <w:sz w:val="20"/>
                <w:szCs w:val="20"/>
              </w:rPr>
              <w:t>累计计入其他综合收益的</w:t>
            </w:r>
            <w:r>
              <w:rPr>
                <w:rFonts w:ascii="宋体" w:hAnsi="宋体" w:cs="宋体" w:eastAsia="宋体" w:hint="default"/>
                <w:w w:val="100"/>
                <w:sz w:val="20"/>
                <w:szCs w:val="20"/>
              </w:rPr>
              <w:t> </w:t>
            </w:r>
            <w:r>
              <w:rPr>
                <w:rFonts w:ascii="宋体" w:hAnsi="宋体" w:cs="宋体" w:eastAsia="宋体" w:hint="default"/>
                <w:sz w:val="20"/>
                <w:szCs w:val="20"/>
              </w:rPr>
              <w:t>公允价值变动金额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102"/>
              <w:jc w:val="right"/>
              <w:rPr>
                <w:rFonts w:ascii="宋体" w:hAnsi="宋体" w:cs="宋体" w:eastAsia="宋体" w:hint="default"/>
                <w:sz w:val="18"/>
                <w:szCs w:val="18"/>
              </w:rPr>
            </w:pPr>
            <w:r>
              <w:rPr>
                <w:rFonts w:ascii="宋体"/>
                <w:sz w:val="18"/>
              </w:rPr>
              <w:t>0.00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101"/>
              <w:jc w:val="right"/>
              <w:rPr>
                <w:rFonts w:ascii="宋体" w:hAnsi="宋体" w:cs="宋体" w:eastAsia="宋体" w:hint="default"/>
                <w:sz w:val="18"/>
                <w:szCs w:val="18"/>
              </w:rPr>
            </w:pPr>
            <w:r>
              <w:rPr>
                <w:rFonts w:ascii="宋体"/>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101"/>
              <w:jc w:val="right"/>
              <w:rPr>
                <w:rFonts w:ascii="宋体" w:hAnsi="宋体" w:cs="宋体" w:eastAsia="宋体" w:hint="default"/>
                <w:sz w:val="18"/>
                <w:szCs w:val="18"/>
              </w:rPr>
            </w:pPr>
            <w:r>
              <w:rPr>
                <w:rFonts w:ascii="宋体"/>
                <w:sz w:val="18"/>
              </w:rPr>
              <w:t>0.00</w:t>
            </w:r>
          </w:p>
        </w:tc>
      </w:tr>
      <w:tr>
        <w:trPr>
          <w:trHeight w:val="491" w:hRule="exact"/>
        </w:trPr>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20"/>
                <w:szCs w:val="20"/>
              </w:rPr>
            </w:pPr>
            <w:r>
              <w:rPr>
                <w:rFonts w:ascii="宋体" w:hAnsi="宋体" w:cs="宋体" w:eastAsia="宋体" w:hint="default"/>
                <w:sz w:val="20"/>
                <w:szCs w:val="20"/>
              </w:rPr>
              <w:t>已计提减值金额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0.00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0.00</w:t>
            </w:r>
          </w:p>
        </w:tc>
      </w:tr>
    </w:tbl>
    <w:p>
      <w:pPr>
        <w:spacing w:line="240" w:lineRule="auto" w:before="1"/>
        <w:rPr>
          <w:rFonts w:ascii="宋体" w:hAnsi="宋体" w:cs="宋体" w:eastAsia="宋体" w:hint="default"/>
          <w:b/>
          <w:bCs/>
          <w:sz w:val="28"/>
          <w:szCs w:val="28"/>
        </w:rPr>
      </w:pPr>
    </w:p>
    <w:p>
      <w:pPr>
        <w:pStyle w:val="Heading2"/>
        <w:spacing w:line="240" w:lineRule="auto"/>
        <w:ind w:left="958" w:right="0"/>
        <w:jc w:val="left"/>
        <w:rPr>
          <w:b w:val="0"/>
          <w:bCs w:val="0"/>
        </w:rPr>
      </w:pPr>
      <w:r>
        <w:rPr>
          <w:rFonts w:ascii="宋体" w:hAnsi="宋体" w:cs="宋体" w:eastAsia="宋体" w:hint="default"/>
        </w:rPr>
        <w:t>(3).</w:t>
      </w:r>
      <w:r>
        <w:rPr>
          <w:rFonts w:ascii="宋体" w:hAnsi="宋体" w:cs="宋体" w:eastAsia="宋体" w:hint="default"/>
          <w:spacing w:val="21"/>
        </w:rPr>
        <w:t> </w:t>
      </w:r>
      <w:r>
        <w:rPr/>
        <w:t>期末按成本计量的可供出售金融资产</w:t>
      </w:r>
      <w:r>
        <w:rPr>
          <w:b w:val="0"/>
          <w:bCs w:val="0"/>
        </w:rPr>
      </w:r>
    </w:p>
    <w:p>
      <w:pPr>
        <w:spacing w:line="240" w:lineRule="auto" w:before="4"/>
        <w:rPr>
          <w:rFonts w:ascii="宋体" w:hAnsi="宋体" w:cs="宋体" w:eastAsia="宋体"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1364"/>
        <w:gridCol w:w="1266"/>
        <w:gridCol w:w="1581"/>
        <w:gridCol w:w="636"/>
        <w:gridCol w:w="1582"/>
        <w:gridCol w:w="636"/>
        <w:gridCol w:w="636"/>
        <w:gridCol w:w="636"/>
        <w:gridCol w:w="636"/>
        <w:gridCol w:w="740"/>
        <w:gridCol w:w="636"/>
      </w:tblGrid>
      <w:tr>
        <w:trPr>
          <w:trHeight w:val="718" w:hRule="exact"/>
        </w:trPr>
        <w:tc>
          <w:tcPr>
            <w:tcW w:w="13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72" w:lineRule="exact"/>
              <w:ind w:left="465" w:right="363" w:hanging="106"/>
              <w:jc w:val="left"/>
              <w:rPr>
                <w:rFonts w:ascii="宋体" w:hAnsi="宋体" w:cs="宋体" w:eastAsia="宋体" w:hint="default"/>
                <w:sz w:val="21"/>
                <w:szCs w:val="21"/>
              </w:rPr>
            </w:pPr>
            <w:r>
              <w:rPr>
                <w:rFonts w:ascii="宋体" w:hAnsi="宋体" w:cs="宋体" w:eastAsia="宋体" w:hint="default"/>
                <w:sz w:val="21"/>
                <w:szCs w:val="21"/>
              </w:rPr>
              <w:t>被投资 单位</w:t>
            </w:r>
          </w:p>
        </w:tc>
        <w:tc>
          <w:tcPr>
            <w:tcW w:w="506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5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95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740" w:type="dxa"/>
            <w:vMerge w:val="restart"/>
            <w:tcBorders>
              <w:top w:val="single" w:sz="4" w:space="0" w:color="000000"/>
              <w:left w:val="single" w:sz="4" w:space="0" w:color="000000"/>
              <w:right w:val="single" w:sz="4" w:space="0" w:color="000000"/>
            </w:tcBorders>
          </w:tcPr>
          <w:p>
            <w:pPr>
              <w:pStyle w:val="TableParagraph"/>
              <w:spacing w:line="242" w:lineRule="exact"/>
              <w:ind w:left="154" w:right="0"/>
              <w:jc w:val="both"/>
              <w:rPr>
                <w:rFonts w:ascii="宋体" w:hAnsi="宋体" w:cs="宋体" w:eastAsia="宋体" w:hint="default"/>
                <w:sz w:val="21"/>
                <w:szCs w:val="21"/>
              </w:rPr>
            </w:pPr>
            <w:r>
              <w:rPr>
                <w:rFonts w:ascii="宋体" w:hAnsi="宋体" w:cs="宋体" w:eastAsia="宋体" w:hint="default"/>
                <w:sz w:val="21"/>
                <w:szCs w:val="21"/>
              </w:rPr>
              <w:t>在被</w:t>
            </w:r>
          </w:p>
          <w:p>
            <w:pPr>
              <w:pStyle w:val="TableParagraph"/>
              <w:spacing w:line="237" w:lineRule="auto" w:before="1"/>
              <w:ind w:left="154" w:right="155"/>
              <w:jc w:val="both"/>
              <w:rPr>
                <w:rFonts w:ascii="宋体" w:hAnsi="宋体" w:cs="宋体" w:eastAsia="宋体" w:hint="default"/>
                <w:sz w:val="21"/>
                <w:szCs w:val="21"/>
              </w:rPr>
            </w:pPr>
            <w:r>
              <w:rPr>
                <w:rFonts w:ascii="宋体" w:hAnsi="宋体" w:cs="宋体" w:eastAsia="宋体" w:hint="default"/>
                <w:sz w:val="21"/>
                <w:szCs w:val="21"/>
              </w:rPr>
              <w:t>投资 单位 持股 比例 </w:t>
            </w:r>
            <w:r>
              <w:rPr>
                <w:rFonts w:ascii="宋体" w:hAnsi="宋体" w:cs="宋体" w:eastAsia="宋体" w:hint="default"/>
                <w:sz w:val="21"/>
                <w:szCs w:val="21"/>
              </w:rPr>
              <w:t>(%)</w:t>
            </w:r>
          </w:p>
        </w:tc>
        <w:tc>
          <w:tcPr>
            <w:tcW w:w="6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2"/>
              <w:ind w:left="103" w:right="101"/>
              <w:jc w:val="both"/>
              <w:rPr>
                <w:rFonts w:ascii="宋体" w:hAnsi="宋体" w:cs="宋体" w:eastAsia="宋体" w:hint="default"/>
                <w:sz w:val="21"/>
                <w:szCs w:val="21"/>
              </w:rPr>
            </w:pPr>
            <w:r>
              <w:rPr>
                <w:rFonts w:ascii="宋体" w:hAnsi="宋体" w:cs="宋体" w:eastAsia="宋体" w:hint="default"/>
                <w:sz w:val="21"/>
                <w:szCs w:val="21"/>
              </w:rPr>
              <w:t>本期 现金 红利</w:t>
            </w:r>
          </w:p>
        </w:tc>
      </w:tr>
      <w:tr>
        <w:trPr>
          <w:trHeight w:val="932" w:hRule="exact"/>
        </w:trPr>
        <w:tc>
          <w:tcPr>
            <w:tcW w:w="1364" w:type="dxa"/>
            <w:vMerge/>
            <w:tcBorders>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left="416"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2" w:lineRule="exact"/>
              <w:ind w:left="574" w:right="574"/>
              <w:jc w:val="center"/>
              <w:rPr>
                <w:rFonts w:ascii="宋体" w:hAnsi="宋体" w:cs="宋体" w:eastAsia="宋体" w:hint="default"/>
                <w:sz w:val="21"/>
                <w:szCs w:val="21"/>
              </w:rPr>
            </w:pPr>
            <w:r>
              <w:rPr>
                <w:rFonts w:ascii="宋体" w:hAnsi="宋体" w:cs="宋体" w:eastAsia="宋体" w:hint="default"/>
                <w:sz w:val="21"/>
                <w:szCs w:val="21"/>
              </w:rPr>
              <w:t>本期 增加</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2" w:lineRule="exact"/>
              <w:ind w:left="103" w:right="101"/>
              <w:jc w:val="left"/>
              <w:rPr>
                <w:rFonts w:ascii="宋体" w:hAnsi="宋体" w:cs="宋体" w:eastAsia="宋体" w:hint="default"/>
                <w:sz w:val="21"/>
                <w:szCs w:val="21"/>
              </w:rPr>
            </w:pPr>
            <w:r>
              <w:rPr>
                <w:rFonts w:ascii="宋体" w:hAnsi="宋体" w:cs="宋体" w:eastAsia="宋体" w:hint="default"/>
                <w:sz w:val="21"/>
                <w:szCs w:val="21"/>
              </w:rPr>
              <w:t>本期 减少</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right="102"/>
              <w:jc w:val="right"/>
              <w:rPr>
                <w:rFonts w:ascii="宋体" w:hAnsi="宋体" w:cs="宋体" w:eastAsia="宋体" w:hint="default"/>
                <w:sz w:val="21"/>
                <w:szCs w:val="21"/>
              </w:rPr>
            </w:pPr>
            <w:r>
              <w:rPr>
                <w:rFonts w:ascii="宋体" w:hAnsi="宋体" w:cs="宋体" w:eastAsia="宋体" w:hint="default"/>
                <w:sz w:val="21"/>
                <w:szCs w:val="21"/>
              </w:rPr>
              <w:t>期初</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2" w:lineRule="exact"/>
              <w:ind w:left="101" w:right="102"/>
              <w:jc w:val="left"/>
              <w:rPr>
                <w:rFonts w:ascii="宋体" w:hAnsi="宋体" w:cs="宋体" w:eastAsia="宋体" w:hint="default"/>
                <w:sz w:val="21"/>
                <w:szCs w:val="21"/>
              </w:rPr>
            </w:pPr>
            <w:r>
              <w:rPr>
                <w:rFonts w:ascii="宋体" w:hAnsi="宋体" w:cs="宋体" w:eastAsia="宋体" w:hint="default"/>
                <w:sz w:val="21"/>
                <w:szCs w:val="21"/>
              </w:rPr>
              <w:t>本期 增加</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2" w:lineRule="exact"/>
              <w:ind w:left="102" w:right="102"/>
              <w:jc w:val="left"/>
              <w:rPr>
                <w:rFonts w:ascii="宋体" w:hAnsi="宋体" w:cs="宋体" w:eastAsia="宋体" w:hint="default"/>
                <w:sz w:val="21"/>
                <w:szCs w:val="21"/>
              </w:rPr>
            </w:pPr>
            <w:r>
              <w:rPr>
                <w:rFonts w:ascii="宋体" w:hAnsi="宋体" w:cs="宋体" w:eastAsia="宋体" w:hint="default"/>
                <w:sz w:val="21"/>
                <w:szCs w:val="21"/>
              </w:rPr>
              <w:t>本期 减少</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740"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r>
      <w:tr>
        <w:trPr>
          <w:trHeight w:val="82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中铁信息计</w:t>
            </w:r>
          </w:p>
          <w:p>
            <w:pPr>
              <w:pStyle w:val="TableParagraph"/>
              <w:spacing w:line="272" w:lineRule="exact" w:before="26"/>
              <w:ind w:left="102" w:right="201"/>
              <w:jc w:val="left"/>
              <w:rPr>
                <w:rFonts w:ascii="宋体" w:hAnsi="宋体" w:cs="宋体" w:eastAsia="宋体" w:hint="default"/>
                <w:sz w:val="21"/>
                <w:szCs w:val="21"/>
              </w:rPr>
            </w:pPr>
            <w:r>
              <w:rPr>
                <w:rFonts w:ascii="宋体" w:hAnsi="宋体" w:cs="宋体" w:eastAsia="宋体" w:hint="default"/>
                <w:sz w:val="21"/>
                <w:szCs w:val="21"/>
              </w:rPr>
              <w:t>算机工程有 限责任公司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300,000.00</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300,000.00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sz w:val="21"/>
              </w:rPr>
              <w:t>0.60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r>
      <w:tr>
        <w:trPr>
          <w:trHeight w:val="82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镇江东方康</w:t>
            </w:r>
          </w:p>
          <w:p>
            <w:pPr>
              <w:pStyle w:val="TableParagraph"/>
              <w:spacing w:line="272" w:lineRule="exact" w:before="26"/>
              <w:ind w:left="102" w:right="201"/>
              <w:jc w:val="left"/>
              <w:rPr>
                <w:rFonts w:ascii="宋体" w:hAnsi="宋体" w:cs="宋体" w:eastAsia="宋体" w:hint="default"/>
                <w:sz w:val="21"/>
                <w:szCs w:val="21"/>
              </w:rPr>
            </w:pPr>
            <w:r>
              <w:rPr>
                <w:rFonts w:ascii="宋体" w:hAnsi="宋体" w:cs="宋体" w:eastAsia="宋体" w:hint="default"/>
                <w:sz w:val="21"/>
                <w:szCs w:val="21"/>
              </w:rPr>
              <w:t>驰电机制造 有限公司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10,500,000.00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10,500,000.00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26.25</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r>
      <w:tr>
        <w:trPr>
          <w:trHeight w:val="82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北京华创朗</w:t>
            </w:r>
          </w:p>
          <w:p>
            <w:pPr>
              <w:pStyle w:val="TableParagraph"/>
              <w:spacing w:line="272" w:lineRule="exact" w:before="26"/>
              <w:ind w:left="102" w:right="201"/>
              <w:jc w:val="left"/>
              <w:rPr>
                <w:rFonts w:ascii="宋体" w:hAnsi="宋体" w:cs="宋体" w:eastAsia="宋体" w:hint="default"/>
                <w:sz w:val="21"/>
                <w:szCs w:val="21"/>
              </w:rPr>
            </w:pPr>
            <w:r>
              <w:rPr>
                <w:rFonts w:ascii="宋体" w:hAnsi="宋体" w:cs="宋体" w:eastAsia="宋体" w:hint="default"/>
                <w:sz w:val="21"/>
                <w:szCs w:val="21"/>
              </w:rPr>
              <w:t>润环境科技 有限公</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0.00</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5,000,000.00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5,000,000.00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r>
      <w:tr>
        <w:trPr>
          <w:trHeight w:val="1100"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both"/>
              <w:rPr>
                <w:rFonts w:ascii="宋体" w:hAnsi="宋体" w:cs="宋体" w:eastAsia="宋体" w:hint="default"/>
                <w:sz w:val="21"/>
                <w:szCs w:val="21"/>
              </w:rPr>
            </w:pPr>
            <w:r>
              <w:rPr>
                <w:rFonts w:ascii="宋体" w:hAnsi="宋体" w:cs="宋体" w:eastAsia="宋体" w:hint="default"/>
                <w:sz w:val="21"/>
                <w:szCs w:val="21"/>
              </w:rPr>
              <w:t>中恒瑞景</w:t>
            </w:r>
          </w:p>
          <w:p>
            <w:pPr>
              <w:pStyle w:val="TableParagraph"/>
              <w:spacing w:line="272" w:lineRule="exact" w:before="26"/>
              <w:ind w:left="102" w:right="201"/>
              <w:jc w:val="both"/>
              <w:rPr>
                <w:rFonts w:ascii="宋体" w:hAnsi="宋体" w:cs="宋体" w:eastAsia="宋体" w:hint="default"/>
                <w:sz w:val="21"/>
                <w:szCs w:val="21"/>
              </w:rPr>
            </w:pPr>
            <w:r>
              <w:rPr>
                <w:rFonts w:ascii="宋体" w:hAnsi="宋体" w:cs="宋体" w:eastAsia="宋体" w:hint="default"/>
                <w:sz w:val="21"/>
                <w:szCs w:val="21"/>
              </w:rPr>
              <w:t>（北京）生 态科技有限 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0.00</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1,000,000.00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1,000,000.00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9.09</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r>
    </w:tbl>
    <w:p>
      <w:pPr>
        <w:spacing w:after="0" w:line="241" w:lineRule="exact"/>
        <w:jc w:val="right"/>
        <w:rPr>
          <w:rFonts w:ascii="宋体" w:hAnsi="宋体" w:cs="宋体" w:eastAsia="宋体" w:hint="default"/>
          <w:sz w:val="21"/>
          <w:szCs w:val="21"/>
        </w:rPr>
        <w:sectPr>
          <w:type w:val="continuous"/>
          <w:pgSz w:w="11910" w:h="16840"/>
          <w:pgMar w:top="1080" w:bottom="1380" w:left="840" w:right="50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681" w:type="dxa"/>
        <w:tblLayout w:type="fixed"/>
        <w:tblCellMar>
          <w:top w:w="0" w:type="dxa"/>
          <w:left w:w="0" w:type="dxa"/>
          <w:bottom w:w="0" w:type="dxa"/>
          <w:right w:w="0" w:type="dxa"/>
        </w:tblCellMar>
        <w:tblLook w:val="01E0"/>
      </w:tblPr>
      <w:tblGrid>
        <w:gridCol w:w="1364"/>
        <w:gridCol w:w="1266"/>
        <w:gridCol w:w="1581"/>
        <w:gridCol w:w="636"/>
        <w:gridCol w:w="1582"/>
        <w:gridCol w:w="636"/>
        <w:gridCol w:w="636"/>
        <w:gridCol w:w="636"/>
        <w:gridCol w:w="636"/>
        <w:gridCol w:w="740"/>
        <w:gridCol w:w="636"/>
      </w:tblGrid>
      <w:tr>
        <w:trPr>
          <w:trHeight w:val="1099"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北京楚祥恒</w:t>
            </w:r>
          </w:p>
          <w:p>
            <w:pPr>
              <w:pStyle w:val="TableParagraph"/>
              <w:spacing w:line="272" w:lineRule="exact"/>
              <w:ind w:left="102" w:right="0"/>
              <w:jc w:val="left"/>
              <w:rPr>
                <w:rFonts w:ascii="宋体" w:hAnsi="宋体" w:cs="宋体" w:eastAsia="宋体" w:hint="default"/>
                <w:sz w:val="21"/>
                <w:szCs w:val="21"/>
              </w:rPr>
            </w:pPr>
            <w:r>
              <w:rPr>
                <w:rFonts w:ascii="宋体" w:hAnsi="宋体" w:cs="宋体" w:eastAsia="宋体" w:hint="default"/>
                <w:sz w:val="21"/>
                <w:szCs w:val="21"/>
              </w:rPr>
              <w:t>通投资中心</w:t>
            </w:r>
          </w:p>
          <w:p>
            <w:pPr>
              <w:pStyle w:val="TableParagraph"/>
              <w:spacing w:line="272" w:lineRule="exact" w:before="26"/>
              <w:ind w:left="102" w:right="411"/>
              <w:jc w:val="left"/>
              <w:rPr>
                <w:rFonts w:ascii="宋体" w:hAnsi="宋体" w:cs="宋体" w:eastAsia="宋体" w:hint="default"/>
                <w:sz w:val="21"/>
                <w:szCs w:val="21"/>
              </w:rPr>
            </w:pPr>
            <w:r>
              <w:rPr>
                <w:rFonts w:ascii="宋体" w:hAnsi="宋体" w:cs="宋体" w:eastAsia="宋体" w:hint="default"/>
                <w:sz w:val="21"/>
                <w:szCs w:val="21"/>
              </w:rPr>
              <w:t>（有限合 伙）</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500,000.00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500,000.00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sz w:val="21"/>
              </w:rPr>
              <w:t>0.12</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r>
      <w:tr>
        <w:trPr>
          <w:trHeight w:val="82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z w:val="21"/>
                <w:szCs w:val="21"/>
              </w:rPr>
              <w:t>中天智慧城</w:t>
            </w:r>
          </w:p>
          <w:p>
            <w:pPr>
              <w:pStyle w:val="TableParagraph"/>
              <w:spacing w:line="272" w:lineRule="exact" w:before="26"/>
              <w:ind w:left="102" w:right="201"/>
              <w:jc w:val="left"/>
              <w:rPr>
                <w:rFonts w:ascii="宋体" w:hAnsi="宋体" w:cs="宋体" w:eastAsia="宋体" w:hint="default"/>
                <w:sz w:val="21"/>
                <w:szCs w:val="21"/>
              </w:rPr>
            </w:pPr>
            <w:r>
              <w:rPr>
                <w:rFonts w:ascii="宋体" w:hAnsi="宋体" w:cs="宋体" w:eastAsia="宋体" w:hint="default"/>
                <w:sz w:val="21"/>
                <w:szCs w:val="21"/>
              </w:rPr>
              <w:t>市投资股份 有限公司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sz w:val="21"/>
              </w:rPr>
              <w:t>0.20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r>
      <w:tr>
        <w:trPr>
          <w:trHeight w:val="289"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300,000.00</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17,100,000.00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17,400,000.00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r>
    </w:tbl>
    <w:p>
      <w:pPr>
        <w:pStyle w:val="BodyText"/>
        <w:spacing w:line="240" w:lineRule="auto" w:before="81"/>
        <w:ind w:left="1538" w:right="0"/>
        <w:jc w:val="both"/>
      </w:pPr>
      <w:r>
        <w:rPr/>
        <w:t>说明：</w:t>
      </w:r>
    </w:p>
    <w:p>
      <w:pPr>
        <w:pStyle w:val="BodyText"/>
        <w:spacing w:line="310" w:lineRule="exact" w:before="150"/>
        <w:ind w:left="1538" w:right="1154"/>
        <w:jc w:val="both"/>
      </w:pPr>
      <w:r>
        <w:rPr>
          <w:spacing w:val="-2"/>
        </w:rPr>
        <w:t>①上述被投资单位为非上市公司，目前不存在活跃的权益交易市场，同时相关财务信</w:t>
      </w:r>
      <w:r>
        <w:rPr>
          <w:spacing w:val="-94"/>
        </w:rPr>
        <w:t> </w:t>
      </w:r>
      <w:r>
        <w:rPr>
          <w:spacing w:val="-94"/>
        </w:rPr>
      </w:r>
      <w:r>
        <w:rPr>
          <w:spacing w:val="-2"/>
        </w:rPr>
        <w:t>息和市场信息的获取不具备持续性和及时性，公允价值无法可靠计量。此类金融资产</w:t>
      </w:r>
      <w:r>
        <w:rPr>
          <w:spacing w:val="-94"/>
        </w:rPr>
        <w:t> </w:t>
      </w:r>
      <w:r>
        <w:rPr>
          <w:spacing w:val="-94"/>
        </w:rPr>
      </w:r>
      <w:r>
        <w:rPr/>
        <w:t>按成本法计量。</w:t>
      </w:r>
    </w:p>
    <w:p>
      <w:pPr>
        <w:pStyle w:val="BodyText"/>
        <w:spacing w:line="310" w:lineRule="exact" w:before="122"/>
        <w:ind w:left="1538" w:right="1152"/>
        <w:jc w:val="both"/>
      </w:pPr>
      <w:r>
        <w:rPr>
          <w:spacing w:val="-2"/>
        </w:rPr>
        <w:t>②本集团对镇江东方康驰电机制造有限公司没有实质重大影响，故计入可供出售金融</w:t>
      </w:r>
      <w:r>
        <w:rPr>
          <w:spacing w:val="-93"/>
        </w:rPr>
        <w:t> </w:t>
      </w:r>
      <w:r>
        <w:rPr>
          <w:spacing w:val="-93"/>
        </w:rPr>
      </w:r>
      <w:r>
        <w:rPr/>
        <w:t>资产核算。</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260" w:right="120"/>
        </w:sectPr>
      </w:pPr>
    </w:p>
    <w:p>
      <w:pPr>
        <w:pStyle w:val="Heading2"/>
        <w:spacing w:line="240" w:lineRule="auto" w:before="160"/>
        <w:ind w:left="1538" w:right="-13"/>
        <w:jc w:val="left"/>
        <w:rPr>
          <w:b w:val="0"/>
          <w:bCs w:val="0"/>
        </w:rPr>
      </w:pPr>
      <w:r>
        <w:rPr>
          <w:rFonts w:ascii="宋体" w:hAnsi="宋体" w:cs="宋体" w:eastAsia="宋体" w:hint="default"/>
        </w:rPr>
        <w:t>11</w:t>
      </w:r>
      <w:r>
        <w:rPr/>
        <w:t>、</w:t>
      </w:r>
      <w:r>
        <w:rPr>
          <w:spacing w:val="-101"/>
        </w:rPr>
        <w:t> </w:t>
      </w:r>
      <w:r>
        <w:rPr/>
        <w:t>长期应收款</w:t>
      </w:r>
      <w:r>
        <w:rPr>
          <w:b w:val="0"/>
          <w:bCs w:val="0"/>
        </w:rPr>
      </w:r>
    </w:p>
    <w:p>
      <w:pPr>
        <w:pStyle w:val="Heading2"/>
        <w:spacing w:line="240" w:lineRule="auto" w:before="56"/>
        <w:ind w:left="1538" w:right="-13"/>
        <w:jc w:val="left"/>
        <w:rPr>
          <w:b w:val="0"/>
          <w:bCs w:val="0"/>
        </w:rPr>
      </w:pPr>
      <w:r>
        <w:rPr>
          <w:rFonts w:ascii="宋体" w:hAnsi="宋体" w:cs="宋体" w:eastAsia="宋体" w:hint="default"/>
        </w:rPr>
        <w:t>(1)</w:t>
      </w:r>
      <w:r>
        <w:rPr>
          <w:rFonts w:ascii="宋体" w:hAnsi="宋体" w:cs="宋体" w:eastAsia="宋体" w:hint="default"/>
          <w:spacing w:val="-68"/>
        </w:rPr>
        <w:t> </w:t>
      </w:r>
      <w:r>
        <w:rPr/>
        <w:t>长期应收款情况：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9"/>
          <w:szCs w:val="29"/>
        </w:rPr>
      </w:pPr>
    </w:p>
    <w:p>
      <w:pPr>
        <w:tabs>
          <w:tab w:pos="2587" w:val="left" w:leader="none"/>
        </w:tabs>
        <w:spacing w:before="0"/>
        <w:ind w:left="153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260" w:right="120"/>
          <w:cols w:num="2" w:equalWidth="0">
            <w:col w:w="3889" w:space="2635"/>
            <w:col w:w="5006"/>
          </w:cols>
        </w:sectPr>
      </w:pPr>
    </w:p>
    <w:p>
      <w:pPr>
        <w:spacing w:line="240" w:lineRule="auto" w:before="7"/>
        <w:rPr>
          <w:rFonts w:ascii="宋体" w:hAnsi="宋体" w:cs="宋体" w:eastAsia="宋体" w:hint="default"/>
          <w:sz w:val="2"/>
          <w:szCs w:val="2"/>
        </w:rPr>
      </w:pPr>
    </w:p>
    <w:tbl>
      <w:tblPr>
        <w:tblW w:w="0" w:type="auto"/>
        <w:jc w:val="left"/>
        <w:tblInd w:w="1422" w:type="dxa"/>
        <w:tblLayout w:type="fixed"/>
        <w:tblCellMar>
          <w:top w:w="0" w:type="dxa"/>
          <w:left w:w="0" w:type="dxa"/>
          <w:bottom w:w="0" w:type="dxa"/>
          <w:right w:w="0" w:type="dxa"/>
        </w:tblCellMar>
        <w:tblLook w:val="01E0"/>
      </w:tblPr>
      <w:tblGrid>
        <w:gridCol w:w="1234"/>
        <w:gridCol w:w="1321"/>
        <w:gridCol w:w="964"/>
        <w:gridCol w:w="1321"/>
        <w:gridCol w:w="1322"/>
        <w:gridCol w:w="423"/>
        <w:gridCol w:w="1322"/>
        <w:gridCol w:w="1142"/>
      </w:tblGrid>
      <w:tr>
        <w:trPr>
          <w:trHeight w:val="246" w:hRule="exact"/>
        </w:trPr>
        <w:tc>
          <w:tcPr>
            <w:tcW w:w="123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06" w:type="dxa"/>
            <w:gridSpan w:val="3"/>
            <w:tcBorders>
              <w:top w:val="single" w:sz="4" w:space="0" w:color="000000"/>
              <w:left w:val="single" w:sz="4" w:space="0" w:color="000000"/>
              <w:bottom w:val="single" w:sz="6"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68" w:type="dxa"/>
            <w:gridSpan w:val="3"/>
            <w:tcBorders>
              <w:top w:val="single" w:sz="4" w:space="0" w:color="000000"/>
              <w:left w:val="single" w:sz="4" w:space="0" w:color="000000"/>
              <w:bottom w:val="single" w:sz="6"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4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82" w:hRule="exact"/>
        </w:trPr>
        <w:tc>
          <w:tcPr>
            <w:tcW w:w="1234" w:type="dxa"/>
            <w:vMerge/>
            <w:tcBorders>
              <w:left w:val="single" w:sz="4" w:space="0" w:color="000000"/>
              <w:bottom w:val="single" w:sz="6" w:space="0" w:color="000000"/>
              <w:right w:val="single" w:sz="4" w:space="0" w:color="000000"/>
            </w:tcBorders>
          </w:tcPr>
          <w:p>
            <w:pPr/>
          </w:p>
        </w:tc>
        <w:tc>
          <w:tcPr>
            <w:tcW w:w="132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1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4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坏账</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32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left="29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42" w:type="dxa"/>
            <w:vMerge/>
            <w:tcBorders>
              <w:left w:val="single" w:sz="4" w:space="0" w:color="000000"/>
              <w:bottom w:val="single" w:sz="6" w:space="0" w:color="000000"/>
              <w:right w:val="single" w:sz="4" w:space="0" w:color="000000"/>
            </w:tcBorders>
          </w:tcPr>
          <w:p>
            <w:pPr/>
          </w:p>
        </w:tc>
      </w:tr>
      <w:tr>
        <w:trPr>
          <w:trHeight w:val="249" w:hRule="exact"/>
        </w:trPr>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996,040,433.73</w:t>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z w:val="18"/>
              </w:rPr>
              <w:t>232,167.10</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995,808,266.63</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617,908,975.86</w:t>
            </w:r>
          </w:p>
        </w:tc>
        <w:tc>
          <w:tcPr>
            <w:tcW w:w="4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0.00</w:t>
            </w:r>
          </w:p>
        </w:tc>
        <w:tc>
          <w:tcPr>
            <w:tcW w:w="132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617,908,975.86</w:t>
            </w:r>
          </w:p>
        </w:tc>
        <w:tc>
          <w:tcPr>
            <w:tcW w:w="1142" w:type="dxa"/>
            <w:tcBorders>
              <w:top w:val="single" w:sz="6" w:space="0" w:color="000000"/>
              <w:left w:val="single" w:sz="4" w:space="0" w:color="000000"/>
              <w:bottom w:val="single" w:sz="6" w:space="0" w:color="000000"/>
              <w:right w:val="single" w:sz="6" w:space="0" w:color="000000"/>
            </w:tcBorders>
          </w:tcPr>
          <w:p>
            <w:pPr/>
          </w:p>
        </w:tc>
      </w:tr>
      <w:tr>
        <w:trPr>
          <w:trHeight w:val="481" w:hRule="exact"/>
        </w:trPr>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89"/>
                <w:sz w:val="18"/>
                <w:szCs w:val="18"/>
              </w:rPr>
              <w:t>：</w:t>
            </w:r>
            <w:r>
              <w:rPr>
                <w:rFonts w:ascii="宋体" w:hAnsi="宋体" w:cs="宋体" w:eastAsia="宋体" w:hint="default"/>
                <w:sz w:val="18"/>
                <w:szCs w:val="18"/>
              </w:rPr>
              <w:t>未实现</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融资收益</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108,753,746.67</w:t>
            </w:r>
          </w:p>
        </w:tc>
        <w:tc>
          <w:tcPr>
            <w:tcW w:w="964"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108,753,746.67</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64,662,395.20</w:t>
            </w:r>
          </w:p>
        </w:tc>
        <w:tc>
          <w:tcPr>
            <w:tcW w:w="4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0.00</w:t>
            </w:r>
          </w:p>
        </w:tc>
        <w:tc>
          <w:tcPr>
            <w:tcW w:w="132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64,662,395.20</w:t>
            </w:r>
          </w:p>
        </w:tc>
        <w:tc>
          <w:tcPr>
            <w:tcW w:w="114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1.75%~15.00%</w:t>
            </w:r>
          </w:p>
        </w:tc>
      </w:tr>
      <w:tr>
        <w:trPr>
          <w:trHeight w:val="248" w:hRule="exact"/>
        </w:trPr>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887,286,687.06</w:t>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2"/>
              <w:jc w:val="right"/>
              <w:rPr>
                <w:rFonts w:ascii="宋体" w:hAnsi="宋体" w:cs="宋体" w:eastAsia="宋体" w:hint="default"/>
                <w:sz w:val="18"/>
                <w:szCs w:val="18"/>
              </w:rPr>
            </w:pPr>
            <w:r>
              <w:rPr>
                <w:rFonts w:ascii="宋体"/>
                <w:sz w:val="18"/>
              </w:rPr>
              <w:t>232,167.10</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887,054,519.96</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553,246,580.66</w:t>
            </w:r>
          </w:p>
        </w:tc>
        <w:tc>
          <w:tcPr>
            <w:tcW w:w="42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0.00</w:t>
            </w:r>
          </w:p>
        </w:tc>
        <w:tc>
          <w:tcPr>
            <w:tcW w:w="1322"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553,246,580.66</w:t>
            </w:r>
          </w:p>
        </w:tc>
        <w:tc>
          <w:tcPr>
            <w:tcW w:w="1142" w:type="dxa"/>
            <w:tcBorders>
              <w:top w:val="single" w:sz="6" w:space="0" w:color="000000"/>
              <w:left w:val="single" w:sz="4" w:space="0" w:color="000000"/>
              <w:bottom w:val="single" w:sz="6" w:space="0" w:color="000000"/>
              <w:right w:val="single" w:sz="6" w:space="0" w:color="000000"/>
            </w:tcBorders>
          </w:tcPr>
          <w:p>
            <w:pPr/>
          </w:p>
        </w:tc>
      </w:tr>
      <w:tr>
        <w:trPr>
          <w:trHeight w:val="482" w:hRule="exact"/>
        </w:trPr>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15"/>
                <w:sz w:val="18"/>
                <w:szCs w:val="18"/>
              </w:rPr>
              <w:t>减：</w:t>
            </w:r>
            <w:r>
              <w:rPr>
                <w:rFonts w:ascii="宋体" w:hAnsi="宋体" w:cs="宋体" w:eastAsia="宋体" w:hint="default"/>
                <w:spacing w:val="-15"/>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年内到期</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的长期应收款</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301,382,910.51</w:t>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2"/>
              <w:jc w:val="right"/>
              <w:rPr>
                <w:rFonts w:ascii="宋体" w:hAnsi="宋体" w:cs="宋体" w:eastAsia="宋体" w:hint="default"/>
                <w:sz w:val="18"/>
                <w:szCs w:val="18"/>
              </w:rPr>
            </w:pPr>
            <w:r>
              <w:rPr>
                <w:rFonts w:ascii="宋体"/>
                <w:sz w:val="18"/>
              </w:rPr>
              <w:t>232,167.10</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301,150,743.41</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231,365,636.64</w:t>
            </w:r>
          </w:p>
        </w:tc>
        <w:tc>
          <w:tcPr>
            <w:tcW w:w="42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0.00</w:t>
            </w:r>
          </w:p>
        </w:tc>
        <w:tc>
          <w:tcPr>
            <w:tcW w:w="1322"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231,365,636.64</w:t>
            </w:r>
          </w:p>
        </w:tc>
        <w:tc>
          <w:tcPr>
            <w:tcW w:w="1142" w:type="dxa"/>
            <w:tcBorders>
              <w:top w:val="single" w:sz="6" w:space="0" w:color="000000"/>
              <w:left w:val="single" w:sz="4" w:space="0" w:color="000000"/>
              <w:bottom w:val="single" w:sz="6" w:space="0" w:color="000000"/>
              <w:right w:val="single" w:sz="6" w:space="0" w:color="000000"/>
            </w:tcBorders>
          </w:tcPr>
          <w:p>
            <w:pPr/>
          </w:p>
        </w:tc>
      </w:tr>
      <w:tr>
        <w:trPr>
          <w:trHeight w:val="248" w:hRule="exact"/>
        </w:trPr>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585,903,776.55</w:t>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585,903,776.55</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321,880,944.02</w:t>
            </w:r>
          </w:p>
        </w:tc>
        <w:tc>
          <w:tcPr>
            <w:tcW w:w="4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0.00</w:t>
            </w:r>
          </w:p>
        </w:tc>
        <w:tc>
          <w:tcPr>
            <w:tcW w:w="132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321,880,944.02</w:t>
            </w:r>
          </w:p>
        </w:tc>
        <w:tc>
          <w:tcPr>
            <w:tcW w:w="114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w:t>
            </w:r>
          </w:p>
        </w:tc>
      </w:tr>
    </w:tbl>
    <w:p>
      <w:pPr>
        <w:pStyle w:val="BodyText"/>
        <w:spacing w:line="240" w:lineRule="auto" w:before="81"/>
        <w:ind w:left="1538" w:right="2408"/>
        <w:jc w:val="left"/>
      </w:pPr>
      <w:r>
        <w:rPr/>
        <w:t>（</w:t>
      </w:r>
      <w:r>
        <w:rPr>
          <w:rFonts w:ascii="宋体" w:hAnsi="宋体" w:cs="宋体" w:eastAsia="宋体" w:hint="default"/>
        </w:rPr>
        <w:t>2</w:t>
      </w:r>
      <w:r>
        <w:rPr/>
        <w:t>）长期应收款逾期情况分析：</w:t>
      </w:r>
    </w:p>
    <w:p>
      <w:pPr>
        <w:spacing w:line="240" w:lineRule="auto" w:before="0"/>
        <w:rPr>
          <w:rFonts w:ascii="宋体" w:hAnsi="宋体" w:cs="宋体" w:eastAsia="宋体" w:hint="default"/>
          <w:sz w:val="12"/>
          <w:szCs w:val="12"/>
        </w:rPr>
      </w:pPr>
    </w:p>
    <w:p>
      <w:pPr>
        <w:spacing w:line="20" w:lineRule="exact"/>
        <w:ind w:left="1243" w:right="0" w:firstLine="0"/>
        <w:rPr>
          <w:rFonts w:ascii="宋体" w:hAnsi="宋体" w:cs="宋体" w:eastAsia="宋体" w:hint="default"/>
          <w:sz w:val="2"/>
          <w:szCs w:val="2"/>
        </w:rPr>
      </w:pPr>
      <w:r>
        <w:rPr>
          <w:rFonts w:ascii="宋体" w:hAnsi="宋体" w:cs="宋体" w:eastAsia="宋体" w:hint="default"/>
          <w:sz w:val="2"/>
          <w:szCs w:val="2"/>
        </w:rPr>
        <w:pict>
          <v:group style="width:448.5pt;height:1pt;mso-position-horizontal-relative:char;mso-position-vertical-relative:line" coordorigin="0,0" coordsize="8970,20">
            <v:group style="position:absolute;left:10;top:10;width:2144;height:2" coordorigin="10,10" coordsize="2144,2">
              <v:shape style="position:absolute;left:10;top:10;width:2144;height:2" coordorigin="10,10" coordsize="2144,0" path="m10,10l2153,10e" filled="false" stroked="true" strokeweight=".96002pt" strokecolor="#000000">
                <v:path arrowok="t"/>
              </v:shape>
            </v:group>
            <v:group style="position:absolute;left:2153;top:10;width:20;height:2" coordorigin="2153,10" coordsize="20,2">
              <v:shape style="position:absolute;left:2153;top:10;width:20;height:2" coordorigin="2153,10" coordsize="20,0" path="m2153,10l2172,10e" filled="false" stroked="true" strokeweight=".96002pt" strokecolor="#000000">
                <v:path arrowok="t"/>
              </v:shape>
            </v:group>
            <v:group style="position:absolute;left:2172;top:10;width:3397;height:2" coordorigin="2172,10" coordsize="3397,2">
              <v:shape style="position:absolute;left:2172;top:10;width:3397;height:2" coordorigin="2172,10" coordsize="3397,0" path="m2172,10l5569,10e" filled="false" stroked="true" strokeweight=".96002pt" strokecolor="#000000">
                <v:path arrowok="t"/>
              </v:shape>
            </v:group>
            <v:group style="position:absolute;left:5569;top:10;width:20;height:2" coordorigin="5569,10" coordsize="20,2">
              <v:shape style="position:absolute;left:5569;top:10;width:20;height:2" coordorigin="5569,10" coordsize="20,0" path="m5569,10l5588,10e" filled="false" stroked="true" strokeweight=".96002pt" strokecolor="#000000">
                <v:path arrowok="t"/>
              </v:shape>
            </v:group>
            <v:group style="position:absolute;left:5588;top:10;width:3373;height:2" coordorigin="5588,10" coordsize="3373,2">
              <v:shape style="position:absolute;left:5588;top:10;width:3373;height:2" coordorigin="5588,10" coordsize="3373,0" path="m5588,10l8960,10e" filled="false" stroked="true" strokeweight=".96002pt" strokecolor="#000000">
                <v:path arrowok="t"/>
              </v:shape>
            </v:group>
          </v:group>
        </w:pict>
      </w:r>
      <w:r>
        <w:rPr>
          <w:rFonts w:ascii="宋体" w:hAnsi="宋体" w:cs="宋体" w:eastAsia="宋体" w:hint="default"/>
          <w:sz w:val="2"/>
          <w:szCs w:val="2"/>
        </w:rPr>
      </w:r>
    </w:p>
    <w:p>
      <w:pPr>
        <w:tabs>
          <w:tab w:pos="8190" w:val="left" w:leader="none"/>
        </w:tabs>
        <w:spacing w:before="26"/>
        <w:ind w:left="4788" w:right="2408" w:firstLine="0"/>
        <w:jc w:val="left"/>
        <w:rPr>
          <w:rFonts w:ascii="宋体" w:hAnsi="宋体" w:cs="宋体" w:eastAsia="宋体" w:hint="default"/>
          <w:sz w:val="21"/>
          <w:szCs w:val="21"/>
        </w:rPr>
      </w:pPr>
      <w:r>
        <w:rPr>
          <w:rFonts w:ascii="宋体" w:hAnsi="宋体" w:cs="宋体" w:eastAsia="宋体" w:hint="default"/>
          <w:b/>
          <w:bCs/>
          <w:w w:val="95"/>
          <w:sz w:val="21"/>
          <w:szCs w:val="21"/>
        </w:rPr>
        <w:t>期末数</w:t>
        <w:tab/>
      </w:r>
      <w:r>
        <w:rPr>
          <w:rFonts w:ascii="宋体" w:hAnsi="宋体" w:cs="宋体" w:eastAsia="宋体" w:hint="default"/>
          <w:b/>
          <w:bCs/>
          <w:sz w:val="21"/>
          <w:szCs w:val="21"/>
        </w:rPr>
        <w:t>期初数</w:t>
      </w:r>
      <w:r>
        <w:rPr>
          <w:rFonts w:ascii="宋体" w:hAnsi="宋体" w:cs="宋体" w:eastAsia="宋体" w:hint="default"/>
          <w:sz w:val="21"/>
          <w:szCs w:val="21"/>
        </w:rPr>
      </w:r>
    </w:p>
    <w:tbl>
      <w:tblPr>
        <w:tblW w:w="0" w:type="auto"/>
        <w:jc w:val="left"/>
        <w:tblInd w:w="1253" w:type="dxa"/>
        <w:tblLayout w:type="fixed"/>
        <w:tblCellMar>
          <w:top w:w="0" w:type="dxa"/>
          <w:left w:w="0" w:type="dxa"/>
          <w:bottom w:w="0" w:type="dxa"/>
          <w:right w:w="0" w:type="dxa"/>
        </w:tblCellMar>
        <w:tblLook w:val="01E0"/>
      </w:tblPr>
      <w:tblGrid>
        <w:gridCol w:w="1925"/>
        <w:gridCol w:w="2302"/>
        <w:gridCol w:w="1478"/>
        <w:gridCol w:w="1903"/>
        <w:gridCol w:w="1342"/>
      </w:tblGrid>
      <w:tr>
        <w:trPr>
          <w:trHeight w:val="508" w:hRule="exact"/>
        </w:trPr>
        <w:tc>
          <w:tcPr>
            <w:tcW w:w="1925" w:type="dxa"/>
            <w:tcBorders>
              <w:top w:val="nil" w:sz="6" w:space="0" w:color="auto"/>
              <w:left w:val="nil" w:sz="6" w:space="0" w:color="auto"/>
              <w:bottom w:val="single" w:sz="4" w:space="0" w:color="000000"/>
              <w:right w:val="nil" w:sz="6" w:space="0" w:color="auto"/>
            </w:tcBorders>
          </w:tcPr>
          <w:p>
            <w:pPr>
              <w:pStyle w:val="TableParagraph"/>
              <w:spacing w:line="199" w:lineRule="exact"/>
              <w:ind w:left="108" w:right="0"/>
              <w:jc w:val="left"/>
              <w:rPr>
                <w:rFonts w:ascii="宋体" w:hAnsi="宋体" w:cs="宋体" w:eastAsia="宋体" w:hint="default"/>
                <w:sz w:val="21"/>
                <w:szCs w:val="21"/>
              </w:rPr>
            </w:pPr>
            <w:r>
              <w:rPr>
                <w:rFonts w:ascii="宋体" w:hAnsi="宋体" w:cs="宋体" w:eastAsia="宋体" w:hint="default"/>
                <w:b/>
                <w:bCs/>
                <w:sz w:val="21"/>
                <w:szCs w:val="21"/>
              </w:rPr>
              <w:t>逾期及延期</w:t>
            </w:r>
            <w:r>
              <w:rPr>
                <w:rFonts w:ascii="宋体" w:hAnsi="宋体" w:cs="宋体" w:eastAsia="宋体" w:hint="default"/>
                <w:sz w:val="21"/>
                <w:szCs w:val="21"/>
              </w:rPr>
            </w:r>
          </w:p>
        </w:tc>
        <w:tc>
          <w:tcPr>
            <w:tcW w:w="2302"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right="171"/>
              <w:jc w:val="righ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478"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right="251"/>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903"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right="388"/>
              <w:jc w:val="righ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342"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right="104"/>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413" w:hRule="exact"/>
        </w:trPr>
        <w:tc>
          <w:tcPr>
            <w:tcW w:w="1925" w:type="dxa"/>
            <w:tcBorders>
              <w:top w:val="single" w:sz="4" w:space="0" w:color="000000"/>
              <w:left w:val="nil" w:sz="6" w:space="0" w:color="auto"/>
              <w:bottom w:val="single" w:sz="8" w:space="0" w:color="000000"/>
              <w:right w:val="nil" w:sz="6" w:space="0" w:color="auto"/>
            </w:tcBorders>
          </w:tcPr>
          <w:p>
            <w:pPr>
              <w:pStyle w:val="TableParagraph"/>
              <w:spacing w:line="240" w:lineRule="auto" w:before="16"/>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302" w:type="dxa"/>
            <w:tcBorders>
              <w:top w:val="single" w:sz="4" w:space="0" w:color="000000"/>
              <w:left w:val="nil" w:sz="6" w:space="0" w:color="auto"/>
              <w:bottom w:val="single" w:sz="8" w:space="0" w:color="000000"/>
              <w:right w:val="nil" w:sz="6" w:space="0" w:color="auto"/>
            </w:tcBorders>
          </w:tcPr>
          <w:p>
            <w:pPr>
              <w:pStyle w:val="TableParagraph"/>
              <w:spacing w:line="240" w:lineRule="auto" w:before="16"/>
              <w:ind w:right="172"/>
              <w:jc w:val="right"/>
              <w:rPr>
                <w:rFonts w:ascii="宋体" w:hAnsi="宋体" w:cs="宋体" w:eastAsia="宋体" w:hint="default"/>
                <w:sz w:val="21"/>
                <w:szCs w:val="21"/>
              </w:rPr>
            </w:pPr>
            <w:r>
              <w:rPr>
                <w:rFonts w:ascii="宋体"/>
                <w:sz w:val="21"/>
              </w:rPr>
              <w:t>24,153,741.03</w:t>
            </w:r>
          </w:p>
        </w:tc>
        <w:tc>
          <w:tcPr>
            <w:tcW w:w="1478" w:type="dxa"/>
            <w:tcBorders>
              <w:top w:val="single" w:sz="4" w:space="0" w:color="000000"/>
              <w:left w:val="nil" w:sz="6" w:space="0" w:color="auto"/>
              <w:bottom w:val="single" w:sz="8" w:space="0" w:color="000000"/>
              <w:right w:val="nil" w:sz="6" w:space="0" w:color="auto"/>
            </w:tcBorders>
          </w:tcPr>
          <w:p>
            <w:pPr>
              <w:pStyle w:val="TableParagraph"/>
              <w:spacing w:line="240" w:lineRule="auto" w:before="16"/>
              <w:ind w:right="251"/>
              <w:jc w:val="right"/>
              <w:rPr>
                <w:rFonts w:ascii="宋体" w:hAnsi="宋体" w:cs="宋体" w:eastAsia="宋体" w:hint="default"/>
                <w:sz w:val="21"/>
                <w:szCs w:val="21"/>
              </w:rPr>
            </w:pPr>
            <w:r>
              <w:rPr>
                <w:rFonts w:ascii="宋体"/>
                <w:sz w:val="21"/>
              </w:rPr>
              <w:t>232,167.10</w:t>
            </w:r>
          </w:p>
        </w:tc>
        <w:tc>
          <w:tcPr>
            <w:tcW w:w="1903" w:type="dxa"/>
            <w:tcBorders>
              <w:top w:val="single" w:sz="4" w:space="0" w:color="000000"/>
              <w:left w:val="nil" w:sz="6" w:space="0" w:color="auto"/>
              <w:bottom w:val="single" w:sz="8" w:space="0" w:color="000000"/>
              <w:right w:val="nil" w:sz="6" w:space="0" w:color="auto"/>
            </w:tcBorders>
          </w:tcPr>
          <w:p>
            <w:pPr>
              <w:pStyle w:val="TableParagraph"/>
              <w:spacing w:line="240" w:lineRule="auto" w:before="16"/>
              <w:ind w:right="388"/>
              <w:jc w:val="right"/>
              <w:rPr>
                <w:rFonts w:ascii="宋体" w:hAnsi="宋体" w:cs="宋体" w:eastAsia="宋体" w:hint="default"/>
                <w:sz w:val="21"/>
                <w:szCs w:val="21"/>
              </w:rPr>
            </w:pPr>
            <w:r>
              <w:rPr>
                <w:rFonts w:ascii="宋体"/>
                <w:sz w:val="21"/>
              </w:rPr>
              <w:t>1,338,401.34</w:t>
            </w:r>
          </w:p>
        </w:tc>
        <w:tc>
          <w:tcPr>
            <w:tcW w:w="1342" w:type="dxa"/>
            <w:tcBorders>
              <w:top w:val="single" w:sz="4" w:space="0" w:color="000000"/>
              <w:left w:val="nil" w:sz="6" w:space="0" w:color="auto"/>
              <w:bottom w:val="single" w:sz="8" w:space="0" w:color="000000"/>
              <w:right w:val="nil" w:sz="6" w:space="0" w:color="auto"/>
            </w:tcBorders>
          </w:tcPr>
          <w:p>
            <w:pPr>
              <w:pStyle w:val="TableParagraph"/>
              <w:spacing w:line="240" w:lineRule="auto" w:before="16"/>
              <w:ind w:right="105"/>
              <w:jc w:val="right"/>
              <w:rPr>
                <w:rFonts w:ascii="宋体" w:hAnsi="宋体" w:cs="宋体" w:eastAsia="宋体" w:hint="default"/>
                <w:sz w:val="21"/>
                <w:szCs w:val="21"/>
              </w:rPr>
            </w:pPr>
            <w:r>
              <w:rPr>
                <w:rFonts w:ascii="宋体"/>
                <w:sz w:val="21"/>
              </w:rPr>
              <w:t>0</w:t>
            </w:r>
          </w:p>
        </w:tc>
      </w:tr>
    </w:tbl>
    <w:p>
      <w:pPr>
        <w:pStyle w:val="BodyText"/>
        <w:spacing w:line="240" w:lineRule="auto" w:before="60"/>
        <w:ind w:left="1538" w:right="2408"/>
        <w:jc w:val="left"/>
      </w:pPr>
      <w:r>
        <w:rPr/>
        <w:t>说明：</w:t>
      </w:r>
    </w:p>
    <w:p>
      <w:pPr>
        <w:pStyle w:val="BodyText"/>
        <w:spacing w:line="312" w:lineRule="exact" w:before="147"/>
        <w:ind w:left="1538" w:right="2408"/>
        <w:jc w:val="left"/>
      </w:pPr>
      <w:r>
        <w:rPr>
          <w:spacing w:val="-90"/>
        </w:rPr>
        <w:t>○</w:t>
      </w:r>
      <w:r>
        <w:rPr>
          <w:rFonts w:ascii="宋体" w:hAnsi="宋体" w:cs="宋体" w:eastAsia="宋体" w:hint="default"/>
          <w:spacing w:val="-90"/>
        </w:rPr>
        <w:t>1</w:t>
      </w:r>
      <w:r>
        <w:rPr>
          <w:rFonts w:ascii="宋体" w:hAnsi="宋体" w:cs="宋体" w:eastAsia="宋体" w:hint="default"/>
          <w:spacing w:val="-60"/>
        </w:rPr>
        <w:t> </w:t>
      </w:r>
      <w:r>
        <w:rPr/>
        <w:t>截至期末长期应收款中</w:t>
      </w:r>
      <w:r>
        <w:rPr>
          <w:spacing w:val="-60"/>
        </w:rPr>
        <w:t> </w:t>
      </w:r>
      <w:r>
        <w:rPr>
          <w:rFonts w:ascii="宋体" w:hAnsi="宋体" w:cs="宋体" w:eastAsia="宋体" w:hint="default"/>
        </w:rPr>
        <w:t>637,753,288.50</w:t>
      </w:r>
      <w:r>
        <w:rPr>
          <w:rFonts w:ascii="宋体" w:hAnsi="宋体" w:cs="宋体" w:eastAsia="宋体" w:hint="default"/>
          <w:spacing w:val="-60"/>
        </w:rPr>
        <w:t> </w:t>
      </w:r>
      <w:r>
        <w:rPr/>
        <w:t>元用于保理业务取得长期借款 </w:t>
      </w:r>
      <w:r>
        <w:rPr>
          <w:rFonts w:ascii="宋体" w:hAnsi="宋体" w:cs="宋体" w:eastAsia="宋体" w:hint="default"/>
        </w:rPr>
        <w:t>602,620,197.90</w:t>
      </w:r>
      <w:r>
        <w:rPr>
          <w:rFonts w:ascii="宋体" w:hAnsi="宋体" w:cs="宋体" w:eastAsia="宋体" w:hint="default"/>
          <w:spacing w:val="-60"/>
        </w:rPr>
        <w:t> </w:t>
      </w:r>
      <w:r>
        <w:rPr/>
        <w:t>元，详见附注五、</w:t>
      </w:r>
      <w:r>
        <w:rPr>
          <w:rFonts w:ascii="宋体" w:hAnsi="宋体" w:cs="宋体" w:eastAsia="宋体" w:hint="default"/>
        </w:rPr>
        <w:t>33</w:t>
      </w:r>
      <w:r>
        <w:rPr/>
        <w:t>。</w:t>
      </w:r>
    </w:p>
    <w:p>
      <w:pPr>
        <w:pStyle w:val="BodyText"/>
        <w:spacing w:line="310" w:lineRule="exact" w:before="120"/>
        <w:ind w:left="1538" w:right="1136"/>
        <w:jc w:val="left"/>
      </w:pPr>
      <w:r>
        <w:rPr>
          <w:spacing w:val="-90"/>
        </w:rPr>
        <w:t>○</w:t>
      </w:r>
      <w:r>
        <w:rPr>
          <w:rFonts w:ascii="宋体" w:hAnsi="宋体" w:cs="宋体" w:eastAsia="宋体" w:hint="default"/>
          <w:spacing w:val="-90"/>
        </w:rPr>
        <w:t>2</w:t>
      </w:r>
      <w:r>
        <w:rPr>
          <w:rFonts w:ascii="宋体" w:hAnsi="宋体" w:cs="宋体" w:eastAsia="宋体" w:hint="default"/>
          <w:spacing w:val="-60"/>
        </w:rPr>
        <w:t> </w:t>
      </w:r>
      <w:r>
        <w:rPr/>
        <w:t>本期坏账准备变动金额</w:t>
      </w:r>
      <w:r>
        <w:rPr>
          <w:spacing w:val="-60"/>
        </w:rPr>
        <w:t> </w:t>
      </w:r>
      <w:r>
        <w:rPr>
          <w:rFonts w:ascii="宋体" w:hAnsi="宋体" w:cs="宋体" w:eastAsia="宋体" w:hint="default"/>
        </w:rPr>
        <w:t>232,167.10</w:t>
      </w:r>
      <w:r>
        <w:rPr>
          <w:rFonts w:ascii="宋体" w:hAnsi="宋体" w:cs="宋体" w:eastAsia="宋体" w:hint="default"/>
          <w:spacing w:val="-60"/>
        </w:rPr>
        <w:t> </w:t>
      </w:r>
      <w:r>
        <w:rPr>
          <w:spacing w:val="-2"/>
        </w:rPr>
        <w:t>元，其中计提坏账准备金额</w:t>
      </w:r>
      <w:r>
        <w:rPr>
          <w:spacing w:val="-60"/>
        </w:rPr>
        <w:t> </w:t>
      </w:r>
      <w:r>
        <w:rPr>
          <w:rFonts w:ascii="宋体" w:hAnsi="宋体" w:cs="宋体" w:eastAsia="宋体" w:hint="default"/>
        </w:rPr>
        <w:t>232,167.10</w:t>
      </w:r>
      <w:r>
        <w:rPr>
          <w:rFonts w:ascii="宋体" w:hAnsi="宋体" w:cs="宋体" w:eastAsia="宋体" w:hint="default"/>
          <w:spacing w:val="-60"/>
        </w:rPr>
        <w:t> </w:t>
      </w:r>
      <w:r>
        <w:rPr>
          <w:spacing w:val="-8"/>
        </w:rPr>
        <w:t>元；无</w:t>
      </w:r>
      <w:r>
        <w:rPr/>
        <w:t> 收回或转回原单项计提的坏账准备情况。</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80" w:bottom="1380" w:left="260" w:right="120"/>
        </w:sectPr>
      </w:pPr>
    </w:p>
    <w:p>
      <w:pPr>
        <w:pStyle w:val="Heading2"/>
        <w:spacing w:line="240" w:lineRule="auto" w:before="160"/>
        <w:ind w:left="1538" w:right="-15"/>
        <w:jc w:val="left"/>
        <w:rPr>
          <w:b w:val="0"/>
          <w:bCs w:val="0"/>
        </w:rPr>
      </w:pPr>
      <w:r>
        <w:rPr>
          <w:rFonts w:ascii="宋体" w:hAnsi="宋体" w:cs="宋体" w:eastAsia="宋体" w:hint="default"/>
        </w:rPr>
        <w:t>12</w:t>
      </w:r>
      <w:r>
        <w:rPr/>
        <w:t>、</w:t>
      </w:r>
      <w:r>
        <w:rPr>
          <w:spacing w:val="-107"/>
        </w:rPr>
        <w:t> </w:t>
      </w:r>
      <w:r>
        <w:rPr/>
        <w:t>长期股权投资</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2"/>
        <w:rPr>
          <w:rFonts w:ascii="宋体" w:hAnsi="宋体" w:cs="宋体" w:eastAsia="宋体" w:hint="default"/>
          <w:b/>
          <w:bCs/>
          <w:sz w:val="20"/>
          <w:szCs w:val="20"/>
        </w:rPr>
      </w:pPr>
    </w:p>
    <w:p>
      <w:pPr>
        <w:tabs>
          <w:tab w:pos="2587" w:val="left" w:leader="none"/>
        </w:tabs>
        <w:spacing w:before="0"/>
        <w:ind w:left="153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260" w:right="120"/>
          <w:cols w:num="2" w:equalWidth="0">
            <w:col w:w="3486" w:space="3038"/>
            <w:col w:w="5006"/>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276"/>
        <w:gridCol w:w="995"/>
        <w:gridCol w:w="1132"/>
        <w:gridCol w:w="674"/>
        <w:gridCol w:w="1167"/>
        <w:gridCol w:w="850"/>
        <w:gridCol w:w="708"/>
        <w:gridCol w:w="785"/>
        <w:gridCol w:w="636"/>
        <w:gridCol w:w="1138"/>
        <w:gridCol w:w="991"/>
        <w:gridCol w:w="928"/>
      </w:tblGrid>
      <w:tr>
        <w:trPr>
          <w:trHeight w:val="205" w:hRule="exact"/>
        </w:trPr>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56" w:right="0"/>
              <w:jc w:val="left"/>
              <w:rPr>
                <w:rFonts w:ascii="宋体" w:hAnsi="宋体" w:cs="宋体" w:eastAsia="宋体" w:hint="default"/>
                <w:sz w:val="15"/>
                <w:szCs w:val="15"/>
              </w:rPr>
            </w:pPr>
            <w:r>
              <w:rPr>
                <w:rFonts w:ascii="宋体" w:hAnsi="宋体" w:cs="宋体" w:eastAsia="宋体" w:hint="default"/>
                <w:sz w:val="15"/>
                <w:szCs w:val="15"/>
              </w:rPr>
              <w:t>被投资单位</w:t>
            </w:r>
          </w:p>
        </w:tc>
        <w:tc>
          <w:tcPr>
            <w:tcW w:w="995" w:type="dxa"/>
            <w:vMerge w:val="restart"/>
            <w:tcBorders>
              <w:top w:val="single" w:sz="4" w:space="0" w:color="000000"/>
              <w:left w:val="single" w:sz="4" w:space="0" w:color="000000"/>
              <w:right w:val="single" w:sz="4" w:space="0" w:color="000000"/>
            </w:tcBorders>
          </w:tcPr>
          <w:p>
            <w:pPr>
              <w:pStyle w:val="TableParagraph"/>
              <w:spacing w:line="240" w:lineRule="auto" w:before="78"/>
              <w:ind w:left="340" w:right="342"/>
              <w:jc w:val="center"/>
              <w:rPr>
                <w:rFonts w:ascii="宋体" w:hAnsi="宋体" w:cs="宋体" w:eastAsia="宋体" w:hint="default"/>
                <w:sz w:val="15"/>
                <w:szCs w:val="15"/>
              </w:rPr>
            </w:pPr>
            <w:r>
              <w:rPr>
                <w:rFonts w:ascii="宋体" w:hAnsi="宋体" w:cs="宋体" w:eastAsia="宋体" w:hint="default"/>
                <w:sz w:val="15"/>
                <w:szCs w:val="15"/>
              </w:rPr>
              <w:t>期初 余额</w:t>
            </w:r>
          </w:p>
        </w:tc>
        <w:tc>
          <w:tcPr>
            <w:tcW w:w="7089" w:type="dxa"/>
            <w:gridSpan w:val="8"/>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78"/>
              <w:ind w:left="339" w:right="341"/>
              <w:jc w:val="center"/>
              <w:rPr>
                <w:rFonts w:ascii="宋体" w:hAnsi="宋体" w:cs="宋体" w:eastAsia="宋体" w:hint="default"/>
                <w:sz w:val="15"/>
                <w:szCs w:val="15"/>
              </w:rPr>
            </w:pPr>
            <w:r>
              <w:rPr>
                <w:rFonts w:ascii="宋体" w:hAnsi="宋体" w:cs="宋体" w:eastAsia="宋体" w:hint="default"/>
                <w:sz w:val="15"/>
                <w:szCs w:val="15"/>
              </w:rPr>
              <w:t>期末 余额</w:t>
            </w:r>
          </w:p>
        </w:tc>
        <w:tc>
          <w:tcPr>
            <w:tcW w:w="928" w:type="dxa"/>
            <w:vMerge w:val="restart"/>
            <w:tcBorders>
              <w:top w:val="single" w:sz="4" w:space="0" w:color="000000"/>
              <w:left w:val="single" w:sz="4" w:space="0" w:color="000000"/>
              <w:right w:val="single" w:sz="4" w:space="0" w:color="000000"/>
            </w:tcBorders>
          </w:tcPr>
          <w:p>
            <w:pPr>
              <w:pStyle w:val="TableParagraph"/>
              <w:spacing w:line="240" w:lineRule="auto" w:before="78"/>
              <w:ind w:left="158" w:right="159"/>
              <w:jc w:val="left"/>
              <w:rPr>
                <w:rFonts w:ascii="宋体" w:hAnsi="宋体" w:cs="宋体" w:eastAsia="宋体" w:hint="default"/>
                <w:sz w:val="15"/>
                <w:szCs w:val="15"/>
              </w:rPr>
            </w:pPr>
            <w:r>
              <w:rPr>
                <w:rFonts w:ascii="宋体" w:hAnsi="宋体" w:cs="宋体" w:eastAsia="宋体" w:hint="default"/>
                <w:sz w:val="15"/>
                <w:szCs w:val="15"/>
              </w:rPr>
              <w:t>减值准备 期末余额</w:t>
            </w:r>
          </w:p>
        </w:tc>
      </w:tr>
      <w:tr>
        <w:trPr>
          <w:trHeight w:val="398" w:hRule="exact"/>
        </w:trPr>
        <w:tc>
          <w:tcPr>
            <w:tcW w:w="1276" w:type="dxa"/>
            <w:vMerge/>
            <w:tcBorders>
              <w:left w:val="single" w:sz="4" w:space="0" w:color="000000"/>
              <w:bottom w:val="single" w:sz="4" w:space="0" w:color="000000"/>
              <w:right w:val="single" w:sz="4" w:space="0" w:color="000000"/>
            </w:tcBorders>
          </w:tcPr>
          <w:p>
            <w:pPr/>
          </w:p>
        </w:tc>
        <w:tc>
          <w:tcPr>
            <w:tcW w:w="995" w:type="dxa"/>
            <w:vMerge/>
            <w:tcBorders>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60" w:right="0"/>
              <w:jc w:val="left"/>
              <w:rPr>
                <w:rFonts w:ascii="宋体" w:hAnsi="宋体" w:cs="宋体" w:eastAsia="宋体" w:hint="default"/>
                <w:sz w:val="15"/>
                <w:szCs w:val="15"/>
              </w:rPr>
            </w:pPr>
            <w:r>
              <w:rPr>
                <w:rFonts w:ascii="宋体" w:hAnsi="宋体" w:cs="宋体" w:eastAsia="宋体" w:hint="default"/>
                <w:sz w:val="15"/>
                <w:szCs w:val="15"/>
              </w:rPr>
              <w:t>追加投资</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
              <w:jc w:val="center"/>
              <w:rPr>
                <w:rFonts w:ascii="宋体" w:hAnsi="宋体" w:cs="宋体" w:eastAsia="宋体" w:hint="default"/>
                <w:sz w:val="15"/>
                <w:szCs w:val="15"/>
              </w:rPr>
            </w:pPr>
            <w:r>
              <w:rPr>
                <w:rFonts w:ascii="宋体" w:hAnsi="宋体" w:cs="宋体" w:eastAsia="宋体" w:hint="default"/>
                <w:sz w:val="15"/>
                <w:szCs w:val="15"/>
              </w:rPr>
              <w:t>减少投</w:t>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sz w:val="15"/>
                <w:szCs w:val="15"/>
              </w:rPr>
              <w:t>资</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01" w:right="0" w:hanging="75"/>
              <w:jc w:val="left"/>
              <w:rPr>
                <w:rFonts w:ascii="宋体" w:hAnsi="宋体" w:cs="宋体" w:eastAsia="宋体" w:hint="default"/>
                <w:sz w:val="15"/>
                <w:szCs w:val="15"/>
              </w:rPr>
            </w:pPr>
            <w:r>
              <w:rPr>
                <w:rFonts w:ascii="宋体" w:hAnsi="宋体" w:cs="宋体" w:eastAsia="宋体" w:hint="default"/>
                <w:sz w:val="15"/>
                <w:szCs w:val="15"/>
              </w:rPr>
              <w:t>权益法下确认</w:t>
            </w:r>
          </w:p>
          <w:p>
            <w:pPr>
              <w:pStyle w:val="TableParagraph"/>
              <w:spacing w:line="195" w:lineRule="exact"/>
              <w:ind w:left="201" w:right="0"/>
              <w:jc w:val="left"/>
              <w:rPr>
                <w:rFonts w:ascii="宋体" w:hAnsi="宋体" w:cs="宋体" w:eastAsia="宋体" w:hint="default"/>
                <w:sz w:val="15"/>
                <w:szCs w:val="15"/>
              </w:rPr>
            </w:pPr>
            <w:r>
              <w:rPr>
                <w:rFonts w:ascii="宋体" w:hAnsi="宋体" w:cs="宋体" w:eastAsia="宋体" w:hint="default"/>
                <w:sz w:val="15"/>
                <w:szCs w:val="15"/>
              </w:rPr>
              <w:t>的投资损益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18" w:right="0"/>
              <w:jc w:val="left"/>
              <w:rPr>
                <w:rFonts w:ascii="宋体" w:hAnsi="宋体" w:cs="宋体" w:eastAsia="宋体" w:hint="default"/>
                <w:sz w:val="15"/>
                <w:szCs w:val="15"/>
              </w:rPr>
            </w:pPr>
            <w:r>
              <w:rPr>
                <w:rFonts w:ascii="宋体" w:hAnsi="宋体" w:cs="宋体" w:eastAsia="宋体" w:hint="default"/>
                <w:sz w:val="15"/>
                <w:szCs w:val="15"/>
              </w:rPr>
              <w:t>其他综合</w:t>
            </w:r>
          </w:p>
          <w:p>
            <w:pPr>
              <w:pStyle w:val="TableParagraph"/>
              <w:spacing w:line="195" w:lineRule="exact"/>
              <w:ind w:left="118" w:right="0"/>
              <w:jc w:val="left"/>
              <w:rPr>
                <w:rFonts w:ascii="宋体" w:hAnsi="宋体" w:cs="宋体" w:eastAsia="宋体" w:hint="default"/>
                <w:sz w:val="15"/>
                <w:szCs w:val="15"/>
              </w:rPr>
            </w:pPr>
            <w:r>
              <w:rPr>
                <w:rFonts w:ascii="宋体" w:hAnsi="宋体" w:cs="宋体" w:eastAsia="宋体" w:hint="default"/>
                <w:sz w:val="15"/>
                <w:szCs w:val="15"/>
              </w:rPr>
              <w:t>收益调整</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22" w:right="0"/>
              <w:jc w:val="left"/>
              <w:rPr>
                <w:rFonts w:ascii="宋体" w:hAnsi="宋体" w:cs="宋体" w:eastAsia="宋体" w:hint="default"/>
                <w:sz w:val="15"/>
                <w:szCs w:val="15"/>
              </w:rPr>
            </w:pPr>
            <w:r>
              <w:rPr>
                <w:rFonts w:ascii="宋体" w:hAnsi="宋体" w:cs="宋体" w:eastAsia="宋体" w:hint="default"/>
                <w:sz w:val="15"/>
                <w:szCs w:val="15"/>
              </w:rPr>
              <w:t>其他权</w:t>
            </w:r>
          </w:p>
          <w:p>
            <w:pPr>
              <w:pStyle w:val="TableParagraph"/>
              <w:spacing w:line="195" w:lineRule="exact"/>
              <w:ind w:left="122" w:right="0"/>
              <w:jc w:val="left"/>
              <w:rPr>
                <w:rFonts w:ascii="宋体" w:hAnsi="宋体" w:cs="宋体" w:eastAsia="宋体" w:hint="default"/>
                <w:sz w:val="15"/>
                <w:szCs w:val="15"/>
              </w:rPr>
            </w:pPr>
            <w:r>
              <w:rPr>
                <w:rFonts w:ascii="宋体" w:hAnsi="宋体" w:cs="宋体" w:eastAsia="宋体" w:hint="default"/>
                <w:sz w:val="15"/>
                <w:szCs w:val="15"/>
              </w:rPr>
              <w:t>益变动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62" w:right="0"/>
              <w:jc w:val="left"/>
              <w:rPr>
                <w:rFonts w:ascii="宋体" w:hAnsi="宋体" w:cs="宋体" w:eastAsia="宋体" w:hint="default"/>
                <w:sz w:val="15"/>
                <w:szCs w:val="15"/>
              </w:rPr>
            </w:pPr>
            <w:r>
              <w:rPr>
                <w:rFonts w:ascii="宋体" w:hAnsi="宋体" w:cs="宋体" w:eastAsia="宋体" w:hint="default"/>
                <w:sz w:val="15"/>
                <w:szCs w:val="15"/>
              </w:rPr>
              <w:t>宣告发</w:t>
            </w:r>
          </w:p>
          <w:p>
            <w:pPr>
              <w:pStyle w:val="TableParagraph"/>
              <w:spacing w:line="195" w:lineRule="exact"/>
              <w:ind w:left="162" w:right="0"/>
              <w:jc w:val="left"/>
              <w:rPr>
                <w:rFonts w:ascii="宋体" w:hAnsi="宋体" w:cs="宋体" w:eastAsia="宋体" w:hint="default"/>
                <w:sz w:val="15"/>
                <w:szCs w:val="15"/>
              </w:rPr>
            </w:pPr>
            <w:r>
              <w:rPr>
                <w:rFonts w:ascii="宋体" w:hAnsi="宋体" w:cs="宋体" w:eastAsia="宋体" w:hint="default"/>
                <w:sz w:val="15"/>
                <w:szCs w:val="15"/>
              </w:rPr>
              <w:t>放现金</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63"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195" w:lineRule="exact"/>
              <w:ind w:left="163" w:right="0"/>
              <w:jc w:val="left"/>
              <w:rPr>
                <w:rFonts w:ascii="宋体" w:hAnsi="宋体" w:cs="宋体" w:eastAsia="宋体" w:hint="default"/>
                <w:sz w:val="15"/>
                <w:szCs w:val="15"/>
              </w:rPr>
            </w:pPr>
            <w:r>
              <w:rPr>
                <w:rFonts w:ascii="宋体" w:hAnsi="宋体" w:cs="宋体" w:eastAsia="宋体" w:hint="default"/>
                <w:sz w:val="15"/>
                <w:szCs w:val="15"/>
              </w:rPr>
              <w:t>减值</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991" w:type="dxa"/>
            <w:vMerge/>
            <w:tcBorders>
              <w:left w:val="single" w:sz="4" w:space="0" w:color="000000"/>
              <w:bottom w:val="single" w:sz="4" w:space="0" w:color="000000"/>
              <w:right w:val="single" w:sz="4" w:space="0" w:color="000000"/>
            </w:tcBorders>
          </w:tcPr>
          <w:p>
            <w:pPr/>
          </w:p>
        </w:tc>
        <w:tc>
          <w:tcPr>
            <w:tcW w:w="928"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80" w:bottom="1380" w:left="260" w:right="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1276"/>
        <w:gridCol w:w="995"/>
        <w:gridCol w:w="1132"/>
        <w:gridCol w:w="674"/>
        <w:gridCol w:w="1167"/>
        <w:gridCol w:w="850"/>
        <w:gridCol w:w="708"/>
        <w:gridCol w:w="785"/>
        <w:gridCol w:w="636"/>
        <w:gridCol w:w="1138"/>
        <w:gridCol w:w="991"/>
        <w:gridCol w:w="928"/>
      </w:tblGrid>
      <w:tr>
        <w:trPr>
          <w:trHeight w:val="398" w:hRule="exact"/>
        </w:trPr>
        <w:tc>
          <w:tcPr>
            <w:tcW w:w="1276"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37" w:right="0" w:hanging="76"/>
              <w:jc w:val="left"/>
              <w:rPr>
                <w:rFonts w:ascii="宋体" w:hAnsi="宋体" w:cs="宋体" w:eastAsia="宋体" w:hint="default"/>
                <w:sz w:val="15"/>
                <w:szCs w:val="15"/>
              </w:rPr>
            </w:pPr>
            <w:r>
              <w:rPr>
                <w:rFonts w:ascii="宋体" w:hAnsi="宋体" w:cs="宋体" w:eastAsia="宋体" w:hint="default"/>
                <w:sz w:val="15"/>
                <w:szCs w:val="15"/>
              </w:rPr>
              <w:t>股利或</w:t>
            </w:r>
          </w:p>
          <w:p>
            <w:pPr>
              <w:pStyle w:val="TableParagraph"/>
              <w:spacing w:line="195" w:lineRule="exact"/>
              <w:ind w:left="237" w:right="0"/>
              <w:jc w:val="left"/>
              <w:rPr>
                <w:rFonts w:ascii="宋体" w:hAnsi="宋体" w:cs="宋体" w:eastAsia="宋体" w:hint="default"/>
                <w:sz w:val="15"/>
                <w:szCs w:val="15"/>
              </w:rPr>
            </w:pPr>
            <w:r>
              <w:rPr>
                <w:rFonts w:ascii="宋体" w:hAnsi="宋体" w:cs="宋体" w:eastAsia="宋体" w:hint="default"/>
                <w:sz w:val="15"/>
                <w:szCs w:val="15"/>
              </w:rPr>
              <w:t>利润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3" w:right="0"/>
              <w:jc w:val="left"/>
              <w:rPr>
                <w:rFonts w:ascii="宋体" w:hAnsi="宋体" w:cs="宋体" w:eastAsia="宋体" w:hint="default"/>
                <w:sz w:val="15"/>
                <w:szCs w:val="15"/>
              </w:rPr>
            </w:pPr>
            <w:r>
              <w:rPr>
                <w:rFonts w:ascii="宋体" w:hAnsi="宋体" w:cs="宋体" w:eastAsia="宋体" w:hint="default"/>
                <w:sz w:val="15"/>
                <w:szCs w:val="15"/>
              </w:rPr>
              <w:t>准备</w:t>
            </w:r>
          </w:p>
        </w:tc>
        <w:tc>
          <w:tcPr>
            <w:tcW w:w="113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一、合营企业</w:t>
            </w:r>
          </w:p>
        </w:tc>
        <w:tc>
          <w:tcPr>
            <w:tcW w:w="995"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276"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1276"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995"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二、联营企业</w:t>
            </w:r>
          </w:p>
        </w:tc>
        <w:tc>
          <w:tcPr>
            <w:tcW w:w="995"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z w:val="15"/>
                <w:szCs w:val="15"/>
              </w:rPr>
              <w:t>深圳华胜均衡科</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技有限公司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02"/>
              <w:jc w:val="right"/>
              <w:rPr>
                <w:rFonts w:ascii="宋体" w:hAnsi="宋体" w:cs="宋体" w:eastAsia="宋体" w:hint="default"/>
                <w:sz w:val="15"/>
                <w:szCs w:val="15"/>
              </w:rPr>
            </w:pPr>
            <w:r>
              <w:rPr>
                <w:rFonts w:ascii="宋体"/>
                <w:spacing w:val="-1"/>
                <w:sz w:val="15"/>
              </w:rPr>
              <w:t>3,365,890.</w:t>
            </w:r>
          </w:p>
          <w:p>
            <w:pPr>
              <w:pStyle w:val="TableParagraph"/>
              <w:spacing w:line="195" w:lineRule="exact"/>
              <w:ind w:right="101"/>
              <w:jc w:val="right"/>
              <w:rPr>
                <w:rFonts w:ascii="宋体" w:hAnsi="宋体" w:cs="宋体" w:eastAsia="宋体" w:hint="default"/>
                <w:sz w:val="15"/>
                <w:szCs w:val="15"/>
              </w:rPr>
            </w:pPr>
            <w:r>
              <w:rPr>
                <w:rFonts w:ascii="宋体"/>
                <w:sz w:val="15"/>
              </w:rPr>
              <w:t>93</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-828,120.60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23" w:right="0"/>
              <w:jc w:val="left"/>
              <w:rPr>
                <w:rFonts w:ascii="宋体" w:hAnsi="宋体" w:cs="宋体" w:eastAsia="宋体" w:hint="default"/>
                <w:sz w:val="15"/>
                <w:szCs w:val="15"/>
              </w:rPr>
            </w:pPr>
            <w:r>
              <w:rPr>
                <w:rFonts w:ascii="宋体"/>
                <w:sz w:val="15"/>
              </w:rPr>
              <w:t>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01"/>
              <w:jc w:val="right"/>
              <w:rPr>
                <w:rFonts w:ascii="宋体" w:hAnsi="宋体" w:cs="宋体" w:eastAsia="宋体" w:hint="default"/>
                <w:sz w:val="15"/>
                <w:szCs w:val="15"/>
              </w:rPr>
            </w:pPr>
            <w:r>
              <w:rPr>
                <w:rFonts w:ascii="宋体"/>
                <w:spacing w:val="-1"/>
                <w:sz w:val="15"/>
              </w:rPr>
              <w:t>2,537,770.</w:t>
            </w:r>
          </w:p>
          <w:p>
            <w:pPr>
              <w:pStyle w:val="TableParagraph"/>
              <w:spacing w:line="195" w:lineRule="exact"/>
              <w:ind w:right="101"/>
              <w:jc w:val="right"/>
              <w:rPr>
                <w:rFonts w:ascii="宋体" w:hAnsi="宋体" w:cs="宋体" w:eastAsia="宋体" w:hint="default"/>
                <w:sz w:val="15"/>
                <w:szCs w:val="15"/>
              </w:rPr>
            </w:pPr>
            <w:r>
              <w:rPr>
                <w:rFonts w:ascii="宋体"/>
                <w:sz w:val="15"/>
              </w:rPr>
              <w:t>33</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0.00</w:t>
            </w:r>
          </w:p>
        </w:tc>
      </w:tr>
      <w:tr>
        <w:trPr>
          <w:trHeight w:val="40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北京盛世坤晟投</w:t>
            </w:r>
          </w:p>
          <w:p>
            <w:pPr>
              <w:pStyle w:val="TableParagraph"/>
              <w:spacing w:line="196" w:lineRule="exact"/>
              <w:ind w:left="103" w:right="0"/>
              <w:jc w:val="left"/>
              <w:rPr>
                <w:rFonts w:ascii="宋体" w:hAnsi="宋体" w:cs="宋体" w:eastAsia="宋体" w:hint="default"/>
                <w:sz w:val="15"/>
                <w:szCs w:val="15"/>
              </w:rPr>
            </w:pPr>
            <w:r>
              <w:rPr>
                <w:rFonts w:ascii="宋体" w:hAnsi="宋体" w:cs="宋体" w:eastAsia="宋体" w:hint="default"/>
                <w:sz w:val="15"/>
                <w:szCs w:val="15"/>
              </w:rPr>
              <w:t>资管理有限公司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2,002,933.</w:t>
            </w:r>
          </w:p>
          <w:p>
            <w:pPr>
              <w:pStyle w:val="TableParagraph"/>
              <w:spacing w:line="196" w:lineRule="exact"/>
              <w:ind w:right="101"/>
              <w:jc w:val="right"/>
              <w:rPr>
                <w:rFonts w:ascii="宋体" w:hAnsi="宋体" w:cs="宋体" w:eastAsia="宋体" w:hint="default"/>
                <w:sz w:val="15"/>
                <w:szCs w:val="15"/>
              </w:rPr>
            </w:pPr>
            <w:r>
              <w:rPr>
                <w:rFonts w:ascii="宋体"/>
                <w:sz w:val="15"/>
              </w:rPr>
              <w:t>74</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-35,501.98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23" w:right="0"/>
              <w:jc w:val="left"/>
              <w:rPr>
                <w:rFonts w:ascii="宋体" w:hAnsi="宋体" w:cs="宋体" w:eastAsia="宋体" w:hint="default"/>
                <w:sz w:val="15"/>
                <w:szCs w:val="15"/>
              </w:rPr>
            </w:pPr>
            <w:r>
              <w:rPr>
                <w:rFonts w:ascii="宋体"/>
                <w:sz w:val="15"/>
              </w:rPr>
              <w:t>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1,967,431.</w:t>
            </w:r>
          </w:p>
          <w:p>
            <w:pPr>
              <w:pStyle w:val="TableParagraph"/>
              <w:spacing w:line="196" w:lineRule="exact"/>
              <w:ind w:right="101"/>
              <w:jc w:val="right"/>
              <w:rPr>
                <w:rFonts w:ascii="宋体" w:hAnsi="宋体" w:cs="宋体" w:eastAsia="宋体" w:hint="default"/>
                <w:sz w:val="15"/>
                <w:szCs w:val="15"/>
              </w:rPr>
            </w:pPr>
            <w:r>
              <w:rPr>
                <w:rFonts w:ascii="宋体"/>
                <w:sz w:val="15"/>
              </w:rPr>
              <w:t>76</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0.00</w:t>
            </w:r>
          </w:p>
        </w:tc>
      </w:tr>
      <w:tr>
        <w:trPr>
          <w:trHeight w:val="593"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z w:val="15"/>
                <w:szCs w:val="15"/>
              </w:rPr>
              <w:t>北京华胜天成信</w:t>
            </w:r>
          </w:p>
          <w:p>
            <w:pPr>
              <w:pStyle w:val="TableParagraph"/>
              <w:spacing w:line="240" w:lineRule="auto"/>
              <w:ind w:left="103" w:right="111"/>
              <w:jc w:val="left"/>
              <w:rPr>
                <w:rFonts w:ascii="宋体" w:hAnsi="宋体" w:cs="宋体" w:eastAsia="宋体" w:hint="default"/>
                <w:sz w:val="15"/>
                <w:szCs w:val="15"/>
              </w:rPr>
            </w:pPr>
            <w:r>
              <w:rPr>
                <w:rFonts w:ascii="宋体" w:hAnsi="宋体" w:cs="宋体" w:eastAsia="宋体" w:hint="default"/>
                <w:sz w:val="15"/>
                <w:szCs w:val="15"/>
              </w:rPr>
              <w:t>息技术发展有限 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02"/>
              <w:jc w:val="right"/>
              <w:rPr>
                <w:rFonts w:ascii="宋体" w:hAnsi="宋体" w:cs="宋体" w:eastAsia="宋体" w:hint="default"/>
                <w:sz w:val="15"/>
                <w:szCs w:val="15"/>
              </w:rPr>
            </w:pPr>
            <w:r>
              <w:rPr>
                <w:rFonts w:ascii="宋体"/>
                <w:spacing w:val="-1"/>
                <w:sz w:val="15"/>
              </w:rPr>
              <w:t>8,456,304.</w:t>
            </w:r>
          </w:p>
          <w:p>
            <w:pPr>
              <w:pStyle w:val="TableParagraph"/>
              <w:spacing w:line="195" w:lineRule="exact"/>
              <w:ind w:right="101"/>
              <w:jc w:val="right"/>
              <w:rPr>
                <w:rFonts w:ascii="宋体" w:hAnsi="宋体" w:cs="宋体" w:eastAsia="宋体" w:hint="default"/>
                <w:sz w:val="15"/>
                <w:szCs w:val="15"/>
              </w:rPr>
            </w:pPr>
            <w:r>
              <w:rPr>
                <w:rFonts w:ascii="宋体"/>
                <w:sz w:val="15"/>
              </w:rPr>
              <w:t>90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734,489.36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23" w:right="0"/>
              <w:jc w:val="left"/>
              <w:rPr>
                <w:rFonts w:ascii="宋体" w:hAnsi="宋体" w:cs="宋体" w:eastAsia="宋体" w:hint="default"/>
                <w:sz w:val="15"/>
                <w:szCs w:val="15"/>
              </w:rPr>
            </w:pPr>
            <w:r>
              <w:rPr>
                <w:rFonts w:ascii="宋体"/>
                <w:sz w:val="15"/>
              </w:rPr>
              <w:t>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01"/>
              <w:jc w:val="right"/>
              <w:rPr>
                <w:rFonts w:ascii="宋体" w:hAnsi="宋体" w:cs="宋体" w:eastAsia="宋体" w:hint="default"/>
                <w:sz w:val="15"/>
                <w:szCs w:val="15"/>
              </w:rPr>
            </w:pPr>
            <w:r>
              <w:rPr>
                <w:rFonts w:ascii="宋体"/>
                <w:spacing w:val="-1"/>
                <w:sz w:val="15"/>
              </w:rPr>
              <w:t>9,190,794.</w:t>
            </w:r>
          </w:p>
          <w:p>
            <w:pPr>
              <w:pStyle w:val="TableParagraph"/>
              <w:spacing w:line="195" w:lineRule="exact"/>
              <w:ind w:right="101"/>
              <w:jc w:val="right"/>
              <w:rPr>
                <w:rFonts w:ascii="宋体" w:hAnsi="宋体" w:cs="宋体" w:eastAsia="宋体" w:hint="default"/>
                <w:sz w:val="15"/>
                <w:szCs w:val="15"/>
              </w:rPr>
            </w:pPr>
            <w:r>
              <w:rPr>
                <w:rFonts w:ascii="宋体"/>
                <w:sz w:val="15"/>
              </w:rPr>
              <w:t>26</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0.00</w:t>
            </w:r>
          </w:p>
        </w:tc>
      </w:tr>
      <w:tr>
        <w:trPr>
          <w:trHeight w:val="59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北京中域绿色智</w:t>
            </w:r>
          </w:p>
          <w:p>
            <w:pPr>
              <w:pStyle w:val="TableParagraph"/>
              <w:spacing w:line="240" w:lineRule="auto"/>
              <w:ind w:left="103" w:right="111"/>
              <w:jc w:val="left"/>
              <w:rPr>
                <w:rFonts w:ascii="宋体" w:hAnsi="宋体" w:cs="宋体" w:eastAsia="宋体" w:hint="default"/>
                <w:sz w:val="15"/>
                <w:szCs w:val="15"/>
              </w:rPr>
            </w:pPr>
            <w:r>
              <w:rPr>
                <w:rFonts w:ascii="宋体" w:hAnsi="宋体" w:cs="宋体" w:eastAsia="宋体" w:hint="default"/>
                <w:sz w:val="15"/>
                <w:szCs w:val="15"/>
              </w:rPr>
              <w:t>能城市系统研究 院（有限合伙）</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432,984.27</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8" w:right="0"/>
              <w:jc w:val="center"/>
              <w:rPr>
                <w:rFonts w:ascii="宋体" w:hAnsi="宋体" w:cs="宋体" w:eastAsia="宋体" w:hint="default"/>
                <w:sz w:val="15"/>
                <w:szCs w:val="15"/>
              </w:rPr>
            </w:pPr>
            <w:r>
              <w:rPr>
                <w:rFonts w:ascii="宋体"/>
                <w:sz w:val="15"/>
              </w:rPr>
              <w:t>437,77</w:t>
            </w:r>
          </w:p>
          <w:p>
            <w:pPr>
              <w:pStyle w:val="TableParagraph"/>
              <w:spacing w:line="195" w:lineRule="exact"/>
              <w:ind w:left="158" w:right="0"/>
              <w:jc w:val="center"/>
              <w:rPr>
                <w:rFonts w:ascii="宋体" w:hAnsi="宋体" w:cs="宋体" w:eastAsia="宋体" w:hint="default"/>
                <w:sz w:val="15"/>
                <w:szCs w:val="15"/>
              </w:rPr>
            </w:pPr>
            <w:r>
              <w:rPr>
                <w:rFonts w:ascii="宋体"/>
                <w:sz w:val="15"/>
              </w:rPr>
              <w:t>1.34</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4,787.07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23" w:right="0"/>
              <w:jc w:val="left"/>
              <w:rPr>
                <w:rFonts w:ascii="宋体" w:hAnsi="宋体" w:cs="宋体" w:eastAsia="宋体" w:hint="default"/>
                <w:sz w:val="15"/>
                <w:szCs w:val="15"/>
              </w:rPr>
            </w:pPr>
            <w:r>
              <w:rPr>
                <w:rFonts w:ascii="宋体"/>
                <w:sz w:val="15"/>
              </w:rPr>
              <w:t>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0.00</w:t>
            </w:r>
          </w:p>
        </w:tc>
      </w:tr>
      <w:tr>
        <w:trPr>
          <w:trHeight w:val="78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sz w:val="15"/>
              </w:rPr>
              <w:t>ASL</w:t>
            </w:r>
            <w:r>
              <w:rPr>
                <w:rFonts w:ascii="宋体"/>
                <w:spacing w:val="-5"/>
                <w:sz w:val="15"/>
              </w:rPr>
              <w:t> </w:t>
            </w:r>
            <w:r>
              <w:rPr>
                <w:rFonts w:ascii="宋体"/>
                <w:sz w:val="15"/>
              </w:rPr>
              <w:t>Automated</w:t>
            </w:r>
          </w:p>
          <w:p>
            <w:pPr>
              <w:pStyle w:val="TableParagraph"/>
              <w:spacing w:line="240" w:lineRule="auto"/>
              <w:ind w:left="103" w:right="411"/>
              <w:jc w:val="left"/>
              <w:rPr>
                <w:rFonts w:ascii="宋体" w:hAnsi="宋体" w:cs="宋体" w:eastAsia="宋体" w:hint="default"/>
                <w:sz w:val="15"/>
                <w:szCs w:val="15"/>
              </w:rPr>
            </w:pPr>
            <w:r>
              <w:rPr>
                <w:rFonts w:ascii="宋体"/>
                <w:sz w:val="15"/>
              </w:rPr>
              <w:t>Services (Thailand) Ltd.</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674,551.50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23" w:right="0"/>
              <w:jc w:val="left"/>
              <w:rPr>
                <w:rFonts w:ascii="宋体" w:hAnsi="宋体" w:cs="宋体" w:eastAsia="宋体" w:hint="default"/>
                <w:sz w:val="15"/>
                <w:szCs w:val="15"/>
              </w:rPr>
            </w:pPr>
            <w:r>
              <w:rPr>
                <w:rFonts w:ascii="宋体"/>
                <w:sz w:val="15"/>
              </w:rPr>
              <w:t>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2,314.17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676,865.67</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01"/>
              <w:jc w:val="right"/>
              <w:rPr>
                <w:rFonts w:ascii="宋体" w:hAnsi="宋体" w:cs="宋体" w:eastAsia="宋体" w:hint="default"/>
                <w:sz w:val="15"/>
                <w:szCs w:val="15"/>
              </w:rPr>
            </w:pPr>
            <w:r>
              <w:rPr>
                <w:rFonts w:ascii="宋体"/>
                <w:spacing w:val="-1"/>
                <w:sz w:val="15"/>
              </w:rPr>
              <w:t>676,865.6</w:t>
            </w:r>
          </w:p>
          <w:p>
            <w:pPr>
              <w:pStyle w:val="TableParagraph"/>
              <w:spacing w:line="195" w:lineRule="exact"/>
              <w:ind w:right="100"/>
              <w:jc w:val="right"/>
              <w:rPr>
                <w:rFonts w:ascii="宋体" w:hAnsi="宋体" w:cs="宋体" w:eastAsia="宋体" w:hint="default"/>
                <w:sz w:val="15"/>
                <w:szCs w:val="15"/>
              </w:rPr>
            </w:pPr>
            <w:r>
              <w:rPr>
                <w:rFonts w:ascii="宋体"/>
                <w:sz w:val="15"/>
              </w:rPr>
              <w:t>7</w:t>
            </w:r>
          </w:p>
        </w:tc>
      </w:tr>
      <w:tr>
        <w:trPr>
          <w:trHeight w:val="593"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sz w:val="15"/>
              </w:rPr>
              <w:t>IN</w:t>
            </w:r>
            <w:r>
              <w:rPr>
                <w:rFonts w:ascii="宋体"/>
                <w:spacing w:val="-3"/>
                <w:sz w:val="15"/>
              </w:rPr>
              <w:t> </w:t>
            </w:r>
            <w:r>
              <w:rPr>
                <w:rFonts w:ascii="宋体"/>
                <w:sz w:val="15"/>
              </w:rPr>
              <w:t>Systems</w:t>
            </w:r>
          </w:p>
          <w:p>
            <w:pPr>
              <w:pStyle w:val="TableParagraph"/>
              <w:spacing w:line="240" w:lineRule="auto"/>
              <w:ind w:left="103" w:right="636"/>
              <w:jc w:val="left"/>
              <w:rPr>
                <w:rFonts w:ascii="宋体" w:hAnsi="宋体" w:cs="宋体" w:eastAsia="宋体" w:hint="default"/>
                <w:sz w:val="15"/>
                <w:szCs w:val="15"/>
              </w:rPr>
            </w:pPr>
            <w:r>
              <w:rPr>
                <w:rFonts w:ascii="宋体"/>
                <w:sz w:val="15"/>
              </w:rPr>
              <w:t>(Macao) Limited</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689,525.44</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z w:val="15"/>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z w:val="15"/>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462,557.14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z w:val="15"/>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z w:val="15"/>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47" w:right="0"/>
              <w:jc w:val="left"/>
              <w:rPr>
                <w:rFonts w:ascii="宋体" w:hAnsi="宋体" w:cs="宋体" w:eastAsia="宋体" w:hint="default"/>
                <w:sz w:val="15"/>
                <w:szCs w:val="15"/>
              </w:rPr>
            </w:pPr>
            <w:r>
              <w:rPr>
                <w:rFonts w:ascii="宋体"/>
                <w:sz w:val="15"/>
              </w:rPr>
              <w:t>461,355</w:t>
            </w:r>
          </w:p>
          <w:p>
            <w:pPr>
              <w:pStyle w:val="TableParagraph"/>
              <w:spacing w:line="195" w:lineRule="exact"/>
              <w:ind w:left="447" w:right="0"/>
              <w:jc w:val="left"/>
              <w:rPr>
                <w:rFonts w:ascii="宋体" w:hAnsi="宋体" w:cs="宋体" w:eastAsia="宋体" w:hint="default"/>
                <w:sz w:val="15"/>
                <w:szCs w:val="15"/>
              </w:rPr>
            </w:pPr>
            <w:r>
              <w:rPr>
                <w:rFonts w:ascii="宋体"/>
                <w:sz w:val="15"/>
              </w:rPr>
              <w:t>.10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z w:val="15"/>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3,332.27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694,059.75</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z w:val="15"/>
              </w:rPr>
              <w:t>0</w:t>
            </w:r>
          </w:p>
        </w:tc>
      </w:tr>
      <w:tr>
        <w:trPr>
          <w:trHeight w:val="59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sz w:val="15"/>
              </w:rPr>
              <w:t>I-Sprint</w:t>
            </w:r>
          </w:p>
          <w:p>
            <w:pPr>
              <w:pStyle w:val="TableParagraph"/>
              <w:spacing w:line="240" w:lineRule="auto"/>
              <w:ind w:left="103" w:right="336"/>
              <w:jc w:val="left"/>
              <w:rPr>
                <w:rFonts w:ascii="宋体" w:hAnsi="宋体" w:cs="宋体" w:eastAsia="宋体" w:hint="default"/>
                <w:sz w:val="15"/>
                <w:szCs w:val="15"/>
              </w:rPr>
            </w:pPr>
            <w:r>
              <w:rPr>
                <w:rFonts w:ascii="宋体"/>
                <w:sz w:val="15"/>
              </w:rPr>
              <w:t>Innovations Pte</w:t>
            </w:r>
            <w:r>
              <w:rPr>
                <w:rFonts w:ascii="宋体"/>
                <w:spacing w:val="-3"/>
                <w:sz w:val="15"/>
              </w:rPr>
              <w:t> </w:t>
            </w:r>
            <w:r>
              <w:rPr>
                <w:rFonts w:ascii="宋体"/>
                <w:sz w:val="15"/>
              </w:rPr>
              <w:t>Ltd.</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z w:val="15"/>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70,093,366.0</w:t>
            </w:r>
          </w:p>
          <w:p>
            <w:pPr>
              <w:pStyle w:val="TableParagraph"/>
              <w:spacing w:line="195" w:lineRule="exact"/>
              <w:ind w:right="100"/>
              <w:jc w:val="right"/>
              <w:rPr>
                <w:rFonts w:ascii="宋体" w:hAnsi="宋体" w:cs="宋体" w:eastAsia="宋体" w:hint="default"/>
                <w:sz w:val="15"/>
                <w:szCs w:val="15"/>
              </w:rPr>
            </w:pPr>
            <w:r>
              <w:rPr>
                <w:rFonts w:ascii="宋体"/>
                <w:sz w:val="15"/>
              </w:rPr>
              <w:t>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z w:val="15"/>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-17,873,305.</w:t>
            </w:r>
          </w:p>
          <w:p>
            <w:pPr>
              <w:pStyle w:val="TableParagraph"/>
              <w:spacing w:line="195" w:lineRule="exact"/>
              <w:ind w:right="101"/>
              <w:jc w:val="right"/>
              <w:rPr>
                <w:rFonts w:ascii="宋体" w:hAnsi="宋体" w:cs="宋体" w:eastAsia="宋体" w:hint="default"/>
                <w:sz w:val="15"/>
                <w:szCs w:val="15"/>
              </w:rPr>
            </w:pPr>
            <w:r>
              <w:rPr>
                <w:rFonts w:ascii="宋体"/>
                <w:sz w:val="15"/>
              </w:rPr>
              <w:t>57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35" w:right="0"/>
              <w:jc w:val="left"/>
              <w:rPr>
                <w:rFonts w:ascii="宋体" w:hAnsi="宋体" w:cs="宋体" w:eastAsia="宋体" w:hint="default"/>
                <w:sz w:val="15"/>
                <w:szCs w:val="15"/>
              </w:rPr>
            </w:pPr>
            <w:r>
              <w:rPr>
                <w:rFonts w:ascii="宋体"/>
                <w:sz w:val="15"/>
              </w:rPr>
              <w:t>-159,683</w:t>
            </w:r>
          </w:p>
          <w:p>
            <w:pPr>
              <w:pStyle w:val="TableParagraph"/>
              <w:spacing w:line="195" w:lineRule="exact"/>
              <w:ind w:left="511" w:right="0"/>
              <w:jc w:val="left"/>
              <w:rPr>
                <w:rFonts w:ascii="宋体" w:hAnsi="宋体" w:cs="宋体" w:eastAsia="宋体" w:hint="default"/>
                <w:sz w:val="15"/>
                <w:szCs w:val="15"/>
              </w:rPr>
            </w:pPr>
            <w:r>
              <w:rPr>
                <w:rFonts w:ascii="宋体"/>
                <w:sz w:val="15"/>
              </w:rPr>
              <w:t>.26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z w:val="15"/>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z w:val="15"/>
              </w:rPr>
              <w:t>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z w:val="15"/>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-2,604,772.5</w:t>
            </w:r>
          </w:p>
          <w:p>
            <w:pPr>
              <w:pStyle w:val="TableParagraph"/>
              <w:spacing w:line="195" w:lineRule="exact"/>
              <w:ind w:right="100"/>
              <w:jc w:val="right"/>
              <w:rPr>
                <w:rFonts w:ascii="宋体" w:hAnsi="宋体" w:cs="宋体" w:eastAsia="宋体" w:hint="default"/>
                <w:sz w:val="15"/>
                <w:szCs w:val="15"/>
              </w:rPr>
            </w:pPr>
            <w:r>
              <w:rPr>
                <w:rFonts w:ascii="宋体"/>
                <w:sz w:val="15"/>
              </w:rPr>
              <w:t>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8" w:right="0"/>
              <w:jc w:val="left"/>
              <w:rPr>
                <w:rFonts w:ascii="宋体" w:hAnsi="宋体" w:cs="宋体" w:eastAsia="宋体" w:hint="default"/>
                <w:sz w:val="15"/>
                <w:szCs w:val="15"/>
              </w:rPr>
            </w:pPr>
            <w:r>
              <w:rPr>
                <w:rFonts w:ascii="宋体"/>
                <w:sz w:val="15"/>
              </w:rPr>
              <w:t>49,455,604</w:t>
            </w:r>
          </w:p>
          <w:p>
            <w:pPr>
              <w:pStyle w:val="TableParagraph"/>
              <w:spacing w:line="195" w:lineRule="exact"/>
              <w:ind w:left="654" w:right="0"/>
              <w:jc w:val="left"/>
              <w:rPr>
                <w:rFonts w:ascii="宋体" w:hAnsi="宋体" w:cs="宋体" w:eastAsia="宋体" w:hint="default"/>
                <w:sz w:val="15"/>
                <w:szCs w:val="15"/>
              </w:rPr>
            </w:pPr>
            <w:r>
              <w:rPr>
                <w:rFonts w:ascii="宋体"/>
                <w:sz w:val="15"/>
              </w:rPr>
              <w:t>.71</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z w:val="15"/>
              </w:rPr>
              <w:t>0</w:t>
            </w:r>
          </w:p>
        </w:tc>
      </w:tr>
      <w:tr>
        <w:trPr>
          <w:trHeight w:val="40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30" w:right="0"/>
              <w:jc w:val="left"/>
              <w:rPr>
                <w:rFonts w:ascii="宋体" w:hAnsi="宋体" w:cs="宋体" w:eastAsia="宋体" w:hint="default"/>
                <w:sz w:val="15"/>
                <w:szCs w:val="15"/>
              </w:rPr>
            </w:pPr>
            <w:r>
              <w:rPr>
                <w:rFonts w:ascii="宋体"/>
                <w:sz w:val="15"/>
              </w:rPr>
              <w:t>15,622,190</w:t>
            </w:r>
          </w:p>
          <w:p>
            <w:pPr>
              <w:pStyle w:val="TableParagraph"/>
              <w:spacing w:line="196" w:lineRule="exact"/>
              <w:ind w:left="656" w:right="0"/>
              <w:jc w:val="left"/>
              <w:rPr>
                <w:rFonts w:ascii="宋体" w:hAnsi="宋体" w:cs="宋体" w:eastAsia="宋体" w:hint="default"/>
                <w:sz w:val="15"/>
                <w:szCs w:val="15"/>
              </w:rPr>
            </w:pPr>
            <w:r>
              <w:rPr>
                <w:rFonts w:ascii="宋体"/>
                <w:sz w:val="15"/>
              </w:rPr>
              <w:t>.78</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70,093,366.0</w:t>
            </w:r>
          </w:p>
          <w:p>
            <w:pPr>
              <w:pStyle w:val="TableParagraph"/>
              <w:spacing w:line="196" w:lineRule="exact"/>
              <w:ind w:right="100"/>
              <w:jc w:val="right"/>
              <w:rPr>
                <w:rFonts w:ascii="宋体" w:hAnsi="宋体" w:cs="宋体" w:eastAsia="宋体" w:hint="default"/>
                <w:sz w:val="15"/>
                <w:szCs w:val="15"/>
              </w:rPr>
            </w:pPr>
            <w:r>
              <w:rPr>
                <w:rFonts w:ascii="宋体"/>
                <w:sz w:val="15"/>
              </w:rPr>
              <w:t>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8" w:right="0"/>
              <w:jc w:val="center"/>
              <w:rPr>
                <w:rFonts w:ascii="宋体" w:hAnsi="宋体" w:cs="宋体" w:eastAsia="宋体" w:hint="default"/>
                <w:sz w:val="15"/>
                <w:szCs w:val="15"/>
              </w:rPr>
            </w:pPr>
            <w:r>
              <w:rPr>
                <w:rFonts w:ascii="宋体"/>
                <w:sz w:val="15"/>
              </w:rPr>
              <w:t>437,77</w:t>
            </w:r>
          </w:p>
          <w:p>
            <w:pPr>
              <w:pStyle w:val="TableParagraph"/>
              <w:spacing w:line="196" w:lineRule="exact"/>
              <w:ind w:left="158" w:right="0"/>
              <w:jc w:val="center"/>
              <w:rPr>
                <w:rFonts w:ascii="宋体" w:hAnsi="宋体" w:cs="宋体" w:eastAsia="宋体" w:hint="default"/>
                <w:sz w:val="15"/>
                <w:szCs w:val="15"/>
              </w:rPr>
            </w:pPr>
            <w:r>
              <w:rPr>
                <w:rFonts w:ascii="宋体"/>
                <w:sz w:val="15"/>
              </w:rPr>
              <w:t>1.34</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-17,535,094.</w:t>
            </w:r>
          </w:p>
          <w:p>
            <w:pPr>
              <w:pStyle w:val="TableParagraph"/>
              <w:spacing w:line="196" w:lineRule="exact"/>
              <w:ind w:right="101"/>
              <w:jc w:val="right"/>
              <w:rPr>
                <w:rFonts w:ascii="宋体" w:hAnsi="宋体" w:cs="宋体" w:eastAsia="宋体" w:hint="default"/>
                <w:sz w:val="15"/>
                <w:szCs w:val="15"/>
              </w:rPr>
            </w:pPr>
            <w:r>
              <w:rPr>
                <w:rFonts w:ascii="宋体"/>
                <w:sz w:val="15"/>
              </w:rPr>
              <w:t>58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35" w:right="0"/>
              <w:jc w:val="left"/>
              <w:rPr>
                <w:rFonts w:ascii="宋体" w:hAnsi="宋体" w:cs="宋体" w:eastAsia="宋体" w:hint="default"/>
                <w:sz w:val="15"/>
                <w:szCs w:val="15"/>
              </w:rPr>
            </w:pPr>
            <w:r>
              <w:rPr>
                <w:rFonts w:ascii="宋体"/>
                <w:sz w:val="15"/>
              </w:rPr>
              <w:t>-159,683</w:t>
            </w:r>
          </w:p>
          <w:p>
            <w:pPr>
              <w:pStyle w:val="TableParagraph"/>
              <w:spacing w:line="196" w:lineRule="exact"/>
              <w:ind w:left="511" w:right="0"/>
              <w:jc w:val="left"/>
              <w:rPr>
                <w:rFonts w:ascii="宋体" w:hAnsi="宋体" w:cs="宋体" w:eastAsia="宋体" w:hint="default"/>
                <w:sz w:val="15"/>
                <w:szCs w:val="15"/>
              </w:rPr>
            </w:pPr>
            <w:r>
              <w:rPr>
                <w:rFonts w:ascii="宋体"/>
                <w:sz w:val="15"/>
              </w:rPr>
              <w:t>.26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z w:val="15"/>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47" w:right="0"/>
              <w:jc w:val="left"/>
              <w:rPr>
                <w:rFonts w:ascii="宋体" w:hAnsi="宋体" w:cs="宋体" w:eastAsia="宋体" w:hint="default"/>
                <w:sz w:val="15"/>
                <w:szCs w:val="15"/>
              </w:rPr>
            </w:pPr>
            <w:r>
              <w:rPr>
                <w:rFonts w:ascii="宋体"/>
                <w:sz w:val="15"/>
              </w:rPr>
              <w:t>461,355</w:t>
            </w:r>
          </w:p>
          <w:p>
            <w:pPr>
              <w:pStyle w:val="TableParagraph"/>
              <w:spacing w:line="196" w:lineRule="exact"/>
              <w:ind w:left="447" w:right="0"/>
              <w:jc w:val="left"/>
              <w:rPr>
                <w:rFonts w:ascii="宋体" w:hAnsi="宋体" w:cs="宋体" w:eastAsia="宋体" w:hint="default"/>
                <w:sz w:val="15"/>
                <w:szCs w:val="15"/>
              </w:rPr>
            </w:pPr>
            <w:r>
              <w:rPr>
                <w:rFonts w:ascii="宋体"/>
                <w:sz w:val="15"/>
              </w:rPr>
              <w:t>.10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23" w:right="0"/>
              <w:jc w:val="left"/>
              <w:rPr>
                <w:rFonts w:ascii="宋体" w:hAnsi="宋体" w:cs="宋体" w:eastAsia="宋体" w:hint="default"/>
                <w:sz w:val="15"/>
                <w:szCs w:val="15"/>
              </w:rPr>
            </w:pPr>
            <w:r>
              <w:rPr>
                <w:rFonts w:ascii="宋体"/>
                <w:sz w:val="15"/>
              </w:rPr>
              <w:t>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-2,599,126.1</w:t>
            </w:r>
          </w:p>
          <w:p>
            <w:pPr>
              <w:pStyle w:val="TableParagraph"/>
              <w:spacing w:line="196" w:lineRule="exact"/>
              <w:ind w:right="100"/>
              <w:jc w:val="right"/>
              <w:rPr>
                <w:rFonts w:ascii="宋体" w:hAnsi="宋体" w:cs="宋体" w:eastAsia="宋体" w:hint="default"/>
                <w:sz w:val="15"/>
                <w:szCs w:val="15"/>
              </w:rPr>
            </w:pPr>
            <w:r>
              <w:rPr>
                <w:rFonts w:ascii="宋体"/>
                <w:sz w:val="15"/>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8" w:right="0"/>
              <w:jc w:val="left"/>
              <w:rPr>
                <w:rFonts w:ascii="宋体" w:hAnsi="宋体" w:cs="宋体" w:eastAsia="宋体" w:hint="default"/>
                <w:sz w:val="15"/>
                <w:szCs w:val="15"/>
              </w:rPr>
            </w:pPr>
            <w:r>
              <w:rPr>
                <w:rFonts w:ascii="宋体"/>
                <w:sz w:val="15"/>
              </w:rPr>
              <w:t>64,522,526</w:t>
            </w:r>
          </w:p>
          <w:p>
            <w:pPr>
              <w:pStyle w:val="TableParagraph"/>
              <w:spacing w:line="196" w:lineRule="exact"/>
              <w:ind w:left="654" w:right="0"/>
              <w:jc w:val="left"/>
              <w:rPr>
                <w:rFonts w:ascii="宋体" w:hAnsi="宋体" w:cs="宋体" w:eastAsia="宋体" w:hint="default"/>
                <w:sz w:val="15"/>
                <w:szCs w:val="15"/>
              </w:rPr>
            </w:pPr>
            <w:r>
              <w:rPr>
                <w:rFonts w:ascii="宋体"/>
                <w:sz w:val="15"/>
              </w:rPr>
              <w:t>.48</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676,865.6</w:t>
            </w:r>
          </w:p>
          <w:p>
            <w:pPr>
              <w:pStyle w:val="TableParagraph"/>
              <w:spacing w:line="196" w:lineRule="exact"/>
              <w:ind w:right="100"/>
              <w:jc w:val="right"/>
              <w:rPr>
                <w:rFonts w:ascii="宋体" w:hAnsi="宋体" w:cs="宋体" w:eastAsia="宋体" w:hint="default"/>
                <w:sz w:val="15"/>
                <w:szCs w:val="15"/>
              </w:rPr>
            </w:pPr>
            <w:r>
              <w:rPr>
                <w:rFonts w:ascii="宋体"/>
                <w:sz w:val="15"/>
              </w:rPr>
              <w:t>7</w:t>
            </w:r>
          </w:p>
        </w:tc>
      </w:tr>
    </w:tbl>
    <w:p>
      <w:pPr>
        <w:pStyle w:val="BodyText"/>
        <w:spacing w:line="240" w:lineRule="auto" w:before="81"/>
        <w:ind w:left="1538" w:right="0"/>
        <w:jc w:val="both"/>
      </w:pPr>
      <w:r>
        <w:rPr/>
        <w:t>说明：</w:t>
      </w:r>
    </w:p>
    <w:p>
      <w:pPr>
        <w:pStyle w:val="BodyText"/>
        <w:spacing w:line="237" w:lineRule="auto" w:before="119"/>
        <w:ind w:left="1538" w:right="1152"/>
        <w:jc w:val="both"/>
      </w:pPr>
      <w:r>
        <w:rPr/>
        <w:t>（</w:t>
      </w:r>
      <w:r>
        <w:rPr>
          <w:rFonts w:ascii="宋体" w:hAnsi="宋体" w:cs="宋体" w:eastAsia="宋体" w:hint="default"/>
        </w:rPr>
        <w:t>1</w:t>
      </w:r>
      <w:r>
        <w:rPr/>
        <w:t>）本公司之间接控股子公司北京华胜天成创业投资管理有限公司本期发生非同一 </w:t>
      </w:r>
      <w:r>
        <w:rPr>
          <w:spacing w:val="-2"/>
        </w:rPr>
        <w:t>控制下企业合并，原联营公司北京中域绿色智能城市系统研究院（有限合伙）变更为</w:t>
      </w:r>
      <w:r>
        <w:rPr>
          <w:spacing w:val="-94"/>
        </w:rPr>
        <w:t> </w:t>
      </w:r>
      <w:r>
        <w:rPr>
          <w:spacing w:val="-94"/>
        </w:rPr>
      </w:r>
      <w:r>
        <w:rPr>
          <w:spacing w:val="-4"/>
        </w:rPr>
        <w:t>控股子公司，持股比例</w:t>
      </w:r>
      <w:r>
        <w:rPr>
          <w:spacing w:val="-69"/>
        </w:rPr>
        <w:t> </w:t>
      </w:r>
      <w:r>
        <w:rPr>
          <w:rFonts w:ascii="宋体" w:hAnsi="宋体" w:cs="宋体" w:eastAsia="宋体" w:hint="default"/>
        </w:rPr>
        <w:t>70%</w:t>
      </w:r>
      <w:r>
        <w:rPr/>
        <w:t>股权，本期权益法核算享有的权益为</w:t>
      </w:r>
      <w:r>
        <w:rPr>
          <w:spacing w:val="-69"/>
        </w:rPr>
        <w:t> </w:t>
      </w:r>
      <w:r>
        <w:rPr>
          <w:rFonts w:ascii="宋体" w:hAnsi="宋体" w:cs="宋体" w:eastAsia="宋体" w:hint="default"/>
        </w:rPr>
        <w:t>4,787.07</w:t>
      </w:r>
      <w:r>
        <w:rPr>
          <w:rFonts w:ascii="宋体" w:hAnsi="宋体" w:cs="宋体" w:eastAsia="宋体" w:hint="default"/>
          <w:spacing w:val="-69"/>
        </w:rPr>
        <w:t> </w:t>
      </w:r>
      <w:r>
        <w:rPr>
          <w:spacing w:val="-8"/>
        </w:rPr>
        <w:t>元。详见本</w:t>
      </w:r>
      <w:r>
        <w:rPr/>
        <w:t> 附注六、</w:t>
      </w:r>
      <w:r>
        <w:rPr>
          <w:rFonts w:ascii="宋体" w:hAnsi="宋体" w:cs="宋体" w:eastAsia="宋体" w:hint="default"/>
        </w:rPr>
        <w:t>1</w:t>
      </w:r>
      <w:r>
        <w:rPr/>
        <w:t>。</w:t>
      </w:r>
    </w:p>
    <w:p>
      <w:pPr>
        <w:spacing w:line="310" w:lineRule="exact" w:before="149"/>
        <w:ind w:left="1538" w:right="1151" w:firstLine="0"/>
        <w:jc w:val="both"/>
        <w:rPr>
          <w:rFonts w:ascii="宋体" w:hAnsi="宋体" w:cs="宋体" w:eastAsia="宋体" w:hint="default"/>
          <w:sz w:val="24"/>
          <w:szCs w:val="24"/>
        </w:rPr>
      </w:pPr>
      <w:r>
        <w:rPr>
          <w:rFonts w:ascii="宋体" w:hAnsi="宋体" w:cs="宋体" w:eastAsia="宋体" w:hint="default"/>
          <w:spacing w:val="-12"/>
          <w:sz w:val="24"/>
          <w:szCs w:val="24"/>
        </w:rPr>
        <w:t>（</w:t>
      </w:r>
      <w:r>
        <w:rPr>
          <w:rFonts w:ascii="宋体" w:hAnsi="宋体" w:cs="宋体" w:eastAsia="宋体" w:hint="default"/>
          <w:spacing w:val="-12"/>
          <w:sz w:val="24"/>
          <w:szCs w:val="24"/>
        </w:rPr>
        <w:t>2</w:t>
      </w:r>
      <w:r>
        <w:rPr>
          <w:rFonts w:ascii="宋体" w:hAnsi="宋体" w:cs="宋体" w:eastAsia="宋体" w:hint="default"/>
          <w:spacing w:val="-12"/>
          <w:sz w:val="24"/>
          <w:szCs w:val="24"/>
        </w:rPr>
        <w:t>）本公司间接控制</w:t>
      </w:r>
      <w:r>
        <w:rPr>
          <w:rFonts w:ascii="宋体" w:hAnsi="宋体" w:cs="宋体" w:eastAsia="宋体" w:hint="default"/>
          <w:spacing w:val="-73"/>
          <w:sz w:val="24"/>
          <w:szCs w:val="24"/>
        </w:rPr>
        <w:t> </w:t>
      </w:r>
      <w:r>
        <w:rPr>
          <w:rFonts w:ascii="宋体" w:hAnsi="宋体" w:cs="宋体" w:eastAsia="宋体" w:hint="default"/>
          <w:sz w:val="24"/>
          <w:szCs w:val="24"/>
        </w:rPr>
        <w:t>ASL</w:t>
      </w:r>
      <w:r>
        <w:rPr>
          <w:rFonts w:ascii="宋体" w:hAnsi="宋体" w:cs="宋体" w:eastAsia="宋体" w:hint="default"/>
          <w:spacing w:val="-73"/>
          <w:sz w:val="24"/>
          <w:szCs w:val="24"/>
        </w:rPr>
        <w:t> </w:t>
      </w:r>
      <w:r>
        <w:rPr>
          <w:rFonts w:ascii="宋体" w:hAnsi="宋体" w:cs="宋体" w:eastAsia="宋体" w:hint="default"/>
          <w:sz w:val="24"/>
          <w:szCs w:val="24"/>
        </w:rPr>
        <w:t>公司之全资子公司</w:t>
      </w:r>
      <w:r>
        <w:rPr>
          <w:rFonts w:ascii="宋体" w:hAnsi="宋体" w:cs="宋体" w:eastAsia="宋体" w:hint="default"/>
          <w:spacing w:val="-73"/>
          <w:sz w:val="24"/>
          <w:szCs w:val="24"/>
        </w:rPr>
        <w:t> </w:t>
      </w:r>
      <w:r>
        <w:rPr>
          <w:rFonts w:ascii="宋体" w:hAnsi="宋体" w:cs="宋体" w:eastAsia="宋体" w:hint="default"/>
          <w:spacing w:val="-8"/>
          <w:sz w:val="24"/>
          <w:szCs w:val="24"/>
        </w:rPr>
        <w:t>ASLSecurity</w:t>
      </w:r>
      <w:r>
        <w:rPr>
          <w:rFonts w:ascii="宋体" w:hAnsi="宋体" w:cs="宋体" w:eastAsia="宋体" w:hint="default"/>
          <w:spacing w:val="-8"/>
          <w:sz w:val="24"/>
          <w:szCs w:val="24"/>
        </w:rPr>
        <w:t>，原持有</w:t>
      </w:r>
      <w:r>
        <w:rPr>
          <w:rFonts w:ascii="宋体" w:hAnsi="宋体" w:cs="宋体" w:eastAsia="宋体" w:hint="default"/>
          <w:spacing w:val="-72"/>
          <w:sz w:val="24"/>
          <w:szCs w:val="24"/>
        </w:rPr>
        <w:t> </w:t>
      </w:r>
      <w:r>
        <w:rPr>
          <w:rFonts w:ascii="宋体" w:hAnsi="宋体" w:cs="宋体" w:eastAsia="宋体" w:hint="default"/>
          <w:spacing w:val="-1"/>
          <w:sz w:val="21"/>
          <w:szCs w:val="21"/>
        </w:rPr>
        <w:t>I-Sprint</w:t>
      </w:r>
      <w:r>
        <w:rPr>
          <w:rFonts w:ascii="宋体" w:hAnsi="宋体" w:cs="宋体" w:eastAsia="宋体" w:hint="default"/>
          <w:spacing w:val="-53"/>
          <w:sz w:val="21"/>
          <w:szCs w:val="21"/>
        </w:rPr>
        <w:t> </w:t>
      </w:r>
      <w:r>
        <w:rPr>
          <w:rFonts w:ascii="宋体" w:hAnsi="宋体" w:cs="宋体" w:eastAsia="宋体" w:hint="default"/>
          <w:sz w:val="21"/>
          <w:szCs w:val="21"/>
        </w:rPr>
        <w:t>Innovations</w:t>
      </w:r>
      <w:r>
        <w:rPr>
          <w:rFonts w:ascii="宋体" w:hAnsi="宋体" w:cs="宋体" w:eastAsia="宋体" w:hint="default"/>
          <w:sz w:val="21"/>
          <w:szCs w:val="21"/>
        </w:rPr>
        <w:t> PteLtd.</w:t>
      </w:r>
      <w:r>
        <w:rPr>
          <w:rFonts w:ascii="宋体" w:hAnsi="宋体" w:cs="宋体" w:eastAsia="宋体" w:hint="default"/>
          <w:sz w:val="24"/>
          <w:szCs w:val="24"/>
        </w:rPr>
        <w:t>100%</w:t>
      </w:r>
      <w:r>
        <w:rPr>
          <w:rFonts w:ascii="宋体" w:hAnsi="宋体" w:cs="宋体" w:eastAsia="宋体" w:hint="default"/>
          <w:sz w:val="24"/>
          <w:szCs w:val="24"/>
        </w:rPr>
        <w:t>的股权，现持股</w:t>
      </w:r>
      <w:r>
        <w:rPr>
          <w:rFonts w:ascii="宋体" w:hAnsi="宋体" w:cs="宋体" w:eastAsia="宋体" w:hint="default"/>
          <w:spacing w:val="-62"/>
          <w:sz w:val="24"/>
          <w:szCs w:val="24"/>
        </w:rPr>
        <w:t> </w:t>
      </w:r>
      <w:r>
        <w:rPr>
          <w:rFonts w:ascii="宋体" w:hAnsi="宋体" w:cs="宋体" w:eastAsia="宋体" w:hint="default"/>
          <w:sz w:val="24"/>
          <w:szCs w:val="24"/>
        </w:rPr>
        <w:t>48.22%</w:t>
      </w:r>
      <w:r>
        <w:rPr>
          <w:rFonts w:ascii="宋体" w:hAnsi="宋体" w:cs="宋体" w:eastAsia="宋体" w:hint="default"/>
          <w:sz w:val="24"/>
          <w:szCs w:val="24"/>
        </w:rPr>
        <w:t>，变为本集团的联营公司，详见本附注六、</w:t>
      </w:r>
      <w:r>
        <w:rPr>
          <w:rFonts w:ascii="宋体" w:hAnsi="宋体" w:cs="宋体" w:eastAsia="宋体" w:hint="default"/>
          <w:sz w:val="24"/>
          <w:szCs w:val="24"/>
        </w:rPr>
        <w:t>2</w:t>
      </w:r>
      <w:r>
        <w:rPr>
          <w:rFonts w:ascii="宋体" w:hAnsi="宋体" w:cs="宋体" w:eastAsia="宋体" w:hint="default"/>
          <w:sz w:val="24"/>
          <w:szCs w:val="24"/>
        </w:rPr>
        <w:t>。</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82" w:footer="1194" w:top="1120" w:bottom="1380" w:left="260" w:right="120"/>
        </w:sectPr>
      </w:pPr>
    </w:p>
    <w:p>
      <w:pPr>
        <w:pStyle w:val="Heading2"/>
        <w:spacing w:line="240" w:lineRule="auto"/>
        <w:ind w:left="1538" w:right="-5"/>
        <w:jc w:val="left"/>
        <w:rPr>
          <w:b w:val="0"/>
          <w:bCs w:val="0"/>
        </w:rPr>
      </w:pPr>
      <w:r>
        <w:rPr>
          <w:rFonts w:ascii="宋体" w:hAnsi="宋体" w:cs="宋体" w:eastAsia="宋体" w:hint="default"/>
        </w:rPr>
        <w:t>13</w:t>
      </w:r>
      <w:r>
        <w:rPr/>
        <w:t>、</w:t>
      </w:r>
      <w:r>
        <w:rPr>
          <w:spacing w:val="-107"/>
        </w:rPr>
        <w:t> </w:t>
      </w:r>
      <w:r>
        <w:rPr/>
        <w:t>投资性房地产</w:t>
      </w:r>
      <w:r>
        <w:rPr>
          <w:b w:val="0"/>
          <w:bCs w:val="0"/>
        </w:rPr>
      </w:r>
    </w:p>
    <w:p>
      <w:pPr>
        <w:pStyle w:val="Heading2"/>
        <w:spacing w:line="240" w:lineRule="auto" w:before="56"/>
        <w:ind w:left="1538" w:right="-5"/>
        <w:jc w:val="left"/>
        <w:rPr>
          <w:b w:val="0"/>
          <w:bCs w:val="0"/>
        </w:rPr>
      </w:pPr>
      <w:r>
        <w:rPr>
          <w:rFonts w:ascii="宋体" w:hAnsi="宋体" w:cs="宋体" w:eastAsia="宋体" w:hint="default"/>
        </w:rPr>
        <w:t>(1).</w:t>
      </w:r>
      <w:r>
        <w:rPr>
          <w:rFonts w:ascii="宋体" w:hAnsi="宋体" w:cs="宋体" w:eastAsia="宋体" w:hint="default"/>
          <w:spacing w:val="-7"/>
        </w:rPr>
        <w:t> </w:t>
      </w:r>
      <w:r>
        <w:rPr/>
        <w:t>采用成本计量模式的投资性房地产</w:t>
      </w:r>
      <w:r>
        <w:rPr>
          <w:b w:val="0"/>
          <w:bCs w:val="0"/>
        </w:rPr>
      </w:r>
    </w:p>
    <w:p>
      <w:pPr>
        <w:spacing w:before="60"/>
        <w:ind w:left="1538" w:right="-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tabs>
          <w:tab w:pos="2587" w:val="left" w:leader="none"/>
        </w:tabs>
        <w:spacing w:before="0"/>
        <w:ind w:left="153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260" w:right="120"/>
          <w:cols w:num="2" w:equalWidth="0">
            <w:col w:w="5766" w:space="758"/>
            <w:col w:w="5006"/>
          </w:cols>
        </w:sectPr>
      </w:pPr>
    </w:p>
    <w:p>
      <w:pPr>
        <w:spacing w:line="240" w:lineRule="auto" w:before="7"/>
        <w:rPr>
          <w:rFonts w:ascii="宋体" w:hAnsi="宋体" w:cs="宋体" w:eastAsia="宋体" w:hint="default"/>
          <w:sz w:val="2"/>
          <w:szCs w:val="2"/>
        </w:rPr>
      </w:pPr>
    </w:p>
    <w:tbl>
      <w:tblPr>
        <w:tblW w:w="0" w:type="auto"/>
        <w:jc w:val="left"/>
        <w:tblInd w:w="1425" w:type="dxa"/>
        <w:tblLayout w:type="fixed"/>
        <w:tblCellMar>
          <w:top w:w="0" w:type="dxa"/>
          <w:left w:w="0" w:type="dxa"/>
          <w:bottom w:w="0" w:type="dxa"/>
          <w:right w:w="0" w:type="dxa"/>
        </w:tblCellMar>
        <w:tblLook w:val="01E0"/>
      </w:tblPr>
      <w:tblGrid>
        <w:gridCol w:w="2794"/>
        <w:gridCol w:w="1581"/>
        <w:gridCol w:w="1554"/>
        <w:gridCol w:w="1540"/>
        <w:gridCol w:w="1582"/>
      </w:tblGrid>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4"/>
              <w:jc w:val="right"/>
              <w:rPr>
                <w:rFonts w:ascii="宋体" w:hAnsi="宋体" w:cs="宋体" w:eastAsia="宋体" w:hint="default"/>
                <w:sz w:val="21"/>
                <w:szCs w:val="21"/>
              </w:rPr>
            </w:pPr>
            <w:r>
              <w:rPr>
                <w:rFonts w:ascii="宋体" w:hAnsi="宋体" w:cs="宋体" w:eastAsia="宋体" w:hint="default"/>
                <w:sz w:val="21"/>
                <w:szCs w:val="21"/>
              </w:rPr>
              <w:t>房屋、建筑物</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7"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81"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50,379,548.98</w:t>
            </w:r>
          </w:p>
        </w:tc>
        <w:tc>
          <w:tcPr>
            <w:tcW w:w="1554"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50,379,548.98</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279,725.05</w:t>
            </w:r>
          </w:p>
        </w:tc>
        <w:tc>
          <w:tcPr>
            <w:tcW w:w="1554"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279,725.05</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）外购</w:t>
            </w:r>
          </w:p>
        </w:tc>
        <w:tc>
          <w:tcPr>
            <w:tcW w:w="1581"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）存货</w:t>
            </w:r>
            <w:r>
              <w:rPr>
                <w:rFonts w:ascii="宋体" w:hAnsi="宋体" w:cs="宋体" w:eastAsia="宋体" w:hint="default"/>
                <w:sz w:val="21"/>
                <w:szCs w:val="21"/>
              </w:rPr>
              <w:t>\</w:t>
            </w: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建工程转入</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237,713.91</w:t>
            </w:r>
          </w:p>
        </w:tc>
        <w:tc>
          <w:tcPr>
            <w:tcW w:w="1554"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237,713.91</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1581"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）汇率变动</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42,011.14</w:t>
            </w:r>
          </w:p>
        </w:tc>
        <w:tc>
          <w:tcPr>
            <w:tcW w:w="1554"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42,011.14</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554"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54"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554"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r>
    </w:tbl>
    <w:p>
      <w:pPr>
        <w:spacing w:after="0" w:line="241" w:lineRule="exact"/>
        <w:jc w:val="right"/>
        <w:rPr>
          <w:rFonts w:ascii="宋体" w:hAnsi="宋体" w:cs="宋体" w:eastAsia="宋体" w:hint="default"/>
          <w:sz w:val="21"/>
          <w:szCs w:val="21"/>
        </w:rPr>
        <w:sectPr>
          <w:type w:val="continuous"/>
          <w:pgSz w:w="11910" w:h="16840"/>
          <w:pgMar w:top="1080" w:bottom="1380" w:left="260" w:right="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794"/>
        <w:gridCol w:w="1581"/>
        <w:gridCol w:w="1554"/>
        <w:gridCol w:w="1540"/>
        <w:gridCol w:w="1582"/>
      </w:tblGrid>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50,659,274.03</w:t>
            </w:r>
          </w:p>
        </w:tc>
        <w:tc>
          <w:tcPr>
            <w:tcW w:w="1554"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50,659,274.03</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1581"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8,200,353.09</w:t>
            </w:r>
          </w:p>
        </w:tc>
        <w:tc>
          <w:tcPr>
            <w:tcW w:w="1554"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8,200,353.09</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1,400,615.34</w:t>
            </w:r>
          </w:p>
        </w:tc>
        <w:tc>
          <w:tcPr>
            <w:tcW w:w="1554"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1,400,615.34</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）计提或摊销</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1,397,226.62</w:t>
            </w:r>
          </w:p>
        </w:tc>
        <w:tc>
          <w:tcPr>
            <w:tcW w:w="1554"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1,397,226.62</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）汇率变动</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3,388.72</w:t>
            </w:r>
          </w:p>
        </w:tc>
        <w:tc>
          <w:tcPr>
            <w:tcW w:w="1554"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3,388.72</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54"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554"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54"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9,600,968.43</w:t>
            </w:r>
          </w:p>
        </w:tc>
        <w:tc>
          <w:tcPr>
            <w:tcW w:w="1554"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9,600,968.43</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81"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81"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81"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581"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81"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581"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581"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81"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81"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41,058,305.60</w:t>
            </w:r>
          </w:p>
        </w:tc>
        <w:tc>
          <w:tcPr>
            <w:tcW w:w="1554"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41,058,305.60</w:t>
            </w:r>
          </w:p>
        </w:tc>
      </w:tr>
      <w:tr>
        <w:trPr>
          <w:trHeight w:val="300"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42,179,195.89</w:t>
            </w:r>
          </w:p>
        </w:tc>
        <w:tc>
          <w:tcPr>
            <w:tcW w:w="1554"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42,179,195.89</w:t>
            </w:r>
          </w:p>
        </w:tc>
      </w:tr>
    </w:tbl>
    <w:p>
      <w:pPr>
        <w:pStyle w:val="BodyText"/>
        <w:spacing w:line="275" w:lineRule="exact"/>
        <w:ind w:left="218" w:right="101"/>
        <w:jc w:val="left"/>
      </w:pPr>
      <w:r>
        <w:rPr/>
        <w:t>说明：截至期末本公司不存在应计提投资性房地产减值准备的情形。</w:t>
      </w:r>
    </w:p>
    <w:p>
      <w:pPr>
        <w:pStyle w:val="BodyText"/>
        <w:spacing w:line="240" w:lineRule="auto" w:before="48"/>
        <w:ind w:left="215" w:right="101"/>
        <w:jc w:val="left"/>
      </w:pPr>
      <w:r>
        <w:rPr/>
        <w:t>（</w:t>
      </w:r>
      <w:r>
        <w:rPr>
          <w:rFonts w:ascii="宋体" w:hAnsi="宋体" w:cs="宋体" w:eastAsia="宋体" w:hint="default"/>
        </w:rPr>
        <w:t>2</w:t>
      </w:r>
      <w:r>
        <w:rPr/>
        <w:t>）投资性房地产抵押、担保情况</w:t>
      </w:r>
    </w:p>
    <w:p>
      <w:pPr>
        <w:spacing w:line="240" w:lineRule="auto" w:before="12"/>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2112"/>
        <w:gridCol w:w="2471"/>
        <w:gridCol w:w="4467"/>
      </w:tblGrid>
      <w:tr>
        <w:trPr>
          <w:trHeight w:val="412" w:hRule="exact"/>
        </w:trPr>
        <w:tc>
          <w:tcPr>
            <w:tcW w:w="2112"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left="108" w:right="0"/>
              <w:jc w:val="left"/>
              <w:rPr>
                <w:rFonts w:ascii="宋体" w:hAnsi="宋体" w:cs="宋体" w:eastAsia="宋体" w:hint="default"/>
                <w:sz w:val="21"/>
                <w:szCs w:val="21"/>
              </w:rPr>
            </w:pPr>
            <w:r>
              <w:rPr>
                <w:rFonts w:ascii="宋体" w:hAnsi="宋体" w:cs="宋体" w:eastAsia="宋体" w:hint="default"/>
                <w:b/>
                <w:bCs/>
                <w:sz w:val="21"/>
                <w:szCs w:val="21"/>
              </w:rPr>
              <w:t>投资性房地产类别</w:t>
            </w:r>
            <w:r>
              <w:rPr>
                <w:rFonts w:ascii="宋体" w:hAnsi="宋体" w:cs="宋体" w:eastAsia="宋体" w:hint="default"/>
                <w:sz w:val="21"/>
                <w:szCs w:val="21"/>
              </w:rPr>
            </w:r>
          </w:p>
        </w:tc>
        <w:tc>
          <w:tcPr>
            <w:tcW w:w="2471"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786"/>
              <w:jc w:val="right"/>
              <w:rPr>
                <w:rFonts w:ascii="宋体" w:hAnsi="宋体" w:cs="宋体" w:eastAsia="宋体" w:hint="default"/>
                <w:sz w:val="21"/>
                <w:szCs w:val="21"/>
              </w:rPr>
            </w:pPr>
            <w:r>
              <w:rPr>
                <w:rFonts w:ascii="宋体" w:hAnsi="宋体" w:cs="宋体" w:eastAsia="宋体" w:hint="default"/>
                <w:b/>
                <w:bCs/>
                <w:w w:val="95"/>
                <w:sz w:val="21"/>
                <w:szCs w:val="21"/>
              </w:rPr>
              <w:t>抵押物净值</w:t>
            </w:r>
            <w:r>
              <w:rPr>
                <w:rFonts w:ascii="宋体" w:hAnsi="宋体" w:cs="宋体" w:eastAsia="宋体" w:hint="default"/>
                <w:sz w:val="21"/>
                <w:szCs w:val="21"/>
              </w:rPr>
            </w:r>
          </w:p>
        </w:tc>
        <w:tc>
          <w:tcPr>
            <w:tcW w:w="4467"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108"/>
              <w:jc w:val="right"/>
              <w:rPr>
                <w:rFonts w:ascii="宋体" w:hAnsi="宋体" w:cs="宋体" w:eastAsia="宋体" w:hint="default"/>
                <w:sz w:val="21"/>
                <w:szCs w:val="21"/>
              </w:rPr>
            </w:pPr>
            <w:r>
              <w:rPr>
                <w:rFonts w:ascii="宋体" w:hAnsi="宋体" w:cs="宋体" w:eastAsia="宋体" w:hint="default"/>
                <w:b/>
                <w:bCs/>
                <w:w w:val="95"/>
                <w:sz w:val="21"/>
                <w:szCs w:val="21"/>
              </w:rPr>
              <w:t>抵押情况说明</w:t>
            </w:r>
            <w:r>
              <w:rPr>
                <w:rFonts w:ascii="宋体" w:hAnsi="宋体" w:cs="宋体" w:eastAsia="宋体" w:hint="default"/>
                <w:sz w:val="21"/>
                <w:szCs w:val="21"/>
              </w:rPr>
            </w:r>
          </w:p>
        </w:tc>
      </w:tr>
      <w:tr>
        <w:trPr>
          <w:trHeight w:val="413" w:hRule="exact"/>
        </w:trPr>
        <w:tc>
          <w:tcPr>
            <w:tcW w:w="2112"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471"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785"/>
              <w:jc w:val="right"/>
              <w:rPr>
                <w:rFonts w:ascii="宋体" w:hAnsi="宋体" w:cs="宋体" w:eastAsia="宋体" w:hint="default"/>
                <w:sz w:val="21"/>
                <w:szCs w:val="21"/>
              </w:rPr>
            </w:pPr>
            <w:r>
              <w:rPr>
                <w:rFonts w:ascii="宋体"/>
                <w:sz w:val="21"/>
              </w:rPr>
              <w:t>10,772,181.92</w:t>
            </w:r>
          </w:p>
        </w:tc>
        <w:tc>
          <w:tcPr>
            <w:tcW w:w="4467"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hAnsi="宋体" w:cs="宋体" w:eastAsia="宋体" w:hint="default"/>
                <w:sz w:val="21"/>
                <w:szCs w:val="21"/>
              </w:rPr>
              <w:t>建筑物被抵押，用于取得银行信贷担保</w:t>
            </w:r>
          </w:p>
        </w:tc>
      </w:tr>
    </w:tbl>
    <w:p>
      <w:pPr>
        <w:spacing w:after="0" w:line="240" w:lineRule="auto"/>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43"/>
          <w:footerReference w:type="default" r:id="rId44"/>
          <w:pgSz w:w="16840" w:h="11910" w:orient="landscape"/>
          <w:pgMar w:header="882" w:footer="1194" w:top="1120" w:bottom="1380" w:left="1180" w:right="1200"/>
          <w:pgNumType w:start="127"/>
        </w:sectPr>
      </w:pPr>
    </w:p>
    <w:p>
      <w:pPr>
        <w:pStyle w:val="Heading2"/>
        <w:spacing w:line="240" w:lineRule="auto" w:before="180"/>
        <w:ind w:left="260" w:right="0"/>
        <w:jc w:val="left"/>
        <w:rPr>
          <w:b w:val="0"/>
          <w:bCs w:val="0"/>
        </w:rPr>
      </w:pPr>
      <w:r>
        <w:rPr>
          <w:rFonts w:ascii="宋体" w:hAnsi="宋体" w:cs="宋体" w:eastAsia="宋体" w:hint="default"/>
        </w:rPr>
        <w:t>14</w:t>
      </w:r>
      <w:r>
        <w:rPr/>
        <w:t>、</w:t>
      </w:r>
      <w:r>
        <w:rPr>
          <w:spacing w:val="-101"/>
        </w:rPr>
        <w:t> </w:t>
      </w:r>
      <w:r>
        <w:rPr/>
        <w:t>固定资产</w:t>
      </w:r>
      <w:r>
        <w:rPr>
          <w:b w:val="0"/>
          <w:bCs w:val="0"/>
        </w:rPr>
      </w:r>
    </w:p>
    <w:p>
      <w:pPr>
        <w:pStyle w:val="Heading2"/>
        <w:tabs>
          <w:tab w:pos="1099" w:val="left" w:leader="none"/>
        </w:tabs>
        <w:spacing w:line="240" w:lineRule="auto" w:before="58"/>
        <w:ind w:left="260" w:right="0"/>
        <w:jc w:val="left"/>
        <w:rPr>
          <w:b w:val="0"/>
          <w:bCs w:val="0"/>
        </w:rPr>
      </w:pPr>
      <w:r>
        <w:rPr>
          <w:rFonts w:ascii="宋体" w:hAnsi="宋体" w:cs="宋体" w:eastAsia="宋体" w:hint="default"/>
          <w:w w:val="95"/>
        </w:rPr>
        <w:t>(1).</w:t>
        <w:tab/>
      </w:r>
      <w:r>
        <w:rPr>
          <w:w w:val="95"/>
        </w:rPr>
        <w:t>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tabs>
          <w:tab w:pos="1310" w:val="left" w:leader="none"/>
        </w:tabs>
        <w:spacing w:before="142"/>
        <w:ind w:left="260"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6840" w:h="11910" w:orient="landscape"/>
          <w:pgMar w:top="1080" w:bottom="1380" w:left="1180" w:right="1200"/>
          <w:cols w:num="2" w:equalWidth="0">
            <w:col w:w="2544" w:space="9020"/>
            <w:col w:w="289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607"/>
        <w:gridCol w:w="1530"/>
        <w:gridCol w:w="1530"/>
        <w:gridCol w:w="1426"/>
        <w:gridCol w:w="1425"/>
        <w:gridCol w:w="1426"/>
        <w:gridCol w:w="1424"/>
        <w:gridCol w:w="1320"/>
        <w:gridCol w:w="1530"/>
      </w:tblGrid>
      <w:tr>
        <w:trPr>
          <w:trHeight w:val="288"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7"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房屋装修</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7"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127,490,623.44</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144,368,662.60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33,288,405.13</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17,696,484.07</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27,107,555.52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991,159.97</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350,942,890.73</w:t>
            </w:r>
          </w:p>
        </w:tc>
      </w:tr>
      <w:tr>
        <w:trPr>
          <w:trHeight w:val="287"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227,071.62</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49,466,749.42</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1,366,557.12</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956,132.99</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690,557.71</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14,715,435.77</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3,658,411.61</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71,080,916.24</w:t>
            </w:r>
          </w:p>
        </w:tc>
      </w:tr>
      <w:tr>
        <w:trPr>
          <w:trHeight w:val="287"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0.00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47,001,126.80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1,296,122.69</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950,063.13</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712,907.90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14,715,435.77</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3,658,411.61</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68,334,067.90</w:t>
            </w:r>
          </w:p>
        </w:tc>
      </w:tr>
      <w:tr>
        <w:trPr>
          <w:trHeight w:val="288"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）在建工程转入</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2,243,678.40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0.00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2,243,678.40</w:t>
            </w:r>
          </w:p>
        </w:tc>
      </w:tr>
      <w:tr>
        <w:trPr>
          <w:trHeight w:val="287"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）汇率变动</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227,071.62</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221,944.22</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70,434.43</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6,069.86</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-22,350.19</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0.00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503,169.94</w:t>
            </w:r>
          </w:p>
        </w:tc>
      </w:tr>
      <w:tr>
        <w:trPr>
          <w:trHeight w:val="288"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4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237,713.91</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6,804,519.49</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1,895,193.65</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8"/>
              <w:jc w:val="right"/>
              <w:rPr>
                <w:rFonts w:ascii="宋体" w:hAnsi="宋体" w:cs="宋体" w:eastAsia="宋体" w:hint="default"/>
                <w:sz w:val="21"/>
                <w:szCs w:val="21"/>
              </w:rPr>
            </w:pPr>
            <w:r>
              <w:rPr>
                <w:rFonts w:ascii="宋体"/>
                <w:sz w:val="21"/>
              </w:rPr>
              <w:t>1,214,784.71</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163,813.17</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3,729,173.15</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14,045,198.08</w:t>
            </w:r>
          </w:p>
        </w:tc>
      </w:tr>
      <w:tr>
        <w:trPr>
          <w:trHeight w:val="287"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0.00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6,804,519.49</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1,895,193.65</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8"/>
              <w:jc w:val="right"/>
              <w:rPr>
                <w:rFonts w:ascii="宋体" w:hAnsi="宋体" w:cs="宋体" w:eastAsia="宋体" w:hint="default"/>
                <w:sz w:val="21"/>
                <w:szCs w:val="21"/>
              </w:rPr>
            </w:pPr>
            <w:r>
              <w:rPr>
                <w:rFonts w:ascii="宋体"/>
                <w:sz w:val="21"/>
              </w:rPr>
              <w:t>1,214,784.71</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163,813.17</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3,729,173.15</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13,807,484.17</w:t>
            </w:r>
          </w:p>
        </w:tc>
      </w:tr>
      <w:tr>
        <w:trPr>
          <w:trHeight w:val="560"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pacing w:val="-8"/>
                <w:sz w:val="21"/>
                <w:szCs w:val="21"/>
              </w:rPr>
              <w:t>（</w:t>
            </w:r>
            <w:r>
              <w:rPr>
                <w:rFonts w:ascii="宋体" w:hAnsi="宋体" w:cs="宋体" w:eastAsia="宋体" w:hint="default"/>
                <w:spacing w:val="-8"/>
                <w:sz w:val="21"/>
                <w:szCs w:val="21"/>
              </w:rPr>
              <w:t>2</w:t>
            </w:r>
            <w:r>
              <w:rPr>
                <w:rFonts w:ascii="宋体" w:hAnsi="宋体" w:cs="宋体" w:eastAsia="宋体" w:hint="default"/>
                <w:spacing w:val="-8"/>
                <w:sz w:val="21"/>
                <w:szCs w:val="21"/>
              </w:rPr>
              <w:t>）转入投资性房地</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z w:val="21"/>
              </w:rPr>
              <w:t>237,713.91</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z w:val="21"/>
              </w:rPr>
              <w:t>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z w:val="21"/>
              </w:rPr>
              <w:t>0.00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z w:val="21"/>
              </w:rPr>
              <w:t>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z w:val="21"/>
              </w:rPr>
              <w:t>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z w:val="21"/>
              </w:rPr>
              <w:t>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z w:val="21"/>
              </w:rPr>
              <w:t>0.00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z w:val="21"/>
              </w:rPr>
              <w:t>237,713.91</w:t>
            </w:r>
          </w:p>
        </w:tc>
      </w:tr>
      <w:tr>
        <w:trPr>
          <w:trHeight w:val="287"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127,479,981.15</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187,030,892.53</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32,759,768.60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17,437,832.35</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27,634,300.06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14,715,435.77</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920,398.43</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407,978,608.89</w:t>
            </w:r>
          </w:p>
        </w:tc>
      </w:tr>
      <w:tr>
        <w:trPr>
          <w:trHeight w:val="288"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17,847,523.88</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111,433,966.56</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29,530,412.80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13,570,382.10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20,558,002.29</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761,095.92</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193,701,383.55</w:t>
            </w:r>
          </w:p>
        </w:tc>
      </w:tr>
      <w:tr>
        <w:trPr>
          <w:trHeight w:val="287"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3,248,357.75</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12,989,669.86</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1,544,969.13</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8"/>
              <w:jc w:val="right"/>
              <w:rPr>
                <w:rFonts w:ascii="宋体" w:hAnsi="宋体" w:cs="宋体" w:eastAsia="宋体" w:hint="default"/>
                <w:sz w:val="21"/>
                <w:szCs w:val="21"/>
              </w:rPr>
            </w:pPr>
            <w:r>
              <w:rPr>
                <w:rFonts w:ascii="宋体"/>
                <w:sz w:val="21"/>
              </w:rPr>
              <w:t>1,893,815.27</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2,380,060.57</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73,931.89</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22,130,804.47</w:t>
            </w:r>
          </w:p>
        </w:tc>
      </w:tr>
      <w:tr>
        <w:trPr>
          <w:trHeight w:val="288"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3,230,545.78</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12,750,101.40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1,464,561.75</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8"/>
              <w:jc w:val="right"/>
              <w:rPr>
                <w:rFonts w:ascii="宋体" w:hAnsi="宋体" w:cs="宋体" w:eastAsia="宋体" w:hint="default"/>
                <w:sz w:val="21"/>
                <w:szCs w:val="21"/>
              </w:rPr>
            </w:pPr>
            <w:r>
              <w:rPr>
                <w:rFonts w:ascii="宋体"/>
                <w:sz w:val="21"/>
              </w:rPr>
              <w:t>1,884,849.83</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2,403,554.16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73,931.89</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21,807,544.81</w:t>
            </w:r>
          </w:p>
        </w:tc>
      </w:tr>
      <w:tr>
        <w:trPr>
          <w:trHeight w:val="287"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）汇率变动</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17,811.97</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239,568.46</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80,407.38</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8,965.44</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-23,493.59</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0.00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323,259.66</w:t>
            </w:r>
          </w:p>
        </w:tc>
      </w:tr>
      <w:tr>
        <w:trPr>
          <w:trHeight w:val="288"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27,670.44</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6,242,752.46</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1,872,545.71</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8"/>
              <w:jc w:val="right"/>
              <w:rPr>
                <w:rFonts w:ascii="宋体" w:hAnsi="宋体" w:cs="宋体" w:eastAsia="宋体" w:hint="default"/>
                <w:sz w:val="21"/>
                <w:szCs w:val="21"/>
              </w:rPr>
            </w:pPr>
            <w:r>
              <w:rPr>
                <w:rFonts w:ascii="宋体"/>
                <w:sz w:val="21"/>
              </w:rPr>
              <w:t>1,270,184.53</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38,197.59</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73,786.68</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9,525,137.41</w:t>
            </w:r>
          </w:p>
        </w:tc>
      </w:tr>
      <w:tr>
        <w:trPr>
          <w:trHeight w:val="287"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0.00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6,242,752.46</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1,872,545.71</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8"/>
              <w:jc w:val="right"/>
              <w:rPr>
                <w:rFonts w:ascii="宋体" w:hAnsi="宋体" w:cs="宋体" w:eastAsia="宋体" w:hint="default"/>
                <w:sz w:val="21"/>
                <w:szCs w:val="21"/>
              </w:rPr>
            </w:pPr>
            <w:r>
              <w:rPr>
                <w:rFonts w:ascii="宋体"/>
                <w:sz w:val="21"/>
              </w:rPr>
              <w:t>1,270,184.53</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38,197.59</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73,786.68</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9,497,466.97</w:t>
            </w:r>
          </w:p>
        </w:tc>
      </w:tr>
      <w:tr>
        <w:trPr>
          <w:trHeight w:val="560"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pacing w:val="-8"/>
                <w:sz w:val="21"/>
                <w:szCs w:val="21"/>
              </w:rPr>
              <w:t>（</w:t>
            </w:r>
            <w:r>
              <w:rPr>
                <w:rFonts w:ascii="宋体" w:hAnsi="宋体" w:cs="宋体" w:eastAsia="宋体" w:hint="default"/>
                <w:spacing w:val="-8"/>
                <w:sz w:val="21"/>
                <w:szCs w:val="21"/>
              </w:rPr>
              <w:t>2</w:t>
            </w:r>
            <w:r>
              <w:rPr>
                <w:rFonts w:ascii="宋体" w:hAnsi="宋体" w:cs="宋体" w:eastAsia="宋体" w:hint="default"/>
                <w:spacing w:val="-8"/>
                <w:sz w:val="21"/>
                <w:szCs w:val="21"/>
              </w:rPr>
              <w:t>）转入投资性房地</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27,670.44</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0.00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27,670.44</w:t>
            </w:r>
          </w:p>
        </w:tc>
      </w:tr>
      <w:tr>
        <w:trPr>
          <w:trHeight w:val="287"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21,068,211.19</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118,180,883.96</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29,202,836.22</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14,194,012.84</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22,899,865.27</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761,241.13</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206,307,050.61</w:t>
            </w:r>
          </w:p>
        </w:tc>
      </w:tr>
      <w:tr>
        <w:trPr>
          <w:trHeight w:val="288"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0.00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0.00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0.00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0.00</w:t>
            </w:r>
          </w:p>
        </w:tc>
      </w:tr>
      <w:tr>
        <w:trPr>
          <w:trHeight w:val="287"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0.00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0.00</w:t>
            </w:r>
          </w:p>
        </w:tc>
      </w:tr>
    </w:tbl>
    <w:p>
      <w:pPr>
        <w:spacing w:after="0" w:line="241" w:lineRule="exact"/>
        <w:jc w:val="right"/>
        <w:rPr>
          <w:rFonts w:ascii="宋体" w:hAnsi="宋体" w:cs="宋体" w:eastAsia="宋体" w:hint="default"/>
          <w:sz w:val="21"/>
          <w:szCs w:val="21"/>
        </w:rPr>
        <w:sectPr>
          <w:type w:val="continuous"/>
          <w:pgSz w:w="16840" w:h="11910" w:orient="landscape"/>
          <w:pgMar w:top="1080" w:bottom="1380" w:left="1180" w:right="1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607"/>
        <w:gridCol w:w="1530"/>
        <w:gridCol w:w="1530"/>
        <w:gridCol w:w="1426"/>
        <w:gridCol w:w="1425"/>
        <w:gridCol w:w="1426"/>
        <w:gridCol w:w="1424"/>
        <w:gridCol w:w="1320"/>
        <w:gridCol w:w="1530"/>
      </w:tblGrid>
      <w:tr>
        <w:trPr>
          <w:trHeight w:val="287"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77"/>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0.00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0.00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0.00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0.00</w:t>
            </w:r>
          </w:p>
        </w:tc>
      </w:tr>
      <w:tr>
        <w:trPr>
          <w:trHeight w:val="287"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0.00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0.00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0.00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0.00</w:t>
            </w:r>
          </w:p>
        </w:tc>
      </w:tr>
      <w:tr>
        <w:trPr>
          <w:trHeight w:val="288"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77"/>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期末账面价值</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106,411,769.96</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68,850,008.57</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3,556,932.38</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8"/>
              <w:jc w:val="right"/>
              <w:rPr>
                <w:rFonts w:ascii="宋体" w:hAnsi="宋体" w:cs="宋体" w:eastAsia="宋体" w:hint="default"/>
                <w:sz w:val="21"/>
                <w:szCs w:val="21"/>
              </w:rPr>
            </w:pPr>
            <w:r>
              <w:rPr>
                <w:rFonts w:ascii="宋体"/>
                <w:sz w:val="21"/>
              </w:rPr>
              <w:t>3,243,819.51</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4,734,434.79</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14,715,435.77</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159,157.30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201,671,558.28</w:t>
            </w:r>
          </w:p>
        </w:tc>
      </w:tr>
      <w:tr>
        <w:trPr>
          <w:trHeight w:val="287"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7"/>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期初账面价值</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109,643,099.56</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32,934,696.04</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3,757,992.33</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8"/>
              <w:jc w:val="right"/>
              <w:rPr>
                <w:rFonts w:ascii="宋体" w:hAnsi="宋体" w:cs="宋体" w:eastAsia="宋体" w:hint="default"/>
                <w:sz w:val="21"/>
                <w:szCs w:val="21"/>
              </w:rPr>
            </w:pPr>
            <w:r>
              <w:rPr>
                <w:rFonts w:ascii="宋体"/>
                <w:sz w:val="21"/>
              </w:rPr>
              <w:t>4,126,101.97</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6,549,553.23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230,064.05</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157,241,507.18</w:t>
            </w:r>
          </w:p>
        </w:tc>
      </w:tr>
    </w:tbl>
    <w:p>
      <w:pPr>
        <w:pStyle w:val="BodyText"/>
        <w:spacing w:line="240" w:lineRule="auto" w:before="82"/>
        <w:ind w:left="260" w:right="0"/>
        <w:jc w:val="left"/>
      </w:pPr>
      <w:r>
        <w:rPr/>
        <w:t>说明：期末，本集团固定资产未发生可收回金额低于账面价值的情况，故未计提固定资产减值准备。</w:t>
      </w:r>
    </w:p>
    <w:p>
      <w:pPr>
        <w:spacing w:after="0" w:line="240" w:lineRule="auto"/>
        <w:jc w:val="left"/>
        <w:sectPr>
          <w:pgSz w:w="16840" w:h="11910" w:orient="landscape"/>
          <w:pgMar w:header="882" w:footer="1194" w:top="1120" w:bottom="1380" w:left="1180" w:right="1200"/>
        </w:sectPr>
      </w:pPr>
    </w:p>
    <w:p>
      <w:pPr>
        <w:spacing w:line="240" w:lineRule="auto" w:before="9"/>
        <w:rPr>
          <w:rFonts w:ascii="宋体" w:hAnsi="宋体" w:cs="宋体" w:eastAsia="宋体" w:hint="default"/>
          <w:sz w:val="25"/>
          <w:szCs w:val="25"/>
        </w:rPr>
      </w:pPr>
    </w:p>
    <w:p>
      <w:pPr>
        <w:pStyle w:val="Heading2"/>
        <w:tabs>
          <w:tab w:pos="2377" w:val="left" w:leader="none"/>
        </w:tabs>
        <w:spacing w:line="240" w:lineRule="auto"/>
        <w:ind w:left="1538" w:right="0"/>
        <w:jc w:val="left"/>
        <w:rPr>
          <w:b w:val="0"/>
          <w:bCs w:val="0"/>
        </w:rPr>
      </w:pPr>
      <w:r>
        <w:rPr>
          <w:rFonts w:ascii="宋体" w:hAnsi="宋体" w:cs="宋体" w:eastAsia="宋体" w:hint="default"/>
          <w:w w:val="95"/>
        </w:rPr>
        <w:t>(2).</w:t>
        <w:tab/>
      </w:r>
      <w:r>
        <w:rPr/>
        <w:t>固定资产抵押、担保情况</w:t>
      </w:r>
      <w:r>
        <w:rPr>
          <w:b w:val="0"/>
          <w:bCs w:val="0"/>
        </w:rPr>
      </w:r>
    </w:p>
    <w:p>
      <w:pPr>
        <w:spacing w:line="240" w:lineRule="auto" w:before="4"/>
        <w:rPr>
          <w:rFonts w:ascii="宋体" w:hAnsi="宋体" w:cs="宋体" w:eastAsia="宋体" w:hint="default"/>
          <w:b/>
          <w:bCs/>
          <w:sz w:val="7"/>
          <w:szCs w:val="7"/>
        </w:rPr>
      </w:pPr>
    </w:p>
    <w:tbl>
      <w:tblPr>
        <w:tblW w:w="0" w:type="auto"/>
        <w:jc w:val="left"/>
        <w:tblInd w:w="1396" w:type="dxa"/>
        <w:tblLayout w:type="fixed"/>
        <w:tblCellMar>
          <w:top w:w="0" w:type="dxa"/>
          <w:left w:w="0" w:type="dxa"/>
          <w:bottom w:w="0" w:type="dxa"/>
          <w:right w:w="0" w:type="dxa"/>
        </w:tblCellMar>
        <w:tblLook w:val="01E0"/>
      </w:tblPr>
      <w:tblGrid>
        <w:gridCol w:w="2231"/>
        <w:gridCol w:w="2719"/>
        <w:gridCol w:w="4172"/>
      </w:tblGrid>
      <w:tr>
        <w:trPr>
          <w:trHeight w:val="413" w:hRule="exact"/>
        </w:trPr>
        <w:tc>
          <w:tcPr>
            <w:tcW w:w="2231"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b/>
                <w:bCs/>
                <w:sz w:val="21"/>
                <w:szCs w:val="21"/>
              </w:rPr>
              <w:t>固定资产类别</w:t>
            </w:r>
            <w:r>
              <w:rPr>
                <w:rFonts w:ascii="宋体" w:hAnsi="宋体" w:cs="宋体" w:eastAsia="宋体" w:hint="default"/>
                <w:sz w:val="21"/>
                <w:szCs w:val="21"/>
              </w:rPr>
            </w:r>
          </w:p>
        </w:tc>
        <w:tc>
          <w:tcPr>
            <w:tcW w:w="2719"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491"/>
              <w:jc w:val="right"/>
              <w:rPr>
                <w:rFonts w:ascii="宋体" w:hAnsi="宋体" w:cs="宋体" w:eastAsia="宋体" w:hint="default"/>
                <w:sz w:val="21"/>
                <w:szCs w:val="21"/>
              </w:rPr>
            </w:pPr>
            <w:r>
              <w:rPr>
                <w:rFonts w:ascii="宋体" w:hAnsi="宋体" w:cs="宋体" w:eastAsia="宋体" w:hint="default"/>
                <w:b/>
                <w:bCs/>
                <w:w w:val="95"/>
                <w:sz w:val="21"/>
                <w:szCs w:val="21"/>
              </w:rPr>
              <w:t>抵押物净值</w:t>
            </w:r>
            <w:r>
              <w:rPr>
                <w:rFonts w:ascii="宋体" w:hAnsi="宋体" w:cs="宋体" w:eastAsia="宋体" w:hint="default"/>
                <w:sz w:val="21"/>
                <w:szCs w:val="21"/>
              </w:rPr>
            </w:r>
          </w:p>
        </w:tc>
        <w:tc>
          <w:tcPr>
            <w:tcW w:w="4172"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108"/>
              <w:jc w:val="right"/>
              <w:rPr>
                <w:rFonts w:ascii="宋体" w:hAnsi="宋体" w:cs="宋体" w:eastAsia="宋体" w:hint="default"/>
                <w:sz w:val="21"/>
                <w:szCs w:val="21"/>
              </w:rPr>
            </w:pPr>
            <w:r>
              <w:rPr>
                <w:rFonts w:ascii="宋体" w:hAnsi="宋体" w:cs="宋体" w:eastAsia="宋体" w:hint="default"/>
                <w:b/>
                <w:bCs/>
                <w:w w:val="95"/>
                <w:sz w:val="21"/>
                <w:szCs w:val="21"/>
              </w:rPr>
              <w:t>抵押情况说明</w:t>
            </w:r>
            <w:r>
              <w:rPr>
                <w:rFonts w:ascii="宋体" w:hAnsi="宋体" w:cs="宋体" w:eastAsia="宋体" w:hint="default"/>
                <w:sz w:val="21"/>
                <w:szCs w:val="21"/>
              </w:rPr>
            </w:r>
          </w:p>
        </w:tc>
      </w:tr>
      <w:tr>
        <w:trPr>
          <w:trHeight w:val="413" w:hRule="exact"/>
        </w:trPr>
        <w:tc>
          <w:tcPr>
            <w:tcW w:w="2231"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719"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490"/>
              <w:jc w:val="right"/>
              <w:rPr>
                <w:rFonts w:ascii="宋体" w:hAnsi="宋体" w:cs="宋体" w:eastAsia="宋体" w:hint="default"/>
                <w:sz w:val="21"/>
                <w:szCs w:val="21"/>
              </w:rPr>
            </w:pPr>
            <w:r>
              <w:rPr>
                <w:rFonts w:ascii="宋体"/>
                <w:sz w:val="21"/>
              </w:rPr>
              <w:t>56,935,747.32</w:t>
            </w:r>
          </w:p>
        </w:tc>
        <w:tc>
          <w:tcPr>
            <w:tcW w:w="4172"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07"/>
              <w:jc w:val="right"/>
              <w:rPr>
                <w:rFonts w:ascii="宋体" w:hAnsi="宋体" w:cs="宋体" w:eastAsia="宋体" w:hint="default"/>
                <w:sz w:val="21"/>
                <w:szCs w:val="21"/>
              </w:rPr>
            </w:pPr>
            <w:r>
              <w:rPr>
                <w:rFonts w:ascii="宋体" w:hAnsi="宋体" w:cs="宋体" w:eastAsia="宋体" w:hint="default"/>
                <w:sz w:val="21"/>
                <w:szCs w:val="21"/>
              </w:rPr>
              <w:t>建筑物被抵押，用于取得银行信贷担保</w:t>
            </w:r>
          </w:p>
        </w:tc>
      </w:tr>
    </w:tbl>
    <w:p>
      <w:pPr>
        <w:spacing w:line="240" w:lineRule="auto" w:before="12"/>
        <w:rPr>
          <w:rFonts w:ascii="宋体" w:hAnsi="宋体" w:cs="宋体" w:eastAsia="宋体" w:hint="default"/>
          <w:b/>
          <w:bCs/>
          <w:sz w:val="24"/>
          <w:szCs w:val="24"/>
        </w:rPr>
      </w:pPr>
    </w:p>
    <w:p>
      <w:pPr>
        <w:pStyle w:val="Heading2"/>
        <w:tabs>
          <w:tab w:pos="2377" w:val="left" w:leader="none"/>
        </w:tabs>
        <w:spacing w:line="240" w:lineRule="auto"/>
        <w:ind w:left="1538" w:right="0"/>
        <w:jc w:val="left"/>
        <w:rPr>
          <w:b w:val="0"/>
          <w:bCs w:val="0"/>
        </w:rPr>
      </w:pPr>
      <w:r>
        <w:rPr>
          <w:rFonts w:ascii="宋体" w:hAnsi="宋体" w:cs="宋体" w:eastAsia="宋体" w:hint="default"/>
          <w:w w:val="95"/>
        </w:rPr>
        <w:t>(3).</w:t>
        <w:tab/>
      </w:r>
      <w:r>
        <w:rPr/>
        <w:t>未办妥产权证书的固定资产情况</w:t>
      </w:r>
      <w:r>
        <w:rPr>
          <w:b w:val="0"/>
          <w:bCs w:val="0"/>
        </w:rPr>
      </w:r>
    </w:p>
    <w:p>
      <w:pPr>
        <w:spacing w:line="240" w:lineRule="auto" w:before="5"/>
        <w:rPr>
          <w:rFonts w:ascii="宋体" w:hAnsi="宋体" w:cs="宋体" w:eastAsia="宋体" w:hint="default"/>
          <w:b/>
          <w:bCs/>
          <w:sz w:val="7"/>
          <w:szCs w:val="7"/>
        </w:rPr>
      </w:pPr>
    </w:p>
    <w:tbl>
      <w:tblPr>
        <w:tblW w:w="0" w:type="auto"/>
        <w:jc w:val="left"/>
        <w:tblInd w:w="1425" w:type="dxa"/>
        <w:tblLayout w:type="fixed"/>
        <w:tblCellMar>
          <w:top w:w="0" w:type="dxa"/>
          <w:left w:w="0" w:type="dxa"/>
          <w:bottom w:w="0" w:type="dxa"/>
          <w:right w:w="0" w:type="dxa"/>
        </w:tblCellMar>
        <w:tblLook w:val="01E0"/>
      </w:tblPr>
      <w:tblGrid>
        <w:gridCol w:w="2948"/>
        <w:gridCol w:w="3042"/>
        <w:gridCol w:w="3059"/>
      </w:tblGrid>
      <w:tr>
        <w:trPr>
          <w:trHeight w:val="282"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3"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827"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南京国际服务外包大厦</w:t>
            </w:r>
            <w:r>
              <w:rPr>
                <w:rFonts w:ascii="宋体" w:hAnsi="宋体" w:cs="宋体" w:eastAsia="宋体" w:hint="default"/>
                <w:spacing w:val="-54"/>
                <w:sz w:val="21"/>
                <w:szCs w:val="21"/>
              </w:rPr>
              <w:t> </w:t>
            </w:r>
            <w:r>
              <w:rPr>
                <w:rFonts w:ascii="宋体" w:hAnsi="宋体" w:cs="宋体" w:eastAsia="宋体" w:hint="default"/>
                <w:sz w:val="21"/>
                <w:szCs w:val="21"/>
              </w:rPr>
              <w:t>02</w:t>
            </w:r>
            <w:r>
              <w:rPr>
                <w:rFonts w:ascii="宋体" w:hAnsi="宋体" w:cs="宋体" w:eastAsia="宋体" w:hint="default"/>
                <w:spacing w:val="-53"/>
                <w:sz w:val="21"/>
                <w:szCs w:val="21"/>
              </w:rPr>
              <w:t> </w:t>
            </w:r>
            <w:r>
              <w:rPr>
                <w:rFonts w:ascii="宋体" w:hAnsi="宋体" w:cs="宋体" w:eastAsia="宋体" w:hint="default"/>
                <w:sz w:val="21"/>
                <w:szCs w:val="21"/>
              </w:rPr>
              <w:t>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楼</w:t>
            </w:r>
            <w:r>
              <w:rPr>
                <w:rFonts w:ascii="宋体" w:hAnsi="宋体" w:cs="宋体" w:eastAsia="宋体" w:hint="default"/>
                <w:spacing w:val="-54"/>
                <w:sz w:val="21"/>
                <w:szCs w:val="21"/>
              </w:rPr>
              <w:t> </w:t>
            </w:r>
            <w:r>
              <w:rPr>
                <w:rFonts w:ascii="宋体" w:hAnsi="宋体" w:cs="宋体" w:eastAsia="宋体" w:hint="default"/>
                <w:sz w:val="21"/>
                <w:szCs w:val="21"/>
              </w:rPr>
              <w:t>D</w:t>
            </w:r>
            <w:r>
              <w:rPr>
                <w:rFonts w:ascii="宋体" w:hAnsi="宋体" w:cs="宋体" w:eastAsia="宋体" w:hint="default"/>
                <w:spacing w:val="-53"/>
                <w:sz w:val="21"/>
                <w:szCs w:val="21"/>
              </w:rPr>
              <w:t> </w:t>
            </w:r>
            <w:r>
              <w:rPr>
                <w:rFonts w:ascii="宋体" w:hAnsi="宋体" w:cs="宋体" w:eastAsia="宋体" w:hint="default"/>
                <w:sz w:val="21"/>
                <w:szCs w:val="21"/>
              </w:rPr>
              <w:t>座</w:t>
            </w:r>
            <w:r>
              <w:rPr>
                <w:rFonts w:ascii="宋体" w:hAnsi="宋体" w:cs="宋体" w:eastAsia="宋体" w:hint="default"/>
                <w:spacing w:val="-55"/>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层</w:t>
            </w:r>
          </w:p>
        </w:tc>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3" w:right="0"/>
              <w:jc w:val="left"/>
              <w:rPr>
                <w:rFonts w:ascii="宋体" w:hAnsi="宋体" w:cs="宋体" w:eastAsia="宋体" w:hint="default"/>
                <w:sz w:val="21"/>
                <w:szCs w:val="21"/>
              </w:rPr>
            </w:pPr>
            <w:r>
              <w:rPr>
                <w:rFonts w:ascii="宋体"/>
                <w:sz w:val="21"/>
              </w:rPr>
              <w:t>13,767,040.00</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该房屋由南京鼓楼科技产业有</w:t>
            </w:r>
          </w:p>
          <w:p>
            <w:pPr>
              <w:pStyle w:val="TableParagraph"/>
              <w:spacing w:line="272" w:lineRule="exact" w:before="26"/>
              <w:ind w:left="101" w:right="215"/>
              <w:jc w:val="left"/>
              <w:rPr>
                <w:rFonts w:ascii="宋体" w:hAnsi="宋体" w:cs="宋体" w:eastAsia="宋体" w:hint="default"/>
                <w:sz w:val="21"/>
                <w:szCs w:val="21"/>
              </w:rPr>
            </w:pPr>
            <w:r>
              <w:rPr>
                <w:rFonts w:ascii="宋体" w:hAnsi="宋体" w:cs="宋体" w:eastAsia="宋体" w:hint="default"/>
                <w:sz w:val="21"/>
                <w:szCs w:val="21"/>
              </w:rPr>
              <w:t>限公司办理房屋所有权证和土 地使用权证，正在办理之中</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
        </w:tc>
        <w:tc>
          <w:tcPr>
            <w:tcW w:w="3042" w:type="dxa"/>
            <w:tcBorders>
              <w:top w:val="single" w:sz="4" w:space="0" w:color="000000"/>
              <w:left w:val="single" w:sz="4" w:space="0" w:color="000000"/>
              <w:bottom w:val="single" w:sz="4" w:space="0" w:color="000000"/>
              <w:right w:val="single" w:sz="4" w:space="0" w:color="000000"/>
            </w:tcBorders>
          </w:tcPr>
          <w:p>
            <w:pPr/>
          </w:p>
        </w:tc>
        <w:tc>
          <w:tcPr>
            <w:tcW w:w="305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headerReference w:type="default" r:id="rId45"/>
          <w:footerReference w:type="default" r:id="rId46"/>
          <w:pgSz w:w="11910" w:h="16840"/>
          <w:pgMar w:header="882" w:footer="1194" w:top="1120" w:bottom="1380" w:left="260" w:right="340"/>
          <w:pgNumType w:start="12"/>
        </w:sectPr>
      </w:pPr>
    </w:p>
    <w:p>
      <w:pPr>
        <w:pStyle w:val="Heading2"/>
        <w:spacing w:line="240" w:lineRule="auto" w:before="167"/>
        <w:ind w:left="1538" w:right="0"/>
        <w:jc w:val="left"/>
        <w:rPr>
          <w:b w:val="0"/>
          <w:bCs w:val="0"/>
        </w:rPr>
      </w:pPr>
      <w:r>
        <w:rPr>
          <w:rFonts w:ascii="宋体" w:hAnsi="宋体" w:cs="宋体" w:eastAsia="宋体" w:hint="default"/>
        </w:rPr>
        <w:t>15</w:t>
      </w:r>
      <w:r>
        <w:rPr/>
        <w:t>、</w:t>
      </w:r>
      <w:r>
        <w:rPr>
          <w:spacing w:val="-101"/>
        </w:rPr>
        <w:t> </w:t>
      </w:r>
      <w:r>
        <w:rPr/>
        <w:t>在建工程</w:t>
      </w:r>
      <w:r>
        <w:rPr>
          <w:b w:val="0"/>
          <w:bCs w:val="0"/>
        </w:rPr>
      </w:r>
    </w:p>
    <w:p>
      <w:pPr>
        <w:pStyle w:val="Heading2"/>
        <w:tabs>
          <w:tab w:pos="2377" w:val="left" w:leader="none"/>
        </w:tabs>
        <w:spacing w:line="240" w:lineRule="auto" w:before="58"/>
        <w:ind w:left="1538" w:right="0"/>
        <w:jc w:val="left"/>
        <w:rPr>
          <w:b w:val="0"/>
          <w:bCs w:val="0"/>
        </w:rPr>
      </w:pPr>
      <w:r>
        <w:rPr>
          <w:rFonts w:ascii="宋体" w:hAnsi="宋体" w:cs="宋体" w:eastAsia="宋体" w:hint="default"/>
          <w:w w:val="95"/>
        </w:rPr>
        <w:t>(1).</w:t>
        <w:tab/>
      </w:r>
      <w:r>
        <w:rPr>
          <w:w w:val="95"/>
        </w:rPr>
        <w:t>在建工程情况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9"/>
          <w:szCs w:val="29"/>
        </w:rPr>
      </w:pPr>
    </w:p>
    <w:p>
      <w:pPr>
        <w:tabs>
          <w:tab w:pos="2587" w:val="left" w:leader="none"/>
        </w:tabs>
        <w:spacing w:before="0"/>
        <w:ind w:left="153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260" w:right="340"/>
          <w:cols w:num="2" w:equalWidth="0">
            <w:col w:w="3822" w:space="2702"/>
            <w:col w:w="4786"/>
          </w:cols>
        </w:sectPr>
      </w:pPr>
    </w:p>
    <w:p>
      <w:pPr>
        <w:spacing w:line="240" w:lineRule="auto" w:before="7"/>
        <w:rPr>
          <w:rFonts w:ascii="宋体" w:hAnsi="宋体" w:cs="宋体" w:eastAsia="宋体" w:hint="default"/>
          <w:sz w:val="2"/>
          <w:szCs w:val="2"/>
        </w:rPr>
      </w:pPr>
    </w:p>
    <w:tbl>
      <w:tblPr>
        <w:tblW w:w="0" w:type="auto"/>
        <w:jc w:val="left"/>
        <w:tblInd w:w="1499" w:type="dxa"/>
        <w:tblLayout w:type="fixed"/>
        <w:tblCellMar>
          <w:top w:w="0" w:type="dxa"/>
          <w:left w:w="0" w:type="dxa"/>
          <w:bottom w:w="0" w:type="dxa"/>
          <w:right w:w="0" w:type="dxa"/>
        </w:tblCellMar>
        <w:tblLook w:val="01E0"/>
      </w:tblPr>
      <w:tblGrid>
        <w:gridCol w:w="1384"/>
        <w:gridCol w:w="1637"/>
        <w:gridCol w:w="708"/>
        <w:gridCol w:w="1604"/>
        <w:gridCol w:w="1428"/>
        <w:gridCol w:w="708"/>
        <w:gridCol w:w="1427"/>
      </w:tblGrid>
      <w:tr>
        <w:trPr>
          <w:trHeight w:val="288" w:hRule="exact"/>
        </w:trPr>
        <w:tc>
          <w:tcPr>
            <w:tcW w:w="1384"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9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6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9" w:hRule="exact"/>
        </w:trPr>
        <w:tc>
          <w:tcPr>
            <w:tcW w:w="1384" w:type="dxa"/>
            <w:vMerge/>
            <w:tcBorders>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9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8"/>
                <w:sz w:val="21"/>
                <w:szCs w:val="21"/>
              </w:rPr>
              <w:t>减值准</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8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8"/>
                <w:sz w:val="21"/>
                <w:szCs w:val="21"/>
              </w:rPr>
              <w:t>减值准</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9"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科研大楼建设</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6"/>
              <w:jc w:val="right"/>
              <w:rPr>
                <w:rFonts w:ascii="宋体" w:hAnsi="宋体" w:cs="宋体" w:eastAsia="宋体" w:hint="default"/>
                <w:sz w:val="21"/>
                <w:szCs w:val="21"/>
              </w:rPr>
            </w:pPr>
            <w:r>
              <w:rPr>
                <w:rFonts w:ascii="宋体"/>
                <w:sz w:val="21"/>
              </w:rPr>
              <w:t>213,051,760.55</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9" w:right="0"/>
              <w:jc w:val="center"/>
              <w:rPr>
                <w:rFonts w:ascii="宋体" w:hAnsi="宋体" w:cs="宋体" w:eastAsia="宋体" w:hint="default"/>
                <w:sz w:val="21"/>
                <w:szCs w:val="21"/>
              </w:rPr>
            </w:pPr>
            <w:r>
              <w:rPr>
                <w:rFonts w:ascii="宋体"/>
                <w:sz w:val="21"/>
              </w:rPr>
              <w:t>0.00</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213,051,760.55</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54,835,999.49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54,835,999.49</w:t>
            </w:r>
          </w:p>
        </w:tc>
      </w:tr>
      <w:tr>
        <w:trPr>
          <w:trHeight w:val="288"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9"/>
              <w:jc w:val="center"/>
              <w:rPr>
                <w:rFonts w:ascii="宋体" w:hAnsi="宋体" w:cs="宋体" w:eastAsia="宋体" w:hint="default"/>
                <w:sz w:val="21"/>
                <w:szCs w:val="21"/>
              </w:rPr>
            </w:pPr>
            <w:r>
              <w:rPr>
                <w:rFonts w:ascii="宋体" w:hAnsi="宋体" w:cs="宋体" w:eastAsia="宋体" w:hint="default"/>
                <w:sz w:val="21"/>
                <w:szCs w:val="21"/>
              </w:rPr>
              <w:t>系统改造项目</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7"/>
              <w:jc w:val="right"/>
              <w:rPr>
                <w:rFonts w:ascii="宋体" w:hAnsi="宋体" w:cs="宋体" w:eastAsia="宋体" w:hint="default"/>
                <w:sz w:val="21"/>
                <w:szCs w:val="21"/>
              </w:rPr>
            </w:pPr>
            <w:r>
              <w:rPr>
                <w:rFonts w:ascii="宋体"/>
                <w:sz w:val="21"/>
              </w:rPr>
              <w:t>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sz w:val="21"/>
              </w:rPr>
              <w:t>0.00</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829,334.24</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829,334.24</w:t>
            </w:r>
          </w:p>
        </w:tc>
      </w:tr>
      <w:tr>
        <w:trPr>
          <w:trHeight w:val="287"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6"/>
              <w:jc w:val="right"/>
              <w:rPr>
                <w:rFonts w:ascii="宋体" w:hAnsi="宋体" w:cs="宋体" w:eastAsia="宋体" w:hint="default"/>
                <w:sz w:val="21"/>
                <w:szCs w:val="21"/>
              </w:rPr>
            </w:pPr>
            <w:r>
              <w:rPr>
                <w:rFonts w:ascii="宋体"/>
                <w:sz w:val="21"/>
              </w:rPr>
              <w:t>213,051,760.55</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9" w:right="0"/>
              <w:jc w:val="center"/>
              <w:rPr>
                <w:rFonts w:ascii="宋体" w:hAnsi="宋体" w:cs="宋体" w:eastAsia="宋体" w:hint="default"/>
                <w:sz w:val="21"/>
                <w:szCs w:val="21"/>
              </w:rPr>
            </w:pPr>
            <w:r>
              <w:rPr>
                <w:rFonts w:ascii="宋体"/>
                <w:sz w:val="21"/>
              </w:rPr>
              <w:t>0.00</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213,051,760.55</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55,665,333.73</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55,665,333.73</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080" w:bottom="1380" w:left="260" w:right="340"/>
        </w:sectPr>
      </w:pPr>
    </w:p>
    <w:p>
      <w:pPr>
        <w:pStyle w:val="Heading2"/>
        <w:tabs>
          <w:tab w:pos="2377" w:val="left" w:leader="none"/>
        </w:tabs>
        <w:spacing w:line="240" w:lineRule="auto"/>
        <w:ind w:left="1538" w:right="0"/>
        <w:jc w:val="left"/>
        <w:rPr>
          <w:b w:val="0"/>
          <w:bCs w:val="0"/>
        </w:rPr>
      </w:pPr>
      <w:r>
        <w:rPr>
          <w:rFonts w:ascii="宋体" w:hAnsi="宋体" w:cs="宋体" w:eastAsia="宋体" w:hint="default"/>
          <w:w w:val="95"/>
        </w:rPr>
        <w:t>(2).</w:t>
        <w:tab/>
      </w:r>
      <w:r>
        <w:rPr>
          <w:w w:val="95"/>
        </w:rPr>
        <w:t>重要在建工程项目本期变动情况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tabs>
          <w:tab w:pos="2587" w:val="left" w:leader="none"/>
        </w:tabs>
        <w:spacing w:before="139"/>
        <w:ind w:left="153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260" w:right="340"/>
          <w:cols w:num="2" w:equalWidth="0">
            <w:col w:w="5749" w:space="775"/>
            <w:col w:w="478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709"/>
        <w:gridCol w:w="1277"/>
        <w:gridCol w:w="1139"/>
        <w:gridCol w:w="1276"/>
        <w:gridCol w:w="1134"/>
        <w:gridCol w:w="542"/>
        <w:gridCol w:w="1111"/>
        <w:gridCol w:w="437"/>
        <w:gridCol w:w="588"/>
        <w:gridCol w:w="961"/>
        <w:gridCol w:w="962"/>
        <w:gridCol w:w="514"/>
        <w:gridCol w:w="407"/>
      </w:tblGrid>
      <w:tr>
        <w:trPr>
          <w:trHeight w:val="1376" w:hRule="exact"/>
        </w:trPr>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219" w:right="173" w:hanging="150"/>
              <w:jc w:val="left"/>
              <w:rPr>
                <w:rFonts w:ascii="宋体" w:hAnsi="宋体" w:cs="宋体" w:eastAsia="宋体" w:hint="default"/>
                <w:sz w:val="15"/>
                <w:szCs w:val="15"/>
              </w:rPr>
            </w:pPr>
            <w:r>
              <w:rPr>
                <w:rFonts w:ascii="宋体" w:hAnsi="宋体" w:cs="宋体" w:eastAsia="宋体" w:hint="default"/>
                <w:sz w:val="15"/>
                <w:szCs w:val="15"/>
              </w:rPr>
              <w:t>项目名 称</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5"/>
              <w:jc w:val="center"/>
              <w:rPr>
                <w:rFonts w:ascii="宋体" w:hAnsi="宋体" w:cs="宋体" w:eastAsia="宋体" w:hint="default"/>
                <w:sz w:val="15"/>
                <w:szCs w:val="15"/>
              </w:rPr>
            </w:pPr>
            <w:r>
              <w:rPr>
                <w:rFonts w:ascii="宋体" w:hAnsi="宋体" w:cs="宋体" w:eastAsia="宋体" w:hint="default"/>
                <w:sz w:val="15"/>
                <w:szCs w:val="15"/>
              </w:rPr>
              <w:t>预算数</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358" w:right="463"/>
              <w:jc w:val="left"/>
              <w:rPr>
                <w:rFonts w:ascii="宋体" w:hAnsi="宋体" w:cs="宋体" w:eastAsia="宋体" w:hint="default"/>
                <w:sz w:val="15"/>
                <w:szCs w:val="15"/>
              </w:rPr>
            </w:pPr>
            <w:r>
              <w:rPr>
                <w:rFonts w:ascii="宋体" w:hAnsi="宋体" w:cs="宋体" w:eastAsia="宋体" w:hint="default"/>
                <w:sz w:val="15"/>
                <w:szCs w:val="15"/>
              </w:rPr>
              <w:t>期初 余额</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7" w:right="0"/>
              <w:jc w:val="left"/>
              <w:rPr>
                <w:rFonts w:ascii="宋体" w:hAnsi="宋体" w:cs="宋体" w:eastAsia="宋体" w:hint="default"/>
                <w:sz w:val="15"/>
                <w:szCs w:val="15"/>
              </w:rPr>
            </w:pPr>
            <w:r>
              <w:rPr>
                <w:rFonts w:ascii="宋体" w:hAnsi="宋体" w:cs="宋体" w:eastAsia="宋体" w:hint="default"/>
                <w:sz w:val="15"/>
                <w:szCs w:val="15"/>
              </w:rPr>
              <w:t>本期增加金额</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222" w:right="147" w:hanging="151"/>
              <w:jc w:val="left"/>
              <w:rPr>
                <w:rFonts w:ascii="宋体" w:hAnsi="宋体" w:cs="宋体" w:eastAsia="宋体" w:hint="default"/>
                <w:sz w:val="15"/>
                <w:szCs w:val="15"/>
              </w:rPr>
            </w:pPr>
            <w:r>
              <w:rPr>
                <w:rFonts w:ascii="宋体" w:hAnsi="宋体" w:cs="宋体" w:eastAsia="宋体" w:hint="default"/>
                <w:sz w:val="15"/>
                <w:szCs w:val="15"/>
              </w:rPr>
              <w:t>本期转入固定 资产金额</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75" w:right="150"/>
              <w:jc w:val="both"/>
              <w:rPr>
                <w:rFonts w:ascii="宋体" w:hAnsi="宋体" w:cs="宋体" w:eastAsia="宋体" w:hint="default"/>
                <w:sz w:val="15"/>
                <w:szCs w:val="15"/>
              </w:rPr>
            </w:pPr>
            <w:r>
              <w:rPr>
                <w:rFonts w:ascii="宋体" w:hAnsi="宋体" w:cs="宋体" w:eastAsia="宋体" w:hint="default"/>
                <w:sz w:val="15"/>
                <w:szCs w:val="15"/>
              </w:rPr>
              <w:t>本期 其他 减少 金额</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397" w:right="397"/>
              <w:jc w:val="center"/>
              <w:rPr>
                <w:rFonts w:ascii="宋体" w:hAnsi="宋体" w:cs="宋体" w:eastAsia="宋体" w:hint="default"/>
                <w:sz w:val="15"/>
                <w:szCs w:val="15"/>
              </w:rPr>
            </w:pPr>
            <w:r>
              <w:rPr>
                <w:rFonts w:ascii="宋体" w:hAnsi="宋体" w:cs="宋体" w:eastAsia="宋体" w:hint="default"/>
                <w:sz w:val="15"/>
                <w:szCs w:val="15"/>
              </w:rPr>
              <w:t>期末 余额</w:t>
            </w:r>
          </w:p>
        </w:tc>
        <w:tc>
          <w:tcPr>
            <w:tcW w:w="43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工程</w:t>
            </w:r>
          </w:p>
          <w:p>
            <w:pPr>
              <w:pStyle w:val="TableParagraph"/>
              <w:spacing w:line="240" w:lineRule="auto"/>
              <w:ind w:left="61" w:right="59"/>
              <w:jc w:val="center"/>
              <w:rPr>
                <w:rFonts w:ascii="宋体" w:hAnsi="宋体" w:cs="宋体" w:eastAsia="宋体" w:hint="default"/>
                <w:sz w:val="15"/>
                <w:szCs w:val="15"/>
              </w:rPr>
            </w:pPr>
            <w:r>
              <w:rPr>
                <w:rFonts w:ascii="宋体" w:hAnsi="宋体" w:cs="宋体" w:eastAsia="宋体" w:hint="default"/>
                <w:sz w:val="15"/>
                <w:szCs w:val="15"/>
              </w:rPr>
              <w:t>累计 投入 占预 算比 例 </w:t>
            </w:r>
            <w:r>
              <w:rPr>
                <w:rFonts w:ascii="宋体" w:hAnsi="宋体" w:cs="宋体" w:eastAsia="宋体" w:hint="default"/>
                <w:sz w:val="15"/>
                <w:szCs w:val="15"/>
              </w:rPr>
              <w:t>(%)</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210" w:right="63" w:hanging="151"/>
              <w:jc w:val="left"/>
              <w:rPr>
                <w:rFonts w:ascii="宋体" w:hAnsi="宋体" w:cs="宋体" w:eastAsia="宋体" w:hint="default"/>
                <w:sz w:val="15"/>
                <w:szCs w:val="15"/>
              </w:rPr>
            </w:pPr>
            <w:r>
              <w:rPr>
                <w:rFonts w:ascii="宋体" w:hAnsi="宋体" w:cs="宋体" w:eastAsia="宋体" w:hint="default"/>
                <w:sz w:val="15"/>
                <w:szCs w:val="15"/>
              </w:rPr>
              <w:t>工程进 度</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247" w:right="23" w:hanging="225"/>
              <w:jc w:val="left"/>
              <w:rPr>
                <w:rFonts w:ascii="宋体" w:hAnsi="宋体" w:cs="宋体" w:eastAsia="宋体" w:hint="default"/>
                <w:sz w:val="15"/>
                <w:szCs w:val="15"/>
              </w:rPr>
            </w:pPr>
            <w:r>
              <w:rPr>
                <w:rFonts w:ascii="宋体" w:hAnsi="宋体" w:cs="宋体" w:eastAsia="宋体" w:hint="default"/>
                <w:sz w:val="15"/>
                <w:szCs w:val="15"/>
              </w:rPr>
              <w:t>利息资本化累 计金额</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23" w:right="23"/>
              <w:jc w:val="left"/>
              <w:rPr>
                <w:rFonts w:ascii="宋体" w:hAnsi="宋体" w:cs="宋体" w:eastAsia="宋体" w:hint="default"/>
                <w:sz w:val="15"/>
                <w:szCs w:val="15"/>
              </w:rPr>
            </w:pPr>
            <w:r>
              <w:rPr>
                <w:rFonts w:ascii="宋体" w:hAnsi="宋体" w:cs="宋体" w:eastAsia="宋体" w:hint="default"/>
                <w:sz w:val="15"/>
                <w:szCs w:val="15"/>
              </w:rPr>
              <w:t>其中：本期利 息资本化金额</w:t>
            </w:r>
          </w:p>
        </w:tc>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2" w:right="24"/>
              <w:jc w:val="center"/>
              <w:rPr>
                <w:rFonts w:ascii="宋体" w:hAnsi="宋体" w:cs="宋体" w:eastAsia="宋体" w:hint="default"/>
                <w:sz w:val="15"/>
                <w:szCs w:val="15"/>
              </w:rPr>
            </w:pPr>
            <w:r>
              <w:rPr>
                <w:rFonts w:ascii="宋体" w:hAnsi="宋体" w:cs="宋体" w:eastAsia="宋体" w:hint="default"/>
                <w:sz w:val="15"/>
                <w:szCs w:val="15"/>
              </w:rPr>
              <w:t>本期利 息资本 化率 </w:t>
            </w:r>
            <w:r>
              <w:rPr>
                <w:rFonts w:ascii="宋体" w:hAnsi="宋体" w:cs="宋体" w:eastAsia="宋体" w:hint="default"/>
                <w:sz w:val="15"/>
                <w:szCs w:val="15"/>
              </w:rPr>
              <w:t>(%)</w:t>
            </w:r>
          </w:p>
        </w:tc>
        <w:tc>
          <w:tcPr>
            <w:tcW w:w="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45" w:right="45"/>
              <w:jc w:val="left"/>
              <w:rPr>
                <w:rFonts w:ascii="宋体" w:hAnsi="宋体" w:cs="宋体" w:eastAsia="宋体" w:hint="default"/>
                <w:sz w:val="15"/>
                <w:szCs w:val="15"/>
              </w:rPr>
            </w:pPr>
            <w:r>
              <w:rPr>
                <w:rFonts w:ascii="宋体" w:hAnsi="宋体" w:cs="宋体" w:eastAsia="宋体" w:hint="default"/>
                <w:sz w:val="15"/>
                <w:szCs w:val="15"/>
              </w:rPr>
              <w:t>资金 来源</w:t>
            </w:r>
          </w:p>
        </w:tc>
      </w:tr>
      <w:tr>
        <w:trPr>
          <w:trHeight w:val="599" w:hRule="exact"/>
        </w:trPr>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3" w:right="0"/>
              <w:jc w:val="left"/>
              <w:rPr>
                <w:rFonts w:ascii="宋体" w:hAnsi="宋体" w:cs="宋体" w:eastAsia="宋体" w:hint="default"/>
                <w:sz w:val="15"/>
                <w:szCs w:val="15"/>
              </w:rPr>
            </w:pPr>
            <w:r>
              <w:rPr>
                <w:rFonts w:ascii="宋体" w:hAnsi="宋体" w:cs="宋体" w:eastAsia="宋体" w:hint="default"/>
                <w:sz w:val="15"/>
                <w:szCs w:val="15"/>
              </w:rPr>
              <w:t>科研大</w:t>
            </w:r>
          </w:p>
          <w:p>
            <w:pPr>
              <w:pStyle w:val="TableParagraph"/>
              <w:spacing w:line="240" w:lineRule="auto"/>
              <w:ind w:left="23" w:right="218"/>
              <w:jc w:val="left"/>
              <w:rPr>
                <w:rFonts w:ascii="宋体" w:hAnsi="宋体" w:cs="宋体" w:eastAsia="宋体" w:hint="default"/>
                <w:sz w:val="15"/>
                <w:szCs w:val="15"/>
              </w:rPr>
            </w:pPr>
            <w:r>
              <w:rPr>
                <w:rFonts w:ascii="宋体" w:hAnsi="宋体" w:cs="宋体" w:eastAsia="宋体" w:hint="default"/>
                <w:sz w:val="15"/>
                <w:szCs w:val="15"/>
              </w:rPr>
              <w:t>楼建设 项目</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45"/>
              <w:jc w:val="center"/>
              <w:rPr>
                <w:rFonts w:ascii="宋体" w:hAnsi="宋体" w:cs="宋体" w:eastAsia="宋体" w:hint="default"/>
                <w:sz w:val="15"/>
                <w:szCs w:val="15"/>
              </w:rPr>
            </w:pPr>
            <w:r>
              <w:rPr>
                <w:rFonts w:ascii="宋体"/>
                <w:sz w:val="15"/>
              </w:rPr>
              <w:t>384,935,290.00</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54,835,999.49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13" w:right="0"/>
              <w:jc w:val="left"/>
              <w:rPr>
                <w:rFonts w:ascii="宋体" w:hAnsi="宋体" w:cs="宋体" w:eastAsia="宋体" w:hint="default"/>
                <w:sz w:val="15"/>
                <w:szCs w:val="15"/>
              </w:rPr>
            </w:pPr>
            <w:r>
              <w:rPr>
                <w:rFonts w:ascii="宋体"/>
                <w:sz w:val="15"/>
              </w:rPr>
              <w:t>158,215,761.06</w:t>
            </w:r>
          </w:p>
        </w:tc>
        <w:tc>
          <w:tcPr>
            <w:tcW w:w="1134"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2" w:right="0"/>
              <w:jc w:val="left"/>
              <w:rPr>
                <w:rFonts w:ascii="宋体" w:hAnsi="宋体" w:cs="宋体" w:eastAsia="宋体" w:hint="default"/>
                <w:sz w:val="15"/>
                <w:szCs w:val="15"/>
              </w:rPr>
            </w:pPr>
            <w:r>
              <w:rPr>
                <w:rFonts w:ascii="宋体"/>
                <w:sz w:val="15"/>
              </w:rPr>
              <w:t>213,051,760.55</w:t>
            </w:r>
          </w:p>
        </w:tc>
        <w:tc>
          <w:tcPr>
            <w:tcW w:w="43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1"/>
              <w:jc w:val="right"/>
              <w:rPr>
                <w:rFonts w:ascii="宋体" w:hAnsi="宋体" w:cs="宋体" w:eastAsia="宋体" w:hint="default"/>
                <w:sz w:val="15"/>
                <w:szCs w:val="15"/>
              </w:rPr>
            </w:pPr>
            <w:r>
              <w:rPr>
                <w:rFonts w:ascii="宋体"/>
                <w:spacing w:val="-1"/>
                <w:sz w:val="15"/>
              </w:rPr>
              <w:t>50.7</w:t>
            </w:r>
          </w:p>
          <w:p>
            <w:pPr>
              <w:pStyle w:val="TableParagraph"/>
              <w:spacing w:line="195" w:lineRule="exact"/>
              <w:ind w:right="21"/>
              <w:jc w:val="right"/>
              <w:rPr>
                <w:rFonts w:ascii="宋体" w:hAnsi="宋体" w:cs="宋体" w:eastAsia="宋体" w:hint="default"/>
                <w:sz w:val="15"/>
                <w:szCs w:val="15"/>
              </w:rPr>
            </w:pPr>
            <w:r>
              <w:rPr>
                <w:rFonts w:ascii="宋体"/>
                <w:sz w:val="15"/>
              </w:rPr>
              <w:t>9</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2" w:right="0"/>
              <w:jc w:val="center"/>
              <w:rPr>
                <w:rFonts w:ascii="宋体" w:hAnsi="宋体" w:cs="宋体" w:eastAsia="宋体" w:hint="default"/>
                <w:sz w:val="15"/>
                <w:szCs w:val="15"/>
              </w:rPr>
            </w:pPr>
            <w:r>
              <w:rPr>
                <w:rFonts w:ascii="宋体"/>
                <w:sz w:val="15"/>
              </w:rPr>
              <w:t>76.92%</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3,855,845.76</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3,855,845.76</w:t>
            </w:r>
          </w:p>
        </w:tc>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6.0137</w:t>
            </w:r>
          </w:p>
        </w:tc>
        <w:tc>
          <w:tcPr>
            <w:tcW w:w="40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2" w:right="0"/>
              <w:jc w:val="left"/>
              <w:rPr>
                <w:rFonts w:ascii="宋体" w:hAnsi="宋体" w:cs="宋体" w:eastAsia="宋体" w:hint="default"/>
                <w:sz w:val="15"/>
                <w:szCs w:val="15"/>
              </w:rPr>
            </w:pPr>
            <w:r>
              <w:rPr>
                <w:rFonts w:ascii="宋体" w:hAnsi="宋体" w:cs="宋体" w:eastAsia="宋体" w:hint="default"/>
                <w:sz w:val="15"/>
                <w:szCs w:val="15"/>
              </w:rPr>
              <w:t>自筹</w:t>
            </w:r>
          </w:p>
          <w:p>
            <w:pPr>
              <w:pStyle w:val="TableParagraph"/>
              <w:spacing w:line="195" w:lineRule="exact"/>
              <w:ind w:left="22" w:right="0"/>
              <w:jc w:val="left"/>
              <w:rPr>
                <w:rFonts w:ascii="宋体" w:hAnsi="宋体" w:cs="宋体" w:eastAsia="宋体" w:hint="default"/>
                <w:sz w:val="15"/>
                <w:szCs w:val="15"/>
              </w:rPr>
            </w:pPr>
            <w:r>
              <w:rPr>
                <w:rFonts w:ascii="宋体" w:hAnsi="宋体" w:cs="宋体" w:eastAsia="宋体" w:hint="default"/>
                <w:sz w:val="15"/>
                <w:szCs w:val="15"/>
              </w:rPr>
              <w:t>资金</w:t>
            </w:r>
          </w:p>
        </w:tc>
      </w:tr>
      <w:tr>
        <w:trPr>
          <w:trHeight w:val="404" w:hRule="exact"/>
        </w:trPr>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3" w:right="0"/>
              <w:jc w:val="left"/>
              <w:rPr>
                <w:rFonts w:ascii="宋体" w:hAnsi="宋体" w:cs="宋体" w:eastAsia="宋体" w:hint="default"/>
                <w:sz w:val="15"/>
                <w:szCs w:val="15"/>
              </w:rPr>
            </w:pPr>
            <w:r>
              <w:rPr>
                <w:rFonts w:ascii="宋体" w:hAnsi="宋体" w:cs="宋体" w:eastAsia="宋体" w:hint="default"/>
                <w:sz w:val="15"/>
                <w:szCs w:val="15"/>
              </w:rPr>
              <w:t>系统改</w:t>
            </w:r>
          </w:p>
          <w:p>
            <w:pPr>
              <w:pStyle w:val="TableParagraph"/>
              <w:spacing w:line="195" w:lineRule="exact"/>
              <w:ind w:left="23" w:right="0"/>
              <w:jc w:val="left"/>
              <w:rPr>
                <w:rFonts w:ascii="宋体" w:hAnsi="宋体" w:cs="宋体" w:eastAsia="宋体" w:hint="default"/>
                <w:sz w:val="15"/>
                <w:szCs w:val="15"/>
              </w:rPr>
            </w:pPr>
            <w:r>
              <w:rPr>
                <w:rFonts w:ascii="宋体" w:hAnsi="宋体" w:cs="宋体" w:eastAsia="宋体" w:hint="default"/>
                <w:sz w:val="15"/>
                <w:szCs w:val="15"/>
              </w:rPr>
              <w:t>造项目</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3" w:right="0"/>
              <w:jc w:val="left"/>
              <w:rPr>
                <w:rFonts w:ascii="宋体" w:hAnsi="宋体" w:cs="宋体" w:eastAsia="宋体" w:hint="default"/>
                <w:sz w:val="15"/>
                <w:szCs w:val="15"/>
              </w:rPr>
            </w:pPr>
            <w:r>
              <w:rPr>
                <w:rFonts w:ascii="宋体" w:hAnsi="宋体" w:cs="宋体" w:eastAsia="宋体" w:hint="default"/>
                <w:sz w:val="15"/>
                <w:szCs w:val="15"/>
              </w:rPr>
              <w:t>港币</w:t>
            </w:r>
          </w:p>
          <w:p>
            <w:pPr>
              <w:pStyle w:val="TableParagraph"/>
              <w:spacing w:line="195" w:lineRule="exact"/>
              <w:ind w:left="23" w:right="0"/>
              <w:jc w:val="left"/>
              <w:rPr>
                <w:rFonts w:ascii="宋体" w:hAnsi="宋体" w:cs="宋体" w:eastAsia="宋体" w:hint="default"/>
                <w:sz w:val="15"/>
                <w:szCs w:val="15"/>
              </w:rPr>
            </w:pPr>
            <w:r>
              <w:rPr>
                <w:rFonts w:ascii="宋体"/>
                <w:sz w:val="15"/>
              </w:rPr>
              <w:t>3,178,000.00</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829,334.24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63" w:right="0"/>
              <w:jc w:val="left"/>
              <w:rPr>
                <w:rFonts w:ascii="宋体" w:hAnsi="宋体" w:cs="宋体" w:eastAsia="宋体" w:hint="default"/>
                <w:sz w:val="15"/>
                <w:szCs w:val="15"/>
              </w:rPr>
            </w:pPr>
            <w:r>
              <w:rPr>
                <w:rFonts w:ascii="宋体"/>
                <w:sz w:val="15"/>
              </w:rPr>
              <w:t>1,414,344.16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5" w:right="0"/>
              <w:jc w:val="center"/>
              <w:rPr>
                <w:rFonts w:ascii="宋体" w:hAnsi="宋体" w:cs="宋体" w:eastAsia="宋体" w:hint="default"/>
                <w:sz w:val="15"/>
                <w:szCs w:val="15"/>
              </w:rPr>
            </w:pPr>
            <w:r>
              <w:rPr>
                <w:rFonts w:ascii="宋体"/>
                <w:sz w:val="15"/>
              </w:rPr>
              <w:t>2,243,678.40</w:t>
            </w:r>
          </w:p>
        </w:tc>
        <w:tc>
          <w:tcPr>
            <w:tcW w:w="542"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73" w:right="0"/>
              <w:jc w:val="left"/>
              <w:rPr>
                <w:rFonts w:ascii="宋体" w:hAnsi="宋体" w:cs="宋体" w:eastAsia="宋体" w:hint="default"/>
                <w:sz w:val="15"/>
                <w:szCs w:val="15"/>
              </w:rPr>
            </w:pPr>
            <w:r>
              <w:rPr>
                <w:rFonts w:ascii="宋体"/>
                <w:sz w:val="15"/>
              </w:rPr>
              <w:t>100</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100.00%</w:t>
            </w:r>
          </w:p>
        </w:tc>
        <w:tc>
          <w:tcPr>
            <w:tcW w:w="961"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
        </w:tc>
        <w:tc>
          <w:tcPr>
            <w:tcW w:w="514" w:type="dxa"/>
            <w:tcBorders>
              <w:top w:val="single" w:sz="6" w:space="0" w:color="000000"/>
              <w:left w:val="single" w:sz="6" w:space="0" w:color="000000"/>
              <w:bottom w:val="single" w:sz="6" w:space="0" w:color="000000"/>
              <w:right w:val="single" w:sz="6" w:space="0" w:color="000000"/>
            </w:tcBorders>
          </w:tcPr>
          <w:p>
            <w:pPr/>
          </w:p>
        </w:tc>
        <w:tc>
          <w:tcPr>
            <w:tcW w:w="40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2" w:right="0"/>
              <w:jc w:val="left"/>
              <w:rPr>
                <w:rFonts w:ascii="宋体" w:hAnsi="宋体" w:cs="宋体" w:eastAsia="宋体" w:hint="default"/>
                <w:sz w:val="15"/>
                <w:szCs w:val="15"/>
              </w:rPr>
            </w:pPr>
            <w:r>
              <w:rPr>
                <w:rFonts w:ascii="宋体" w:hAnsi="宋体" w:cs="宋体" w:eastAsia="宋体" w:hint="default"/>
                <w:sz w:val="15"/>
                <w:szCs w:val="15"/>
              </w:rPr>
              <w:t>自筹</w:t>
            </w:r>
          </w:p>
          <w:p>
            <w:pPr>
              <w:pStyle w:val="TableParagraph"/>
              <w:spacing w:line="195" w:lineRule="exact"/>
              <w:ind w:left="22" w:right="0"/>
              <w:jc w:val="left"/>
              <w:rPr>
                <w:rFonts w:ascii="宋体" w:hAnsi="宋体" w:cs="宋体" w:eastAsia="宋体" w:hint="default"/>
                <w:sz w:val="15"/>
                <w:szCs w:val="15"/>
              </w:rPr>
            </w:pPr>
            <w:r>
              <w:rPr>
                <w:rFonts w:ascii="宋体" w:hAnsi="宋体" w:cs="宋体" w:eastAsia="宋体" w:hint="default"/>
                <w:sz w:val="15"/>
                <w:szCs w:val="15"/>
              </w:rPr>
              <w:t>资金</w:t>
            </w:r>
          </w:p>
        </w:tc>
      </w:tr>
      <w:tr>
        <w:trPr>
          <w:trHeight w:val="209" w:hRule="exact"/>
        </w:trPr>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45"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277"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2"/>
              <w:jc w:val="right"/>
              <w:rPr>
                <w:rFonts w:ascii="宋体" w:hAnsi="宋体" w:cs="宋体" w:eastAsia="宋体" w:hint="default"/>
                <w:sz w:val="15"/>
                <w:szCs w:val="15"/>
              </w:rPr>
            </w:pPr>
            <w:r>
              <w:rPr>
                <w:rFonts w:ascii="宋体"/>
                <w:spacing w:val="-1"/>
                <w:sz w:val="15"/>
              </w:rPr>
              <w:t>55,665,333.73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13" w:right="0"/>
              <w:jc w:val="left"/>
              <w:rPr>
                <w:rFonts w:ascii="宋体" w:hAnsi="宋体" w:cs="宋体" w:eastAsia="宋体" w:hint="default"/>
                <w:sz w:val="15"/>
                <w:szCs w:val="15"/>
              </w:rPr>
            </w:pPr>
            <w:r>
              <w:rPr>
                <w:rFonts w:ascii="宋体"/>
                <w:sz w:val="15"/>
              </w:rPr>
              <w:t>159,630,105.22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5" w:right="0"/>
              <w:jc w:val="center"/>
              <w:rPr>
                <w:rFonts w:ascii="宋体" w:hAnsi="宋体" w:cs="宋体" w:eastAsia="宋体" w:hint="default"/>
                <w:sz w:val="15"/>
                <w:szCs w:val="15"/>
              </w:rPr>
            </w:pPr>
            <w:r>
              <w:rPr>
                <w:rFonts w:ascii="宋体"/>
                <w:sz w:val="15"/>
              </w:rPr>
              <w:t>2,243,678.40</w:t>
            </w:r>
          </w:p>
        </w:tc>
        <w:tc>
          <w:tcPr>
            <w:tcW w:w="542"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2" w:right="0"/>
              <w:jc w:val="left"/>
              <w:rPr>
                <w:rFonts w:ascii="宋体" w:hAnsi="宋体" w:cs="宋体" w:eastAsia="宋体" w:hint="default"/>
                <w:sz w:val="15"/>
                <w:szCs w:val="15"/>
              </w:rPr>
            </w:pPr>
            <w:r>
              <w:rPr>
                <w:rFonts w:ascii="宋体"/>
                <w:sz w:val="15"/>
              </w:rPr>
              <w:t>213,051,760.55</w:t>
            </w:r>
          </w:p>
        </w:tc>
        <w:tc>
          <w:tcPr>
            <w:tcW w:w="43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49" w:right="0"/>
              <w:jc w:val="left"/>
              <w:rPr>
                <w:rFonts w:ascii="宋体" w:hAnsi="宋体" w:cs="宋体" w:eastAsia="宋体" w:hint="default"/>
                <w:sz w:val="15"/>
                <w:szCs w:val="15"/>
              </w:rPr>
            </w:pPr>
            <w:r>
              <w:rPr>
                <w:rFonts w:ascii="宋体"/>
                <w:sz w:val="15"/>
              </w:rPr>
              <w:t>/</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1" w:right="0"/>
              <w:jc w:val="center"/>
              <w:rPr>
                <w:rFonts w:ascii="宋体" w:hAnsi="宋体" w:cs="宋体" w:eastAsia="宋体" w:hint="default"/>
                <w:sz w:val="15"/>
                <w:szCs w:val="15"/>
              </w:rPr>
            </w:pPr>
            <w:r>
              <w:rPr>
                <w:rFonts w:ascii="宋体"/>
                <w:sz w:val="15"/>
              </w:rPr>
              <w:t>/</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2"/>
              <w:jc w:val="right"/>
              <w:rPr>
                <w:rFonts w:ascii="宋体" w:hAnsi="宋体" w:cs="宋体" w:eastAsia="宋体" w:hint="default"/>
                <w:sz w:val="15"/>
                <w:szCs w:val="15"/>
              </w:rPr>
            </w:pPr>
            <w:r>
              <w:rPr>
                <w:rFonts w:ascii="宋体"/>
                <w:spacing w:val="-1"/>
                <w:sz w:val="15"/>
              </w:rPr>
              <w:t>3,855,845.76</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2"/>
              <w:jc w:val="right"/>
              <w:rPr>
                <w:rFonts w:ascii="宋体" w:hAnsi="宋体" w:cs="宋体" w:eastAsia="宋体" w:hint="default"/>
                <w:sz w:val="15"/>
                <w:szCs w:val="15"/>
              </w:rPr>
            </w:pPr>
            <w:r>
              <w:rPr>
                <w:rFonts w:ascii="宋体"/>
                <w:spacing w:val="-1"/>
                <w:sz w:val="15"/>
              </w:rPr>
              <w:t>3,855,845.76</w:t>
            </w:r>
          </w:p>
        </w:tc>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6" w:right="0"/>
              <w:jc w:val="center"/>
              <w:rPr>
                <w:rFonts w:ascii="宋体" w:hAnsi="宋体" w:cs="宋体" w:eastAsia="宋体" w:hint="default"/>
                <w:sz w:val="15"/>
                <w:szCs w:val="15"/>
              </w:rPr>
            </w:pPr>
            <w:r>
              <w:rPr>
                <w:rFonts w:ascii="宋体"/>
                <w:sz w:val="15"/>
              </w:rPr>
              <w:t>/</w:t>
            </w:r>
          </w:p>
        </w:tc>
        <w:tc>
          <w:tcPr>
            <w:tcW w:w="40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70" w:right="0"/>
              <w:jc w:val="left"/>
              <w:rPr>
                <w:rFonts w:ascii="宋体" w:hAnsi="宋体" w:cs="宋体" w:eastAsia="宋体" w:hint="default"/>
                <w:sz w:val="15"/>
                <w:szCs w:val="15"/>
              </w:rPr>
            </w:pPr>
            <w:r>
              <w:rPr>
                <w:rFonts w:ascii="宋体"/>
                <w:sz w:val="15"/>
              </w:rPr>
              <w:t>/</w:t>
            </w:r>
          </w:p>
        </w:tc>
      </w:tr>
    </w:tbl>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80" w:bottom="1380" w:left="260" w:right="340"/>
        </w:sectPr>
      </w:pPr>
    </w:p>
    <w:p>
      <w:pPr>
        <w:pStyle w:val="Heading2"/>
        <w:spacing w:line="240" w:lineRule="auto"/>
        <w:ind w:left="1538" w:right="0"/>
        <w:jc w:val="left"/>
        <w:rPr>
          <w:b w:val="0"/>
          <w:bCs w:val="0"/>
        </w:rPr>
      </w:pPr>
      <w:r>
        <w:rPr>
          <w:rFonts w:ascii="宋体" w:hAnsi="宋体" w:cs="宋体" w:eastAsia="宋体" w:hint="default"/>
        </w:rPr>
        <w:t>16</w:t>
      </w:r>
      <w:r>
        <w:rPr/>
        <w:t>、</w:t>
      </w:r>
      <w:r>
        <w:rPr>
          <w:spacing w:val="-101"/>
        </w:rPr>
        <w:t> </w:t>
      </w:r>
      <w:r>
        <w:rPr/>
        <w:t>无形资产</w:t>
      </w:r>
      <w:r>
        <w:rPr>
          <w:b w:val="0"/>
          <w:bCs w:val="0"/>
        </w:rPr>
      </w:r>
    </w:p>
    <w:p>
      <w:pPr>
        <w:pStyle w:val="Heading2"/>
        <w:tabs>
          <w:tab w:pos="2377" w:val="left" w:leader="none"/>
        </w:tabs>
        <w:spacing w:line="240" w:lineRule="auto" w:before="56"/>
        <w:ind w:left="1538" w:right="0"/>
        <w:jc w:val="left"/>
        <w:rPr>
          <w:b w:val="0"/>
          <w:bCs w:val="0"/>
        </w:rPr>
      </w:pPr>
      <w:r>
        <w:rPr>
          <w:rFonts w:ascii="宋体" w:hAnsi="宋体" w:cs="宋体" w:eastAsia="宋体" w:hint="default"/>
          <w:w w:val="95"/>
        </w:rPr>
        <w:t>(1).</w:t>
        <w:tab/>
      </w:r>
      <w:r>
        <w:rPr>
          <w:w w:val="95"/>
        </w:rPr>
        <w:t>无形资产情况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tabs>
          <w:tab w:pos="2587" w:val="left" w:leader="none"/>
        </w:tabs>
        <w:spacing w:before="0"/>
        <w:ind w:left="153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260" w:right="340"/>
          <w:cols w:num="2" w:equalWidth="0">
            <w:col w:w="3822" w:space="2702"/>
            <w:col w:w="4786"/>
          </w:cols>
        </w:sectPr>
      </w:pPr>
    </w:p>
    <w:p>
      <w:pPr>
        <w:spacing w:line="240" w:lineRule="auto" w:before="7"/>
        <w:rPr>
          <w:rFonts w:ascii="宋体" w:hAnsi="宋体" w:cs="宋体" w:eastAsia="宋体" w:hint="default"/>
          <w:sz w:val="2"/>
          <w:szCs w:val="2"/>
        </w:rPr>
      </w:pPr>
    </w:p>
    <w:tbl>
      <w:tblPr>
        <w:tblW w:w="0" w:type="auto"/>
        <w:jc w:val="left"/>
        <w:tblInd w:w="1425" w:type="dxa"/>
        <w:tblLayout w:type="fixed"/>
        <w:tblCellMar>
          <w:top w:w="0" w:type="dxa"/>
          <w:left w:w="0" w:type="dxa"/>
          <w:bottom w:w="0" w:type="dxa"/>
          <w:right w:w="0" w:type="dxa"/>
        </w:tblCellMar>
        <w:tblLook w:val="01E0"/>
      </w:tblPr>
      <w:tblGrid>
        <w:gridCol w:w="1849"/>
        <w:gridCol w:w="1386"/>
        <w:gridCol w:w="1476"/>
        <w:gridCol w:w="1476"/>
        <w:gridCol w:w="1386"/>
        <w:gridCol w:w="1476"/>
      </w:tblGrid>
      <w:tr>
        <w:trPr>
          <w:trHeight w:val="349"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6"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其他软件</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1"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12,581,297.00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181,502,167.72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126,012,700.00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23,926,866.69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344,023,031.41</w:t>
            </w:r>
          </w:p>
        </w:tc>
      </w:tr>
      <w:tr>
        <w:trPr>
          <w:trHeight w:val="349"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71,812,776.97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1,325,608.43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73,138,385.40</w:t>
            </w:r>
          </w:p>
        </w:tc>
      </w:tr>
      <w:tr>
        <w:trPr>
          <w:trHeight w:val="350"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购置</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7" w:right="0"/>
              <w:jc w:val="center"/>
              <w:rPr>
                <w:rFonts w:ascii="宋体" w:hAnsi="宋体" w:cs="宋体" w:eastAsia="宋体" w:hint="default"/>
                <w:sz w:val="18"/>
                <w:szCs w:val="18"/>
              </w:rPr>
            </w:pPr>
            <w:r>
              <w:rPr>
                <w:rFonts w:ascii="宋体"/>
                <w:sz w:val="18"/>
              </w:rPr>
              <w:t>1,326,254.83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1,326,254.83</w:t>
            </w:r>
          </w:p>
        </w:tc>
      </w:tr>
    </w:tbl>
    <w:p>
      <w:pPr>
        <w:spacing w:after="0" w:line="207" w:lineRule="exact"/>
        <w:jc w:val="right"/>
        <w:rPr>
          <w:rFonts w:ascii="宋体" w:hAnsi="宋体" w:cs="宋体" w:eastAsia="宋体" w:hint="default"/>
          <w:sz w:val="18"/>
          <w:szCs w:val="18"/>
        </w:rPr>
        <w:sectPr>
          <w:type w:val="continuous"/>
          <w:pgSz w:w="11910" w:h="16840"/>
          <w:pgMar w:top="1080" w:bottom="1380" w:left="260" w:right="3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565" w:type="dxa"/>
        <w:tblLayout w:type="fixed"/>
        <w:tblCellMar>
          <w:top w:w="0" w:type="dxa"/>
          <w:left w:w="0" w:type="dxa"/>
          <w:bottom w:w="0" w:type="dxa"/>
          <w:right w:w="0" w:type="dxa"/>
        </w:tblCellMar>
        <w:tblLook w:val="01E0"/>
      </w:tblPr>
      <w:tblGrid>
        <w:gridCol w:w="1849"/>
        <w:gridCol w:w="1386"/>
        <w:gridCol w:w="1476"/>
        <w:gridCol w:w="1476"/>
        <w:gridCol w:w="1386"/>
        <w:gridCol w:w="1476"/>
      </w:tblGrid>
      <w:tr>
        <w:trPr>
          <w:trHeight w:val="476"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4"/>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内部研发</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66,758,240.86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66,758,240.86</w:t>
            </w:r>
          </w:p>
        </w:tc>
      </w:tr>
      <w:tr>
        <w:trPr>
          <w:trHeight w:val="478"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企业合并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4,983,300.00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4,983,300.00</w:t>
            </w:r>
          </w:p>
        </w:tc>
      </w:tr>
      <w:tr>
        <w:trPr>
          <w:trHeight w:val="350"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pacing w:val="-77"/>
                <w:sz w:val="18"/>
                <w:szCs w:val="18"/>
              </w:rPr>
              <w:t>）</w:t>
            </w:r>
            <w:r>
              <w:rPr>
                <w:rFonts w:ascii="宋体" w:hAnsi="宋体" w:cs="宋体" w:eastAsia="宋体" w:hint="default"/>
                <w:sz w:val="18"/>
                <w:szCs w:val="18"/>
              </w:rPr>
              <w:t>汇率变动</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71,236.11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-646.40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70,589.71</w:t>
            </w:r>
          </w:p>
        </w:tc>
      </w:tr>
      <w:tr>
        <w:trPr>
          <w:trHeight w:val="350"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4"/>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0.00</w:t>
            </w:r>
          </w:p>
        </w:tc>
      </w:tr>
      <w:tr>
        <w:trPr>
          <w:trHeight w:val="350"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7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12,581,297.00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253,314,944.69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126,012,700.00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25,252,475.12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417,161,416.81</w:t>
            </w:r>
          </w:p>
        </w:tc>
      </w:tr>
      <w:tr>
        <w:trPr>
          <w:trHeight w:val="349"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12,581,297.00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70,747,740.64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2,520,254.00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13,355,085.37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99,204,377.01</w:t>
            </w:r>
          </w:p>
        </w:tc>
      </w:tr>
      <w:tr>
        <w:trPr>
          <w:trHeight w:val="350"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4"/>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34,718,049.85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2,520,254.00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1,794,424.87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39,032,728.72</w:t>
            </w:r>
          </w:p>
        </w:tc>
      </w:tr>
      <w:tr>
        <w:trPr>
          <w:trHeight w:val="349"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34,250,002.34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2,520,254.00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1,794,424.87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38,564,681.21</w:t>
            </w:r>
          </w:p>
        </w:tc>
      </w:tr>
      <w:tr>
        <w:trPr>
          <w:trHeight w:val="478"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77"/>
                <w:sz w:val="18"/>
                <w:szCs w:val="18"/>
              </w:rPr>
              <w:t>）</w:t>
            </w:r>
            <w:r>
              <w:rPr>
                <w:rFonts w:ascii="宋体" w:hAnsi="宋体" w:cs="宋体" w:eastAsia="宋体" w:hint="default"/>
                <w:sz w:val="18"/>
                <w:szCs w:val="18"/>
              </w:rPr>
              <w:t>企业合并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415,275.00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415,275.00</w:t>
            </w:r>
          </w:p>
        </w:tc>
      </w:tr>
      <w:tr>
        <w:trPr>
          <w:trHeight w:val="349"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77"/>
                <w:sz w:val="18"/>
                <w:szCs w:val="18"/>
              </w:rPr>
              <w:t>）</w:t>
            </w:r>
            <w:r>
              <w:rPr>
                <w:rFonts w:ascii="宋体" w:hAnsi="宋体" w:cs="宋体" w:eastAsia="宋体" w:hint="default"/>
                <w:sz w:val="18"/>
                <w:szCs w:val="18"/>
              </w:rPr>
              <w:t>汇率变动</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52,772.51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52,772.51</w:t>
            </w:r>
          </w:p>
        </w:tc>
      </w:tr>
      <w:tr>
        <w:trPr>
          <w:trHeight w:val="350"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4"/>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0.00</w:t>
            </w:r>
          </w:p>
        </w:tc>
      </w:tr>
      <w:tr>
        <w:trPr>
          <w:trHeight w:val="350"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12,581,297.00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105,465,790.49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5,040,508.00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15,149,510.24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138,237,105.73</w:t>
            </w:r>
          </w:p>
        </w:tc>
      </w:tr>
      <w:tr>
        <w:trPr>
          <w:trHeight w:val="349"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0.00</w:t>
            </w:r>
          </w:p>
        </w:tc>
      </w:tr>
      <w:tr>
        <w:trPr>
          <w:trHeight w:val="350"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4"/>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r>
      <w:tr>
        <w:trPr>
          <w:trHeight w:val="349"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4"/>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r>
      <w:tr>
        <w:trPr>
          <w:trHeight w:val="350"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0.00</w:t>
            </w:r>
          </w:p>
        </w:tc>
      </w:tr>
      <w:tr>
        <w:trPr>
          <w:trHeight w:val="351"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4"/>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147,849,154.20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120,972,192.00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10,102,964.88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278,924,311.08</w:t>
            </w:r>
          </w:p>
        </w:tc>
      </w:tr>
      <w:tr>
        <w:trPr>
          <w:trHeight w:val="350"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4"/>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110,754,427.08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123,492,446.00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10,571,781.32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244,818,654.40</w:t>
            </w:r>
          </w:p>
        </w:tc>
      </w:tr>
    </w:tbl>
    <w:p>
      <w:pPr>
        <w:spacing w:line="240" w:lineRule="auto" w:before="6"/>
        <w:rPr>
          <w:rFonts w:ascii="宋体" w:hAnsi="宋体" w:cs="宋体" w:eastAsia="宋体" w:hint="default"/>
          <w:sz w:val="15"/>
          <w:szCs w:val="15"/>
        </w:rPr>
      </w:pPr>
    </w:p>
    <w:p>
      <w:pPr>
        <w:spacing w:before="35"/>
        <w:ind w:left="678" w:right="0" w:firstLine="0"/>
        <w:jc w:val="left"/>
        <w:rPr>
          <w:rFonts w:ascii="宋体" w:hAnsi="宋体" w:cs="宋体" w:eastAsia="宋体" w:hint="default"/>
          <w:sz w:val="21"/>
          <w:szCs w:val="21"/>
        </w:rPr>
      </w:pPr>
      <w:r>
        <w:rPr>
          <w:rFonts w:ascii="宋体" w:hAnsi="宋体" w:cs="宋体" w:eastAsia="宋体" w:hint="default"/>
          <w:sz w:val="21"/>
          <w:szCs w:val="21"/>
        </w:rPr>
        <w:t>说明：本期末通过公司内部研发形成的无形资产占无形资产余额的比例</w:t>
      </w:r>
      <w:r>
        <w:rPr>
          <w:rFonts w:ascii="宋体" w:hAnsi="宋体" w:cs="宋体" w:eastAsia="宋体" w:hint="default"/>
          <w:spacing w:val="-52"/>
          <w:sz w:val="21"/>
          <w:szCs w:val="21"/>
        </w:rPr>
        <w:t> </w:t>
      </w:r>
      <w:r>
        <w:rPr>
          <w:rFonts w:ascii="宋体" w:hAnsi="宋体" w:cs="宋体" w:eastAsia="宋体" w:hint="default"/>
          <w:sz w:val="21"/>
          <w:szCs w:val="21"/>
        </w:rPr>
        <w:t>53.01%</w:t>
      </w: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4" w:top="1120" w:bottom="1380" w:left="1120" w:right="1040"/>
        </w:sectPr>
      </w:pPr>
    </w:p>
    <w:p>
      <w:pPr>
        <w:pStyle w:val="Heading2"/>
        <w:spacing w:line="240" w:lineRule="auto"/>
        <w:ind w:left="678" w:right="-18"/>
        <w:jc w:val="left"/>
        <w:rPr>
          <w:b w:val="0"/>
          <w:bCs w:val="0"/>
        </w:rPr>
      </w:pPr>
      <w:r>
        <w:rPr>
          <w:rFonts w:ascii="宋体" w:hAnsi="宋体" w:cs="宋体" w:eastAsia="宋体" w:hint="default"/>
        </w:rPr>
        <w:t>17</w:t>
      </w:r>
      <w:r>
        <w:rPr/>
        <w:t>、</w:t>
      </w:r>
      <w:r>
        <w:rPr>
          <w:spacing w:val="-101"/>
        </w:rPr>
        <w:t> </w:t>
      </w:r>
      <w:r>
        <w:rPr/>
        <w:t>开发支出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tabs>
          <w:tab w:pos="1727" w:val="left" w:leader="none"/>
        </w:tabs>
        <w:spacing w:before="140"/>
        <w:ind w:left="67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120" w:right="1040"/>
          <w:cols w:num="2" w:equalWidth="0">
            <w:col w:w="2147" w:space="4377"/>
            <w:col w:w="322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36"/>
        <w:gridCol w:w="1386"/>
        <w:gridCol w:w="1386"/>
        <w:gridCol w:w="576"/>
        <w:gridCol w:w="396"/>
        <w:gridCol w:w="1386"/>
        <w:gridCol w:w="1386"/>
        <w:gridCol w:w="473"/>
        <w:gridCol w:w="1386"/>
      </w:tblGrid>
      <w:tr>
        <w:trPr>
          <w:trHeight w:val="242" w:hRule="exact"/>
        </w:trPr>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91"/>
              <w:ind w:left="507" w:right="506"/>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23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3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2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7"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91"/>
              <w:ind w:left="506" w:right="509"/>
              <w:jc w:val="center"/>
              <w:rPr>
                <w:rFonts w:ascii="宋体" w:hAnsi="宋体" w:cs="宋体" w:eastAsia="宋体" w:hint="default"/>
                <w:sz w:val="18"/>
                <w:szCs w:val="18"/>
              </w:rPr>
            </w:pPr>
            <w:r>
              <w:rPr>
                <w:rFonts w:ascii="宋体" w:hAnsi="宋体" w:cs="宋体" w:eastAsia="宋体" w:hint="default"/>
                <w:sz w:val="18"/>
                <w:szCs w:val="18"/>
              </w:rPr>
              <w:t>期末 余额</w:t>
            </w:r>
          </w:p>
        </w:tc>
      </w:tr>
      <w:tr>
        <w:trPr>
          <w:trHeight w:val="478" w:hRule="exact"/>
        </w:trPr>
        <w:tc>
          <w:tcPr>
            <w:tcW w:w="1136" w:type="dxa"/>
            <w:vMerge/>
            <w:tcBorders>
              <w:left w:val="single" w:sz="4" w:space="0" w:color="000000"/>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47"/>
              <w:jc w:val="right"/>
              <w:rPr>
                <w:rFonts w:ascii="宋体" w:hAnsi="宋体" w:cs="宋体" w:eastAsia="宋体" w:hint="default"/>
                <w:sz w:val="18"/>
                <w:szCs w:val="18"/>
              </w:rPr>
            </w:pPr>
            <w:r>
              <w:rPr>
                <w:rFonts w:ascii="宋体" w:hAnsi="宋体" w:cs="宋体" w:eastAsia="宋体" w:hint="default"/>
                <w:sz w:val="18"/>
                <w:szCs w:val="18"/>
              </w:rPr>
              <w:t>内部开发支出</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sz w:val="18"/>
                <w:szCs w:val="18"/>
              </w:rPr>
              <w:t>其他</w:t>
            </w:r>
          </w:p>
        </w:tc>
        <w:tc>
          <w:tcPr>
            <w:tcW w:w="39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确认为无形资</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产</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47"/>
              <w:jc w:val="right"/>
              <w:rPr>
                <w:rFonts w:ascii="宋体" w:hAnsi="宋体" w:cs="宋体" w:eastAsia="宋体" w:hint="default"/>
                <w:sz w:val="18"/>
                <w:szCs w:val="18"/>
              </w:rPr>
            </w:pPr>
            <w:r>
              <w:rPr>
                <w:rFonts w:ascii="宋体" w:hAnsi="宋体" w:cs="宋体" w:eastAsia="宋体" w:hint="default"/>
                <w:sz w:val="18"/>
                <w:szCs w:val="18"/>
              </w:rPr>
              <w:t>转入当期损益</w:t>
            </w:r>
          </w:p>
        </w:tc>
        <w:tc>
          <w:tcPr>
            <w:tcW w:w="473" w:type="dxa"/>
            <w:tcBorders>
              <w:top w:val="single" w:sz="4" w:space="0" w:color="000000"/>
              <w:left w:val="single" w:sz="4" w:space="0" w:color="000000"/>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r>
      <w:tr>
        <w:trPr>
          <w:trHeight w:val="24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云计算类</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53,362,367.44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8,392,881.06</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53,362,367.44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0.00</w:t>
            </w:r>
          </w:p>
        </w:tc>
        <w:tc>
          <w:tcPr>
            <w:tcW w:w="473"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8,392,881.06</w:t>
            </w:r>
          </w:p>
        </w:tc>
      </w:tr>
      <w:tr>
        <w:trPr>
          <w:trHeight w:val="24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应用服务类</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9,819,100.63</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21,413,351.62</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9,329,303.65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0.00</w:t>
            </w:r>
          </w:p>
        </w:tc>
        <w:tc>
          <w:tcPr>
            <w:tcW w:w="473"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21,903,148.60</w:t>
            </w:r>
          </w:p>
        </w:tc>
      </w:tr>
      <w:tr>
        <w:trPr>
          <w:trHeight w:val="24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大数据类</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19,952,314.17</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0.00</w:t>
            </w:r>
          </w:p>
        </w:tc>
        <w:tc>
          <w:tcPr>
            <w:tcW w:w="473"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19,952,314.17</w:t>
            </w:r>
          </w:p>
        </w:tc>
      </w:tr>
      <w:tr>
        <w:trPr>
          <w:trHeight w:val="24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BSM</w:t>
            </w:r>
            <w:r>
              <w:rPr>
                <w:rFonts w:ascii="宋体" w:hAnsi="宋体" w:cs="宋体" w:eastAsia="宋体" w:hint="default"/>
                <w:spacing w:val="-46"/>
                <w:sz w:val="18"/>
                <w:szCs w:val="18"/>
              </w:rPr>
              <w:t> </w:t>
            </w:r>
            <w:r>
              <w:rPr>
                <w:rFonts w:ascii="宋体" w:hAnsi="宋体" w:cs="宋体" w:eastAsia="宋体" w:hint="default"/>
                <w:sz w:val="18"/>
                <w:szCs w:val="18"/>
              </w:rPr>
              <w:t>类</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7,053,596.01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0.00</w:t>
            </w:r>
          </w:p>
        </w:tc>
        <w:tc>
          <w:tcPr>
            <w:tcW w:w="473"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7,053,596.01</w:t>
            </w:r>
          </w:p>
        </w:tc>
      </w:tr>
      <w:tr>
        <w:trPr>
          <w:trHeight w:val="24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4,645,877.62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3,468,996.72</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4,066,569.77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231,571.33</w:t>
            </w:r>
          </w:p>
        </w:tc>
        <w:tc>
          <w:tcPr>
            <w:tcW w:w="473"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3,816,733.24</w:t>
            </w:r>
          </w:p>
        </w:tc>
      </w:tr>
      <w:tr>
        <w:trPr>
          <w:trHeight w:val="24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费用化支出</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33,574,338.43</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33,574,338.43</w:t>
            </w:r>
          </w:p>
        </w:tc>
        <w:tc>
          <w:tcPr>
            <w:tcW w:w="473"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r>
      <w:tr>
        <w:trPr>
          <w:trHeight w:val="24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67,827,345.69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93,855,478.01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66,758,240.86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33,805,909.76</w:t>
            </w:r>
          </w:p>
        </w:tc>
        <w:tc>
          <w:tcPr>
            <w:tcW w:w="473"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61,118,673.08</w:t>
            </w:r>
          </w:p>
        </w:tc>
      </w:tr>
    </w:tbl>
    <w:p>
      <w:pPr>
        <w:pStyle w:val="BodyText"/>
        <w:spacing w:line="240" w:lineRule="auto" w:before="81"/>
        <w:ind w:left="678" w:right="0"/>
        <w:jc w:val="left"/>
      </w:pPr>
      <w:r>
        <w:rPr/>
        <w:t>续：</w:t>
      </w:r>
    </w:p>
    <w:p>
      <w:pPr>
        <w:spacing w:line="240" w:lineRule="auto" w:before="0"/>
        <w:rPr>
          <w:rFonts w:ascii="宋体" w:hAnsi="宋体" w:cs="宋体" w:eastAsia="宋体" w:hint="default"/>
          <w:sz w:val="12"/>
          <w:szCs w:val="12"/>
        </w:rPr>
      </w:pPr>
    </w:p>
    <w:tbl>
      <w:tblPr>
        <w:tblW w:w="0" w:type="auto"/>
        <w:jc w:val="left"/>
        <w:tblInd w:w="570" w:type="dxa"/>
        <w:tblLayout w:type="fixed"/>
        <w:tblCellMar>
          <w:top w:w="0" w:type="dxa"/>
          <w:left w:w="0" w:type="dxa"/>
          <w:bottom w:w="0" w:type="dxa"/>
          <w:right w:w="0" w:type="dxa"/>
        </w:tblCellMar>
        <w:tblLook w:val="01E0"/>
      </w:tblPr>
      <w:tblGrid>
        <w:gridCol w:w="1930"/>
        <w:gridCol w:w="2876"/>
        <w:gridCol w:w="2019"/>
        <w:gridCol w:w="2226"/>
      </w:tblGrid>
      <w:tr>
        <w:trPr>
          <w:trHeight w:val="412" w:hRule="exact"/>
        </w:trPr>
        <w:tc>
          <w:tcPr>
            <w:tcW w:w="1930"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left="108"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876"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21"/>
                <w:szCs w:val="21"/>
              </w:rPr>
            </w:pPr>
            <w:r>
              <w:rPr>
                <w:rFonts w:ascii="宋体" w:hAnsi="宋体" w:cs="宋体" w:eastAsia="宋体" w:hint="default"/>
                <w:b/>
                <w:bCs/>
                <w:w w:val="95"/>
                <w:sz w:val="21"/>
                <w:szCs w:val="21"/>
              </w:rPr>
              <w:t>资本化开始时点</w:t>
            </w:r>
            <w:r>
              <w:rPr>
                <w:rFonts w:ascii="宋体" w:hAnsi="宋体" w:cs="宋体" w:eastAsia="宋体" w:hint="default"/>
                <w:sz w:val="21"/>
                <w:szCs w:val="21"/>
              </w:rPr>
            </w:r>
          </w:p>
        </w:tc>
        <w:tc>
          <w:tcPr>
            <w:tcW w:w="2019"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宋体" w:hAnsi="宋体" w:cs="宋体" w:eastAsia="宋体" w:hint="default"/>
                <w:b/>
                <w:bCs/>
                <w:sz w:val="21"/>
                <w:szCs w:val="21"/>
              </w:rPr>
              <w:t>资本化的具体依据</w:t>
            </w:r>
            <w:r>
              <w:rPr>
                <w:rFonts w:ascii="宋体" w:hAnsi="宋体" w:cs="宋体" w:eastAsia="宋体" w:hint="default"/>
                <w:sz w:val="21"/>
                <w:szCs w:val="21"/>
              </w:rPr>
            </w:r>
          </w:p>
        </w:tc>
        <w:tc>
          <w:tcPr>
            <w:tcW w:w="2226"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left="54" w:right="0"/>
              <w:jc w:val="left"/>
              <w:rPr>
                <w:rFonts w:ascii="宋体" w:hAnsi="宋体" w:cs="宋体" w:eastAsia="宋体" w:hint="default"/>
                <w:sz w:val="21"/>
                <w:szCs w:val="21"/>
              </w:rPr>
            </w:pPr>
            <w:r>
              <w:rPr>
                <w:rFonts w:ascii="宋体" w:hAnsi="宋体" w:cs="宋体" w:eastAsia="宋体" w:hint="default"/>
                <w:b/>
                <w:bCs/>
                <w:sz w:val="21"/>
                <w:szCs w:val="21"/>
              </w:rPr>
              <w:t>截至期末的研发进度</w:t>
            </w:r>
            <w:r>
              <w:rPr>
                <w:rFonts w:ascii="宋体" w:hAnsi="宋体" w:cs="宋体" w:eastAsia="宋体" w:hint="default"/>
                <w:sz w:val="21"/>
                <w:szCs w:val="21"/>
              </w:rPr>
            </w:r>
          </w:p>
        </w:tc>
      </w:tr>
      <w:tr>
        <w:trPr>
          <w:trHeight w:val="400" w:hRule="exact"/>
        </w:trPr>
        <w:tc>
          <w:tcPr>
            <w:tcW w:w="1930"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8" w:right="0"/>
              <w:jc w:val="left"/>
              <w:rPr>
                <w:rFonts w:ascii="宋体" w:hAnsi="宋体" w:cs="宋体" w:eastAsia="宋体" w:hint="default"/>
                <w:sz w:val="21"/>
                <w:szCs w:val="21"/>
              </w:rPr>
            </w:pPr>
            <w:r>
              <w:rPr>
                <w:rFonts w:ascii="宋体" w:hAnsi="宋体" w:cs="宋体" w:eastAsia="宋体" w:hint="default"/>
                <w:sz w:val="21"/>
                <w:szCs w:val="21"/>
              </w:rPr>
              <w:t>云计算类</w:t>
            </w:r>
          </w:p>
        </w:tc>
        <w:tc>
          <w:tcPr>
            <w:tcW w:w="2876"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7"/>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2019"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52"/>
              <w:jc w:val="right"/>
              <w:rPr>
                <w:rFonts w:ascii="宋体" w:hAnsi="宋体" w:cs="宋体" w:eastAsia="宋体" w:hint="default"/>
                <w:sz w:val="21"/>
                <w:szCs w:val="21"/>
              </w:rPr>
            </w:pPr>
            <w:r>
              <w:rPr>
                <w:rFonts w:ascii="宋体" w:hAnsi="宋体" w:cs="宋体" w:eastAsia="宋体" w:hint="default"/>
                <w:sz w:val="21"/>
                <w:szCs w:val="21"/>
              </w:rPr>
              <w:t>项目立项</w:t>
            </w:r>
          </w:p>
        </w:tc>
        <w:tc>
          <w:tcPr>
            <w:tcW w:w="2226"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spacing w:val="-1"/>
                <w:sz w:val="21"/>
              </w:rPr>
              <w:t>75%-85%</w:t>
            </w:r>
          </w:p>
        </w:tc>
      </w:tr>
      <w:tr>
        <w:trPr>
          <w:trHeight w:val="397" w:hRule="exact"/>
        </w:trPr>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应用服务类</w:t>
            </w:r>
          </w:p>
        </w:tc>
        <w:tc>
          <w:tcPr>
            <w:tcW w:w="287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2"/>
              <w:jc w:val="right"/>
              <w:rPr>
                <w:rFonts w:ascii="宋体" w:hAnsi="宋体" w:cs="宋体" w:eastAsia="宋体" w:hint="default"/>
                <w:sz w:val="21"/>
                <w:szCs w:val="21"/>
              </w:rPr>
            </w:pPr>
            <w:r>
              <w:rPr>
                <w:rFonts w:ascii="宋体" w:hAnsi="宋体" w:cs="宋体" w:eastAsia="宋体" w:hint="default"/>
                <w:sz w:val="21"/>
                <w:szCs w:val="21"/>
              </w:rPr>
              <w:t>项目立项</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pacing w:val="-1"/>
                <w:sz w:val="21"/>
              </w:rPr>
              <w:t>35%-90%</w:t>
            </w:r>
          </w:p>
        </w:tc>
      </w:tr>
      <w:tr>
        <w:trPr>
          <w:trHeight w:val="304" w:hRule="exact"/>
        </w:trPr>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大数据类</w:t>
            </w:r>
          </w:p>
        </w:tc>
        <w:tc>
          <w:tcPr>
            <w:tcW w:w="287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2"/>
              <w:jc w:val="right"/>
              <w:rPr>
                <w:rFonts w:ascii="宋体" w:hAnsi="宋体" w:cs="宋体" w:eastAsia="宋体" w:hint="default"/>
                <w:sz w:val="21"/>
                <w:szCs w:val="21"/>
              </w:rPr>
            </w:pPr>
            <w:r>
              <w:rPr>
                <w:rFonts w:ascii="宋体" w:hAnsi="宋体" w:cs="宋体" w:eastAsia="宋体" w:hint="default"/>
                <w:sz w:val="21"/>
                <w:szCs w:val="21"/>
              </w:rPr>
              <w:t>项目立项</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pacing w:val="-1"/>
                <w:sz w:val="21"/>
              </w:rPr>
              <w:t>50%-70%</w:t>
            </w:r>
          </w:p>
        </w:tc>
      </w:tr>
    </w:tbl>
    <w:p>
      <w:pPr>
        <w:spacing w:after="0" w:line="240" w:lineRule="auto"/>
        <w:jc w:val="right"/>
        <w:rPr>
          <w:rFonts w:ascii="宋体" w:hAnsi="宋体" w:cs="宋体" w:eastAsia="宋体" w:hint="default"/>
          <w:sz w:val="21"/>
          <w:szCs w:val="21"/>
        </w:rPr>
        <w:sectPr>
          <w:type w:val="continuous"/>
          <w:pgSz w:w="11910" w:h="16840"/>
          <w:pgMar w:top="1080" w:bottom="1380" w:left="112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715" w:type="dxa"/>
        <w:tblLayout w:type="fixed"/>
        <w:tblCellMar>
          <w:top w:w="0" w:type="dxa"/>
          <w:left w:w="0" w:type="dxa"/>
          <w:bottom w:w="0" w:type="dxa"/>
          <w:right w:w="0" w:type="dxa"/>
        </w:tblCellMar>
        <w:tblLook w:val="01E0"/>
      </w:tblPr>
      <w:tblGrid>
        <w:gridCol w:w="2154"/>
        <w:gridCol w:w="3174"/>
        <w:gridCol w:w="2175"/>
        <w:gridCol w:w="1562"/>
      </w:tblGrid>
      <w:tr>
        <w:trPr>
          <w:trHeight w:val="315" w:hRule="exact"/>
        </w:trPr>
        <w:tc>
          <w:tcPr>
            <w:tcW w:w="2154" w:type="dxa"/>
            <w:tcBorders>
              <w:top w:val="nil" w:sz="6" w:space="0" w:color="auto"/>
              <w:left w:val="nil" w:sz="6" w:space="0" w:color="auto"/>
              <w:bottom w:val="single" w:sz="8" w:space="0" w:color="000000"/>
              <w:right w:val="nil" w:sz="6" w:space="0" w:color="auto"/>
            </w:tcBorders>
          </w:tcPr>
          <w:p>
            <w:pPr>
              <w:pStyle w:val="TableParagraph"/>
              <w:spacing w:line="210" w:lineRule="exact"/>
              <w:ind w:left="122" w:right="0"/>
              <w:jc w:val="left"/>
              <w:rPr>
                <w:rFonts w:ascii="宋体" w:hAnsi="宋体" w:cs="宋体" w:eastAsia="宋体" w:hint="default"/>
                <w:sz w:val="21"/>
                <w:szCs w:val="21"/>
              </w:rPr>
            </w:pPr>
            <w:r>
              <w:rPr>
                <w:rFonts w:ascii="宋体" w:hAnsi="宋体" w:cs="宋体" w:eastAsia="宋体" w:hint="default"/>
                <w:sz w:val="21"/>
                <w:szCs w:val="21"/>
              </w:rPr>
              <w:t>BSM</w:t>
            </w:r>
            <w:r>
              <w:rPr>
                <w:rFonts w:ascii="宋体" w:hAnsi="宋体" w:cs="宋体" w:eastAsia="宋体" w:hint="default"/>
                <w:spacing w:val="-52"/>
                <w:sz w:val="21"/>
                <w:szCs w:val="21"/>
              </w:rPr>
              <w:t> </w:t>
            </w:r>
            <w:r>
              <w:rPr>
                <w:rFonts w:ascii="宋体" w:hAnsi="宋体" w:cs="宋体" w:eastAsia="宋体" w:hint="default"/>
                <w:sz w:val="21"/>
                <w:szCs w:val="21"/>
              </w:rPr>
              <w:t>类</w:t>
            </w:r>
          </w:p>
        </w:tc>
        <w:tc>
          <w:tcPr>
            <w:tcW w:w="3174" w:type="dxa"/>
            <w:tcBorders>
              <w:top w:val="nil" w:sz="6" w:space="0" w:color="auto"/>
              <w:left w:val="nil" w:sz="6" w:space="0" w:color="auto"/>
              <w:bottom w:val="single" w:sz="8" w:space="0" w:color="000000"/>
              <w:right w:val="nil" w:sz="6" w:space="0" w:color="auto"/>
            </w:tcBorders>
          </w:tcPr>
          <w:p>
            <w:pPr>
              <w:pStyle w:val="TableParagraph"/>
              <w:spacing w:line="210" w:lineRule="exact"/>
              <w:ind w:left="145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175" w:type="dxa"/>
            <w:tcBorders>
              <w:top w:val="nil" w:sz="6" w:space="0" w:color="auto"/>
              <w:left w:val="nil" w:sz="6" w:space="0" w:color="auto"/>
              <w:bottom w:val="single" w:sz="8" w:space="0" w:color="000000"/>
              <w:right w:val="nil" w:sz="6" w:space="0" w:color="auto"/>
            </w:tcBorders>
          </w:tcPr>
          <w:p>
            <w:pPr>
              <w:pStyle w:val="TableParagraph"/>
              <w:spacing w:line="210" w:lineRule="exact"/>
              <w:ind w:left="616" w:right="0"/>
              <w:jc w:val="left"/>
              <w:rPr>
                <w:rFonts w:ascii="宋体" w:hAnsi="宋体" w:cs="宋体" w:eastAsia="宋体" w:hint="default"/>
                <w:sz w:val="21"/>
                <w:szCs w:val="21"/>
              </w:rPr>
            </w:pPr>
            <w:r>
              <w:rPr>
                <w:rFonts w:ascii="宋体" w:hAnsi="宋体" w:cs="宋体" w:eastAsia="宋体" w:hint="default"/>
                <w:sz w:val="21"/>
                <w:szCs w:val="21"/>
              </w:rPr>
              <w:t>项目立项</w:t>
            </w:r>
          </w:p>
        </w:tc>
        <w:tc>
          <w:tcPr>
            <w:tcW w:w="1562" w:type="dxa"/>
            <w:tcBorders>
              <w:top w:val="nil" w:sz="6" w:space="0" w:color="auto"/>
              <w:left w:val="nil" w:sz="6" w:space="0" w:color="auto"/>
              <w:bottom w:val="single" w:sz="8" w:space="0" w:color="000000"/>
              <w:right w:val="nil" w:sz="6" w:space="0" w:color="auto"/>
            </w:tcBorders>
          </w:tcPr>
          <w:p>
            <w:pPr>
              <w:pStyle w:val="TableParagraph"/>
              <w:spacing w:line="210" w:lineRule="exact"/>
              <w:ind w:left="718" w:right="0"/>
              <w:jc w:val="left"/>
              <w:rPr>
                <w:rFonts w:ascii="宋体" w:hAnsi="宋体" w:cs="宋体" w:eastAsia="宋体" w:hint="default"/>
                <w:sz w:val="21"/>
                <w:szCs w:val="21"/>
              </w:rPr>
            </w:pPr>
            <w:r>
              <w:rPr>
                <w:rFonts w:ascii="宋体"/>
                <w:sz w:val="21"/>
              </w:rPr>
              <w:t>30%-50%</w:t>
            </w:r>
          </w:p>
        </w:tc>
      </w:tr>
    </w:tbl>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47"/>
          <w:pgSz w:w="11910" w:h="16840"/>
          <w:pgMar w:footer="1194" w:header="882" w:top="1120" w:bottom="1380" w:left="960" w:right="420"/>
          <w:pgNumType w:start="131"/>
        </w:sectPr>
      </w:pPr>
    </w:p>
    <w:p>
      <w:pPr>
        <w:pStyle w:val="Heading2"/>
        <w:spacing w:line="240" w:lineRule="auto"/>
        <w:ind w:left="838" w:right="-15"/>
        <w:jc w:val="left"/>
        <w:rPr>
          <w:b w:val="0"/>
          <w:bCs w:val="0"/>
        </w:rPr>
      </w:pPr>
      <w:r>
        <w:rPr>
          <w:rFonts w:ascii="宋体" w:hAnsi="宋体" w:cs="宋体" w:eastAsia="宋体" w:hint="default"/>
        </w:rPr>
        <w:t>18</w:t>
      </w:r>
      <w:r>
        <w:rPr/>
        <w:t>、</w:t>
      </w:r>
      <w:r>
        <w:rPr>
          <w:spacing w:val="-101"/>
        </w:rPr>
        <w:t> </w:t>
      </w:r>
      <w:r>
        <w:rPr/>
        <w:t>商誉</w:t>
      </w:r>
      <w:r>
        <w:rPr>
          <w:b w:val="0"/>
          <w:bCs w:val="0"/>
        </w:rPr>
      </w:r>
    </w:p>
    <w:p>
      <w:pPr>
        <w:pStyle w:val="Heading2"/>
        <w:spacing w:line="240" w:lineRule="auto" w:before="58"/>
        <w:ind w:left="1122" w:right="-15"/>
        <w:jc w:val="left"/>
        <w:rPr>
          <w:b w:val="0"/>
          <w:bCs w:val="0"/>
        </w:rPr>
      </w:pPr>
      <w:r>
        <w:rPr>
          <w:rFonts w:ascii="宋体" w:hAnsi="宋体" w:cs="宋体" w:eastAsia="宋体" w:hint="default"/>
        </w:rPr>
        <w:t>(1).</w:t>
      </w:r>
      <w:r>
        <w:rPr>
          <w:rFonts w:ascii="宋体" w:hAnsi="宋体" w:cs="宋体" w:eastAsia="宋体" w:hint="default"/>
          <w:spacing w:val="-56"/>
        </w:rPr>
        <w:t> </w:t>
      </w:r>
      <w:r>
        <w:rPr/>
        <w:t>商誉账面原值</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tabs>
          <w:tab w:pos="1887" w:val="left" w:leader="none"/>
        </w:tabs>
        <w:spacing w:before="0"/>
        <w:ind w:left="83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960" w:right="420"/>
          <w:cols w:num="2" w:equalWidth="0">
            <w:col w:w="3122" w:space="3402"/>
            <w:col w:w="400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29"/>
        <w:gridCol w:w="1558"/>
        <w:gridCol w:w="1377"/>
        <w:gridCol w:w="1180"/>
        <w:gridCol w:w="1202"/>
        <w:gridCol w:w="1193"/>
        <w:gridCol w:w="1555"/>
      </w:tblGrid>
      <w:tr>
        <w:trPr>
          <w:trHeight w:val="294" w:hRule="exact"/>
        </w:trPr>
        <w:tc>
          <w:tcPr>
            <w:tcW w:w="2229" w:type="dxa"/>
            <w:vMerge w:val="restart"/>
            <w:tcBorders>
              <w:top w:val="single" w:sz="4" w:space="0" w:color="000000"/>
              <w:left w:val="single" w:sz="4" w:space="0" w:color="000000"/>
              <w:right w:val="single" w:sz="4" w:space="0" w:color="000000"/>
            </w:tcBorders>
          </w:tcPr>
          <w:p>
            <w:pPr>
              <w:pStyle w:val="TableParagraph"/>
              <w:spacing w:line="240" w:lineRule="auto" w:before="151"/>
              <w:ind w:left="749" w:right="118" w:hanging="631"/>
              <w:jc w:val="left"/>
              <w:rPr>
                <w:rFonts w:ascii="宋体" w:hAnsi="宋体" w:cs="宋体" w:eastAsia="宋体" w:hint="default"/>
                <w:sz w:val="18"/>
                <w:szCs w:val="18"/>
              </w:rPr>
            </w:pPr>
            <w:r>
              <w:rPr>
                <w:rFonts w:ascii="宋体" w:hAnsi="宋体" w:cs="宋体" w:eastAsia="宋体" w:hint="default"/>
                <w:sz w:val="18"/>
                <w:szCs w:val="18"/>
              </w:rPr>
              <w:t>被投资单位名称或形成商 誉的事项</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3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5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45" w:hRule="exact"/>
        </w:trPr>
        <w:tc>
          <w:tcPr>
            <w:tcW w:w="2229"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9"/>
              <w:ind w:left="593" w:right="143" w:hanging="450"/>
              <w:jc w:val="left"/>
              <w:rPr>
                <w:rFonts w:ascii="宋体" w:hAnsi="宋体" w:cs="宋体" w:eastAsia="宋体" w:hint="default"/>
                <w:sz w:val="18"/>
                <w:szCs w:val="18"/>
              </w:rPr>
            </w:pPr>
            <w:r>
              <w:rPr>
                <w:rFonts w:ascii="宋体" w:hAnsi="宋体" w:cs="宋体" w:eastAsia="宋体" w:hint="default"/>
                <w:sz w:val="18"/>
                <w:szCs w:val="18"/>
              </w:rPr>
              <w:t>企业合并形成 的</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24" w:right="0"/>
              <w:jc w:val="left"/>
              <w:rPr>
                <w:rFonts w:ascii="宋体" w:hAnsi="宋体" w:cs="宋体" w:eastAsia="宋体" w:hint="default"/>
                <w:sz w:val="18"/>
                <w:szCs w:val="18"/>
              </w:rPr>
            </w:pPr>
            <w:r>
              <w:rPr>
                <w:rFonts w:ascii="宋体" w:hAnsi="宋体" w:cs="宋体" w:eastAsia="宋体" w:hint="default"/>
                <w:sz w:val="18"/>
                <w:szCs w:val="18"/>
              </w:rPr>
              <w:t>汇率变动</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
              <w:jc w:val="center"/>
              <w:rPr>
                <w:rFonts w:ascii="宋体" w:hAnsi="宋体" w:cs="宋体" w:eastAsia="宋体" w:hint="default"/>
                <w:sz w:val="18"/>
                <w:szCs w:val="18"/>
              </w:rPr>
            </w:pPr>
            <w:r>
              <w:rPr>
                <w:rFonts w:ascii="宋体" w:hAnsi="宋体" w:cs="宋体" w:eastAsia="宋体" w:hint="default"/>
                <w:sz w:val="18"/>
                <w:szCs w:val="18"/>
              </w:rPr>
              <w:t>处置</w:t>
            </w:r>
          </w:p>
        </w:tc>
        <w:tc>
          <w:tcPr>
            <w:tcW w:w="1193" w:type="dxa"/>
            <w:tcBorders>
              <w:top w:val="single" w:sz="4" w:space="0" w:color="000000"/>
              <w:left w:val="single" w:sz="4" w:space="0" w:color="000000"/>
              <w:bottom w:val="single" w:sz="4" w:space="0" w:color="000000"/>
              <w:right w:val="single" w:sz="4" w:space="0" w:color="000000"/>
            </w:tcBorders>
          </w:tcPr>
          <w:p>
            <w:pPr/>
          </w:p>
        </w:tc>
        <w:tc>
          <w:tcPr>
            <w:tcW w:w="1555" w:type="dxa"/>
            <w:vMerge/>
            <w:tcBorders>
              <w:left w:val="single" w:sz="4" w:space="0" w:color="000000"/>
              <w:bottom w:val="single" w:sz="4" w:space="0" w:color="000000"/>
              <w:right w:val="single" w:sz="4" w:space="0" w:color="000000"/>
            </w:tcBorders>
          </w:tcPr>
          <w:p>
            <w:pPr/>
          </w:p>
        </w:tc>
      </w:tr>
      <w:tr>
        <w:trPr>
          <w:trHeight w:val="478" w:hRule="exact"/>
        </w:trPr>
        <w:tc>
          <w:tcPr>
            <w:tcW w:w="2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北京交大思源科技有限公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372,152.33</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0.00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372,152.33</w:t>
            </w:r>
          </w:p>
        </w:tc>
      </w:tr>
      <w:tr>
        <w:trPr>
          <w:trHeight w:val="476" w:hRule="exact"/>
        </w:trPr>
        <w:tc>
          <w:tcPr>
            <w:tcW w:w="22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北京华胜天成软件技术有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14,077.08</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0.00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14,077.08</w:t>
            </w:r>
          </w:p>
        </w:tc>
      </w:tr>
      <w:tr>
        <w:trPr>
          <w:trHeight w:val="476" w:hRule="exact"/>
        </w:trPr>
        <w:tc>
          <w:tcPr>
            <w:tcW w:w="2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广州石竹计算机软件有限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89,605,203.27</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0.00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89,605,203.27</w:t>
            </w:r>
          </w:p>
        </w:tc>
      </w:tr>
      <w:tr>
        <w:trPr>
          <w:trHeight w:val="478" w:hRule="exact"/>
        </w:trPr>
        <w:tc>
          <w:tcPr>
            <w:tcW w:w="2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浙江兰德纵横网络技术有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17,335,063.87</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0.00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17,335,063.87</w:t>
            </w:r>
          </w:p>
        </w:tc>
      </w:tr>
      <w:tr>
        <w:trPr>
          <w:trHeight w:val="476" w:hRule="exact"/>
        </w:trPr>
        <w:tc>
          <w:tcPr>
            <w:tcW w:w="2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Automated Systems</w:t>
            </w:r>
          </w:p>
          <w:p>
            <w:pPr>
              <w:pStyle w:val="TableParagraph"/>
              <w:spacing w:line="235" w:lineRule="exact"/>
              <w:ind w:left="103" w:right="0"/>
              <w:jc w:val="left"/>
              <w:rPr>
                <w:rFonts w:ascii="宋体" w:hAnsi="宋体" w:cs="宋体" w:eastAsia="宋体" w:hint="default"/>
                <w:sz w:val="18"/>
                <w:szCs w:val="18"/>
              </w:rPr>
            </w:pPr>
            <w:r>
              <w:rPr>
                <w:rFonts w:ascii="宋体"/>
                <w:sz w:val="18"/>
              </w:rPr>
              <w:t>Holdings Limited</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31,859,217.43</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5" w:right="0"/>
              <w:jc w:val="left"/>
              <w:rPr>
                <w:rFonts w:ascii="宋体" w:hAnsi="宋体" w:cs="宋体" w:eastAsia="宋体" w:hint="default"/>
                <w:sz w:val="18"/>
                <w:szCs w:val="18"/>
              </w:rPr>
            </w:pPr>
            <w:r>
              <w:rPr>
                <w:rFonts w:ascii="宋体"/>
                <w:sz w:val="18"/>
              </w:rPr>
              <w:t>115,483.07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0.00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31,974,700.50</w:t>
            </w:r>
          </w:p>
        </w:tc>
      </w:tr>
      <w:tr>
        <w:trPr>
          <w:trHeight w:val="348" w:hRule="exact"/>
        </w:trPr>
        <w:tc>
          <w:tcPr>
            <w:tcW w:w="2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中国磐天集团公司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12,492,231.55</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45,281.75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0.00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12,537,513.30</w:t>
            </w:r>
          </w:p>
        </w:tc>
      </w:tr>
      <w:tr>
        <w:trPr>
          <w:trHeight w:val="348" w:hRule="exact"/>
        </w:trPr>
        <w:tc>
          <w:tcPr>
            <w:tcW w:w="2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现代前锋软件有限公司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48,299,562.42</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5" w:right="0"/>
              <w:jc w:val="left"/>
              <w:rPr>
                <w:rFonts w:ascii="宋体" w:hAnsi="宋体" w:cs="宋体" w:eastAsia="宋体" w:hint="default"/>
                <w:sz w:val="18"/>
                <w:szCs w:val="18"/>
              </w:rPr>
            </w:pPr>
            <w:r>
              <w:rPr>
                <w:rFonts w:ascii="宋体"/>
                <w:sz w:val="18"/>
              </w:rPr>
              <w:t>175,075.91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0.00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48,474,638.33</w:t>
            </w:r>
          </w:p>
        </w:tc>
      </w:tr>
      <w:tr>
        <w:trPr>
          <w:trHeight w:val="478" w:hRule="exact"/>
        </w:trPr>
        <w:tc>
          <w:tcPr>
            <w:tcW w:w="2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北京中域绿色智能城市系</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统研究院（有限合伙）</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0.00</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810,332.12</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0.00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810,332.12</w:t>
            </w:r>
          </w:p>
        </w:tc>
      </w:tr>
      <w:tr>
        <w:trPr>
          <w:trHeight w:val="476" w:hRule="exact"/>
        </w:trPr>
        <w:tc>
          <w:tcPr>
            <w:tcW w:w="22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石家庄华胜正明软件技术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0.00</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4,033,130.54</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0.00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4,033,130.54</w:t>
            </w:r>
          </w:p>
        </w:tc>
      </w:tr>
      <w:tr>
        <w:trPr>
          <w:trHeight w:val="306" w:hRule="exact"/>
        </w:trPr>
        <w:tc>
          <w:tcPr>
            <w:tcW w:w="2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199,977,507.95</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4,843,462.66</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5" w:right="0"/>
              <w:jc w:val="left"/>
              <w:rPr>
                <w:rFonts w:ascii="宋体" w:hAnsi="宋体" w:cs="宋体" w:eastAsia="宋体" w:hint="default"/>
                <w:sz w:val="18"/>
                <w:szCs w:val="18"/>
              </w:rPr>
            </w:pPr>
            <w:r>
              <w:rPr>
                <w:rFonts w:ascii="宋体"/>
                <w:sz w:val="18"/>
              </w:rPr>
              <w:t>335,840.73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0.00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205,156,811.34</w:t>
            </w:r>
          </w:p>
        </w:tc>
      </w:tr>
    </w:tbl>
    <w:p>
      <w:pPr>
        <w:spacing w:before="81"/>
        <w:ind w:left="838" w:right="0" w:firstLine="0"/>
        <w:jc w:val="left"/>
        <w:rPr>
          <w:rFonts w:ascii="宋体" w:hAnsi="宋体" w:cs="宋体" w:eastAsia="宋体" w:hint="default"/>
          <w:sz w:val="24"/>
          <w:szCs w:val="24"/>
        </w:rPr>
      </w:pPr>
      <w:r>
        <w:rPr>
          <w:rFonts w:ascii="宋体" w:hAnsi="宋体" w:cs="宋体" w:eastAsia="宋体" w:hint="default"/>
          <w:sz w:val="21"/>
          <w:szCs w:val="21"/>
        </w:rPr>
        <w:t>商</w:t>
      </w:r>
      <w:r>
        <w:rPr>
          <w:rFonts w:ascii="宋体" w:hAnsi="宋体" w:cs="宋体" w:eastAsia="宋体" w:hint="default"/>
          <w:sz w:val="24"/>
          <w:szCs w:val="24"/>
        </w:rPr>
        <w:t>说明：</w:t>
      </w:r>
    </w:p>
    <w:p>
      <w:pPr>
        <w:pStyle w:val="BodyText"/>
        <w:spacing w:line="310" w:lineRule="exact" w:before="150"/>
        <w:ind w:left="838" w:right="927" w:firstLine="480"/>
        <w:jc w:val="both"/>
      </w:pPr>
      <w:r>
        <w:rPr/>
        <w:t>①本期增加</w:t>
      </w:r>
      <w:r>
        <w:rPr>
          <w:spacing w:val="-60"/>
        </w:rPr>
        <w:t> </w:t>
      </w:r>
      <w:r>
        <w:rPr>
          <w:rFonts w:ascii="宋体" w:hAnsi="宋体" w:cs="宋体" w:eastAsia="宋体" w:hint="default"/>
        </w:rPr>
        <w:t>4,843,462.66</w:t>
      </w:r>
      <w:r>
        <w:rPr>
          <w:rFonts w:ascii="宋体" w:hAnsi="宋体" w:cs="宋体" w:eastAsia="宋体" w:hint="default"/>
          <w:spacing w:val="-60"/>
        </w:rPr>
        <w:t> </w:t>
      </w:r>
      <w:r>
        <w:rPr/>
        <w:t>元，系收购北京中域绿色智能城市系统研究院（有限 合伙）及石家庄华胜正明软件技术有限公司产生。</w:t>
      </w:r>
    </w:p>
    <w:p>
      <w:pPr>
        <w:pStyle w:val="BodyText"/>
        <w:spacing w:line="237" w:lineRule="auto" w:before="91"/>
        <w:ind w:left="838" w:right="852" w:firstLine="480"/>
        <w:jc w:val="both"/>
      </w:pPr>
      <w:r>
        <w:rPr>
          <w:spacing w:val="-2"/>
        </w:rPr>
        <w:t>②本公司采用预计未来现金流现值的方法计算资产组的可收回金额。本公司根据</w:t>
      </w:r>
      <w:r>
        <w:rPr/>
        <w:t> 管理层批准的财务预算预计未来</w:t>
      </w:r>
      <w:r>
        <w:rPr>
          <w:spacing w:val="-51"/>
        </w:rPr>
        <w:t> </w:t>
      </w:r>
      <w:r>
        <w:rPr>
          <w:rFonts w:ascii="宋体" w:hAnsi="宋体" w:cs="宋体" w:eastAsia="宋体" w:hint="default"/>
        </w:rPr>
        <w:t>5</w:t>
      </w:r>
      <w:r>
        <w:rPr>
          <w:rFonts w:ascii="宋体" w:hAnsi="宋体" w:cs="宋体" w:eastAsia="宋体" w:hint="default"/>
          <w:spacing w:val="-51"/>
        </w:rPr>
        <w:t> </w:t>
      </w:r>
      <w:r>
        <w:rPr>
          <w:spacing w:val="-3"/>
        </w:rPr>
        <w:t>年内现金流量，其后年度采用的现金流量增长率预</w:t>
      </w:r>
      <w:r>
        <w:rPr/>
        <w:t> 计为</w:t>
      </w:r>
      <w:r>
        <w:rPr>
          <w:spacing w:val="-60"/>
        </w:rPr>
        <w:t> </w:t>
      </w:r>
      <w:r>
        <w:rPr>
          <w:rFonts w:ascii="宋体" w:hAnsi="宋体" w:cs="宋体" w:eastAsia="宋体" w:hint="default"/>
          <w:spacing w:val="-3"/>
        </w:rPr>
        <w:t>2%</w:t>
      </w:r>
      <w:r>
        <w:rPr>
          <w:spacing w:val="-3"/>
        </w:rPr>
        <w:t>（上期：</w:t>
      </w:r>
      <w:r>
        <w:rPr>
          <w:rFonts w:ascii="宋体" w:hAnsi="宋体" w:cs="宋体" w:eastAsia="宋体" w:hint="default"/>
          <w:spacing w:val="-3"/>
        </w:rPr>
        <w:t>2%</w:t>
      </w:r>
      <w:r>
        <w:rPr>
          <w:spacing w:val="-3"/>
        </w:rPr>
        <w:t>），不会超过资产组经营业务的长期平均增长率。管理层根据过往</w:t>
      </w:r>
      <w:r>
        <w:rPr/>
        <w:t> </w:t>
      </w:r>
      <w:r>
        <w:rPr>
          <w:spacing w:val="-2"/>
        </w:rPr>
        <w:t>表现及其对市场发展的预期编制上述财务预算。计算未来现金流现值所采用的税前折</w:t>
      </w:r>
      <w:r>
        <w:rPr>
          <w:spacing w:val="-93"/>
        </w:rPr>
        <w:t> </w:t>
      </w:r>
      <w:r>
        <w:rPr>
          <w:spacing w:val="-93"/>
        </w:rPr>
      </w:r>
      <w:r>
        <w:rPr/>
        <w:t>现率</w:t>
      </w:r>
      <w:r>
        <w:rPr>
          <w:spacing w:val="-55"/>
        </w:rPr>
        <w:t> </w:t>
      </w:r>
      <w:r>
        <w:rPr>
          <w:rFonts w:ascii="宋体" w:hAnsi="宋体" w:cs="宋体" w:eastAsia="宋体" w:hint="default"/>
          <w:spacing w:val="-3"/>
        </w:rPr>
        <w:t>15%</w:t>
      </w:r>
      <w:r>
        <w:rPr>
          <w:spacing w:val="-3"/>
        </w:rPr>
        <w:t>（上期：</w:t>
      </w:r>
      <w:r>
        <w:rPr>
          <w:rFonts w:ascii="宋体" w:hAnsi="宋体" w:cs="宋体" w:eastAsia="宋体" w:hint="default"/>
          <w:spacing w:val="-3"/>
        </w:rPr>
        <w:t>15%</w:t>
      </w:r>
      <w:r>
        <w:rPr>
          <w:spacing w:val="-3"/>
        </w:rPr>
        <w:t>），已反映了相对于有关分部的风险。根据减值测试的结果，本</w:t>
      </w:r>
      <w:r>
        <w:rPr/>
        <w:t> 期期末商誉未发生减值（上期期末：无）。</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80" w:bottom="1380" w:left="960" w:right="420"/>
        </w:sectPr>
      </w:pPr>
    </w:p>
    <w:p>
      <w:pPr>
        <w:pStyle w:val="Heading2"/>
        <w:spacing w:line="240" w:lineRule="auto"/>
        <w:ind w:left="838" w:right="-15"/>
        <w:jc w:val="left"/>
        <w:rPr>
          <w:b w:val="0"/>
          <w:bCs w:val="0"/>
        </w:rPr>
      </w:pPr>
      <w:r>
        <w:rPr>
          <w:rFonts w:ascii="宋体" w:hAnsi="宋体" w:cs="宋体" w:eastAsia="宋体" w:hint="default"/>
        </w:rPr>
        <w:t>19</w:t>
      </w:r>
      <w:r>
        <w:rPr/>
        <w:t>、</w:t>
      </w:r>
      <w:r>
        <w:rPr>
          <w:spacing w:val="-107"/>
        </w:rPr>
        <w:t> </w:t>
      </w:r>
      <w:r>
        <w:rPr/>
        <w:t>长期待摊费用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tabs>
          <w:tab w:pos="1887" w:val="left" w:leader="none"/>
        </w:tabs>
        <w:spacing w:before="139"/>
        <w:ind w:left="83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960" w:right="420"/>
          <w:cols w:num="2" w:equalWidth="0">
            <w:col w:w="2786" w:space="3738"/>
            <w:col w:w="4006"/>
          </w:cols>
        </w:sectPr>
      </w:pPr>
    </w:p>
    <w:p>
      <w:pPr>
        <w:spacing w:line="240" w:lineRule="auto" w:before="7"/>
        <w:rPr>
          <w:rFonts w:ascii="宋体" w:hAnsi="宋体" w:cs="宋体" w:eastAsia="宋体" w:hint="default"/>
          <w:sz w:val="2"/>
          <w:szCs w:val="2"/>
        </w:rPr>
      </w:pPr>
    </w:p>
    <w:tbl>
      <w:tblPr>
        <w:tblW w:w="0" w:type="auto"/>
        <w:jc w:val="left"/>
        <w:tblInd w:w="725" w:type="dxa"/>
        <w:tblLayout w:type="fixed"/>
        <w:tblCellMar>
          <w:top w:w="0" w:type="dxa"/>
          <w:left w:w="0" w:type="dxa"/>
          <w:bottom w:w="0" w:type="dxa"/>
          <w:right w:w="0" w:type="dxa"/>
        </w:tblCellMar>
        <w:tblLook w:val="01E0"/>
      </w:tblPr>
      <w:tblGrid>
        <w:gridCol w:w="1447"/>
        <w:gridCol w:w="1496"/>
        <w:gridCol w:w="1498"/>
        <w:gridCol w:w="1496"/>
        <w:gridCol w:w="1521"/>
        <w:gridCol w:w="1591"/>
      </w:tblGrid>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6"/>
              <w:jc w:val="right"/>
              <w:rPr>
                <w:rFonts w:ascii="宋体" w:hAnsi="宋体" w:cs="宋体" w:eastAsia="宋体" w:hint="default"/>
                <w:sz w:val="21"/>
                <w:szCs w:val="21"/>
              </w:rPr>
            </w:pPr>
            <w:r>
              <w:rPr>
                <w:rFonts w:ascii="宋体" w:hAnsi="宋体" w:cs="宋体" w:eastAsia="宋体" w:hint="default"/>
                <w:sz w:val="21"/>
                <w:szCs w:val="21"/>
              </w:rPr>
              <w:t>项目</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hAnsi="宋体" w:cs="宋体" w:eastAsia="宋体" w:hint="default"/>
                <w:sz w:val="21"/>
                <w:szCs w:val="21"/>
              </w:rPr>
              <w:t>本期摊销金额</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
              <w:jc w:val="right"/>
              <w:rPr>
                <w:rFonts w:ascii="宋体" w:hAnsi="宋体" w:cs="宋体" w:eastAsia="宋体" w:hint="default"/>
                <w:sz w:val="21"/>
                <w:szCs w:val="21"/>
              </w:rPr>
            </w:pPr>
            <w:r>
              <w:rPr>
                <w:rFonts w:ascii="宋体" w:hAnsi="宋体" w:cs="宋体" w:eastAsia="宋体" w:hint="default"/>
                <w:sz w:val="21"/>
                <w:szCs w:val="21"/>
              </w:rPr>
              <w:t>其他减少金额</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高尔夫球会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员费</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center"/>
              <w:rPr>
                <w:rFonts w:ascii="宋体" w:hAnsi="宋体" w:cs="宋体" w:eastAsia="宋体" w:hint="default"/>
                <w:sz w:val="21"/>
                <w:szCs w:val="21"/>
              </w:rPr>
            </w:pPr>
            <w:r>
              <w:rPr>
                <w:rFonts w:ascii="宋体"/>
                <w:sz w:val="21"/>
              </w:rPr>
              <w:t>1,104,171.59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5" w:right="0"/>
              <w:jc w:val="left"/>
              <w:rPr>
                <w:rFonts w:ascii="宋体" w:hAnsi="宋体" w:cs="宋体" w:eastAsia="宋体" w:hint="default"/>
                <w:sz w:val="21"/>
                <w:szCs w:val="21"/>
              </w:rPr>
            </w:pPr>
            <w:r>
              <w:rPr>
                <w:rFonts w:ascii="宋体"/>
                <w:sz w:val="21"/>
              </w:rPr>
              <w:t>1,199,943.12</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590,703.36</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365,154.96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1,348,256.39</w:t>
            </w:r>
          </w:p>
        </w:tc>
      </w:tr>
      <w:tr>
        <w:trPr>
          <w:trHeight w:val="55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租入房屋装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修费</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center"/>
              <w:rPr>
                <w:rFonts w:ascii="宋体" w:hAnsi="宋体" w:cs="宋体" w:eastAsia="宋体" w:hint="default"/>
                <w:sz w:val="21"/>
                <w:szCs w:val="21"/>
              </w:rPr>
            </w:pPr>
            <w:r>
              <w:rPr>
                <w:rFonts w:ascii="宋体"/>
                <w:sz w:val="21"/>
              </w:rPr>
              <w:t>1,140,909.36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5" w:right="0"/>
              <w:jc w:val="left"/>
              <w:rPr>
                <w:rFonts w:ascii="宋体" w:hAnsi="宋体" w:cs="宋体" w:eastAsia="宋体" w:hint="default"/>
                <w:sz w:val="21"/>
                <w:szCs w:val="21"/>
              </w:rPr>
            </w:pPr>
            <w:r>
              <w:rPr>
                <w:rFonts w:ascii="宋体"/>
                <w:sz w:val="21"/>
              </w:rPr>
              <w:t>2,554,000.05</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426,285.88</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3,268,623.53</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06"/>
              <w:jc w:val="right"/>
              <w:rPr>
                <w:rFonts w:ascii="宋体" w:hAnsi="宋体" w:cs="宋体" w:eastAsia="宋体" w:hint="default"/>
                <w:sz w:val="21"/>
                <w:szCs w:val="21"/>
              </w:rPr>
            </w:pPr>
            <w:r>
              <w:rPr>
                <w:rFonts w:ascii="宋体" w:hAnsi="宋体" w:cs="宋体" w:eastAsia="宋体" w:hint="default"/>
                <w:sz w:val="21"/>
                <w:szCs w:val="21"/>
              </w:rPr>
              <w:t>合计</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center"/>
              <w:rPr>
                <w:rFonts w:ascii="宋体" w:hAnsi="宋体" w:cs="宋体" w:eastAsia="宋体" w:hint="default"/>
                <w:sz w:val="21"/>
                <w:szCs w:val="21"/>
              </w:rPr>
            </w:pPr>
            <w:r>
              <w:rPr>
                <w:rFonts w:ascii="宋体"/>
                <w:sz w:val="21"/>
              </w:rPr>
              <w:t>2,245,080.95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5" w:right="0"/>
              <w:jc w:val="left"/>
              <w:rPr>
                <w:rFonts w:ascii="宋体" w:hAnsi="宋体" w:cs="宋体" w:eastAsia="宋体" w:hint="default"/>
                <w:sz w:val="21"/>
                <w:szCs w:val="21"/>
              </w:rPr>
            </w:pPr>
            <w:r>
              <w:rPr>
                <w:rFonts w:ascii="宋体"/>
                <w:sz w:val="21"/>
              </w:rPr>
              <w:t>3,753,943.17</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1,016,989.24</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365,154.96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4,616,879.92</w:t>
            </w:r>
          </w:p>
        </w:tc>
      </w:tr>
    </w:tbl>
    <w:p>
      <w:pPr>
        <w:pStyle w:val="BodyText"/>
        <w:spacing w:line="240" w:lineRule="auto" w:before="81"/>
        <w:ind w:left="838" w:right="0"/>
        <w:jc w:val="left"/>
      </w:pPr>
      <w:r>
        <w:rPr/>
        <w:t>说明：</w:t>
      </w:r>
    </w:p>
    <w:p>
      <w:pPr>
        <w:spacing w:after="0" w:line="240" w:lineRule="auto"/>
        <w:jc w:val="left"/>
        <w:sectPr>
          <w:type w:val="continuous"/>
          <w:pgSz w:w="11910" w:h="16840"/>
          <w:pgMar w:top="1080" w:bottom="1380" w:left="960" w:right="420"/>
        </w:sectPr>
      </w:pPr>
    </w:p>
    <w:p>
      <w:pPr>
        <w:spacing w:line="240" w:lineRule="auto" w:before="9"/>
        <w:rPr>
          <w:rFonts w:ascii="宋体" w:hAnsi="宋体" w:cs="宋体" w:eastAsia="宋体" w:hint="default"/>
          <w:sz w:val="25"/>
          <w:szCs w:val="25"/>
        </w:rPr>
      </w:pPr>
    </w:p>
    <w:p>
      <w:pPr>
        <w:pStyle w:val="BodyText"/>
        <w:spacing w:line="310" w:lineRule="exact" w:before="58"/>
        <w:ind w:left="218" w:right="228"/>
        <w:jc w:val="left"/>
      </w:pPr>
      <w:r>
        <w:rPr/>
        <w:t>长期待摊费用本期增加中，汇率变动的影响额为</w:t>
      </w:r>
      <w:r>
        <w:rPr>
          <w:rFonts w:ascii="宋体" w:hAnsi="宋体" w:cs="宋体" w:eastAsia="宋体" w:hint="default"/>
        </w:rPr>
        <w:t>-826,288.39</w:t>
      </w:r>
      <w:r>
        <w:rPr>
          <w:rFonts w:ascii="宋体" w:hAnsi="宋体" w:cs="宋体" w:eastAsia="宋体" w:hint="default"/>
          <w:spacing w:val="-60"/>
        </w:rPr>
        <w:t> </w:t>
      </w:r>
      <w:r>
        <w:rPr/>
        <w:t>元，其他减少为处置高 尔夫球会员费。</w:t>
      </w:r>
    </w:p>
    <w:p>
      <w:pPr>
        <w:spacing w:line="240" w:lineRule="auto" w:before="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4" w:top="1120" w:bottom="1380" w:left="1580" w:right="1040"/>
        </w:sectPr>
      </w:pPr>
    </w:p>
    <w:p>
      <w:pPr>
        <w:pStyle w:val="Heading2"/>
        <w:spacing w:line="283" w:lineRule="auto"/>
        <w:ind w:right="-9"/>
        <w:jc w:val="left"/>
        <w:rPr>
          <w:b w:val="0"/>
          <w:bCs w:val="0"/>
        </w:rPr>
      </w:pPr>
      <w:r>
        <w:rPr>
          <w:rFonts w:ascii="宋体" w:hAnsi="宋体" w:cs="宋体" w:eastAsia="宋体" w:hint="default"/>
        </w:rPr>
        <w:t>20</w:t>
      </w:r>
      <w:r>
        <w:rPr/>
        <w:t>、</w:t>
      </w:r>
      <w:r>
        <w:rPr>
          <w:spacing w:val="-102"/>
        </w:rPr>
        <w:t> </w:t>
      </w:r>
      <w:r>
        <w:rPr/>
        <w:t>递延所得税资产</w:t>
      </w:r>
      <w:r>
        <w:rPr>
          <w:rFonts w:ascii="宋体" w:hAnsi="宋体" w:cs="宋体" w:eastAsia="宋体" w:hint="default"/>
        </w:rPr>
        <w:t>/</w:t>
      </w:r>
      <w:r>
        <w:rPr>
          <w:rFonts w:ascii="宋体" w:hAnsi="宋体" w:cs="宋体" w:eastAsia="宋体" w:hint="default"/>
          <w:spacing w:val="-11"/>
        </w:rPr>
        <w:t> </w:t>
      </w:r>
      <w:r>
        <w:rPr/>
        <w:t>递延所得税负债</w:t>
      </w:r>
      <w:r>
        <w:rPr>
          <w:w w:val="99"/>
        </w:rPr>
        <w:t> </w:t>
      </w:r>
      <w:r>
        <w:rPr>
          <w:rFonts w:ascii="宋体" w:hAnsi="宋体" w:cs="宋体" w:eastAsia="宋体" w:hint="default"/>
        </w:rPr>
        <w:t>(1).</w:t>
      </w:r>
      <w:r>
        <w:rPr>
          <w:rFonts w:ascii="宋体" w:hAnsi="宋体" w:cs="宋体" w:eastAsia="宋体" w:hint="default"/>
          <w:spacing w:val="-30"/>
        </w:rPr>
        <w:t> </w:t>
      </w:r>
      <w:r>
        <w:rPr/>
        <w:t>未经抵销的递延所得税资产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8"/>
          <w:szCs w:val="18"/>
        </w:rPr>
      </w:pPr>
    </w:p>
    <w:p>
      <w:pPr>
        <w:tabs>
          <w:tab w:pos="1267" w:val="left" w:leader="none"/>
        </w:tabs>
        <w:spacing w:before="0"/>
        <w:ind w:left="21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580" w:right="1040"/>
          <w:cols w:num="2" w:equalWidth="0">
            <w:col w:w="4336" w:space="2188"/>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25"/>
        <w:gridCol w:w="1686"/>
        <w:gridCol w:w="1628"/>
        <w:gridCol w:w="1686"/>
        <w:gridCol w:w="1626"/>
      </w:tblGrid>
      <w:tr>
        <w:trPr>
          <w:trHeight w:val="295" w:hRule="exact"/>
        </w:trPr>
        <w:tc>
          <w:tcPr>
            <w:tcW w:w="242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425" w:type="dxa"/>
            <w:vMerge/>
            <w:tcBorders>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异</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资产</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异</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1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143,364,859.18</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16,578,242.68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134,124,309.03</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15,077,890.52</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1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36,024,013.59</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3,714,100.94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23,594,885.46</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2,452,288.11</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1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1,428,045.92</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183,038.63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1,246,729.23</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155,841.15</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预提费用（含工资）</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31,482,137.00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3,538,591.67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27,275,933.57</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3,386,511.34</w:t>
            </w:r>
          </w:p>
        </w:tc>
      </w:tr>
      <w:tr>
        <w:trPr>
          <w:trHeight w:val="29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14,720,069.23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1,522,073.90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14,270,000.20</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1,477,145.80</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40,172,525.50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8,354,967.14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14,265,860.79</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3,075,335.99</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147,329.73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24,309.38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864,710.40</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142,677.23</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未实现内部利润</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14,122,179.13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1,386,898.82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9,688,388.98</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971,686.99</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281,461,159.28</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35,302,223.16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225,330,817.66</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26,739,377.13</w:t>
            </w:r>
          </w:p>
        </w:tc>
      </w:tr>
    </w:tbl>
    <w:p>
      <w:pPr>
        <w:spacing w:line="240" w:lineRule="auto" w:before="6"/>
        <w:rPr>
          <w:rFonts w:ascii="宋体" w:hAnsi="宋体" w:cs="宋体" w:eastAsia="宋体" w:hint="default"/>
          <w:sz w:val="20"/>
          <w:szCs w:val="20"/>
        </w:rPr>
      </w:pPr>
    </w:p>
    <w:p>
      <w:pPr>
        <w:pStyle w:val="Heading2"/>
        <w:spacing w:line="240" w:lineRule="auto"/>
        <w:ind w:right="101"/>
        <w:jc w:val="left"/>
        <w:rPr>
          <w:b w:val="0"/>
          <w:bCs w:val="0"/>
        </w:rPr>
      </w:pPr>
      <w:r>
        <w:rPr>
          <w:rFonts w:ascii="宋体" w:hAnsi="宋体" w:cs="宋体" w:eastAsia="宋体" w:hint="default"/>
        </w:rPr>
        <w:t>(2).</w:t>
      </w:r>
      <w:r>
        <w:rPr>
          <w:rFonts w:ascii="宋体" w:hAnsi="宋体" w:cs="宋体" w:eastAsia="宋体" w:hint="default"/>
          <w:spacing w:val="-30"/>
        </w:rPr>
        <w:t> </w:t>
      </w:r>
      <w:r>
        <w:rPr/>
        <w:t>未经抵销的递延所得税负债</w:t>
      </w:r>
      <w:r>
        <w:rPr>
          <w:b w:val="0"/>
          <w:bCs w:val="0"/>
        </w:rPr>
      </w:r>
    </w:p>
    <w:p>
      <w:pPr>
        <w:spacing w:line="240" w:lineRule="auto" w:before="4"/>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374"/>
        <w:gridCol w:w="1677"/>
        <w:gridCol w:w="1666"/>
        <w:gridCol w:w="1658"/>
        <w:gridCol w:w="1676"/>
      </w:tblGrid>
      <w:tr>
        <w:trPr>
          <w:trHeight w:val="295"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6" w:hRule="exact"/>
        </w:trPr>
        <w:tc>
          <w:tcPr>
            <w:tcW w:w="2374" w:type="dxa"/>
            <w:vMerge/>
            <w:tcBorders>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差异</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差异</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29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28,055,939.86</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4,630,343.19</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26,422,317.10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4,359,682.30</w:t>
            </w: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重估增值</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23,518,918.17</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4,239,843.62</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19,644,890.92</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3,201,064.51</w:t>
            </w: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增值税退税返还</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1,577,423.00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236,613.45</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6,591,675.37</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988,751.31</w:t>
            </w: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53,152,281.03</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9,106,800.26</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52,658,883.39</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8,549,498.12</w:t>
            </w:r>
          </w:p>
        </w:tc>
      </w:tr>
    </w:tbl>
    <w:p>
      <w:pPr>
        <w:spacing w:line="240" w:lineRule="auto" w:before="6"/>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type w:val="continuous"/>
          <w:pgSz w:w="11910" w:h="16840"/>
          <w:pgMar w:top="1080" w:bottom="1380" w:left="1580" w:right="1040"/>
        </w:sectPr>
      </w:pPr>
    </w:p>
    <w:p>
      <w:pPr>
        <w:pStyle w:val="Heading2"/>
        <w:spacing w:line="240" w:lineRule="auto"/>
        <w:ind w:right="-15"/>
        <w:jc w:val="left"/>
        <w:rPr>
          <w:b w:val="0"/>
          <w:bCs w:val="0"/>
        </w:rPr>
      </w:pPr>
      <w:r>
        <w:rPr>
          <w:rFonts w:ascii="宋体" w:hAnsi="宋体" w:cs="宋体" w:eastAsia="宋体" w:hint="default"/>
        </w:rPr>
        <w:t>(3).</w:t>
      </w:r>
      <w:r>
        <w:rPr>
          <w:rFonts w:ascii="宋体" w:hAnsi="宋体" w:cs="宋体" w:eastAsia="宋体" w:hint="default"/>
          <w:spacing w:val="-23"/>
        </w:rPr>
        <w:t> </w:t>
      </w:r>
      <w:r>
        <w:rPr/>
        <w:t>未确认递延所得税资产明细</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tabs>
          <w:tab w:pos="1267" w:val="left" w:leader="none"/>
        </w:tabs>
        <w:spacing w:before="140"/>
        <w:ind w:left="21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580" w:right="1040"/>
          <w:cols w:num="2" w:equalWidth="0">
            <w:col w:w="3697" w:space="2827"/>
            <w:col w:w="2766"/>
          </w:cols>
        </w:sectPr>
      </w:pP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8"/>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38,130,242.71</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23,346,913.92</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95,462,307.37</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64,057,536.59</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133,592,550.08</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87,404,450.51</w:t>
            </w:r>
          </w:p>
        </w:tc>
      </w:tr>
    </w:tbl>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80" w:bottom="1380" w:left="1580" w:right="1040"/>
        </w:sectPr>
      </w:pPr>
    </w:p>
    <w:p>
      <w:pPr>
        <w:pStyle w:val="Heading2"/>
        <w:spacing w:line="240" w:lineRule="auto"/>
        <w:ind w:right="0"/>
        <w:jc w:val="left"/>
        <w:rPr>
          <w:b w:val="0"/>
          <w:bCs w:val="0"/>
        </w:rPr>
      </w:pPr>
      <w:r>
        <w:rPr>
          <w:rFonts w:ascii="宋体" w:hAnsi="宋体" w:cs="宋体" w:eastAsia="宋体" w:hint="default"/>
        </w:rPr>
        <w:t>(4).</w:t>
      </w:r>
      <w:r>
        <w:rPr>
          <w:rFonts w:ascii="宋体" w:hAnsi="宋体" w:cs="宋体" w:eastAsia="宋体" w:hint="default"/>
          <w:spacing w:val="-41"/>
        </w:rPr>
        <w:t> </w:t>
      </w:r>
      <w:r>
        <w:rPr/>
        <w:t>未确认递延所得税资产的可抵扣亏损将于以下年度到期</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tabs>
          <w:tab w:pos="1110" w:val="left" w:leader="none"/>
        </w:tabs>
        <w:spacing w:before="139"/>
        <w:ind w:left="60"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580" w:right="1040"/>
          <w:cols w:num="2" w:equalWidth="0">
            <w:col w:w="6585" w:space="40"/>
            <w:col w:w="266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4"/>
        <w:gridCol w:w="2286"/>
        <w:gridCol w:w="2324"/>
        <w:gridCol w:w="2356"/>
      </w:tblGrid>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年份</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16"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35"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hAnsi="宋体" w:cs="宋体" w:eastAsia="宋体" w:hint="default"/>
                <w:sz w:val="21"/>
                <w:szCs w:val="21"/>
              </w:rPr>
              <w:t>——</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1,192,798.58</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3,779,888.65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4,266,275.43</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4,267,753.73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6,255,926.58</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7,299,553.31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13,189,167.12</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23,985,676.41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32,660,165.18</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50,422,388.07</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1,108,032.40</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235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8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45" w:type="dxa"/>
        <w:tblLayout w:type="fixed"/>
        <w:tblCellMar>
          <w:top w:w="0" w:type="dxa"/>
          <w:left w:w="0" w:type="dxa"/>
          <w:bottom w:w="0" w:type="dxa"/>
          <w:right w:w="0" w:type="dxa"/>
        </w:tblCellMar>
        <w:tblLook w:val="01E0"/>
      </w:tblPr>
      <w:tblGrid>
        <w:gridCol w:w="2084"/>
        <w:gridCol w:w="2286"/>
        <w:gridCol w:w="2324"/>
        <w:gridCol w:w="2356"/>
      </w:tblGrid>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2,112,369.08</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2,216,211.09</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2023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1,921,019.49</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2,015,454.98</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Notimelimit</w:t>
            </w:r>
            <w:r>
              <w:rPr>
                <w:rFonts w:ascii="宋体" w:hAnsi="宋体" w:cs="宋体" w:eastAsia="宋体" w:hint="default"/>
                <w:spacing w:val="-53"/>
                <w:sz w:val="21"/>
                <w:szCs w:val="21"/>
              </w:rPr>
              <w:t> </w:t>
            </w:r>
            <w:r>
              <w:rPr>
                <w:rFonts w:ascii="宋体" w:hAnsi="宋体" w:cs="宋体" w:eastAsia="宋体" w:hint="default"/>
                <w:sz w:val="21"/>
                <w:szCs w:val="21"/>
              </w:rPr>
              <w:t>无期限</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1,673,658.63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1,153,505.23</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95,462,307.37</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64,057,536.59</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40" w:right="1040"/>
        </w:sectPr>
      </w:pPr>
    </w:p>
    <w:p>
      <w:pPr>
        <w:pStyle w:val="Heading2"/>
        <w:spacing w:line="240" w:lineRule="auto"/>
        <w:ind w:left="258" w:right="-14"/>
        <w:jc w:val="left"/>
        <w:rPr>
          <w:b w:val="0"/>
          <w:bCs w:val="0"/>
        </w:rPr>
      </w:pPr>
      <w:r>
        <w:rPr>
          <w:rFonts w:ascii="宋体" w:hAnsi="宋体" w:cs="宋体" w:eastAsia="宋体" w:hint="default"/>
        </w:rPr>
        <w:t>21</w:t>
      </w:r>
      <w:r>
        <w:rPr/>
        <w:t>、</w:t>
      </w:r>
      <w:r>
        <w:rPr>
          <w:spacing w:val="-108"/>
        </w:rPr>
        <w:t> </w:t>
      </w:r>
      <w:r>
        <w:rPr/>
        <w:t>其他非流动资产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tabs>
          <w:tab w:pos="1307" w:val="left" w:leader="none"/>
        </w:tabs>
        <w:spacing w:before="140"/>
        <w:ind w:left="25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540" w:right="1040"/>
          <w:cols w:num="2" w:equalWidth="0">
            <w:col w:w="2447" w:space="4077"/>
            <w:col w:w="2806"/>
          </w:cols>
        </w:sectPr>
      </w:pPr>
    </w:p>
    <w:p>
      <w:pPr>
        <w:spacing w:line="240" w:lineRule="auto" w:before="7"/>
        <w:rPr>
          <w:rFonts w:ascii="宋体" w:hAnsi="宋体" w:cs="宋体" w:eastAsia="宋体" w:hint="default"/>
          <w:sz w:val="2"/>
          <w:szCs w:val="2"/>
        </w:rPr>
      </w:pPr>
    </w:p>
    <w:tbl>
      <w:tblPr>
        <w:tblW w:w="0" w:type="auto"/>
        <w:jc w:val="left"/>
        <w:tblInd w:w="220" w:type="dxa"/>
        <w:tblLayout w:type="fixed"/>
        <w:tblCellMar>
          <w:top w:w="0" w:type="dxa"/>
          <w:left w:w="0" w:type="dxa"/>
          <w:bottom w:w="0" w:type="dxa"/>
          <w:right w:w="0" w:type="dxa"/>
        </w:tblCellMar>
        <w:tblLook w:val="01E0"/>
      </w:tblPr>
      <w:tblGrid>
        <w:gridCol w:w="2815"/>
        <w:gridCol w:w="3080"/>
        <w:gridCol w:w="2999"/>
      </w:tblGrid>
      <w:tr>
        <w:trPr>
          <w:trHeight w:val="287"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预付融资租赁资产款</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503,938.38</w:t>
            </w: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200,000,000.00</w:t>
            </w:r>
          </w:p>
        </w:tc>
      </w:tr>
      <w:tr>
        <w:trPr>
          <w:trHeight w:val="287"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无形资产预付款</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4,756,367.39</w:t>
            </w: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603,938.38</w:t>
            </w:r>
          </w:p>
        </w:tc>
      </w:tr>
      <w:tr>
        <w:trPr>
          <w:trHeight w:val="287"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预付项目合作款</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44,673,627.00</w:t>
            </w: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0</w:t>
            </w:r>
          </w:p>
        </w:tc>
      </w:tr>
      <w:tr>
        <w:trPr>
          <w:trHeight w:val="288"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预付设备款</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27,586,918.06</w:t>
            </w: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0</w:t>
            </w:r>
          </w:p>
        </w:tc>
      </w:tr>
      <w:tr>
        <w:trPr>
          <w:trHeight w:val="287"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77,520,850.83</w:t>
            </w: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200,603,938.38</w:t>
            </w:r>
          </w:p>
        </w:tc>
      </w:tr>
    </w:tbl>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80" w:bottom="1380" w:left="1540" w:right="1040"/>
        </w:sectPr>
      </w:pPr>
    </w:p>
    <w:p>
      <w:pPr>
        <w:pStyle w:val="Heading2"/>
        <w:spacing w:line="240" w:lineRule="auto"/>
        <w:ind w:left="258" w:right="-13"/>
        <w:jc w:val="left"/>
        <w:rPr>
          <w:b w:val="0"/>
          <w:bCs w:val="0"/>
        </w:rPr>
      </w:pPr>
      <w:r>
        <w:rPr>
          <w:rFonts w:ascii="宋体" w:hAnsi="宋体" w:cs="宋体" w:eastAsia="宋体" w:hint="default"/>
        </w:rPr>
        <w:t>22</w:t>
      </w:r>
      <w:r>
        <w:rPr/>
        <w:t>、</w:t>
      </w:r>
      <w:r>
        <w:rPr>
          <w:spacing w:val="-101"/>
        </w:rPr>
        <w:t> </w:t>
      </w:r>
      <w:r>
        <w:rPr/>
        <w:t>短期借款</w:t>
      </w:r>
      <w:r>
        <w:rPr>
          <w:b w:val="0"/>
          <w:bCs w:val="0"/>
        </w:rPr>
      </w:r>
    </w:p>
    <w:p>
      <w:pPr>
        <w:pStyle w:val="Heading2"/>
        <w:spacing w:line="240" w:lineRule="auto" w:before="56"/>
        <w:ind w:left="258" w:right="-13"/>
        <w:jc w:val="left"/>
        <w:rPr>
          <w:b w:val="0"/>
          <w:bCs w:val="0"/>
        </w:rPr>
      </w:pPr>
      <w:r>
        <w:rPr>
          <w:rFonts w:ascii="宋体" w:hAnsi="宋体" w:cs="宋体" w:eastAsia="宋体" w:hint="default"/>
        </w:rPr>
        <w:t>(1).</w:t>
      </w:r>
      <w:r>
        <w:rPr>
          <w:rFonts w:ascii="宋体" w:hAnsi="宋体" w:cs="宋体" w:eastAsia="宋体" w:hint="default"/>
          <w:spacing w:val="16"/>
        </w:rPr>
        <w:t> </w:t>
      </w:r>
      <w:r>
        <w:rPr/>
        <w:t>短期借款分类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tabs>
          <w:tab w:pos="1307" w:val="left" w:leader="none"/>
        </w:tabs>
        <w:spacing w:before="0"/>
        <w:ind w:left="25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540" w:right="1040"/>
          <w:cols w:num="2" w:equalWidth="0">
            <w:col w:w="2332" w:space="4192"/>
            <w:col w:w="2806"/>
          </w:cols>
        </w:sectPr>
      </w:pPr>
    </w:p>
    <w:p>
      <w:pPr>
        <w:spacing w:line="240" w:lineRule="auto" w:before="5"/>
        <w:rPr>
          <w:rFonts w:ascii="宋体" w:hAnsi="宋体" w:cs="宋体" w:eastAsia="宋体" w:hint="default"/>
          <w:sz w:val="2"/>
          <w:szCs w:val="2"/>
        </w:rPr>
      </w:pPr>
    </w:p>
    <w:tbl>
      <w:tblPr>
        <w:tblW w:w="0" w:type="auto"/>
        <w:jc w:val="left"/>
        <w:tblInd w:w="220" w:type="dxa"/>
        <w:tblLayout w:type="fixed"/>
        <w:tblCellMar>
          <w:top w:w="0" w:type="dxa"/>
          <w:left w:w="0" w:type="dxa"/>
          <w:bottom w:w="0" w:type="dxa"/>
          <w:right w:w="0" w:type="dxa"/>
        </w:tblCellMar>
        <w:tblLook w:val="01E0"/>
      </w:tblPr>
      <w:tblGrid>
        <w:gridCol w:w="2872"/>
        <w:gridCol w:w="3002"/>
        <w:gridCol w:w="3021"/>
      </w:tblGrid>
      <w:tr>
        <w:trPr>
          <w:trHeight w:val="288"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项目</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9"/>
              <w:jc w:val="right"/>
              <w:rPr>
                <w:rFonts w:ascii="宋体" w:hAnsi="宋体" w:cs="宋体" w:eastAsia="宋体" w:hint="default"/>
                <w:sz w:val="21"/>
                <w:szCs w:val="21"/>
              </w:rPr>
            </w:pPr>
            <w:r>
              <w:rPr>
                <w:rFonts w:ascii="宋体"/>
                <w:sz w:val="21"/>
              </w:rPr>
              <w:t>478,182,750.31</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9"/>
              <w:jc w:val="right"/>
              <w:rPr>
                <w:rFonts w:ascii="宋体" w:hAnsi="宋体" w:cs="宋体" w:eastAsia="宋体" w:hint="default"/>
                <w:sz w:val="21"/>
                <w:szCs w:val="21"/>
              </w:rPr>
            </w:pPr>
            <w:r>
              <w:rPr>
                <w:rFonts w:ascii="宋体"/>
                <w:sz w:val="21"/>
              </w:rPr>
              <w:t>109,800,000.00</w:t>
            </w:r>
          </w:p>
        </w:tc>
      </w:tr>
      <w:tr>
        <w:trPr>
          <w:trHeight w:val="288"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z w:val="21"/>
              </w:rPr>
              <w:t>33,133,670.24</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z w:val="21"/>
              </w:rPr>
              <w:t>38,726,150.59</w:t>
            </w:r>
          </w:p>
        </w:tc>
      </w:tr>
      <w:tr>
        <w:trPr>
          <w:trHeight w:val="287"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0"/>
              <w:jc w:val="right"/>
              <w:rPr>
                <w:rFonts w:ascii="宋体" w:hAnsi="宋体" w:cs="宋体" w:eastAsia="宋体" w:hint="default"/>
                <w:sz w:val="21"/>
                <w:szCs w:val="21"/>
              </w:rPr>
            </w:pPr>
            <w:r>
              <w:rPr>
                <w:rFonts w:ascii="宋体"/>
                <w:sz w:val="21"/>
              </w:rPr>
              <w:t>0</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0"/>
              <w:jc w:val="right"/>
              <w:rPr>
                <w:rFonts w:ascii="宋体" w:hAnsi="宋体" w:cs="宋体" w:eastAsia="宋体" w:hint="default"/>
                <w:sz w:val="21"/>
                <w:szCs w:val="21"/>
              </w:rPr>
            </w:pPr>
            <w:r>
              <w:rPr>
                <w:rFonts w:ascii="宋体"/>
                <w:sz w:val="21"/>
              </w:rPr>
              <w:t>79,843,959.71</w:t>
            </w:r>
          </w:p>
        </w:tc>
      </w:tr>
      <w:tr>
        <w:trPr>
          <w:trHeight w:val="287"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合计</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z w:val="21"/>
              </w:rPr>
              <w:t>511,316,420.55</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z w:val="21"/>
              </w:rPr>
              <w:t>228,370,110.30</w:t>
            </w:r>
          </w:p>
        </w:tc>
      </w:tr>
    </w:tbl>
    <w:p>
      <w:pPr>
        <w:spacing w:line="238" w:lineRule="exact" w:before="0"/>
        <w:ind w:left="258" w:right="0" w:firstLine="0"/>
        <w:jc w:val="left"/>
        <w:rPr>
          <w:rFonts w:ascii="宋体" w:hAnsi="宋体" w:cs="宋体" w:eastAsia="宋体" w:hint="default"/>
          <w:sz w:val="21"/>
          <w:szCs w:val="21"/>
        </w:rPr>
      </w:pPr>
      <w:r>
        <w:rPr>
          <w:rFonts w:ascii="宋体" w:hAnsi="宋体" w:cs="宋体" w:eastAsia="宋体" w:hint="default"/>
          <w:sz w:val="21"/>
          <w:szCs w:val="21"/>
        </w:rPr>
        <w:t>短期借款分类的说明：</w:t>
      </w:r>
    </w:p>
    <w:p>
      <w:pPr>
        <w:pStyle w:val="BodyText"/>
        <w:spacing w:line="331" w:lineRule="auto"/>
        <w:ind w:left="258" w:right="4968"/>
        <w:jc w:val="left"/>
      </w:pPr>
      <w:r>
        <w:rPr/>
        <w:t>说明： 本公司不存在逾期未偿还的短期借款。</w:t>
      </w:r>
    </w:p>
    <w:p>
      <w:pPr>
        <w:pStyle w:val="BodyText"/>
        <w:spacing w:line="240" w:lineRule="auto" w:before="25"/>
        <w:ind w:left="258" w:right="0"/>
        <w:jc w:val="left"/>
      </w:pPr>
      <w:r>
        <w:rPr/>
        <w:t>（</w:t>
      </w:r>
      <w:r>
        <w:rPr>
          <w:rFonts w:ascii="宋体" w:hAnsi="宋体" w:cs="宋体" w:eastAsia="宋体" w:hint="default"/>
        </w:rPr>
        <w:t>1</w:t>
      </w:r>
      <w:r>
        <w:rPr/>
        <w:t>）抵押情况说明如下：</w:t>
      </w:r>
    </w:p>
    <w:p>
      <w:pPr>
        <w:pStyle w:val="BodyText"/>
        <w:spacing w:line="312" w:lineRule="exact" w:before="147"/>
        <w:ind w:left="258" w:right="0" w:firstLine="424"/>
        <w:jc w:val="left"/>
      </w:pPr>
      <w:r>
        <w:rPr>
          <w:spacing w:val="14"/>
        </w:rPr>
        <w:t>自动系统（香港）有限公司以自有房屋抵押借款，自香港汇丰银行取得借款</w:t>
      </w:r>
      <w:r>
        <w:rPr/>
        <w:t> </w:t>
      </w:r>
      <w:r>
        <w:rPr>
          <w:rFonts w:ascii="宋体" w:hAnsi="宋体" w:cs="宋体" w:eastAsia="宋体" w:hint="default"/>
        </w:rPr>
        <w:t>42,000,000.00</w:t>
      </w:r>
      <w:r>
        <w:rPr>
          <w:rFonts w:ascii="宋体" w:hAnsi="宋体" w:cs="宋体" w:eastAsia="宋体" w:hint="default"/>
          <w:spacing w:val="-60"/>
        </w:rPr>
        <w:t> </w:t>
      </w:r>
      <w:r>
        <w:rPr/>
        <w:t>港币。</w:t>
      </w:r>
    </w:p>
    <w:p>
      <w:pPr>
        <w:pStyle w:val="BodyText"/>
        <w:spacing w:line="310" w:lineRule="exact" w:before="120"/>
        <w:ind w:left="116" w:right="233"/>
        <w:jc w:val="both"/>
      </w:pPr>
      <w:r>
        <w:rPr>
          <w:spacing w:val="-1"/>
        </w:rPr>
        <w:t>（</w:t>
      </w:r>
      <w:r>
        <w:rPr>
          <w:rFonts w:ascii="宋体" w:hAnsi="宋体" w:cs="宋体" w:eastAsia="宋体" w:hint="default"/>
          <w:spacing w:val="-1"/>
        </w:rPr>
        <w:t>2</w:t>
      </w:r>
      <w:r>
        <w:rPr>
          <w:spacing w:val="-1"/>
        </w:rPr>
        <w:t>）信用借款中，本公司使用中国银行综合信用额度以及存款支持申请开立备用信用</w:t>
      </w:r>
      <w:r>
        <w:rPr>
          <w:spacing w:val="-110"/>
        </w:rPr>
        <w:t> </w:t>
      </w:r>
      <w:r>
        <w:rPr>
          <w:spacing w:val="-110"/>
        </w:rPr>
      </w:r>
      <w:r>
        <w:rPr/>
        <w:t>证</w:t>
      </w:r>
      <w:r>
        <w:rPr>
          <w:rFonts w:ascii="宋体" w:hAnsi="宋体" w:cs="宋体" w:eastAsia="宋体" w:hint="default"/>
        </w:rPr>
        <w:t>,</w:t>
      </w:r>
      <w:r>
        <w:rPr/>
        <w:t>金额</w:t>
      </w:r>
      <w:r>
        <w:rPr>
          <w:spacing w:val="-50"/>
        </w:rPr>
        <w:t> </w:t>
      </w:r>
      <w:r>
        <w:rPr>
          <w:rFonts w:ascii="宋体" w:hAnsi="宋体" w:cs="宋体" w:eastAsia="宋体" w:hint="default"/>
        </w:rPr>
        <w:t>1,000</w:t>
      </w:r>
      <w:r>
        <w:rPr>
          <w:rFonts w:ascii="宋体" w:hAnsi="宋体" w:cs="宋体" w:eastAsia="宋体" w:hint="default"/>
          <w:spacing w:val="-50"/>
        </w:rPr>
        <w:t> </w:t>
      </w:r>
      <w:r>
        <w:rPr>
          <w:spacing w:val="-9"/>
        </w:rPr>
        <w:t>万美元为本公司之全资子公司华胜天成（香港）有限公司在中国银行（香</w:t>
      </w:r>
    </w:p>
    <w:p>
      <w:pPr>
        <w:pStyle w:val="BodyText"/>
        <w:spacing w:line="282" w:lineRule="exact"/>
        <w:ind w:left="116" w:right="0"/>
        <w:jc w:val="both"/>
      </w:pPr>
      <w:r>
        <w:rPr/>
        <w:t>港）有限公司申请贸易项下融资业务额度提供不超过美金</w:t>
      </w:r>
      <w:r>
        <w:rPr>
          <w:spacing w:val="-74"/>
        </w:rPr>
        <w:t> </w:t>
      </w:r>
      <w:r>
        <w:rPr>
          <w:rFonts w:ascii="宋体" w:hAnsi="宋体" w:cs="宋体" w:eastAsia="宋体" w:hint="default"/>
        </w:rPr>
        <w:t>1,000</w:t>
      </w:r>
      <w:r>
        <w:rPr>
          <w:rFonts w:ascii="宋体" w:hAnsi="宋体" w:cs="宋体" w:eastAsia="宋体" w:hint="default"/>
          <w:spacing w:val="-74"/>
        </w:rPr>
        <w:t> </w:t>
      </w:r>
      <w:r>
        <w:rPr/>
        <w:t>万元的担保</w:t>
      </w:r>
      <w:r>
        <w:rPr>
          <w:rFonts w:ascii="宋体" w:hAnsi="宋体" w:cs="宋体" w:eastAsia="宋体" w:hint="default"/>
        </w:rPr>
        <w:t>,</w:t>
      </w:r>
      <w:r>
        <w:rPr/>
        <w:t>自中国银</w:t>
      </w:r>
    </w:p>
    <w:p>
      <w:pPr>
        <w:pStyle w:val="BodyText"/>
        <w:spacing w:line="312" w:lineRule="exact"/>
        <w:ind w:left="116" w:right="0"/>
        <w:jc w:val="both"/>
      </w:pPr>
      <w:r>
        <w:rPr/>
        <w:t>行（香港）有限公司取得借款</w:t>
      </w:r>
      <w:r>
        <w:rPr>
          <w:spacing w:val="-60"/>
        </w:rPr>
        <w:t> </w:t>
      </w:r>
      <w:r>
        <w:rPr>
          <w:rFonts w:ascii="宋体" w:hAnsi="宋体" w:cs="宋体" w:eastAsia="宋体" w:hint="default"/>
        </w:rPr>
        <w:t>6,842,766.33</w:t>
      </w:r>
      <w:r>
        <w:rPr>
          <w:rFonts w:ascii="宋体" w:hAnsi="宋体" w:cs="宋体" w:eastAsia="宋体" w:hint="default"/>
          <w:spacing w:val="-60"/>
        </w:rPr>
        <w:t> </w:t>
      </w:r>
      <w:r>
        <w:rPr/>
        <w:t>美元。</w:t>
      </w:r>
    </w:p>
    <w:p>
      <w:pPr>
        <w:pStyle w:val="BodyText"/>
        <w:spacing w:line="237" w:lineRule="auto" w:before="120"/>
        <w:ind w:left="115" w:right="223"/>
        <w:jc w:val="both"/>
      </w:pPr>
      <w:r>
        <w:rPr>
          <w:spacing w:val="2"/>
        </w:rPr>
        <w:t>（</w:t>
      </w:r>
      <w:r>
        <w:rPr>
          <w:rFonts w:ascii="宋体" w:hAnsi="宋体" w:cs="宋体" w:eastAsia="宋体" w:hint="default"/>
          <w:spacing w:val="2"/>
        </w:rPr>
        <w:t>3</w:t>
      </w:r>
      <w:r>
        <w:rPr>
          <w:spacing w:val="2"/>
        </w:rPr>
        <w:t>）信用借款中，本公司使用汇丰银行综合信用额度申请开立备用信用证</w:t>
      </w:r>
      <w:r>
        <w:rPr>
          <w:rFonts w:ascii="宋体" w:hAnsi="宋体" w:cs="宋体" w:eastAsia="宋体" w:hint="default"/>
          <w:spacing w:val="2"/>
        </w:rPr>
        <w:t>,</w:t>
      </w:r>
      <w:r>
        <w:rPr>
          <w:spacing w:val="2"/>
        </w:rPr>
        <w:t>金额为人</w:t>
      </w:r>
      <w:r>
        <w:rPr>
          <w:spacing w:val="-108"/>
        </w:rPr>
        <w:t> </w:t>
      </w:r>
      <w:r>
        <w:rPr>
          <w:spacing w:val="-108"/>
        </w:rPr>
      </w:r>
      <w:r>
        <w:rPr/>
        <w:t>民币</w:t>
      </w:r>
      <w:r>
        <w:rPr>
          <w:spacing w:val="-71"/>
        </w:rPr>
        <w:t> </w:t>
      </w:r>
      <w:r>
        <w:rPr>
          <w:rFonts w:ascii="宋体" w:hAnsi="宋体" w:cs="宋体" w:eastAsia="宋体" w:hint="default"/>
        </w:rPr>
        <w:t>10,000</w:t>
      </w:r>
      <w:r>
        <w:rPr>
          <w:rFonts w:ascii="宋体" w:hAnsi="宋体" w:cs="宋体" w:eastAsia="宋体" w:hint="default"/>
          <w:spacing w:val="-71"/>
        </w:rPr>
        <w:t> </w:t>
      </w:r>
      <w:r>
        <w:rPr/>
        <w:t>万元整为本公司之全资子公司华胜天成（香港）有限公司在香港上海汇丰 </w:t>
      </w:r>
      <w:r>
        <w:rPr>
          <w:spacing w:val="9"/>
        </w:rPr>
        <w:t>银行股份有限公司提供贸易融资担保，自香港上海汇丰银行股份有限公司取得借款</w:t>
      </w:r>
      <w:r>
        <w:rPr>
          <w:spacing w:val="9"/>
        </w:rPr>
        <w:t> </w:t>
      </w:r>
      <w:r>
        <w:rPr>
          <w:rFonts w:ascii="宋体" w:hAnsi="宋体" w:cs="宋体" w:eastAsia="宋体" w:hint="default"/>
        </w:rPr>
        <w:t>14,922,677.42</w:t>
      </w:r>
      <w:r>
        <w:rPr>
          <w:rFonts w:ascii="宋体" w:hAnsi="宋体" w:cs="宋体" w:eastAsia="宋体" w:hint="default"/>
          <w:spacing w:val="-60"/>
        </w:rPr>
        <w:t> </w:t>
      </w:r>
      <w:r>
        <w:rPr/>
        <w:t>美元。</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80" w:bottom="1380" w:left="1540" w:right="1040"/>
        </w:sectPr>
      </w:pPr>
    </w:p>
    <w:p>
      <w:pPr>
        <w:pStyle w:val="Heading2"/>
        <w:spacing w:line="240" w:lineRule="auto" w:before="188"/>
        <w:ind w:left="258" w:right="-18"/>
        <w:jc w:val="left"/>
        <w:rPr>
          <w:b w:val="0"/>
          <w:bCs w:val="0"/>
        </w:rPr>
      </w:pPr>
      <w:r>
        <w:rPr>
          <w:rFonts w:ascii="宋体" w:hAnsi="宋体" w:cs="宋体" w:eastAsia="宋体" w:hint="default"/>
        </w:rPr>
        <w:t>23</w:t>
      </w:r>
      <w:r>
        <w:rPr/>
        <w:t>、</w:t>
      </w:r>
      <w:r>
        <w:rPr>
          <w:spacing w:val="-101"/>
        </w:rPr>
        <w:t> </w:t>
      </w:r>
      <w:r>
        <w:rPr/>
        <w:t>应付票据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3"/>
          <w:szCs w:val="23"/>
        </w:rPr>
      </w:pPr>
    </w:p>
    <w:p>
      <w:pPr>
        <w:tabs>
          <w:tab w:pos="1307" w:val="left" w:leader="none"/>
        </w:tabs>
        <w:spacing w:before="0"/>
        <w:ind w:left="25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540" w:right="1040"/>
          <w:cols w:num="2" w:equalWidth="0">
            <w:col w:w="1727" w:space="4797"/>
            <w:col w:w="2806"/>
          </w:cols>
        </w:sectPr>
      </w:pPr>
    </w:p>
    <w:p>
      <w:pPr>
        <w:spacing w:line="240" w:lineRule="auto" w:before="7"/>
        <w:rPr>
          <w:rFonts w:ascii="宋体" w:hAnsi="宋体" w:cs="宋体" w:eastAsia="宋体" w:hint="default"/>
          <w:sz w:val="2"/>
          <w:szCs w:val="2"/>
        </w:rPr>
      </w:pPr>
    </w:p>
    <w:tbl>
      <w:tblPr>
        <w:tblW w:w="0" w:type="auto"/>
        <w:jc w:val="left"/>
        <w:tblInd w:w="220" w:type="dxa"/>
        <w:tblLayout w:type="fixed"/>
        <w:tblCellMar>
          <w:top w:w="0" w:type="dxa"/>
          <w:left w:w="0" w:type="dxa"/>
          <w:bottom w:w="0" w:type="dxa"/>
          <w:right w:w="0" w:type="dxa"/>
        </w:tblCellMar>
        <w:tblLook w:val="01E0"/>
      </w:tblPr>
      <w:tblGrid>
        <w:gridCol w:w="2311"/>
        <w:gridCol w:w="3339"/>
        <w:gridCol w:w="3244"/>
      </w:tblGrid>
      <w:tr>
        <w:trPr>
          <w:trHeight w:val="288"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22" w:right="0"/>
              <w:jc w:val="left"/>
              <w:rPr>
                <w:rFonts w:ascii="宋体" w:hAnsi="宋体" w:cs="宋体" w:eastAsia="宋体" w:hint="default"/>
                <w:sz w:val="21"/>
                <w:szCs w:val="21"/>
              </w:rPr>
            </w:pPr>
            <w:r>
              <w:rPr>
                <w:rFonts w:ascii="宋体"/>
                <w:sz w:val="21"/>
              </w:rPr>
              <w:t>42,953,181.98</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41" w:right="0"/>
              <w:jc w:val="left"/>
              <w:rPr>
                <w:rFonts w:ascii="宋体" w:hAnsi="宋体" w:cs="宋体" w:eastAsia="宋体" w:hint="default"/>
                <w:sz w:val="21"/>
                <w:szCs w:val="21"/>
              </w:rPr>
            </w:pPr>
            <w:r>
              <w:rPr>
                <w:rFonts w:ascii="宋体"/>
                <w:sz w:val="21"/>
              </w:rPr>
              <w:t>77,937,793.14</w:t>
            </w:r>
          </w:p>
        </w:tc>
      </w:tr>
    </w:tbl>
    <w:p>
      <w:pPr>
        <w:spacing w:after="0" w:line="240" w:lineRule="exact"/>
        <w:jc w:val="left"/>
        <w:rPr>
          <w:rFonts w:ascii="宋体" w:hAnsi="宋体" w:cs="宋体" w:eastAsia="宋体" w:hint="default"/>
          <w:sz w:val="21"/>
          <w:szCs w:val="21"/>
        </w:rPr>
        <w:sectPr>
          <w:type w:val="continuous"/>
          <w:pgSz w:w="11910" w:h="16840"/>
          <w:pgMar w:top="1080" w:bottom="1380" w:left="154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0" w:type="dxa"/>
        <w:tblLayout w:type="fixed"/>
        <w:tblCellMar>
          <w:top w:w="0" w:type="dxa"/>
          <w:left w:w="0" w:type="dxa"/>
          <w:bottom w:w="0" w:type="dxa"/>
          <w:right w:w="0" w:type="dxa"/>
        </w:tblCellMar>
        <w:tblLook w:val="01E0"/>
      </w:tblPr>
      <w:tblGrid>
        <w:gridCol w:w="2311"/>
        <w:gridCol w:w="3339"/>
        <w:gridCol w:w="3244"/>
      </w:tblGrid>
      <w:tr>
        <w:trPr>
          <w:trHeight w:val="287"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4"/>
              <w:jc w:val="right"/>
              <w:rPr>
                <w:rFonts w:ascii="宋体" w:hAnsi="宋体" w:cs="宋体" w:eastAsia="宋体" w:hint="default"/>
                <w:sz w:val="21"/>
                <w:szCs w:val="21"/>
              </w:rPr>
            </w:pPr>
            <w:r>
              <w:rPr>
                <w:rFonts w:ascii="宋体"/>
                <w:sz w:val="21"/>
              </w:rPr>
              <w:t>51,204,993.22</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148,379,077.84</w:t>
            </w:r>
          </w:p>
        </w:tc>
      </w:tr>
      <w:tr>
        <w:trPr>
          <w:trHeight w:val="287"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94,158,175.20</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226,316,870.98</w:t>
            </w:r>
          </w:p>
        </w:tc>
      </w:tr>
    </w:tbl>
    <w:p>
      <w:pPr>
        <w:pStyle w:val="BodyText"/>
        <w:spacing w:line="276" w:lineRule="exact"/>
        <w:ind w:left="218" w:right="0"/>
        <w:jc w:val="left"/>
      </w:pPr>
      <w:r>
        <w:rPr/>
        <w:t>本期末已到期未支付的应付票据总额为 </w:t>
      </w:r>
      <w:r>
        <w:rPr>
          <w:rFonts w:ascii="宋体" w:hAnsi="宋体" w:cs="宋体" w:eastAsia="宋体" w:hint="default"/>
        </w:rPr>
        <w:t>0</w:t>
      </w:r>
      <w:r>
        <w:rPr>
          <w:rFonts w:ascii="宋体" w:hAnsi="宋体" w:cs="宋体" w:eastAsia="宋体" w:hint="default"/>
          <w:spacing w:val="-60"/>
        </w:rPr>
        <w:t> </w:t>
      </w:r>
      <w:r>
        <w:rPr/>
        <w:t>元。</w:t>
      </w:r>
    </w:p>
    <w:p>
      <w:pPr>
        <w:spacing w:line="240" w:lineRule="auto" w:before="4"/>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4" w:top="1120" w:bottom="1380" w:left="1580" w:right="560"/>
        </w:sectPr>
      </w:pPr>
    </w:p>
    <w:p>
      <w:pPr>
        <w:pStyle w:val="Heading2"/>
        <w:spacing w:line="240" w:lineRule="auto"/>
        <w:ind w:right="0"/>
        <w:jc w:val="left"/>
        <w:rPr>
          <w:b w:val="0"/>
          <w:bCs w:val="0"/>
        </w:rPr>
      </w:pPr>
      <w:r>
        <w:rPr>
          <w:rFonts w:ascii="宋体" w:hAnsi="宋体" w:cs="宋体" w:eastAsia="宋体" w:hint="default"/>
        </w:rPr>
        <w:t>24</w:t>
      </w:r>
      <w:r>
        <w:rPr/>
        <w:t>、</w:t>
      </w:r>
      <w:r>
        <w:rPr>
          <w:spacing w:val="-101"/>
        </w:rPr>
        <w:t> </w:t>
      </w:r>
      <w:r>
        <w:rPr/>
        <w:t>应付账款</w:t>
      </w:r>
      <w:r>
        <w:rPr>
          <w:b w:val="0"/>
          <w:bCs w:val="0"/>
        </w:rPr>
      </w:r>
    </w:p>
    <w:p>
      <w:pPr>
        <w:pStyle w:val="Heading2"/>
        <w:tabs>
          <w:tab w:pos="1057" w:val="left" w:leader="none"/>
        </w:tabs>
        <w:spacing w:line="240" w:lineRule="auto" w:before="56"/>
        <w:ind w:right="0"/>
        <w:jc w:val="left"/>
        <w:rPr>
          <w:b w:val="0"/>
          <w:bCs w:val="0"/>
        </w:rPr>
      </w:pPr>
      <w:r>
        <w:rPr>
          <w:rFonts w:ascii="宋体" w:hAnsi="宋体" w:cs="宋体" w:eastAsia="宋体" w:hint="default"/>
          <w:w w:val="95"/>
        </w:rPr>
        <w:t>(1).</w:t>
        <w:tab/>
      </w:r>
      <w:r>
        <w:rPr>
          <w:w w:val="95"/>
        </w:rPr>
        <w:t>应付账款列示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tabs>
          <w:tab w:pos="1267" w:val="left" w:leader="none"/>
        </w:tabs>
        <w:spacing w:before="0"/>
        <w:ind w:left="21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580" w:right="560"/>
          <w:cols w:num="2" w:equalWidth="0">
            <w:col w:w="2502" w:space="4022"/>
            <w:col w:w="324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7"/>
        <w:gridCol w:w="3341"/>
      </w:tblGrid>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5"/>
              <w:jc w:val="right"/>
              <w:rPr>
                <w:rFonts w:ascii="宋体" w:hAnsi="宋体" w:cs="宋体" w:eastAsia="宋体" w:hint="default"/>
                <w:sz w:val="21"/>
                <w:szCs w:val="21"/>
              </w:rPr>
            </w:pPr>
            <w:r>
              <w:rPr>
                <w:rFonts w:ascii="宋体" w:hAnsi="宋体" w:cs="宋体" w:eastAsia="宋体" w:hint="default"/>
                <w:sz w:val="21"/>
                <w:szCs w:val="21"/>
              </w:rPr>
              <w:t>项目</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货款及服务款</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865,654,448.06</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666,001,396.04</w:t>
            </w:r>
          </w:p>
        </w:tc>
      </w:tr>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工程款</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26,588,936.35</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27,315,781.88</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05"/>
              <w:jc w:val="right"/>
              <w:rPr>
                <w:rFonts w:ascii="宋体" w:hAnsi="宋体" w:cs="宋体" w:eastAsia="宋体" w:hint="default"/>
                <w:sz w:val="21"/>
                <w:szCs w:val="21"/>
              </w:rPr>
            </w:pPr>
            <w:r>
              <w:rPr>
                <w:rFonts w:ascii="宋体" w:hAnsi="宋体" w:cs="宋体" w:eastAsia="宋体" w:hint="default"/>
                <w:sz w:val="21"/>
                <w:szCs w:val="21"/>
              </w:rPr>
              <w:t>合计</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892,243,384.41</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693,317,177.92</w:t>
            </w:r>
          </w:p>
        </w:tc>
      </w:tr>
    </w:tbl>
    <w:p>
      <w:pPr>
        <w:pStyle w:val="BodyText"/>
        <w:spacing w:line="240" w:lineRule="auto" w:before="81"/>
        <w:ind w:left="218" w:right="0"/>
        <w:jc w:val="left"/>
      </w:pPr>
      <w:r>
        <w:rPr/>
        <w:t>其中，账龄超过</w:t>
      </w:r>
      <w:r>
        <w:rPr>
          <w:spacing w:val="-60"/>
        </w:rPr>
        <w:t> </w:t>
      </w:r>
      <w:r>
        <w:rPr>
          <w:rFonts w:ascii="宋体" w:hAnsi="宋体" w:cs="宋体" w:eastAsia="宋体" w:hint="default"/>
        </w:rPr>
        <w:t>1</w:t>
      </w:r>
      <w:r>
        <w:rPr>
          <w:rFonts w:ascii="宋体" w:hAnsi="宋体" w:cs="宋体" w:eastAsia="宋体" w:hint="default"/>
          <w:spacing w:val="-60"/>
        </w:rPr>
        <w:t> </w:t>
      </w:r>
      <w:r>
        <w:rPr/>
        <w:t>年的重要应付账款系尚未到结算期所致。</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80" w:bottom="1380" w:left="1580" w:right="560"/>
        </w:sectPr>
      </w:pPr>
    </w:p>
    <w:p>
      <w:pPr>
        <w:pStyle w:val="Heading2"/>
        <w:spacing w:line="240" w:lineRule="auto" w:before="187"/>
        <w:ind w:right="-12"/>
        <w:jc w:val="left"/>
        <w:rPr>
          <w:b w:val="0"/>
          <w:bCs w:val="0"/>
        </w:rPr>
      </w:pPr>
      <w:r>
        <w:rPr>
          <w:rFonts w:ascii="宋体" w:hAnsi="宋体" w:cs="宋体" w:eastAsia="宋体" w:hint="default"/>
        </w:rPr>
        <w:t>25</w:t>
      </w:r>
      <w:r>
        <w:rPr/>
        <w:t>、</w:t>
      </w:r>
      <w:r>
        <w:rPr>
          <w:spacing w:val="-101"/>
        </w:rPr>
        <w:t> </w:t>
      </w:r>
      <w:r>
        <w:rPr/>
        <w:t>预收款项</w:t>
      </w:r>
      <w:r>
        <w:rPr>
          <w:b w:val="0"/>
          <w:bCs w:val="0"/>
        </w:rPr>
      </w:r>
    </w:p>
    <w:p>
      <w:pPr>
        <w:pStyle w:val="Heading2"/>
        <w:spacing w:line="240" w:lineRule="auto" w:before="56"/>
        <w:ind w:right="-12"/>
        <w:jc w:val="left"/>
        <w:rPr>
          <w:b w:val="0"/>
          <w:bCs w:val="0"/>
        </w:rPr>
      </w:pPr>
      <w:r>
        <w:rPr>
          <w:rFonts w:ascii="宋体" w:hAnsi="宋体" w:cs="宋体" w:eastAsia="宋体" w:hint="default"/>
        </w:rPr>
        <w:t>(1).</w:t>
      </w:r>
      <w:r>
        <w:rPr>
          <w:rFonts w:ascii="宋体" w:hAnsi="宋体" w:cs="宋体" w:eastAsia="宋体" w:hint="default"/>
          <w:spacing w:val="-10"/>
        </w:rPr>
        <w:t> </w:t>
      </w:r>
      <w:r>
        <w:rPr/>
        <w:t>预收账款项列示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tabs>
          <w:tab w:pos="1267" w:val="left" w:leader="none"/>
        </w:tabs>
        <w:spacing w:before="149"/>
        <w:ind w:left="21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580" w:right="560"/>
          <w:cols w:num="2" w:equalWidth="0">
            <w:col w:w="2508" w:space="4016"/>
            <w:col w:w="324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8"/>
        <w:gridCol w:w="3078"/>
        <w:gridCol w:w="3074"/>
      </w:tblGrid>
      <w:tr>
        <w:trPr>
          <w:trHeight w:val="28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货款及服务款</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384,086,573.53</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281,688,516.42</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384,086,573.53</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281,688,516.42</w:t>
            </w:r>
          </w:p>
        </w:tc>
      </w:tr>
    </w:tbl>
    <w:p>
      <w:pPr>
        <w:pStyle w:val="BodyText"/>
        <w:spacing w:line="240" w:lineRule="auto" w:before="81"/>
        <w:ind w:left="218" w:right="0"/>
        <w:jc w:val="left"/>
      </w:pPr>
      <w:r>
        <w:rPr/>
        <w:t>其中，账龄超过</w:t>
      </w:r>
      <w:r>
        <w:rPr>
          <w:spacing w:val="-60"/>
        </w:rPr>
        <w:t> </w:t>
      </w:r>
      <w:r>
        <w:rPr>
          <w:rFonts w:ascii="宋体" w:hAnsi="宋体" w:cs="宋体" w:eastAsia="宋体" w:hint="default"/>
        </w:rPr>
        <w:t>1</w:t>
      </w:r>
      <w:r>
        <w:rPr>
          <w:rFonts w:ascii="宋体" w:hAnsi="宋体" w:cs="宋体" w:eastAsia="宋体" w:hint="default"/>
          <w:spacing w:val="-60"/>
        </w:rPr>
        <w:t> </w:t>
      </w:r>
      <w:r>
        <w:rPr/>
        <w:t>年的重要预收款项系项目尚未验收结转所致。</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80" w:bottom="1380" w:left="1580" w:right="560"/>
        </w:sectPr>
      </w:pPr>
    </w:p>
    <w:p>
      <w:pPr>
        <w:pStyle w:val="Heading2"/>
        <w:spacing w:line="240" w:lineRule="auto" w:before="188"/>
        <w:ind w:right="0"/>
        <w:jc w:val="left"/>
        <w:rPr>
          <w:b w:val="0"/>
          <w:bCs w:val="0"/>
        </w:rPr>
      </w:pPr>
      <w:r>
        <w:rPr>
          <w:rFonts w:ascii="宋体" w:hAnsi="宋体" w:cs="宋体" w:eastAsia="宋体" w:hint="default"/>
        </w:rPr>
        <w:t>26</w:t>
      </w:r>
      <w:r>
        <w:rPr/>
        <w:t>、</w:t>
      </w:r>
      <w:r>
        <w:rPr>
          <w:spacing w:val="-107"/>
        </w:rPr>
        <w:t> </w:t>
      </w:r>
      <w:r>
        <w:rPr/>
        <w:t>应付职工薪酬</w:t>
      </w:r>
      <w:r>
        <w:rPr>
          <w:b w:val="0"/>
          <w:bCs w:val="0"/>
        </w:rPr>
      </w:r>
    </w:p>
    <w:p>
      <w:pPr>
        <w:pStyle w:val="Heading2"/>
        <w:tabs>
          <w:tab w:pos="1057" w:val="left" w:leader="none"/>
        </w:tabs>
        <w:spacing w:line="240" w:lineRule="auto" w:before="58"/>
        <w:ind w:right="0"/>
        <w:jc w:val="left"/>
        <w:rPr>
          <w:b w:val="0"/>
          <w:bCs w:val="0"/>
        </w:rPr>
      </w:pPr>
      <w:r>
        <w:rPr>
          <w:rFonts w:ascii="宋体" w:hAnsi="宋体" w:cs="宋体" w:eastAsia="宋体" w:hint="default"/>
          <w:w w:val="95"/>
        </w:rPr>
        <w:t>(1).</w:t>
        <w:tab/>
      </w:r>
      <w:r>
        <w:rPr>
          <w:w w:val="95"/>
        </w:rPr>
        <w:t>应付职工薪酬列示：</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2"/>
        <w:rPr>
          <w:rFonts w:ascii="宋体" w:hAnsi="宋体" w:cs="宋体" w:eastAsia="宋体" w:hint="default"/>
          <w:b/>
          <w:bCs/>
          <w:sz w:val="23"/>
          <w:szCs w:val="23"/>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080" w:bottom="1380" w:left="1580" w:right="560"/>
          <w:cols w:num="2" w:equalWidth="0">
            <w:col w:w="3225" w:space="2968"/>
            <w:col w:w="3577"/>
          </w:cols>
        </w:sectPr>
      </w:pP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600"/>
        <w:gridCol w:w="1611"/>
        <w:gridCol w:w="1852"/>
        <w:gridCol w:w="1842"/>
        <w:gridCol w:w="1619"/>
      </w:tblGrid>
      <w:tr>
        <w:trPr>
          <w:trHeight w:val="28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81"/>
              <w:jc w:val="right"/>
              <w:rPr>
                <w:rFonts w:ascii="宋体" w:hAnsi="宋体" w:cs="宋体" w:eastAsia="宋体" w:hint="default"/>
                <w:sz w:val="21"/>
                <w:szCs w:val="21"/>
              </w:rPr>
            </w:pPr>
            <w:r>
              <w:rPr>
                <w:rFonts w:ascii="宋体" w:hAnsi="宋体" w:cs="宋体" w:eastAsia="宋体" w:hint="default"/>
                <w:sz w:val="21"/>
                <w:szCs w:val="21"/>
              </w:rPr>
              <w:t>项目</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7"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60,955,998.46</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800,706,477.37</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794,564,154.31</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67,098,321.52</w:t>
            </w:r>
          </w:p>
        </w:tc>
      </w:tr>
      <w:tr>
        <w:trPr>
          <w:trHeight w:val="560"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二、离职后福利</w:t>
            </w:r>
            <w:r>
              <w:rPr>
                <w:rFonts w:ascii="宋体" w:hAnsi="宋体" w:cs="宋体" w:eastAsia="宋体" w:hint="default"/>
                <w:spacing w:val="-3"/>
                <w:sz w:val="21"/>
                <w:szCs w:val="21"/>
              </w:rPr>
              <w:t>-</w:t>
            </w:r>
            <w:r>
              <w:rPr>
                <w:rFonts w:ascii="宋体" w:hAnsi="宋体" w:cs="宋体" w:eastAsia="宋体" w:hint="default"/>
                <w:spacing w:val="-3"/>
                <w:sz w:val="21"/>
                <w:szCs w:val="21"/>
              </w:rPr>
              <w:t>设定提存</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1611"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4,020,392.68</w:t>
            </w:r>
          </w:p>
        </w:tc>
        <w:tc>
          <w:tcPr>
            <w:tcW w:w="1852"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43,156,452.06</w:t>
            </w:r>
          </w:p>
        </w:tc>
        <w:tc>
          <w:tcPr>
            <w:tcW w:w="1842"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42,427,797.79</w:t>
            </w:r>
          </w:p>
        </w:tc>
        <w:tc>
          <w:tcPr>
            <w:tcW w:w="1619"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4,749,046.95</w:t>
            </w:r>
          </w:p>
        </w:tc>
      </w:tr>
      <w:tr>
        <w:trPr>
          <w:trHeight w:val="287"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611" w:type="dxa"/>
            <w:tcBorders>
              <w:top w:val="single" w:sz="4" w:space="0" w:color="000000"/>
              <w:left w:val="single" w:sz="6"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356,739.44</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316,525.78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317,494.81</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355,770.41</w:t>
            </w:r>
          </w:p>
        </w:tc>
      </w:tr>
      <w:tr>
        <w:trPr>
          <w:trHeight w:val="28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81"/>
              <w:jc w:val="right"/>
              <w:rPr>
                <w:rFonts w:ascii="宋体" w:hAnsi="宋体" w:cs="宋体" w:eastAsia="宋体" w:hint="default"/>
                <w:sz w:val="21"/>
                <w:szCs w:val="21"/>
              </w:rPr>
            </w:pPr>
            <w:r>
              <w:rPr>
                <w:rFonts w:ascii="宋体" w:hAnsi="宋体" w:cs="宋体" w:eastAsia="宋体" w:hint="default"/>
                <w:sz w:val="21"/>
                <w:szCs w:val="21"/>
              </w:rPr>
              <w:t>合计</w:t>
            </w:r>
          </w:p>
        </w:tc>
        <w:tc>
          <w:tcPr>
            <w:tcW w:w="1611"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65,333,130.58</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844,179,455.21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837,309,446.91</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72,203,138.88</w:t>
            </w:r>
          </w:p>
        </w:tc>
      </w:tr>
    </w:tbl>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80" w:bottom="1380" w:left="1580" w:right="560"/>
        </w:sectPr>
      </w:pPr>
    </w:p>
    <w:p>
      <w:pPr>
        <w:pStyle w:val="Heading2"/>
        <w:tabs>
          <w:tab w:pos="1057" w:val="left" w:leader="none"/>
        </w:tabs>
        <w:spacing w:line="240" w:lineRule="auto"/>
        <w:ind w:right="0"/>
        <w:jc w:val="left"/>
        <w:rPr>
          <w:b w:val="0"/>
          <w:bCs w:val="0"/>
        </w:rPr>
      </w:pPr>
      <w:r>
        <w:rPr>
          <w:rFonts w:ascii="宋体" w:hAnsi="宋体" w:cs="宋体" w:eastAsia="宋体" w:hint="default"/>
          <w:w w:val="95"/>
        </w:rPr>
        <w:t>(2).</w:t>
        <w:tab/>
      </w:r>
      <w:r>
        <w:rPr>
          <w:w w:val="95"/>
        </w:rPr>
        <w:t>短期薪酬列示：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tabs>
          <w:tab w:pos="1267" w:val="left" w:leader="none"/>
        </w:tabs>
        <w:spacing w:before="139"/>
        <w:ind w:left="21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w:t>
      </w:r>
      <w:r>
        <w:rPr>
          <w:rFonts w:ascii="宋体" w:hAnsi="宋体" w:cs="宋体" w:eastAsia="宋体" w:hint="default"/>
          <w:sz w:val="21"/>
          <w:szCs w:val="21"/>
        </w:rPr>
        <w:t>:</w:t>
      </w:r>
      <w:r>
        <w:rPr>
          <w:rFonts w:ascii="宋体" w:hAnsi="宋体" w:cs="宋体" w:eastAsia="宋体" w:hint="default"/>
          <w:sz w:val="21"/>
          <w:szCs w:val="21"/>
        </w:rPr>
        <w:t>人民币</w:t>
      </w:r>
    </w:p>
    <w:p>
      <w:pPr>
        <w:spacing w:after="0"/>
        <w:jc w:val="left"/>
        <w:rPr>
          <w:rFonts w:ascii="宋体" w:hAnsi="宋体" w:cs="宋体" w:eastAsia="宋体" w:hint="default"/>
          <w:sz w:val="21"/>
          <w:szCs w:val="21"/>
        </w:rPr>
        <w:sectPr>
          <w:type w:val="continuous"/>
          <w:pgSz w:w="11910" w:h="16840"/>
          <w:pgMar w:top="1080" w:bottom="1380" w:left="1580" w:right="560"/>
          <w:cols w:num="2" w:equalWidth="0">
            <w:col w:w="2743" w:space="3886"/>
            <w:col w:w="314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14"/>
        <w:gridCol w:w="1614"/>
        <w:gridCol w:w="1694"/>
        <w:gridCol w:w="1841"/>
        <w:gridCol w:w="1619"/>
      </w:tblGrid>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58,630,135.01</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735,487,863.79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730,059,089.22</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64,058,909.58</w:t>
            </w: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7,862,191.29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7,862,191.29</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872,644.27</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19,147,607.20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18,883,486.85</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1,136,764.62</w:t>
            </w: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816,737.71</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17,636,976.99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17,393,018.64</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1,060,696.06</w:t>
            </w: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14,117.02</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697,619.54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687,684.64</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24,051.92</w:t>
            </w: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41,789.54</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813,010.67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802,783.57</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52,016.64</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333,979.75</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29,336,578.34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29,680,017.86</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-9,459.77</w:t>
            </w: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1,034,690.00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7,954,339.37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7,076,922.28</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1,912,107.09</w:t>
            </w:r>
          </w:p>
        </w:tc>
      </w:tr>
    </w:tbl>
    <w:p>
      <w:pPr>
        <w:spacing w:after="0" w:line="240" w:lineRule="exact"/>
        <w:jc w:val="right"/>
        <w:rPr>
          <w:rFonts w:ascii="宋体" w:hAnsi="宋体" w:cs="宋体" w:eastAsia="宋体" w:hint="default"/>
          <w:sz w:val="21"/>
          <w:szCs w:val="21"/>
        </w:rPr>
        <w:sectPr>
          <w:type w:val="continuous"/>
          <w:pgSz w:w="11910" w:h="16840"/>
          <w:pgMar w:top="1080" w:bottom="1380" w:left="1580" w:right="5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614"/>
        <w:gridCol w:w="1614"/>
        <w:gridCol w:w="1694"/>
        <w:gridCol w:w="1841"/>
        <w:gridCol w:w="1619"/>
      </w:tblGrid>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p>
        </w:tc>
        <w:tc>
          <w:tcPr>
            <w:tcW w:w="1614"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六、非货币性福利</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84,549.43</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917,897.38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1,002,446.81</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60,955,998.46</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800,706,477.37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794,564,154.31</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67,098,321.52</w:t>
            </w:r>
          </w:p>
        </w:tc>
      </w:tr>
    </w:tbl>
    <w:p>
      <w:pPr>
        <w:spacing w:line="240" w:lineRule="auto" w:before="6"/>
        <w:rPr>
          <w:rFonts w:ascii="宋体" w:hAnsi="宋体" w:cs="宋体" w:eastAsia="宋体" w:hint="default"/>
          <w:sz w:val="20"/>
          <w:szCs w:val="20"/>
        </w:rPr>
      </w:pPr>
    </w:p>
    <w:p>
      <w:pPr>
        <w:pStyle w:val="Heading2"/>
        <w:tabs>
          <w:tab w:pos="1057" w:val="left" w:leader="none"/>
        </w:tabs>
        <w:spacing w:line="240" w:lineRule="auto"/>
        <w:ind w:right="548"/>
        <w:jc w:val="left"/>
        <w:rPr>
          <w:b w:val="0"/>
          <w:bCs w:val="0"/>
        </w:rPr>
      </w:pPr>
      <w:r>
        <w:rPr>
          <w:rFonts w:ascii="宋体" w:hAnsi="宋体" w:cs="宋体" w:eastAsia="宋体" w:hint="default"/>
          <w:w w:val="95"/>
        </w:rPr>
        <w:t>(3).</w:t>
        <w:tab/>
      </w:r>
      <w:r>
        <w:rPr/>
        <w:t>设定提存计划</w:t>
      </w:r>
      <w:r>
        <w:rPr>
          <w:b w:val="0"/>
          <w:bCs w:val="0"/>
        </w:rPr>
      </w:r>
    </w:p>
    <w:p>
      <w:pPr>
        <w:spacing w:line="240" w:lineRule="auto" w:before="4"/>
        <w:rPr>
          <w:rFonts w:ascii="宋体" w:hAnsi="宋体" w:cs="宋体" w:eastAsia="宋体" w:hint="default"/>
          <w:b/>
          <w:bCs/>
          <w:sz w:val="7"/>
          <w:szCs w:val="7"/>
        </w:rPr>
      </w:pPr>
    </w:p>
    <w:tbl>
      <w:tblPr>
        <w:tblW w:w="0" w:type="auto"/>
        <w:jc w:val="left"/>
        <w:tblInd w:w="102" w:type="dxa"/>
        <w:tblLayout w:type="fixed"/>
        <w:tblCellMar>
          <w:top w:w="0" w:type="dxa"/>
          <w:left w:w="0" w:type="dxa"/>
          <w:bottom w:w="0" w:type="dxa"/>
          <w:right w:w="0" w:type="dxa"/>
        </w:tblCellMar>
        <w:tblLook w:val="01E0"/>
      </w:tblPr>
      <w:tblGrid>
        <w:gridCol w:w="2586"/>
        <w:gridCol w:w="1624"/>
        <w:gridCol w:w="1608"/>
        <w:gridCol w:w="1638"/>
        <w:gridCol w:w="1594"/>
      </w:tblGrid>
      <w:tr>
        <w:trPr>
          <w:trHeight w:val="28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7"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离职后福利</w:t>
            </w:r>
          </w:p>
        </w:tc>
        <w:tc>
          <w:tcPr>
            <w:tcW w:w="1624"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4,020,392.68</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43,156,452.06</w:t>
            </w:r>
          </w:p>
        </w:tc>
        <w:tc>
          <w:tcPr>
            <w:tcW w:w="1638"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42,427,797.79</w:t>
            </w:r>
          </w:p>
        </w:tc>
        <w:tc>
          <w:tcPr>
            <w:tcW w:w="1594"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4,749,046.95</w:t>
            </w:r>
          </w:p>
        </w:tc>
      </w:tr>
      <w:tr>
        <w:trPr>
          <w:trHeight w:val="28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其中：</w:t>
            </w:r>
            <w:r>
              <w:rPr>
                <w:rFonts w:ascii="宋体" w:hAnsi="宋体" w:cs="宋体" w:eastAsia="宋体" w:hint="default"/>
                <w:spacing w:val="-4"/>
                <w:sz w:val="21"/>
                <w:szCs w:val="21"/>
              </w:rPr>
              <w:t>1</w:t>
            </w:r>
            <w:r>
              <w:rPr>
                <w:rFonts w:ascii="宋体" w:hAnsi="宋体" w:cs="宋体" w:eastAsia="宋体" w:hint="default"/>
                <w:spacing w:val="-4"/>
                <w:sz w:val="21"/>
                <w:szCs w:val="21"/>
              </w:rPr>
              <w:t>．基本养老保险费</w:t>
            </w:r>
          </w:p>
        </w:tc>
        <w:tc>
          <w:tcPr>
            <w:tcW w:w="1624"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1,983,667.30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33,568,774.85</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32,975,944.52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2,576,497.63</w:t>
            </w:r>
          </w:p>
        </w:tc>
      </w:tr>
      <w:tr>
        <w:trPr>
          <w:trHeight w:val="287"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4" w:type="dxa"/>
            <w:tcBorders>
              <w:top w:val="single" w:sz="4" w:space="0" w:color="000000"/>
              <w:left w:val="single" w:sz="6"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95,877.02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2,096,978.63</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2,047,625.94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145,229.71</w:t>
            </w:r>
          </w:p>
        </w:tc>
      </w:tr>
      <w:tr>
        <w:trPr>
          <w:trHeight w:val="28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．强积金计划</w:t>
            </w:r>
          </w:p>
        </w:tc>
        <w:tc>
          <w:tcPr>
            <w:tcW w:w="1624"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1,940,848.36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7,490,698.58</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7,404,227.33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2,027,319.61</w:t>
            </w:r>
          </w:p>
        </w:tc>
      </w:tr>
      <w:tr>
        <w:trPr>
          <w:trHeight w:val="28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24" w:type="dxa"/>
            <w:tcBorders>
              <w:top w:val="single" w:sz="4" w:space="0" w:color="000000"/>
              <w:left w:val="single" w:sz="6"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4,020,392.68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43,156,452.06</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42,427,797.79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4,749,046.95</w:t>
            </w:r>
          </w:p>
        </w:tc>
      </w:tr>
    </w:tbl>
    <w:p>
      <w:pPr>
        <w:spacing w:line="240" w:lineRule="auto" w:before="11"/>
        <w:rPr>
          <w:rFonts w:ascii="宋体" w:hAnsi="宋体" w:cs="宋体" w:eastAsia="宋体" w:hint="default"/>
          <w:b/>
          <w:bCs/>
          <w:sz w:val="15"/>
          <w:szCs w:val="15"/>
        </w:rPr>
      </w:pPr>
    </w:p>
    <w:p>
      <w:pPr>
        <w:pStyle w:val="Heading2"/>
        <w:spacing w:line="240" w:lineRule="auto"/>
        <w:ind w:right="548"/>
        <w:jc w:val="left"/>
        <w:rPr>
          <w:b w:val="0"/>
          <w:bCs w:val="0"/>
        </w:rPr>
      </w:pPr>
      <w:r>
        <w:rPr/>
        <w:t>（</w:t>
      </w:r>
      <w:r>
        <w:rPr>
          <w:rFonts w:ascii="宋体" w:hAnsi="宋体" w:cs="宋体" w:eastAsia="宋体" w:hint="default"/>
        </w:rPr>
        <w:t>4</w:t>
      </w:r>
      <w:r>
        <w:rPr/>
        <w:t>）辞退福利</w:t>
      </w:r>
      <w:r>
        <w:rPr>
          <w:b w:val="0"/>
          <w:bCs w:val="0"/>
        </w:rPr>
      </w:r>
    </w:p>
    <w:p>
      <w:pPr>
        <w:spacing w:line="240" w:lineRule="auto" w:before="10"/>
        <w:rPr>
          <w:rFonts w:ascii="宋体" w:hAnsi="宋体" w:cs="宋体" w:eastAsia="宋体" w:hint="default"/>
          <w:b/>
          <w:bCs/>
          <w:sz w:val="2"/>
          <w:szCs w:val="2"/>
        </w:rPr>
      </w:pPr>
    </w:p>
    <w:tbl>
      <w:tblPr>
        <w:tblW w:w="0" w:type="auto"/>
        <w:jc w:val="left"/>
        <w:tblInd w:w="110" w:type="dxa"/>
        <w:tblLayout w:type="fixed"/>
        <w:tblCellMar>
          <w:top w:w="0" w:type="dxa"/>
          <w:left w:w="0" w:type="dxa"/>
          <w:bottom w:w="0" w:type="dxa"/>
          <w:right w:w="0" w:type="dxa"/>
        </w:tblCellMar>
        <w:tblLook w:val="01E0"/>
      </w:tblPr>
      <w:tblGrid>
        <w:gridCol w:w="2928"/>
        <w:gridCol w:w="2019"/>
        <w:gridCol w:w="1447"/>
        <w:gridCol w:w="1348"/>
        <w:gridCol w:w="1307"/>
      </w:tblGrid>
      <w:tr>
        <w:trPr>
          <w:trHeight w:val="412" w:hRule="exact"/>
        </w:trPr>
        <w:tc>
          <w:tcPr>
            <w:tcW w:w="2928"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019"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245"/>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1447"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148"/>
              <w:jc w:val="righ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348"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146"/>
              <w:jc w:val="righ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307"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r>
        <w:trPr>
          <w:trHeight w:val="413" w:hRule="exact"/>
        </w:trPr>
        <w:tc>
          <w:tcPr>
            <w:tcW w:w="2928"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一年内支付的辞退福利</w:t>
            </w:r>
          </w:p>
        </w:tc>
        <w:tc>
          <w:tcPr>
            <w:tcW w:w="2019"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246"/>
              <w:jc w:val="right"/>
              <w:rPr>
                <w:rFonts w:ascii="宋体" w:hAnsi="宋体" w:cs="宋体" w:eastAsia="宋体" w:hint="default"/>
                <w:sz w:val="21"/>
                <w:szCs w:val="21"/>
              </w:rPr>
            </w:pPr>
            <w:r>
              <w:rPr>
                <w:rFonts w:ascii="宋体"/>
                <w:sz w:val="21"/>
              </w:rPr>
              <w:t>356,739.44</w:t>
            </w:r>
          </w:p>
        </w:tc>
        <w:tc>
          <w:tcPr>
            <w:tcW w:w="1447"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148"/>
              <w:jc w:val="right"/>
              <w:rPr>
                <w:rFonts w:ascii="宋体" w:hAnsi="宋体" w:cs="宋体" w:eastAsia="宋体" w:hint="default"/>
                <w:sz w:val="21"/>
                <w:szCs w:val="21"/>
              </w:rPr>
            </w:pPr>
            <w:r>
              <w:rPr>
                <w:rFonts w:ascii="宋体"/>
                <w:sz w:val="21"/>
              </w:rPr>
              <w:t>316,525.78</w:t>
            </w:r>
          </w:p>
        </w:tc>
        <w:tc>
          <w:tcPr>
            <w:tcW w:w="1348"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147"/>
              <w:jc w:val="right"/>
              <w:rPr>
                <w:rFonts w:ascii="宋体" w:hAnsi="宋体" w:cs="宋体" w:eastAsia="宋体" w:hint="default"/>
                <w:sz w:val="21"/>
                <w:szCs w:val="21"/>
              </w:rPr>
            </w:pPr>
            <w:r>
              <w:rPr>
                <w:rFonts w:ascii="宋体"/>
                <w:sz w:val="21"/>
              </w:rPr>
              <w:t>317,494.81</w:t>
            </w:r>
          </w:p>
        </w:tc>
        <w:tc>
          <w:tcPr>
            <w:tcW w:w="1307"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z w:val="21"/>
              </w:rPr>
              <w:t>355,770.41</w:t>
            </w:r>
          </w:p>
        </w:tc>
      </w:tr>
    </w:tbl>
    <w:p>
      <w:pPr>
        <w:pStyle w:val="BodyText"/>
        <w:spacing w:line="240" w:lineRule="auto" w:before="81"/>
        <w:ind w:left="218" w:right="548"/>
        <w:jc w:val="left"/>
      </w:pPr>
      <w:r>
        <w:rPr/>
        <w:t>说明：本期增加中汇率变动影响额为</w:t>
      </w:r>
      <w:r>
        <w:rPr>
          <w:rFonts w:ascii="宋体" w:hAnsi="宋体" w:cs="宋体" w:eastAsia="宋体" w:hint="default"/>
        </w:rPr>
        <w:t>-21,929.88</w:t>
      </w:r>
      <w:r>
        <w:rPr>
          <w:rFonts w:ascii="宋体" w:hAnsi="宋体" w:cs="宋体" w:eastAsia="宋体" w:hint="default"/>
          <w:spacing w:val="-60"/>
        </w:rPr>
        <w:t> </w:t>
      </w:r>
      <w:r>
        <w:rPr/>
        <w:t>元。</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720"/>
        </w:sectPr>
      </w:pPr>
    </w:p>
    <w:p>
      <w:pPr>
        <w:pStyle w:val="Heading2"/>
        <w:spacing w:line="240" w:lineRule="auto" w:before="188"/>
        <w:ind w:right="-18"/>
        <w:jc w:val="left"/>
        <w:rPr>
          <w:b w:val="0"/>
          <w:bCs w:val="0"/>
        </w:rPr>
      </w:pPr>
      <w:r>
        <w:rPr>
          <w:rFonts w:ascii="宋体" w:hAnsi="宋体" w:cs="宋体" w:eastAsia="宋体" w:hint="default"/>
        </w:rPr>
        <w:t>27</w:t>
      </w:r>
      <w:r>
        <w:rPr/>
        <w:t>、</w:t>
      </w:r>
      <w:r>
        <w:rPr>
          <w:spacing w:val="-101"/>
        </w:rPr>
        <w:t> </w:t>
      </w:r>
      <w:r>
        <w:rPr/>
        <w:t>应交税费</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
        <w:rPr>
          <w:rFonts w:ascii="宋体" w:hAnsi="宋体" w:cs="宋体" w:eastAsia="宋体" w:hint="default"/>
          <w:b/>
          <w:bCs/>
          <w:sz w:val="23"/>
          <w:szCs w:val="23"/>
        </w:rPr>
      </w:pPr>
    </w:p>
    <w:p>
      <w:pPr>
        <w:tabs>
          <w:tab w:pos="1267" w:val="left" w:leader="none"/>
        </w:tabs>
        <w:spacing w:before="0"/>
        <w:ind w:left="21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580" w:right="720"/>
          <w:cols w:num="2" w:equalWidth="0">
            <w:col w:w="1687" w:space="4837"/>
            <w:col w:w="308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981"/>
        <w:gridCol w:w="2955"/>
        <w:gridCol w:w="2961"/>
      </w:tblGrid>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25"/>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88,689,794.57</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125,240,424.80</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1,272,747.97</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990,053.66</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13,530,656.46</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10,147,844.83</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1,753,726.32</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3,718,004.49</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2,494,021.05</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963,608.60</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1,724,589.90</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668,896.10</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应缴防洪费</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40,667.55</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55,525.12</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31,905.64</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62,449.57</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25"/>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109,538,109.46</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141,846,807.17</w:t>
            </w:r>
          </w:p>
        </w:tc>
      </w:tr>
    </w:tbl>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80" w:bottom="1380" w:left="1580" w:right="720"/>
        </w:sectPr>
      </w:pPr>
    </w:p>
    <w:p>
      <w:pPr>
        <w:pStyle w:val="Heading2"/>
        <w:spacing w:line="240" w:lineRule="auto"/>
        <w:ind w:right="-18"/>
        <w:jc w:val="left"/>
        <w:rPr>
          <w:b w:val="0"/>
          <w:bCs w:val="0"/>
        </w:rPr>
      </w:pPr>
      <w:r>
        <w:rPr>
          <w:rFonts w:ascii="宋体" w:hAnsi="宋体" w:cs="宋体" w:eastAsia="宋体" w:hint="default"/>
        </w:rPr>
        <w:t>28</w:t>
      </w:r>
      <w:r>
        <w:rPr/>
        <w:t>、</w:t>
      </w:r>
      <w:r>
        <w:rPr>
          <w:spacing w:val="-101"/>
        </w:rPr>
        <w:t> </w:t>
      </w:r>
      <w:r>
        <w:rPr/>
        <w:t>应付利息</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tabs>
          <w:tab w:pos="1267" w:val="left" w:leader="none"/>
        </w:tabs>
        <w:spacing w:before="139"/>
        <w:ind w:left="21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580" w:right="720"/>
          <w:cols w:num="2" w:equalWidth="0">
            <w:col w:w="1687" w:space="4837"/>
            <w:col w:w="308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6"/>
        <w:gridCol w:w="2586"/>
        <w:gridCol w:w="3048"/>
      </w:tblGrid>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03"/>
              <w:jc w:val="right"/>
              <w:rPr>
                <w:rFonts w:ascii="宋体" w:hAnsi="宋体" w:cs="宋体" w:eastAsia="宋体" w:hint="default"/>
                <w:sz w:val="21"/>
                <w:szCs w:val="21"/>
              </w:rPr>
            </w:pPr>
            <w:r>
              <w:rPr>
                <w:rFonts w:ascii="宋体" w:hAnsi="宋体" w:cs="宋体" w:eastAsia="宋体" w:hint="default"/>
                <w:sz w:val="21"/>
                <w:szCs w:val="21"/>
              </w:rPr>
              <w:t>项目</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6"/>
              <w:jc w:val="right"/>
              <w:rPr>
                <w:rFonts w:ascii="宋体" w:hAnsi="宋体" w:cs="宋体" w:eastAsia="宋体" w:hint="default"/>
                <w:sz w:val="21"/>
                <w:szCs w:val="21"/>
              </w:rPr>
            </w:pPr>
            <w:r>
              <w:rPr>
                <w:rFonts w:ascii="宋体"/>
                <w:sz w:val="21"/>
              </w:rPr>
              <w:t>41,757,390.00</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41,760,000.00</w:t>
            </w:r>
          </w:p>
        </w:tc>
      </w:tr>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长期借款利息</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4"/>
              <w:jc w:val="right"/>
              <w:rPr>
                <w:rFonts w:ascii="宋体" w:hAnsi="宋体" w:cs="宋体" w:eastAsia="宋体" w:hint="default"/>
                <w:sz w:val="21"/>
                <w:szCs w:val="21"/>
              </w:rPr>
            </w:pPr>
            <w:r>
              <w:rPr>
                <w:rFonts w:ascii="宋体"/>
                <w:sz w:val="21"/>
              </w:rPr>
              <w:t>4,935,665.62</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1,280,000.01</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91"/>
              <w:jc w:val="right"/>
              <w:rPr>
                <w:rFonts w:ascii="宋体" w:hAnsi="宋体" w:cs="宋体" w:eastAsia="宋体" w:hint="default"/>
                <w:sz w:val="21"/>
                <w:szCs w:val="21"/>
              </w:rPr>
            </w:pPr>
            <w:r>
              <w:rPr>
                <w:rFonts w:ascii="宋体" w:hAnsi="宋体" w:cs="宋体" w:eastAsia="宋体" w:hint="default"/>
                <w:sz w:val="21"/>
                <w:szCs w:val="21"/>
              </w:rPr>
              <w:t>合计</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46,693,055.62</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43,040,000.01</w:t>
            </w:r>
          </w:p>
        </w:tc>
      </w:tr>
    </w:tbl>
    <w:p>
      <w:pPr>
        <w:pStyle w:val="BodyText"/>
        <w:spacing w:line="240" w:lineRule="auto" w:before="81"/>
        <w:ind w:left="218" w:right="548"/>
        <w:jc w:val="left"/>
      </w:pPr>
      <w:r>
        <w:rPr/>
        <w:t>说明：</w:t>
      </w:r>
    </w:p>
    <w:p>
      <w:pPr>
        <w:pStyle w:val="BodyText"/>
        <w:spacing w:line="310" w:lineRule="exact" w:before="149"/>
        <w:ind w:left="218" w:right="548" w:firstLine="480"/>
        <w:jc w:val="left"/>
      </w:pPr>
      <w:r>
        <w:rPr/>
        <w:t>本公司发行的公司债券采用每年付息一次的付息方式，</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13</w:t>
      </w:r>
      <w:r>
        <w:rPr>
          <w:rFonts w:ascii="宋体" w:hAnsi="宋体" w:cs="宋体" w:eastAsia="宋体" w:hint="default"/>
          <w:spacing w:val="-60"/>
        </w:rPr>
        <w:t> </w:t>
      </w:r>
      <w:r>
        <w:rPr/>
        <w:t>日为第一 次付息日。详见本附注五、</w:t>
      </w:r>
      <w:r>
        <w:rPr>
          <w:rFonts w:ascii="宋体" w:hAnsi="宋体" w:cs="宋体" w:eastAsia="宋体" w:hint="default"/>
        </w:rPr>
        <w:t>34</w:t>
      </w:r>
      <w:r>
        <w:rPr/>
        <w:t>。</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80" w:bottom="1380" w:left="1580" w:right="720"/>
        </w:sectPr>
      </w:pPr>
    </w:p>
    <w:p>
      <w:pPr>
        <w:pStyle w:val="Heading2"/>
        <w:spacing w:line="240" w:lineRule="auto" w:before="160"/>
        <w:ind w:right="-18"/>
        <w:jc w:val="left"/>
        <w:rPr>
          <w:b w:val="0"/>
          <w:bCs w:val="0"/>
        </w:rPr>
      </w:pPr>
      <w:r>
        <w:rPr>
          <w:rFonts w:ascii="宋体" w:hAnsi="宋体" w:cs="宋体" w:eastAsia="宋体" w:hint="default"/>
        </w:rPr>
        <w:t>29</w:t>
      </w:r>
      <w:r>
        <w:rPr/>
        <w:t>、</w:t>
      </w:r>
      <w:r>
        <w:rPr>
          <w:spacing w:val="-101"/>
        </w:rPr>
        <w:t> </w:t>
      </w:r>
      <w:r>
        <w:rPr/>
        <w:t>应付股利</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2"/>
        <w:rPr>
          <w:rFonts w:ascii="宋体" w:hAnsi="宋体" w:cs="宋体" w:eastAsia="宋体" w:hint="default"/>
          <w:b/>
          <w:bCs/>
          <w:sz w:val="20"/>
          <w:szCs w:val="20"/>
        </w:rPr>
      </w:pPr>
    </w:p>
    <w:p>
      <w:pPr>
        <w:tabs>
          <w:tab w:pos="1267" w:val="left" w:leader="none"/>
        </w:tabs>
        <w:spacing w:before="0"/>
        <w:ind w:left="21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580" w:right="720"/>
          <w:cols w:num="2" w:equalWidth="0">
            <w:col w:w="1687" w:space="4837"/>
            <w:col w:w="308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60"/>
        <w:gridCol w:w="3017"/>
        <w:gridCol w:w="3020"/>
      </w:tblGrid>
      <w:tr>
        <w:trPr>
          <w:trHeight w:val="287"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1" w:lineRule="exact"/>
        <w:jc w:val="center"/>
        <w:rPr>
          <w:rFonts w:ascii="宋体" w:hAnsi="宋体" w:cs="宋体" w:eastAsia="宋体" w:hint="default"/>
          <w:sz w:val="21"/>
          <w:szCs w:val="21"/>
        </w:rPr>
        <w:sectPr>
          <w:type w:val="continuous"/>
          <w:pgSz w:w="11910" w:h="16840"/>
          <w:pgMar w:top="1080" w:bottom="1380" w:left="1580" w:right="7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219" w:type="dxa"/>
        <w:tblLayout w:type="fixed"/>
        <w:tblCellMar>
          <w:top w:w="0" w:type="dxa"/>
          <w:left w:w="0" w:type="dxa"/>
          <w:bottom w:w="0" w:type="dxa"/>
          <w:right w:w="0" w:type="dxa"/>
        </w:tblCellMar>
        <w:tblLook w:val="01E0"/>
      </w:tblPr>
      <w:tblGrid>
        <w:gridCol w:w="2860"/>
        <w:gridCol w:w="3017"/>
        <w:gridCol w:w="3020"/>
      </w:tblGrid>
      <w:tr>
        <w:trPr>
          <w:trHeight w:val="287"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12,945.97</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15,040.20</w:t>
            </w:r>
          </w:p>
        </w:tc>
      </w:tr>
      <w:tr>
        <w:trPr>
          <w:trHeight w:val="288" w:hRule="exact"/>
        </w:trPr>
        <w:tc>
          <w:tcPr>
            <w:tcW w:w="2860"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12,945.97</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15,040.20</w:t>
            </w:r>
          </w:p>
        </w:tc>
      </w:tr>
    </w:tbl>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40" w:right="860"/>
        </w:sectPr>
      </w:pPr>
    </w:p>
    <w:p>
      <w:pPr>
        <w:pStyle w:val="Heading2"/>
        <w:spacing w:line="240" w:lineRule="auto"/>
        <w:ind w:left="258" w:right="-8"/>
        <w:jc w:val="left"/>
        <w:rPr>
          <w:b w:val="0"/>
          <w:bCs w:val="0"/>
        </w:rPr>
      </w:pPr>
      <w:r>
        <w:rPr>
          <w:rFonts w:ascii="宋体" w:hAnsi="宋体" w:cs="宋体" w:eastAsia="宋体" w:hint="default"/>
        </w:rPr>
        <w:t>30</w:t>
      </w:r>
      <w:r>
        <w:rPr/>
        <w:t>、</w:t>
      </w:r>
      <w:r>
        <w:rPr>
          <w:spacing w:val="-101"/>
        </w:rPr>
        <w:t> </w:t>
      </w:r>
      <w:r>
        <w:rPr/>
        <w:t>其他应付款</w:t>
      </w:r>
      <w:r>
        <w:rPr>
          <w:b w:val="0"/>
          <w:bCs w:val="0"/>
        </w:rPr>
      </w:r>
    </w:p>
    <w:p>
      <w:pPr>
        <w:pStyle w:val="Heading2"/>
        <w:spacing w:line="240" w:lineRule="auto" w:before="56"/>
        <w:ind w:left="258" w:right="-8"/>
        <w:jc w:val="left"/>
        <w:rPr>
          <w:b w:val="0"/>
          <w:bCs w:val="0"/>
        </w:rPr>
      </w:pPr>
      <w:r>
        <w:rPr>
          <w:rFonts w:ascii="宋体" w:hAnsi="宋体" w:cs="宋体" w:eastAsia="宋体" w:hint="default"/>
        </w:rPr>
        <w:t>(1).</w:t>
      </w:r>
      <w:r>
        <w:rPr>
          <w:rFonts w:ascii="宋体" w:hAnsi="宋体" w:cs="宋体" w:eastAsia="宋体" w:hint="default"/>
          <w:spacing w:val="-15"/>
        </w:rPr>
        <w:t> </w:t>
      </w:r>
      <w:r>
        <w:rPr/>
        <w:t>按款项性质列示其他应付款</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tabs>
          <w:tab w:pos="1307" w:val="left" w:leader="none"/>
        </w:tabs>
        <w:spacing w:before="0"/>
        <w:ind w:left="25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540" w:right="860"/>
          <w:cols w:num="2" w:equalWidth="0">
            <w:col w:w="3752" w:space="2772"/>
            <w:col w:w="2986"/>
          </w:cols>
        </w:sectPr>
      </w:pP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923"/>
        <w:gridCol w:w="2999"/>
        <w:gridCol w:w="3128"/>
      </w:tblGrid>
      <w:tr>
        <w:trPr>
          <w:trHeight w:val="283"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4"/>
              <w:jc w:val="right"/>
              <w:rPr>
                <w:rFonts w:ascii="宋体" w:hAnsi="宋体" w:cs="宋体" w:eastAsia="宋体" w:hint="default"/>
                <w:sz w:val="21"/>
                <w:szCs w:val="21"/>
              </w:rPr>
            </w:pPr>
            <w:r>
              <w:rPr>
                <w:rFonts w:ascii="宋体" w:hAnsi="宋体" w:cs="宋体" w:eastAsia="宋体" w:hint="default"/>
                <w:sz w:val="21"/>
                <w:szCs w:val="21"/>
              </w:rPr>
              <w:t>项目</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押金及保证金</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91,976,316.12</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117,014,206.33</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股权收购款</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6,119,000.00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8,785,088.02</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代收专项拨款</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850,000.00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1,225,000.00</w:t>
            </w:r>
          </w:p>
        </w:tc>
      </w:tr>
      <w:tr>
        <w:trPr>
          <w:trHeight w:val="283"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职工款项</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5,563,018.92</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6,515,706.07</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其他待付款项</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14,765,022.73</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7,316,164.96</w:t>
            </w:r>
          </w:p>
        </w:tc>
      </w:tr>
      <w:tr>
        <w:trPr>
          <w:trHeight w:val="283"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44"/>
              <w:jc w:val="right"/>
              <w:rPr>
                <w:rFonts w:ascii="宋体" w:hAnsi="宋体" w:cs="宋体" w:eastAsia="宋体" w:hint="default"/>
                <w:sz w:val="21"/>
                <w:szCs w:val="21"/>
              </w:rPr>
            </w:pPr>
            <w:r>
              <w:rPr>
                <w:rFonts w:ascii="宋体" w:hAnsi="宋体" w:cs="宋体" w:eastAsia="宋体" w:hint="default"/>
                <w:sz w:val="21"/>
                <w:szCs w:val="21"/>
              </w:rPr>
              <w:t>合计</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119,273,357.77</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140,856,165.38</w:t>
            </w:r>
          </w:p>
        </w:tc>
      </w:tr>
    </w:tbl>
    <w:p>
      <w:pPr>
        <w:pStyle w:val="BodyText"/>
        <w:spacing w:line="240" w:lineRule="auto" w:before="81"/>
        <w:ind w:left="258" w:right="0"/>
        <w:jc w:val="left"/>
      </w:pPr>
      <w:r>
        <w:rPr/>
        <w:t>其中，账龄超过</w:t>
      </w:r>
      <w:r>
        <w:rPr>
          <w:spacing w:val="-60"/>
        </w:rPr>
        <w:t> </w:t>
      </w:r>
      <w:r>
        <w:rPr>
          <w:rFonts w:ascii="宋体" w:hAnsi="宋体" w:cs="宋体" w:eastAsia="宋体" w:hint="default"/>
        </w:rPr>
        <w:t>1</w:t>
      </w:r>
      <w:r>
        <w:rPr>
          <w:rFonts w:ascii="宋体" w:hAnsi="宋体" w:cs="宋体" w:eastAsia="宋体" w:hint="default"/>
          <w:spacing w:val="-60"/>
        </w:rPr>
        <w:t> </w:t>
      </w:r>
      <w:r>
        <w:rPr/>
        <w:t>年的重要其他应付款主要为合同保证金及股权收购款。</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80" w:bottom="1380" w:left="1540" w:right="860"/>
        </w:sectPr>
      </w:pPr>
    </w:p>
    <w:p>
      <w:pPr>
        <w:pStyle w:val="Heading2"/>
        <w:spacing w:line="240" w:lineRule="auto" w:before="187"/>
        <w:ind w:left="258" w:right="-12"/>
        <w:jc w:val="left"/>
        <w:rPr>
          <w:b w:val="0"/>
          <w:bCs w:val="0"/>
        </w:rPr>
      </w:pPr>
      <w:r>
        <w:rPr>
          <w:rFonts w:ascii="宋体" w:hAnsi="宋体" w:cs="宋体" w:eastAsia="宋体" w:hint="default"/>
        </w:rPr>
        <w:t>31</w:t>
      </w:r>
      <w:r>
        <w:rPr/>
        <w:t>、</w:t>
      </w:r>
      <w:r>
        <w:rPr>
          <w:spacing w:val="-103"/>
        </w:rPr>
        <w:t> </w:t>
      </w:r>
      <w:r>
        <w:rPr>
          <w:rFonts w:ascii="宋体" w:hAnsi="宋体" w:cs="宋体" w:eastAsia="宋体" w:hint="default"/>
        </w:rPr>
        <w:t>1</w:t>
      </w:r>
      <w:r>
        <w:rPr>
          <w:rFonts w:ascii="宋体" w:hAnsi="宋体" w:cs="宋体" w:eastAsia="宋体" w:hint="default"/>
          <w:spacing w:val="-69"/>
        </w:rPr>
        <w:t> </w:t>
      </w:r>
      <w:r>
        <w:rPr/>
        <w:t>年内到期的非流动负债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2"/>
        <w:rPr>
          <w:rFonts w:ascii="宋体" w:hAnsi="宋体" w:cs="宋体" w:eastAsia="宋体" w:hint="default"/>
          <w:b/>
          <w:bCs/>
          <w:sz w:val="22"/>
          <w:szCs w:val="22"/>
        </w:rPr>
      </w:pPr>
    </w:p>
    <w:p>
      <w:pPr>
        <w:tabs>
          <w:tab w:pos="1307" w:val="left" w:leader="none"/>
        </w:tabs>
        <w:spacing w:before="0"/>
        <w:ind w:left="25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540" w:right="860"/>
          <w:cols w:num="2" w:equalWidth="0">
            <w:col w:w="3350" w:space="3174"/>
            <w:col w:w="2986"/>
          </w:cols>
        </w:sectPr>
      </w:pP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908"/>
        <w:gridCol w:w="3038"/>
        <w:gridCol w:w="3105"/>
      </w:tblGrid>
      <w:tr>
        <w:trPr>
          <w:trHeight w:val="28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一年内到期的长期借款</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265,487,180.65</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145,838,305.12</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一年内到期的长期应付款</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13,346,154.91</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附回购义务的限制性股票</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27,555,953.85</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r>
      <w:tr>
        <w:trPr>
          <w:trHeight w:val="284"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293,043,134.50</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159,184,460.03</w:t>
            </w:r>
          </w:p>
        </w:tc>
      </w:tr>
    </w:tbl>
    <w:p>
      <w:pPr>
        <w:pStyle w:val="BodyText"/>
        <w:spacing w:line="240" w:lineRule="auto" w:before="81"/>
        <w:ind w:left="258" w:right="2748"/>
        <w:jc w:val="left"/>
      </w:pPr>
      <w:r>
        <w:rPr/>
        <w:t>说明：</w:t>
      </w:r>
    </w:p>
    <w:p>
      <w:pPr>
        <w:pStyle w:val="BodyText"/>
        <w:spacing w:line="240" w:lineRule="auto" w:before="116"/>
        <w:ind w:left="258" w:right="2748"/>
        <w:jc w:val="left"/>
      </w:pPr>
      <w:r>
        <w:rPr/>
        <w:t>（</w:t>
      </w:r>
      <w:r>
        <w:rPr>
          <w:rFonts w:ascii="宋体" w:hAnsi="宋体" w:cs="宋体" w:eastAsia="宋体" w:hint="default"/>
        </w:rPr>
        <w:t>1</w:t>
      </w:r>
      <w:r>
        <w:rPr/>
        <w:t>）附回购义务的限制性股票详见本附注五、</w:t>
      </w:r>
      <w:r>
        <w:rPr>
          <w:rFonts w:ascii="宋体" w:hAnsi="宋体" w:cs="宋体" w:eastAsia="宋体" w:hint="default"/>
        </w:rPr>
        <w:t>40</w:t>
      </w:r>
      <w:r>
        <w:rPr/>
        <w:t>。</w:t>
      </w:r>
    </w:p>
    <w:p>
      <w:pPr>
        <w:pStyle w:val="BodyText"/>
        <w:spacing w:line="240" w:lineRule="auto" w:before="118"/>
        <w:ind w:left="258" w:right="2748"/>
        <w:jc w:val="left"/>
      </w:pPr>
      <w:r>
        <w:rPr/>
        <w:t>（</w:t>
      </w:r>
      <w:r>
        <w:rPr>
          <w:rFonts w:ascii="宋体" w:hAnsi="宋体" w:cs="宋体" w:eastAsia="宋体" w:hint="default"/>
        </w:rPr>
        <w:t>2</w:t>
      </w:r>
      <w:r>
        <w:rPr/>
        <w:t>）一年内到期的长期借款</w:t>
      </w:r>
    </w:p>
    <w:p>
      <w:pPr>
        <w:spacing w:line="240" w:lineRule="auto" w:before="10"/>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797"/>
        <w:gridCol w:w="4112"/>
        <w:gridCol w:w="2369"/>
      </w:tblGrid>
      <w:tr>
        <w:trPr>
          <w:trHeight w:val="392" w:hRule="exact"/>
        </w:trPr>
        <w:tc>
          <w:tcPr>
            <w:tcW w:w="2797"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106"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112"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right="775"/>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369"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right="107"/>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93" w:hRule="exact"/>
        </w:trPr>
        <w:tc>
          <w:tcPr>
            <w:tcW w:w="279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411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775"/>
              <w:jc w:val="right"/>
              <w:rPr>
                <w:rFonts w:ascii="宋体" w:hAnsi="宋体" w:cs="宋体" w:eastAsia="宋体" w:hint="default"/>
                <w:sz w:val="21"/>
                <w:szCs w:val="21"/>
              </w:rPr>
            </w:pPr>
            <w:r>
              <w:rPr>
                <w:rFonts w:ascii="宋体"/>
                <w:sz w:val="21"/>
              </w:rPr>
              <w:t>196,115,980.65</w:t>
            </w:r>
          </w:p>
        </w:tc>
        <w:tc>
          <w:tcPr>
            <w:tcW w:w="236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07"/>
              <w:jc w:val="right"/>
              <w:rPr>
                <w:rFonts w:ascii="宋体" w:hAnsi="宋体" w:cs="宋体" w:eastAsia="宋体" w:hint="default"/>
                <w:sz w:val="21"/>
                <w:szCs w:val="21"/>
              </w:rPr>
            </w:pPr>
            <w:r>
              <w:rPr>
                <w:rFonts w:ascii="宋体"/>
                <w:sz w:val="21"/>
              </w:rPr>
              <w:t>101,083,265.12</w:t>
            </w:r>
          </w:p>
        </w:tc>
      </w:tr>
      <w:tr>
        <w:trPr>
          <w:trHeight w:val="395" w:hRule="exact"/>
        </w:trPr>
        <w:tc>
          <w:tcPr>
            <w:tcW w:w="279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411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76"/>
              <w:jc w:val="right"/>
              <w:rPr>
                <w:rFonts w:ascii="宋体" w:hAnsi="宋体" w:cs="宋体" w:eastAsia="宋体" w:hint="default"/>
                <w:sz w:val="21"/>
                <w:szCs w:val="21"/>
              </w:rPr>
            </w:pPr>
            <w:r>
              <w:rPr>
                <w:rFonts w:ascii="宋体"/>
                <w:sz w:val="21"/>
              </w:rPr>
              <w:t>40,000,000.00</w:t>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6"/>
              <w:jc w:val="right"/>
              <w:rPr>
                <w:rFonts w:ascii="宋体" w:hAnsi="宋体" w:cs="宋体" w:eastAsia="宋体" w:hint="default"/>
                <w:sz w:val="21"/>
                <w:szCs w:val="21"/>
              </w:rPr>
            </w:pPr>
            <w:r>
              <w:rPr>
                <w:rFonts w:ascii="宋体"/>
                <w:sz w:val="21"/>
              </w:rPr>
              <w:t>35,000,000.00</w:t>
            </w:r>
          </w:p>
        </w:tc>
      </w:tr>
      <w:tr>
        <w:trPr>
          <w:trHeight w:val="404" w:hRule="exact"/>
        </w:trPr>
        <w:tc>
          <w:tcPr>
            <w:tcW w:w="2797"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4112"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776"/>
              <w:jc w:val="right"/>
              <w:rPr>
                <w:rFonts w:ascii="宋体" w:hAnsi="宋体" w:cs="宋体" w:eastAsia="宋体" w:hint="default"/>
                <w:sz w:val="21"/>
                <w:szCs w:val="21"/>
              </w:rPr>
            </w:pPr>
            <w:r>
              <w:rPr>
                <w:rFonts w:ascii="宋体"/>
                <w:sz w:val="21"/>
              </w:rPr>
              <w:t>29,371,200.00</w:t>
            </w:r>
          </w:p>
        </w:tc>
        <w:tc>
          <w:tcPr>
            <w:tcW w:w="2369"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z w:val="21"/>
              </w:rPr>
              <w:t>9,755,040.00</w:t>
            </w:r>
          </w:p>
        </w:tc>
      </w:tr>
      <w:tr>
        <w:trPr>
          <w:trHeight w:val="402" w:hRule="exact"/>
        </w:trPr>
        <w:tc>
          <w:tcPr>
            <w:tcW w:w="2797"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106"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4112"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778"/>
              <w:jc w:val="right"/>
              <w:rPr>
                <w:rFonts w:ascii="宋体" w:hAnsi="宋体" w:cs="宋体" w:eastAsia="宋体" w:hint="default"/>
                <w:sz w:val="21"/>
                <w:szCs w:val="21"/>
              </w:rPr>
            </w:pPr>
            <w:r>
              <w:rPr>
                <w:rFonts w:ascii="宋体"/>
                <w:b/>
                <w:w w:val="95"/>
                <w:sz w:val="21"/>
              </w:rPr>
              <w:t>265,487,180.65</w:t>
            </w:r>
            <w:r>
              <w:rPr>
                <w:rFonts w:ascii="宋体"/>
                <w:sz w:val="21"/>
              </w:rPr>
            </w:r>
          </w:p>
        </w:tc>
        <w:tc>
          <w:tcPr>
            <w:tcW w:w="2369"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09"/>
              <w:jc w:val="right"/>
              <w:rPr>
                <w:rFonts w:ascii="宋体" w:hAnsi="宋体" w:cs="宋体" w:eastAsia="宋体" w:hint="default"/>
                <w:sz w:val="21"/>
                <w:szCs w:val="21"/>
              </w:rPr>
            </w:pPr>
            <w:r>
              <w:rPr>
                <w:rFonts w:ascii="宋体"/>
                <w:b/>
                <w:w w:val="95"/>
                <w:sz w:val="21"/>
              </w:rPr>
              <w:t>145,838,305.12</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080" w:bottom="1380" w:left="1540" w:right="860"/>
        </w:sectPr>
      </w:pPr>
    </w:p>
    <w:p>
      <w:pPr>
        <w:pStyle w:val="Heading2"/>
        <w:spacing w:line="240" w:lineRule="auto"/>
        <w:ind w:left="258" w:right="-13"/>
        <w:jc w:val="left"/>
        <w:rPr>
          <w:b w:val="0"/>
          <w:bCs w:val="0"/>
        </w:rPr>
      </w:pPr>
      <w:r>
        <w:rPr>
          <w:rFonts w:ascii="宋体" w:hAnsi="宋体" w:cs="宋体" w:eastAsia="宋体" w:hint="default"/>
        </w:rPr>
        <w:t>32</w:t>
      </w:r>
      <w:r>
        <w:rPr/>
        <w:t>、</w:t>
      </w:r>
      <w:r>
        <w:rPr>
          <w:spacing w:val="-101"/>
        </w:rPr>
        <w:t> </w:t>
      </w:r>
      <w:r>
        <w:rPr/>
        <w:t>长期借款</w:t>
      </w:r>
      <w:r>
        <w:rPr>
          <w:b w:val="0"/>
          <w:bCs w:val="0"/>
        </w:rPr>
      </w:r>
    </w:p>
    <w:p>
      <w:pPr>
        <w:pStyle w:val="Heading2"/>
        <w:spacing w:line="240" w:lineRule="auto" w:before="56"/>
        <w:ind w:left="258" w:right="-13"/>
        <w:jc w:val="left"/>
        <w:rPr>
          <w:b w:val="0"/>
          <w:bCs w:val="0"/>
        </w:rPr>
      </w:pPr>
      <w:r>
        <w:rPr>
          <w:rFonts w:ascii="宋体" w:hAnsi="宋体" w:cs="宋体" w:eastAsia="宋体" w:hint="default"/>
        </w:rPr>
        <w:t>(1).</w:t>
      </w:r>
      <w:r>
        <w:rPr>
          <w:rFonts w:ascii="宋体" w:hAnsi="宋体" w:cs="宋体" w:eastAsia="宋体" w:hint="default"/>
          <w:spacing w:val="16"/>
        </w:rPr>
        <w:t> </w:t>
      </w:r>
      <w:r>
        <w:rPr/>
        <w:t>长期借款分类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tabs>
          <w:tab w:pos="1307" w:val="left" w:leader="none"/>
        </w:tabs>
        <w:spacing w:before="0"/>
        <w:ind w:left="25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540" w:right="860"/>
          <w:cols w:num="2" w:equalWidth="0">
            <w:col w:w="2332" w:space="4192"/>
            <w:col w:w="2986"/>
          </w:cols>
        </w:sectPr>
      </w:pPr>
    </w:p>
    <w:p>
      <w:pPr>
        <w:spacing w:line="240" w:lineRule="auto" w:before="7"/>
        <w:rPr>
          <w:rFonts w:ascii="宋体" w:hAnsi="宋体" w:cs="宋体" w:eastAsia="宋体" w:hint="default"/>
          <w:sz w:val="2"/>
          <w:szCs w:val="2"/>
        </w:rPr>
      </w:pPr>
    </w:p>
    <w:tbl>
      <w:tblPr>
        <w:tblW w:w="0" w:type="auto"/>
        <w:jc w:val="left"/>
        <w:tblInd w:w="220" w:type="dxa"/>
        <w:tblLayout w:type="fixed"/>
        <w:tblCellMar>
          <w:top w:w="0" w:type="dxa"/>
          <w:left w:w="0" w:type="dxa"/>
          <w:bottom w:w="0" w:type="dxa"/>
          <w:right w:w="0" w:type="dxa"/>
        </w:tblCellMar>
        <w:tblLook w:val="01E0"/>
      </w:tblPr>
      <w:tblGrid>
        <w:gridCol w:w="2998"/>
        <w:gridCol w:w="3000"/>
        <w:gridCol w:w="2896"/>
      </w:tblGrid>
      <w:tr>
        <w:trPr>
          <w:trHeight w:val="287"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1"/>
              <w:jc w:val="right"/>
              <w:rPr>
                <w:rFonts w:ascii="宋体" w:hAnsi="宋体" w:cs="宋体" w:eastAsia="宋体" w:hint="default"/>
                <w:sz w:val="21"/>
                <w:szCs w:val="21"/>
              </w:rPr>
            </w:pPr>
            <w:r>
              <w:rPr>
                <w:rFonts w:ascii="宋体"/>
                <w:sz w:val="21"/>
              </w:rPr>
              <w:t>29,371,200.00</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39,020,160.00</w:t>
            </w:r>
          </w:p>
        </w:tc>
      </w:tr>
      <w:tr>
        <w:trPr>
          <w:trHeight w:val="287"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1"/>
              <w:jc w:val="right"/>
              <w:rPr>
                <w:rFonts w:ascii="宋体" w:hAnsi="宋体" w:cs="宋体" w:eastAsia="宋体" w:hint="default"/>
                <w:sz w:val="21"/>
                <w:szCs w:val="21"/>
              </w:rPr>
            </w:pPr>
            <w:r>
              <w:rPr>
                <w:rFonts w:ascii="宋体"/>
                <w:sz w:val="21"/>
              </w:rPr>
              <w:t>79,480,000.00</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114,000,000.00</w:t>
            </w:r>
          </w:p>
        </w:tc>
      </w:tr>
      <w:tr>
        <w:trPr>
          <w:trHeight w:val="287"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z w:val="21"/>
              </w:rPr>
              <w:t>602,620,197.93</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208,746,769.66</w:t>
            </w:r>
          </w:p>
        </w:tc>
      </w:tr>
      <w:tr>
        <w:trPr>
          <w:trHeight w:val="288"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z w:val="21"/>
              </w:rPr>
              <w:t>711,471,397.93</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361,766,929.66</w:t>
            </w:r>
          </w:p>
        </w:tc>
      </w:tr>
      <w:tr>
        <w:trPr>
          <w:trHeight w:val="287"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减：一年内到期的长期借款</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0"/>
              <w:jc w:val="right"/>
              <w:rPr>
                <w:rFonts w:ascii="宋体" w:hAnsi="宋体" w:cs="宋体" w:eastAsia="宋体" w:hint="default"/>
                <w:sz w:val="21"/>
                <w:szCs w:val="21"/>
              </w:rPr>
            </w:pPr>
            <w:r>
              <w:rPr>
                <w:rFonts w:ascii="宋体"/>
                <w:sz w:val="21"/>
              </w:rPr>
              <w:t>265,487,180.65</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145,838,305.12</w:t>
            </w:r>
          </w:p>
        </w:tc>
      </w:tr>
    </w:tbl>
    <w:p>
      <w:pPr>
        <w:spacing w:after="0" w:line="240" w:lineRule="exact"/>
        <w:jc w:val="right"/>
        <w:rPr>
          <w:rFonts w:ascii="宋体" w:hAnsi="宋体" w:cs="宋体" w:eastAsia="宋体" w:hint="default"/>
          <w:sz w:val="21"/>
          <w:szCs w:val="21"/>
        </w:rPr>
        <w:sectPr>
          <w:type w:val="continuous"/>
          <w:pgSz w:w="11910" w:h="16840"/>
          <w:pgMar w:top="1080" w:bottom="1380" w:left="1540" w:right="8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998"/>
        <w:gridCol w:w="3000"/>
        <w:gridCol w:w="2896"/>
      </w:tblGrid>
      <w:tr>
        <w:trPr>
          <w:trHeight w:val="287"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13" w:right="0"/>
              <w:jc w:val="left"/>
              <w:rPr>
                <w:rFonts w:ascii="宋体" w:hAnsi="宋体" w:cs="宋体" w:eastAsia="宋体" w:hint="default"/>
                <w:sz w:val="21"/>
                <w:szCs w:val="21"/>
              </w:rPr>
            </w:pPr>
            <w:r>
              <w:rPr>
                <w:rFonts w:ascii="宋体"/>
                <w:sz w:val="21"/>
              </w:rPr>
              <w:t>445,984,217.28</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88" w:right="0"/>
              <w:jc w:val="left"/>
              <w:rPr>
                <w:rFonts w:ascii="宋体" w:hAnsi="宋体" w:cs="宋体" w:eastAsia="宋体" w:hint="default"/>
                <w:sz w:val="21"/>
                <w:szCs w:val="21"/>
              </w:rPr>
            </w:pPr>
            <w:r>
              <w:rPr>
                <w:rFonts w:ascii="宋体"/>
                <w:sz w:val="21"/>
              </w:rPr>
              <w:t>215,928,624.54</w:t>
            </w:r>
          </w:p>
        </w:tc>
      </w:tr>
    </w:tbl>
    <w:p>
      <w:pPr>
        <w:spacing w:before="26"/>
        <w:ind w:left="138" w:right="0" w:firstLine="0"/>
        <w:jc w:val="left"/>
        <w:rPr>
          <w:rFonts w:ascii="宋体" w:hAnsi="宋体" w:cs="宋体" w:eastAsia="宋体" w:hint="default"/>
          <w:sz w:val="21"/>
          <w:szCs w:val="21"/>
        </w:rPr>
      </w:pPr>
      <w:r>
        <w:rPr>
          <w:rFonts w:ascii="宋体" w:hAnsi="宋体" w:cs="宋体" w:eastAsia="宋体" w:hint="default"/>
          <w:sz w:val="21"/>
          <w:szCs w:val="21"/>
        </w:rPr>
        <w:t>长期借款分类的说明：</w:t>
      </w:r>
    </w:p>
    <w:p>
      <w:pPr>
        <w:pStyle w:val="BodyText"/>
        <w:spacing w:line="240" w:lineRule="auto" w:before="53"/>
        <w:ind w:right="0"/>
        <w:jc w:val="left"/>
      </w:pPr>
      <w:r>
        <w:rPr/>
        <w:t>说明：</w:t>
      </w:r>
    </w:p>
    <w:p>
      <w:pPr>
        <w:pStyle w:val="BodyText"/>
        <w:spacing w:line="240" w:lineRule="auto" w:before="117"/>
        <w:ind w:right="0"/>
        <w:jc w:val="left"/>
      </w:pPr>
      <w:r>
        <w:rPr/>
        <w:t>（</w:t>
      </w:r>
      <w:r>
        <w:rPr>
          <w:rFonts w:ascii="宋体" w:hAnsi="宋体" w:cs="宋体" w:eastAsia="宋体" w:hint="default"/>
        </w:rPr>
        <w:t>1</w:t>
      </w:r>
      <w:r>
        <w:rPr/>
        <w:t>）公司本年度无逾期借款。</w:t>
      </w:r>
    </w:p>
    <w:p>
      <w:pPr>
        <w:pStyle w:val="BodyText"/>
        <w:spacing w:line="240" w:lineRule="auto" w:before="116"/>
        <w:ind w:right="0"/>
        <w:jc w:val="left"/>
      </w:pPr>
      <w:r>
        <w:rPr/>
        <w:t>（</w:t>
      </w:r>
      <w:r>
        <w:rPr>
          <w:rFonts w:ascii="宋体" w:hAnsi="宋体" w:cs="宋体" w:eastAsia="宋体" w:hint="default"/>
        </w:rPr>
        <w:t>2</w:t>
      </w:r>
      <w:r>
        <w:rPr/>
        <w:t>）公司用于抵押、质押的财产说明</w:t>
      </w:r>
    </w:p>
    <w:p>
      <w:pPr>
        <w:pStyle w:val="BodyText"/>
        <w:spacing w:line="237" w:lineRule="auto" w:before="120"/>
        <w:ind w:right="233" w:firstLine="566"/>
        <w:jc w:val="both"/>
      </w:pPr>
      <w:r>
        <w:rPr/>
        <w:t>①</w:t>
      </w:r>
      <w:r>
        <w:rPr>
          <w:spacing w:val="-87"/>
        </w:rPr>
        <w:t> </w:t>
      </w:r>
      <w:r>
        <w:rPr>
          <w:spacing w:val="-5"/>
        </w:rPr>
        <w:t>根据本公司之间接控制的全资子公司华胜天成（中国）融资租赁有限公司（以</w:t>
      </w:r>
      <w:r>
        <w:rPr/>
        <w:t> </w:t>
      </w:r>
      <w:r>
        <w:rPr>
          <w:spacing w:val="-2"/>
        </w:rPr>
        <w:t>下简称“融资租赁公司”）与民生银行天津海河支行签订的保理协议，银行最高额被</w:t>
      </w:r>
      <w:r>
        <w:rPr/>
        <w:t> 担保金额为 </w:t>
      </w:r>
      <w:r>
        <w:rPr>
          <w:rFonts w:ascii="宋体" w:hAnsi="宋体" w:cs="宋体" w:eastAsia="宋体" w:hint="default"/>
        </w:rPr>
        <w:t>8,500.00</w:t>
      </w:r>
      <w:r>
        <w:rPr>
          <w:rFonts w:ascii="宋体" w:hAnsi="宋体" w:cs="宋体" w:eastAsia="宋体" w:hint="default"/>
          <w:spacing w:val="-48"/>
        </w:rPr>
        <w:t> </w:t>
      </w:r>
      <w:r>
        <w:rPr/>
        <w:t>万元，融资租赁公司与福建省连江县远洋渔业有限公司共为抵</w:t>
      </w:r>
    </w:p>
    <w:p>
      <w:pPr>
        <w:pStyle w:val="BodyText"/>
        <w:spacing w:line="237" w:lineRule="auto"/>
        <w:ind w:right="0"/>
        <w:jc w:val="left"/>
      </w:pPr>
      <w:r>
        <w:rPr/>
        <w:t>押人，以共享船舶所有权作为抵押财产，合计价值为</w:t>
      </w:r>
      <w:r>
        <w:rPr>
          <w:spacing w:val="-73"/>
        </w:rPr>
        <w:t> </w:t>
      </w:r>
      <w:r>
        <w:rPr>
          <w:rFonts w:ascii="宋体" w:hAnsi="宋体" w:cs="宋体" w:eastAsia="宋体" w:hint="default"/>
        </w:rPr>
        <w:t>25,117.85</w:t>
      </w:r>
      <w:r>
        <w:rPr>
          <w:rFonts w:ascii="宋体" w:hAnsi="宋体" w:cs="宋体" w:eastAsia="宋体" w:hint="default"/>
          <w:spacing w:val="-73"/>
        </w:rPr>
        <w:t> </w:t>
      </w:r>
      <w:r>
        <w:rPr/>
        <w:t>万元；福建省连江县 </w:t>
      </w:r>
      <w:r>
        <w:rPr>
          <w:spacing w:val="4"/>
        </w:rPr>
        <w:t>远洋渔业有限公司法定代表人张伙利作为保证人对融资租赁公司与民生银行签订的</w:t>
      </w:r>
      <w:r>
        <w:rPr>
          <w:spacing w:val="-104"/>
        </w:rPr>
        <w:t> </w:t>
      </w:r>
      <w:r>
        <w:rPr>
          <w:spacing w:val="-104"/>
        </w:rPr>
      </w:r>
      <w:r>
        <w:rPr/>
        <w:t>贸易融资主协议全部债务提供不可撤销的连带责任保证担保，本期借款已全部归还，</w:t>
      </w:r>
      <w:r>
        <w:rPr>
          <w:spacing w:val="-74"/>
        </w:rPr>
        <w:t> </w:t>
      </w:r>
      <w:r>
        <w:rPr>
          <w:spacing w:val="-74"/>
        </w:rPr>
      </w:r>
      <w:r>
        <w:rPr/>
        <w:t>期末余额为零。</w:t>
      </w:r>
    </w:p>
    <w:p>
      <w:pPr>
        <w:pStyle w:val="BodyText"/>
        <w:spacing w:line="313" w:lineRule="exact" w:before="117"/>
        <w:ind w:left="704" w:right="0"/>
        <w:jc w:val="left"/>
      </w:pPr>
      <w:r>
        <w:rPr/>
        <w:t>②</w:t>
      </w:r>
      <w:r>
        <w:rPr>
          <w:spacing w:val="-87"/>
        </w:rPr>
        <w:t> </w:t>
      </w:r>
      <w:r>
        <w:rPr/>
        <w:t>融资租赁公司在招商银行天津滨海分行借款</w:t>
      </w:r>
      <w:r>
        <w:rPr>
          <w:spacing w:val="-42"/>
        </w:rPr>
        <w:t> </w:t>
      </w:r>
      <w:r>
        <w:rPr>
          <w:rFonts w:ascii="宋体" w:hAnsi="宋体" w:cs="宋体" w:eastAsia="宋体" w:hint="default"/>
        </w:rPr>
        <w:t>7000</w:t>
      </w:r>
      <w:r>
        <w:rPr>
          <w:rFonts w:ascii="宋体" w:hAnsi="宋体" w:cs="宋体" w:eastAsia="宋体" w:hint="default"/>
          <w:spacing w:val="-42"/>
        </w:rPr>
        <w:t> </w:t>
      </w:r>
      <w:r>
        <w:rPr/>
        <w:t>万；缴纳保证金</w:t>
      </w:r>
      <w:r>
        <w:rPr>
          <w:spacing w:val="-42"/>
        </w:rPr>
        <w:t> </w:t>
      </w:r>
      <w:r>
        <w:rPr>
          <w:rFonts w:ascii="宋体" w:hAnsi="宋体" w:cs="宋体" w:eastAsia="宋体" w:hint="default"/>
        </w:rPr>
        <w:t>700</w:t>
      </w:r>
      <w:r>
        <w:rPr>
          <w:rFonts w:ascii="宋体" w:hAnsi="宋体" w:cs="宋体" w:eastAsia="宋体" w:hint="default"/>
          <w:spacing w:val="-42"/>
        </w:rPr>
        <w:t> </w:t>
      </w:r>
      <w:r>
        <w:rPr/>
        <w:t>万元，</w:t>
      </w:r>
    </w:p>
    <w:p>
      <w:pPr>
        <w:pStyle w:val="BodyText"/>
        <w:spacing w:line="311" w:lineRule="exact"/>
        <w:ind w:right="0"/>
        <w:jc w:val="left"/>
      </w:pPr>
      <w:r>
        <w:rPr>
          <w:spacing w:val="9"/>
        </w:rPr>
        <w:t>以其应收中宇建材集团有限公司账款 </w:t>
      </w:r>
      <w:r>
        <w:rPr>
          <w:rFonts w:ascii="宋体" w:hAnsi="宋体" w:cs="宋体" w:eastAsia="宋体" w:hint="default"/>
        </w:rPr>
        <w:t>10,899.43</w:t>
      </w:r>
      <w:r>
        <w:rPr>
          <w:rFonts w:ascii="宋体" w:hAnsi="宋体" w:cs="宋体" w:eastAsia="宋体" w:hint="default"/>
          <w:spacing w:val="16"/>
        </w:rPr>
        <w:t> </w:t>
      </w:r>
      <w:r>
        <w:rPr>
          <w:spacing w:val="9"/>
        </w:rPr>
        <w:t>万元出质设定质押，并以其价值</w:t>
      </w:r>
    </w:p>
    <w:p>
      <w:pPr>
        <w:pStyle w:val="BodyText"/>
        <w:spacing w:line="312" w:lineRule="exact"/>
        <w:ind w:right="0"/>
        <w:jc w:val="left"/>
      </w:pPr>
      <w:r>
        <w:rPr>
          <w:rFonts w:ascii="宋体" w:hAnsi="宋体" w:cs="宋体" w:eastAsia="宋体" w:hint="default"/>
        </w:rPr>
        <w:t>10363.33</w:t>
      </w:r>
      <w:r>
        <w:rPr>
          <w:rFonts w:ascii="宋体" w:hAnsi="宋体" w:cs="宋体" w:eastAsia="宋体" w:hint="default"/>
          <w:spacing w:val="-60"/>
        </w:rPr>
        <w:t> </w:t>
      </w:r>
      <w:r>
        <w:rPr/>
        <w:t>万元机械设备作为抵押物设定抵押</w:t>
      </w:r>
      <w:r>
        <w:rPr>
          <w:rFonts w:ascii="宋体" w:hAnsi="宋体" w:cs="宋体" w:eastAsia="宋体" w:hint="default"/>
        </w:rPr>
        <w:t>,</w:t>
      </w:r>
      <w:r>
        <w:rPr/>
        <w:t>截至期末借款余额为</w:t>
      </w:r>
      <w:r>
        <w:rPr>
          <w:spacing w:val="-60"/>
        </w:rPr>
        <w:t> </w:t>
      </w:r>
      <w:r>
        <w:rPr>
          <w:rFonts w:ascii="宋体" w:hAnsi="宋体" w:cs="宋体" w:eastAsia="宋体" w:hint="default"/>
        </w:rPr>
        <w:t>875</w:t>
      </w:r>
      <w:r>
        <w:rPr>
          <w:rFonts w:ascii="宋体" w:hAnsi="宋体" w:cs="宋体" w:eastAsia="宋体" w:hint="default"/>
          <w:spacing w:val="-60"/>
        </w:rPr>
        <w:t> </w:t>
      </w:r>
      <w:r>
        <w:rPr/>
        <w:t>万元。</w:t>
      </w:r>
    </w:p>
    <w:p>
      <w:pPr>
        <w:pStyle w:val="BodyText"/>
        <w:spacing w:line="310" w:lineRule="exact" w:before="150"/>
        <w:ind w:right="233" w:firstLine="566"/>
        <w:jc w:val="both"/>
      </w:pPr>
      <w:r>
        <w:rPr/>
        <w:t>③</w:t>
      </w:r>
      <w:r>
        <w:rPr>
          <w:spacing w:val="-57"/>
        </w:rPr>
        <w:t> </w:t>
      </w:r>
      <w:r>
        <w:rPr/>
        <w:t>根据融资租赁公司与中国银行哈尔滨中银大厦支行签订的保理协议，并以价</w:t>
      </w:r>
      <w:r>
        <w:rPr/>
        <w:t> 值 </w:t>
      </w:r>
      <w:r>
        <w:rPr>
          <w:rFonts w:ascii="宋体" w:hAnsi="宋体" w:cs="宋体" w:eastAsia="宋体" w:hint="default"/>
        </w:rPr>
        <w:t>6,729.28 </w:t>
      </w:r>
      <w:r>
        <w:rPr>
          <w:spacing w:val="18"/>
        </w:rPr>
        <w:t>万元的机器设备抵押取得融资 </w:t>
      </w:r>
      <w:r>
        <w:rPr>
          <w:rFonts w:ascii="宋体" w:hAnsi="宋体" w:cs="宋体" w:eastAsia="宋体" w:hint="default"/>
        </w:rPr>
        <w:t>4,000 </w:t>
      </w:r>
      <w:r>
        <w:rPr>
          <w:spacing w:val="13"/>
        </w:rPr>
        <w:t>万元</w:t>
      </w:r>
      <w:r>
        <w:rPr>
          <w:rFonts w:ascii="宋体" w:hAnsi="宋体" w:cs="宋体" w:eastAsia="宋体" w:hint="default"/>
          <w:spacing w:val="13"/>
        </w:rPr>
        <w:t>,</w:t>
      </w:r>
      <w:r>
        <w:rPr>
          <w:rFonts w:ascii="宋体" w:hAnsi="宋体" w:cs="宋体" w:eastAsia="宋体" w:hint="default"/>
          <w:spacing w:val="97"/>
        </w:rPr>
        <w:t> </w:t>
      </w:r>
      <w:r>
        <w:rPr>
          <w:spacing w:val="17"/>
        </w:rPr>
        <w:t>截至期末借款余额为</w:t>
      </w:r>
    </w:p>
    <w:p>
      <w:pPr>
        <w:pStyle w:val="BodyText"/>
        <w:spacing w:line="283" w:lineRule="exact"/>
        <w:ind w:right="0"/>
        <w:jc w:val="left"/>
      </w:pPr>
      <w:r>
        <w:rPr>
          <w:rFonts w:ascii="宋体" w:hAnsi="宋体" w:cs="宋体" w:eastAsia="宋体" w:hint="default"/>
        </w:rPr>
        <w:t>3,301.17</w:t>
      </w:r>
      <w:r>
        <w:rPr>
          <w:rFonts w:ascii="宋体" w:hAnsi="宋体" w:cs="宋体" w:eastAsia="宋体" w:hint="default"/>
          <w:spacing w:val="-60"/>
        </w:rPr>
        <w:t> </w:t>
      </w:r>
      <w:r>
        <w:rPr/>
        <w:t>万元。</w:t>
      </w:r>
    </w:p>
    <w:p>
      <w:pPr>
        <w:pStyle w:val="BodyText"/>
        <w:spacing w:line="312" w:lineRule="exact" w:before="148"/>
        <w:ind w:right="242" w:firstLine="566"/>
        <w:jc w:val="both"/>
      </w:pPr>
      <w:r>
        <w:rPr/>
        <w:t>④</w:t>
      </w:r>
      <w:r>
        <w:rPr>
          <w:spacing w:val="-76"/>
        </w:rPr>
        <w:t> </w:t>
      </w:r>
      <w:r>
        <w:rPr>
          <w:spacing w:val="16"/>
        </w:rPr>
        <w:t>根据融资租赁公司与中国银行天津滨海分行签订的保理协议，取得借款</w:t>
      </w:r>
      <w:r>
        <w:rPr/>
        <w:t> </w:t>
      </w:r>
      <w:r>
        <w:rPr>
          <w:rFonts w:ascii="宋体" w:hAnsi="宋体" w:cs="宋体" w:eastAsia="宋体" w:hint="default"/>
        </w:rPr>
        <w:t>2,652.36</w:t>
      </w:r>
      <w:r>
        <w:rPr>
          <w:rFonts w:ascii="宋体" w:hAnsi="宋体" w:cs="宋体" w:eastAsia="宋体" w:hint="default"/>
          <w:spacing w:val="-60"/>
        </w:rPr>
        <w:t> </w:t>
      </w:r>
      <w:r>
        <w:rPr/>
        <w:t>万元，并缴纳保证金</w:t>
      </w:r>
      <w:r>
        <w:rPr>
          <w:spacing w:val="-60"/>
        </w:rPr>
        <w:t> </w:t>
      </w:r>
      <w:r>
        <w:rPr>
          <w:rFonts w:ascii="宋体" w:hAnsi="宋体" w:cs="宋体" w:eastAsia="宋体" w:hint="default"/>
        </w:rPr>
        <w:t>132.62</w:t>
      </w:r>
      <w:r>
        <w:rPr>
          <w:rFonts w:ascii="宋体" w:hAnsi="宋体" w:cs="宋体" w:eastAsia="宋体" w:hint="default"/>
          <w:spacing w:val="-60"/>
        </w:rPr>
        <w:t> </w:t>
      </w:r>
      <w:r>
        <w:rPr/>
        <w:t>万元，截至期末借款余额为</w:t>
      </w:r>
      <w:r>
        <w:rPr>
          <w:spacing w:val="-60"/>
        </w:rPr>
        <w:t> </w:t>
      </w:r>
      <w:r>
        <w:rPr>
          <w:rFonts w:ascii="宋体" w:hAnsi="宋体" w:cs="宋体" w:eastAsia="宋体" w:hint="default"/>
        </w:rPr>
        <w:t>1,089.39</w:t>
      </w:r>
      <w:r>
        <w:rPr>
          <w:rFonts w:ascii="宋体" w:hAnsi="宋体" w:cs="宋体" w:eastAsia="宋体" w:hint="default"/>
          <w:spacing w:val="-60"/>
        </w:rPr>
        <w:t> </w:t>
      </w:r>
      <w:r>
        <w:rPr/>
        <w:t>万元。</w:t>
      </w:r>
    </w:p>
    <w:p>
      <w:pPr>
        <w:pStyle w:val="BodyText"/>
        <w:spacing w:line="237" w:lineRule="auto" w:before="91"/>
        <w:ind w:right="235" w:firstLine="566"/>
        <w:jc w:val="both"/>
      </w:pPr>
      <w:r>
        <w:rPr/>
        <w:t>⑤</w:t>
      </w:r>
      <w:r>
        <w:rPr>
          <w:spacing w:val="-56"/>
        </w:rPr>
        <w:t> </w:t>
      </w:r>
      <w:r>
        <w:rPr/>
        <w:t>根据融资租赁公司与中国进出口银行北京分行签订的租金保理合同，取得借</w:t>
      </w:r>
      <w:r>
        <w:rPr/>
        <w:t> 款</w:t>
      </w:r>
      <w:r>
        <w:rPr>
          <w:spacing w:val="-42"/>
        </w:rPr>
        <w:t> </w:t>
      </w:r>
      <w:r>
        <w:rPr>
          <w:rFonts w:ascii="宋体" w:hAnsi="宋体" w:cs="宋体" w:eastAsia="宋体" w:hint="default"/>
        </w:rPr>
        <w:t>50,000</w:t>
      </w:r>
      <w:r>
        <w:rPr>
          <w:rFonts w:ascii="宋体" w:hAnsi="宋体" w:cs="宋体" w:eastAsia="宋体" w:hint="default"/>
          <w:spacing w:val="-42"/>
        </w:rPr>
        <w:t> </w:t>
      </w:r>
      <w:r>
        <w:rPr/>
        <w:t>万元，缴纳保证金</w:t>
      </w:r>
      <w:r>
        <w:rPr>
          <w:spacing w:val="-42"/>
        </w:rPr>
        <w:t> </w:t>
      </w:r>
      <w:r>
        <w:rPr>
          <w:rFonts w:ascii="宋体" w:hAnsi="宋体" w:cs="宋体" w:eastAsia="宋体" w:hint="default"/>
        </w:rPr>
        <w:t>2,990</w:t>
      </w:r>
      <w:r>
        <w:rPr>
          <w:rFonts w:ascii="宋体" w:hAnsi="宋体" w:cs="宋体" w:eastAsia="宋体" w:hint="default"/>
          <w:spacing w:val="-42"/>
        </w:rPr>
        <w:t> </w:t>
      </w:r>
      <w:r>
        <w:rPr/>
        <w:t>万元，由海航集团有限公司提供连带责任还款保 </w:t>
      </w:r>
      <w:r>
        <w:rPr>
          <w:spacing w:val="11"/>
        </w:rPr>
        <w:t>证，融资租赁公司作为抵押人，并以机器设备作为抵押物</w:t>
      </w:r>
      <w:r>
        <w:rPr>
          <w:rFonts w:ascii="宋体" w:hAnsi="宋体" w:cs="宋体" w:eastAsia="宋体" w:hint="default"/>
          <w:spacing w:val="11"/>
        </w:rPr>
        <w:t>,</w:t>
      </w:r>
      <w:r>
        <w:rPr>
          <w:rFonts w:ascii="宋体" w:hAnsi="宋体" w:cs="宋体" w:eastAsia="宋体" w:hint="default"/>
          <w:spacing w:val="25"/>
        </w:rPr>
        <w:t> </w:t>
      </w:r>
      <w:r>
        <w:rPr>
          <w:spacing w:val="10"/>
        </w:rPr>
        <w:t>截至期末借款余额为</w:t>
      </w:r>
      <w:r>
        <w:rPr>
          <w:spacing w:val="-117"/>
        </w:rPr>
        <w:t> </w:t>
      </w:r>
      <w:r>
        <w:rPr>
          <w:spacing w:val="-117"/>
        </w:rPr>
      </w:r>
      <w:r>
        <w:rPr>
          <w:rFonts w:ascii="宋体" w:hAnsi="宋体" w:cs="宋体" w:eastAsia="宋体" w:hint="default"/>
        </w:rPr>
        <w:t>43,550</w:t>
      </w:r>
      <w:r>
        <w:rPr>
          <w:rFonts w:ascii="宋体" w:hAnsi="宋体" w:cs="宋体" w:eastAsia="宋体" w:hint="default"/>
          <w:spacing w:val="-60"/>
        </w:rPr>
        <w:t> </w:t>
      </w:r>
      <w:r>
        <w:rPr/>
        <w:t>万元。</w:t>
      </w:r>
    </w:p>
    <w:p>
      <w:pPr>
        <w:pStyle w:val="BodyText"/>
        <w:spacing w:line="310" w:lineRule="exact" w:before="149"/>
        <w:ind w:right="233" w:firstLine="566"/>
        <w:jc w:val="both"/>
      </w:pPr>
      <w:r>
        <w:rPr/>
        <w:t>⑥</w:t>
      </w:r>
      <w:r>
        <w:rPr>
          <w:spacing w:val="-85"/>
        </w:rPr>
        <w:t> </w:t>
      </w:r>
      <w:r>
        <w:rPr>
          <w:spacing w:val="9"/>
        </w:rPr>
        <w:t>根据融资租赁公司与华商安融商业保理有限公司签订保理协议，取得借款</w:t>
      </w:r>
      <w:r>
        <w:rPr/>
        <w:t> </w:t>
      </w:r>
      <w:r>
        <w:rPr>
          <w:rFonts w:ascii="宋体" w:hAnsi="宋体" w:cs="宋体" w:eastAsia="宋体" w:hint="default"/>
        </w:rPr>
        <w:t>8,000 </w:t>
      </w:r>
      <w:r>
        <w:rPr/>
        <w:t>万元</w:t>
      </w:r>
      <w:r>
        <w:rPr>
          <w:rFonts w:ascii="宋体" w:hAnsi="宋体" w:cs="宋体" w:eastAsia="宋体" w:hint="default"/>
        </w:rPr>
        <w:t>,</w:t>
      </w:r>
      <w:r>
        <w:rPr>
          <w:rFonts w:ascii="宋体" w:hAnsi="宋体" w:cs="宋体" w:eastAsia="宋体" w:hint="default"/>
          <w:spacing w:val="-47"/>
        </w:rPr>
        <w:t> </w:t>
      </w:r>
      <w:r>
        <w:rPr/>
        <w:t>以融资租赁公司应收福建省连江县远洋渔业有限公司、丰都人民医院、</w:t>
      </w:r>
    </w:p>
    <w:p>
      <w:pPr>
        <w:pStyle w:val="BodyText"/>
        <w:spacing w:line="282" w:lineRule="exact"/>
        <w:ind w:right="0"/>
        <w:jc w:val="left"/>
      </w:pPr>
      <w:r>
        <w:rPr/>
        <w:t>荥阳人民医院账款</w:t>
      </w:r>
      <w:r>
        <w:rPr>
          <w:spacing w:val="-51"/>
        </w:rPr>
        <w:t> </w:t>
      </w:r>
      <w:r>
        <w:rPr>
          <w:rFonts w:ascii="宋体" w:hAnsi="宋体" w:cs="宋体" w:eastAsia="宋体" w:hint="default"/>
        </w:rPr>
        <w:t>46,403,487.06</w:t>
      </w:r>
      <w:r>
        <w:rPr>
          <w:rFonts w:ascii="宋体" w:hAnsi="宋体" w:cs="宋体" w:eastAsia="宋体" w:hint="default"/>
          <w:spacing w:val="-51"/>
        </w:rPr>
        <w:t> </w:t>
      </w:r>
      <w:r>
        <w:rPr>
          <w:spacing w:val="-3"/>
        </w:rPr>
        <w:t>元出质设定质押，融资租赁公司与福建省连江县远</w:t>
      </w:r>
    </w:p>
    <w:p>
      <w:pPr>
        <w:pStyle w:val="BodyText"/>
        <w:spacing w:line="311" w:lineRule="exact"/>
        <w:ind w:right="0"/>
        <w:jc w:val="left"/>
        <w:rPr>
          <w:rFonts w:ascii="宋体" w:hAnsi="宋体" w:cs="宋体" w:eastAsia="宋体" w:hint="default"/>
        </w:rPr>
      </w:pPr>
      <w:r>
        <w:rPr/>
        <w:t>洋渔业有限公司共为抵押人</w:t>
      </w:r>
      <w:r>
        <w:rPr>
          <w:spacing w:val="-114"/>
        </w:rPr>
        <w:t>，</w:t>
      </w:r>
      <w:r>
        <w:rPr/>
        <w:t>以共享船舶所有权作为抵押财产</w:t>
      </w:r>
      <w:r>
        <w:rPr>
          <w:spacing w:val="-114"/>
        </w:rPr>
        <w:t>，</w:t>
      </w:r>
      <w:r>
        <w:rPr/>
        <w:t>评估价值为</w:t>
      </w:r>
      <w:r>
        <w:rPr>
          <w:spacing w:val="-60"/>
        </w:rPr>
        <w:t> </w:t>
      </w:r>
      <w:r>
        <w:rPr>
          <w:rFonts w:ascii="宋体" w:hAnsi="宋体" w:cs="宋体" w:eastAsia="宋体" w:hint="default"/>
        </w:rPr>
        <w:t>22,983.00</w:t>
      </w:r>
    </w:p>
    <w:p>
      <w:pPr>
        <w:pStyle w:val="BodyText"/>
        <w:spacing w:line="312" w:lineRule="exact"/>
        <w:ind w:right="0"/>
        <w:jc w:val="left"/>
      </w:pPr>
      <w:r>
        <w:rPr/>
        <w:t>万元，截至期末借款余额为</w:t>
      </w:r>
      <w:r>
        <w:rPr>
          <w:spacing w:val="-60"/>
        </w:rPr>
        <w:t> </w:t>
      </w:r>
      <w:r>
        <w:rPr>
          <w:rFonts w:ascii="宋体" w:hAnsi="宋体" w:cs="宋体" w:eastAsia="宋体" w:hint="default"/>
        </w:rPr>
        <w:t>8,000</w:t>
      </w:r>
      <w:r>
        <w:rPr>
          <w:rFonts w:ascii="宋体" w:hAnsi="宋体" w:cs="宋体" w:eastAsia="宋体" w:hint="default"/>
          <w:spacing w:val="-60"/>
        </w:rPr>
        <w:t> </w:t>
      </w:r>
      <w:r>
        <w:rPr/>
        <w:t>万元。</w:t>
      </w:r>
    </w:p>
    <w:p>
      <w:pPr>
        <w:pStyle w:val="BodyText"/>
        <w:spacing w:line="310" w:lineRule="exact" w:before="150"/>
        <w:ind w:right="232" w:firstLine="566"/>
        <w:jc w:val="both"/>
        <w:rPr>
          <w:rFonts w:ascii="宋体" w:hAnsi="宋体" w:cs="宋体" w:eastAsia="宋体" w:hint="default"/>
        </w:rPr>
      </w:pPr>
      <w:r>
        <w:rPr/>
        <w:t>⑦</w:t>
      </w:r>
      <w:r>
        <w:rPr>
          <w:spacing w:val="-87"/>
        </w:rPr>
        <w:t> </w:t>
      </w:r>
      <w:r>
        <w:rPr/>
        <w:t>融资租赁公司在东亚银行北京分行中关村支行取得借款</w:t>
      </w:r>
      <w:r>
        <w:rPr>
          <w:spacing w:val="-59"/>
        </w:rPr>
        <w:t> </w:t>
      </w:r>
      <w:r>
        <w:rPr>
          <w:rFonts w:ascii="宋体" w:hAnsi="宋体" w:cs="宋体" w:eastAsia="宋体" w:hint="default"/>
        </w:rPr>
        <w:t>4,990.39</w:t>
      </w:r>
      <w:r>
        <w:rPr>
          <w:rFonts w:ascii="宋体" w:hAnsi="宋体" w:cs="宋体" w:eastAsia="宋体" w:hint="default"/>
          <w:spacing w:val="-59"/>
        </w:rPr>
        <w:t> </w:t>
      </w:r>
      <w:r>
        <w:rPr>
          <w:spacing w:val="-10"/>
        </w:rPr>
        <w:t>万元；缴纳</w:t>
      </w:r>
      <w:r>
        <w:rPr/>
        <w:t> 保证金</w:t>
      </w:r>
      <w:r>
        <w:rPr>
          <w:spacing w:val="-59"/>
        </w:rPr>
        <w:t> </w:t>
      </w:r>
      <w:r>
        <w:rPr>
          <w:rFonts w:ascii="宋体" w:hAnsi="宋体" w:cs="宋体" w:eastAsia="宋体" w:hint="default"/>
        </w:rPr>
        <w:t>310</w:t>
      </w:r>
      <w:r>
        <w:rPr>
          <w:rFonts w:ascii="宋体" w:hAnsi="宋体" w:cs="宋体" w:eastAsia="宋体" w:hint="default"/>
          <w:spacing w:val="-59"/>
        </w:rPr>
        <w:t> </w:t>
      </w:r>
      <w:r>
        <w:rPr>
          <w:spacing w:val="-4"/>
        </w:rPr>
        <w:t>万元，以融资租赁公司与山东泉林纸业夏津有限公司的应收账款</w:t>
      </w:r>
      <w:r>
        <w:rPr>
          <w:spacing w:val="-59"/>
        </w:rPr>
        <w:t> </w:t>
      </w:r>
      <w:r>
        <w:rPr>
          <w:rFonts w:ascii="宋体" w:hAnsi="宋体" w:cs="宋体" w:eastAsia="宋体" w:hint="default"/>
        </w:rPr>
        <w:t>6,237.99</w:t>
      </w:r>
    </w:p>
    <w:p>
      <w:pPr>
        <w:pStyle w:val="BodyText"/>
        <w:spacing w:line="284" w:lineRule="exact"/>
        <w:ind w:right="0"/>
        <w:jc w:val="left"/>
      </w:pPr>
      <w:r>
        <w:rPr/>
        <w:t>万元作为质物，截至期末借款余额为</w:t>
      </w:r>
      <w:r>
        <w:rPr>
          <w:spacing w:val="-60"/>
        </w:rPr>
        <w:t> </w:t>
      </w:r>
      <w:r>
        <w:rPr>
          <w:rFonts w:ascii="宋体" w:hAnsi="宋体" w:cs="宋体" w:eastAsia="宋体" w:hint="default"/>
        </w:rPr>
        <w:t>3,446.47</w:t>
      </w:r>
      <w:r>
        <w:rPr>
          <w:rFonts w:ascii="宋体" w:hAnsi="宋体" w:cs="宋体" w:eastAsia="宋体" w:hint="default"/>
          <w:spacing w:val="-60"/>
        </w:rPr>
        <w:t> </w:t>
      </w:r>
      <w:r>
        <w:rPr/>
        <w:t>万元。</w:t>
      </w:r>
    </w:p>
    <w:p>
      <w:pPr>
        <w:pStyle w:val="BodyText"/>
        <w:spacing w:line="240" w:lineRule="auto" w:before="116"/>
        <w:ind w:right="0"/>
        <w:jc w:val="left"/>
      </w:pPr>
      <w:r>
        <w:rPr/>
        <w:t>（</w:t>
      </w:r>
      <w:r>
        <w:rPr>
          <w:rFonts w:ascii="宋体" w:hAnsi="宋体" w:cs="宋体" w:eastAsia="宋体" w:hint="default"/>
        </w:rPr>
        <w:t>3</w:t>
      </w:r>
      <w:r>
        <w:rPr/>
        <w:t>）关联方保证、抵押或质押</w:t>
      </w:r>
    </w:p>
    <w:p>
      <w:pPr>
        <w:pStyle w:val="BodyText"/>
        <w:spacing w:line="237" w:lineRule="auto" w:before="119"/>
        <w:ind w:right="0" w:firstLine="566"/>
        <w:jc w:val="left"/>
      </w:pPr>
      <w:r>
        <w:rPr/>
        <w:t>①</w:t>
      </w:r>
      <w:r>
        <w:rPr>
          <w:spacing w:val="-78"/>
        </w:rPr>
        <w:t> </w:t>
      </w:r>
      <w:r>
        <w:rPr/>
        <w:t>根据本公司与东亚银行北京分行中关村支行签订的保证合同，本公司作为保</w:t>
      </w:r>
      <w:r>
        <w:rPr/>
        <w:t> 证人对融资租赁公司于东亚银行北京分行中关村支行取得的借款承担连带保证责任，</w:t>
      </w:r>
      <w:r>
        <w:rPr>
          <w:spacing w:val="-65"/>
        </w:rPr>
        <w:t> </w:t>
      </w:r>
      <w:r>
        <w:rPr>
          <w:spacing w:val="-65"/>
        </w:rPr>
      </w:r>
      <w:r>
        <w:rPr/>
        <w:t>截至期末担保余额为</w:t>
      </w:r>
      <w:r>
        <w:rPr>
          <w:spacing w:val="-60"/>
        </w:rPr>
        <w:t> </w:t>
      </w:r>
      <w:r>
        <w:rPr>
          <w:rFonts w:ascii="宋体" w:hAnsi="宋体" w:cs="宋体" w:eastAsia="宋体" w:hint="default"/>
        </w:rPr>
        <w:t>3,446.47</w:t>
      </w:r>
      <w:r>
        <w:rPr>
          <w:rFonts w:ascii="宋体" w:hAnsi="宋体" w:cs="宋体" w:eastAsia="宋体" w:hint="default"/>
          <w:spacing w:val="-60"/>
        </w:rPr>
        <w:t> </w:t>
      </w:r>
      <w:r>
        <w:rPr/>
        <w:t>万元。</w:t>
      </w:r>
    </w:p>
    <w:p>
      <w:pPr>
        <w:pStyle w:val="BodyText"/>
        <w:spacing w:line="237" w:lineRule="auto" w:before="120"/>
        <w:ind w:right="233" w:firstLine="566"/>
        <w:jc w:val="both"/>
      </w:pPr>
      <w:r>
        <w:rPr/>
        <w:t>②</w:t>
      </w:r>
      <w:r>
        <w:rPr>
          <w:spacing w:val="-57"/>
        </w:rPr>
        <w:t> </w:t>
      </w:r>
      <w:r>
        <w:rPr/>
        <w:t>根据本公司与中国银行天津滨海分行签订的保证合同，本公司作为保证人对</w:t>
      </w:r>
      <w:r>
        <w:rPr/>
        <w:t> </w:t>
      </w:r>
      <w:r>
        <w:rPr>
          <w:spacing w:val="4"/>
        </w:rPr>
        <w:t>融资租赁公司于中国银行天津滨海分行取得的借款承担连带保证责任</w:t>
      </w:r>
      <w:r>
        <w:rPr>
          <w:rFonts w:ascii="宋体" w:hAnsi="宋体" w:cs="宋体" w:eastAsia="宋体" w:hint="default"/>
          <w:spacing w:val="4"/>
        </w:rPr>
        <w:t>,</w:t>
      </w:r>
      <w:r>
        <w:rPr>
          <w:rFonts w:ascii="宋体" w:hAnsi="宋体" w:cs="宋体" w:eastAsia="宋体" w:hint="default"/>
          <w:spacing w:val="26"/>
        </w:rPr>
        <w:t> </w:t>
      </w:r>
      <w:r>
        <w:rPr>
          <w:spacing w:val="3"/>
        </w:rPr>
        <w:t>截至期末担</w:t>
      </w:r>
      <w:r>
        <w:rPr>
          <w:spacing w:val="-116"/>
        </w:rPr>
        <w:t> </w:t>
      </w:r>
      <w:r>
        <w:rPr>
          <w:spacing w:val="-116"/>
        </w:rPr>
      </w:r>
      <w:r>
        <w:rPr/>
        <w:t>保余额为</w:t>
      </w:r>
      <w:r>
        <w:rPr>
          <w:spacing w:val="-60"/>
        </w:rPr>
        <w:t> </w:t>
      </w:r>
      <w:r>
        <w:rPr>
          <w:rFonts w:ascii="宋体" w:hAnsi="宋体" w:cs="宋体" w:eastAsia="宋体" w:hint="default"/>
        </w:rPr>
        <w:t>1,089.39</w:t>
      </w:r>
      <w:r>
        <w:rPr>
          <w:rFonts w:ascii="宋体" w:hAnsi="宋体" w:cs="宋体" w:eastAsia="宋体" w:hint="default"/>
          <w:spacing w:val="-60"/>
        </w:rPr>
        <w:t> </w:t>
      </w:r>
      <w:r>
        <w:rPr/>
        <w:t>万元。</w:t>
      </w:r>
    </w:p>
    <w:p>
      <w:pPr>
        <w:spacing w:after="0" w:line="237" w:lineRule="auto"/>
        <w:jc w:val="both"/>
        <w:sectPr>
          <w:pgSz w:w="11910" w:h="16840"/>
          <w:pgMar w:header="882" w:footer="1194" w:top="1120" w:bottom="1380" w:left="1660" w:right="1040"/>
        </w:sectPr>
      </w:pPr>
    </w:p>
    <w:p>
      <w:pPr>
        <w:spacing w:line="240" w:lineRule="auto" w:before="9"/>
        <w:rPr>
          <w:rFonts w:ascii="宋体" w:hAnsi="宋体" w:cs="宋体" w:eastAsia="宋体" w:hint="default"/>
          <w:sz w:val="25"/>
          <w:szCs w:val="25"/>
        </w:rPr>
      </w:pPr>
    </w:p>
    <w:p>
      <w:pPr>
        <w:pStyle w:val="BodyText"/>
        <w:spacing w:line="312" w:lineRule="exact" w:before="26"/>
        <w:ind w:left="1298" w:right="0"/>
        <w:jc w:val="left"/>
      </w:pPr>
      <w:r>
        <w:rPr/>
        <w:t>③根据本公司</w:t>
      </w:r>
      <w:r>
        <w:rPr>
          <w:spacing w:val="-88"/>
        </w:rPr>
        <w:t> </w:t>
      </w:r>
      <w:r>
        <w:rPr>
          <w:rFonts w:ascii="宋体" w:hAnsi="宋体" w:cs="宋体" w:eastAsia="宋体" w:hint="default"/>
        </w:rPr>
        <w:t>2010</w:t>
      </w:r>
      <w:r>
        <w:rPr>
          <w:rFonts w:ascii="宋体" w:hAnsi="宋体" w:cs="宋体" w:eastAsia="宋体" w:hint="default"/>
          <w:spacing w:val="-88"/>
        </w:rPr>
        <w:t> </w:t>
      </w:r>
      <w:r>
        <w:rPr/>
        <w:t>年</w:t>
      </w:r>
      <w:r>
        <w:rPr>
          <w:spacing w:val="-88"/>
        </w:rPr>
        <w:t> </w:t>
      </w:r>
      <w:r>
        <w:rPr>
          <w:rFonts w:ascii="宋体" w:hAnsi="宋体" w:cs="宋体" w:eastAsia="宋体" w:hint="default"/>
        </w:rPr>
        <w:t>2</w:t>
      </w:r>
      <w:r>
        <w:rPr>
          <w:rFonts w:ascii="宋体" w:hAnsi="宋体" w:cs="宋体" w:eastAsia="宋体" w:hint="default"/>
          <w:spacing w:val="-89"/>
        </w:rPr>
        <w:t> </w:t>
      </w:r>
      <w:r>
        <w:rPr/>
        <w:t>月</w:t>
      </w:r>
      <w:r>
        <w:rPr>
          <w:spacing w:val="-88"/>
        </w:rPr>
        <w:t> </w:t>
      </w:r>
      <w:r>
        <w:rPr>
          <w:rFonts w:ascii="宋体" w:hAnsi="宋体" w:cs="宋体" w:eastAsia="宋体" w:hint="default"/>
        </w:rPr>
        <w:t>8</w:t>
      </w:r>
      <w:r>
        <w:rPr>
          <w:rFonts w:ascii="宋体" w:hAnsi="宋体" w:cs="宋体" w:eastAsia="宋体" w:hint="default"/>
          <w:spacing w:val="-88"/>
        </w:rPr>
        <w:t> </w:t>
      </w:r>
      <w:r>
        <w:rPr/>
        <w:t>日与中国进出口银行签订的境外投资贷款借款合同，</w:t>
      </w:r>
    </w:p>
    <w:p>
      <w:pPr>
        <w:pStyle w:val="BodyText"/>
        <w:spacing w:line="311" w:lineRule="exact"/>
        <w:ind w:left="818" w:right="0"/>
        <w:jc w:val="left"/>
      </w:pPr>
      <w:r>
        <w:rPr/>
        <w:t>本公司取得借款壹亿陆仟万元人民币，借款期限自</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11</w:t>
      </w:r>
      <w:r>
        <w:rPr>
          <w:rFonts w:ascii="宋体" w:hAnsi="宋体" w:cs="宋体" w:eastAsia="宋体" w:hint="default"/>
          <w:spacing w:val="-60"/>
        </w:rPr>
        <w:t> </w:t>
      </w:r>
      <w:r>
        <w:rPr/>
        <w:t>日至</w:t>
      </w:r>
      <w:r>
        <w:rPr>
          <w:spacing w:val="-60"/>
        </w:rPr>
        <w:t> </w:t>
      </w: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p>
    <w:p>
      <w:pPr>
        <w:pStyle w:val="BodyText"/>
        <w:spacing w:line="312" w:lineRule="exact" w:before="29"/>
        <w:ind w:left="818" w:right="562"/>
        <w:jc w:val="left"/>
      </w:pPr>
      <w:r>
        <w:rPr>
          <w:rFonts w:ascii="宋体" w:hAnsi="宋体" w:cs="宋体" w:eastAsia="宋体" w:hint="default"/>
        </w:rPr>
        <w:t>10</w:t>
      </w:r>
      <w:r>
        <w:rPr>
          <w:rFonts w:ascii="宋体" w:hAnsi="宋体" w:cs="宋体" w:eastAsia="宋体" w:hint="default"/>
          <w:spacing w:val="-30"/>
        </w:rPr>
        <w:t> </w:t>
      </w:r>
      <w:r>
        <w:rPr>
          <w:spacing w:val="-4"/>
        </w:rPr>
        <w:t>日止，公司的二位自然人股东（王维航、胡联奎）作为出质人将其分别持有的约壹</w:t>
      </w:r>
      <w:r>
        <w:rPr>
          <w:spacing w:val="-116"/>
        </w:rPr>
        <w:t> </w:t>
      </w:r>
      <w:r>
        <w:rPr>
          <w:spacing w:val="-116"/>
        </w:rPr>
      </w:r>
      <w:r>
        <w:rPr/>
        <w:t>仟叁佰伍拾万股北京华胜天成科技股份有限公司的依法可转让的无限售条件流通股 股票用于上述贷款质押担保。截止期末借款余额为</w:t>
      </w:r>
      <w:r>
        <w:rPr>
          <w:spacing w:val="-60"/>
        </w:rPr>
        <w:t> </w:t>
      </w:r>
      <w:r>
        <w:rPr>
          <w:rFonts w:ascii="宋体" w:hAnsi="宋体" w:cs="宋体" w:eastAsia="宋体" w:hint="default"/>
        </w:rPr>
        <w:t>7,948.00</w:t>
      </w:r>
      <w:r>
        <w:rPr>
          <w:rFonts w:ascii="宋体" w:hAnsi="宋体" w:cs="宋体" w:eastAsia="宋体" w:hint="default"/>
          <w:spacing w:val="-60"/>
        </w:rPr>
        <w:t> </w:t>
      </w:r>
      <w:r>
        <w:rPr/>
        <w:t>万元。</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980" w:right="700"/>
        </w:sectPr>
      </w:pPr>
    </w:p>
    <w:p>
      <w:pPr>
        <w:pStyle w:val="Heading2"/>
        <w:spacing w:line="283" w:lineRule="auto" w:before="160"/>
        <w:ind w:left="818" w:right="-18"/>
        <w:jc w:val="left"/>
        <w:rPr>
          <w:b w:val="0"/>
          <w:bCs w:val="0"/>
        </w:rPr>
      </w:pPr>
      <w:r>
        <w:rPr>
          <w:rFonts w:ascii="宋体" w:hAnsi="宋体" w:cs="宋体" w:eastAsia="宋体" w:hint="default"/>
        </w:rPr>
        <w:t>33</w:t>
      </w:r>
      <w:r>
        <w:rPr/>
        <w:t>、</w:t>
      </w:r>
      <w:r>
        <w:rPr>
          <w:spacing w:val="-101"/>
        </w:rPr>
        <w:t> </w:t>
      </w:r>
      <w:r>
        <w:rPr/>
        <w:t>应付债券</w:t>
      </w:r>
      <w:r>
        <w:rPr>
          <w:spacing w:val="1"/>
          <w:w w:val="99"/>
        </w:rPr>
        <w:t> </w:t>
      </w:r>
      <w:r>
        <w:rPr>
          <w:rFonts w:ascii="宋体" w:hAnsi="宋体" w:cs="宋体" w:eastAsia="宋体" w:hint="default"/>
        </w:rPr>
        <w:t>(1).</w:t>
      </w:r>
      <w:r>
        <w:rPr>
          <w:rFonts w:ascii="宋体" w:hAnsi="宋体" w:cs="宋体" w:eastAsia="宋体" w:hint="default"/>
          <w:spacing w:val="66"/>
        </w:rPr>
        <w:t> </w:t>
      </w:r>
      <w:r>
        <w:rPr/>
        <w:t>应付债券</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9"/>
          <w:szCs w:val="29"/>
        </w:rPr>
      </w:pPr>
    </w:p>
    <w:p>
      <w:pPr>
        <w:tabs>
          <w:tab w:pos="1867" w:val="left" w:leader="none"/>
        </w:tabs>
        <w:spacing w:before="0"/>
        <w:ind w:left="81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980" w:right="700"/>
          <w:cols w:num="2" w:equalWidth="0">
            <w:col w:w="2455" w:space="4069"/>
            <w:col w:w="3706"/>
          </w:cols>
        </w:sectPr>
      </w:pPr>
    </w:p>
    <w:p>
      <w:pPr>
        <w:spacing w:line="240" w:lineRule="auto" w:before="7"/>
        <w:rPr>
          <w:rFonts w:ascii="宋体" w:hAnsi="宋体" w:cs="宋体" w:eastAsia="宋体" w:hint="default"/>
          <w:sz w:val="2"/>
          <w:szCs w:val="2"/>
        </w:rPr>
      </w:pPr>
    </w:p>
    <w:tbl>
      <w:tblPr>
        <w:tblW w:w="0" w:type="auto"/>
        <w:jc w:val="left"/>
        <w:tblInd w:w="780" w:type="dxa"/>
        <w:tblLayout w:type="fixed"/>
        <w:tblCellMar>
          <w:top w:w="0" w:type="dxa"/>
          <w:left w:w="0" w:type="dxa"/>
          <w:bottom w:w="0" w:type="dxa"/>
          <w:right w:w="0" w:type="dxa"/>
        </w:tblCellMar>
        <w:tblLook w:val="01E0"/>
      </w:tblPr>
      <w:tblGrid>
        <w:gridCol w:w="2999"/>
        <w:gridCol w:w="3023"/>
        <w:gridCol w:w="2872"/>
      </w:tblGrid>
      <w:tr>
        <w:trPr>
          <w:trHeight w:val="288" w:hRule="exact"/>
        </w:trPr>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80"/>
              <w:jc w:val="right"/>
              <w:rPr>
                <w:rFonts w:ascii="宋体" w:hAnsi="宋体" w:cs="宋体" w:eastAsia="宋体" w:hint="default"/>
                <w:sz w:val="21"/>
                <w:szCs w:val="21"/>
              </w:rPr>
            </w:pPr>
            <w:r>
              <w:rPr>
                <w:rFonts w:ascii="宋体" w:hAnsi="宋体" w:cs="宋体" w:eastAsia="宋体" w:hint="default"/>
                <w:sz w:val="21"/>
                <w:szCs w:val="21"/>
              </w:rPr>
              <w:t>项目</w:t>
            </w:r>
          </w:p>
        </w:tc>
        <w:tc>
          <w:tcPr>
            <w:tcW w:w="30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债券面值</w:t>
            </w:r>
          </w:p>
        </w:tc>
        <w:tc>
          <w:tcPr>
            <w:tcW w:w="30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900,000,000.00</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900,000,000.00</w:t>
            </w:r>
          </w:p>
        </w:tc>
      </w:tr>
      <w:tr>
        <w:trPr>
          <w:trHeight w:val="288" w:hRule="exact"/>
        </w:trPr>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利息调整</w:t>
            </w:r>
          </w:p>
        </w:tc>
        <w:tc>
          <w:tcPr>
            <w:tcW w:w="30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-5,697,655.75</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-7,203,753.55</w:t>
            </w:r>
          </w:p>
        </w:tc>
      </w:tr>
      <w:tr>
        <w:trPr>
          <w:trHeight w:val="287" w:hRule="exact"/>
        </w:trPr>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80"/>
              <w:jc w:val="right"/>
              <w:rPr>
                <w:rFonts w:ascii="宋体" w:hAnsi="宋体" w:cs="宋体" w:eastAsia="宋体" w:hint="default"/>
                <w:sz w:val="21"/>
                <w:szCs w:val="21"/>
              </w:rPr>
            </w:pPr>
            <w:r>
              <w:rPr>
                <w:rFonts w:ascii="宋体" w:hAnsi="宋体" w:cs="宋体" w:eastAsia="宋体" w:hint="default"/>
                <w:sz w:val="21"/>
                <w:szCs w:val="21"/>
              </w:rPr>
              <w:t>合计</w:t>
            </w:r>
          </w:p>
        </w:tc>
        <w:tc>
          <w:tcPr>
            <w:tcW w:w="30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894,302,344.25</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892,796,246.45</w:t>
            </w:r>
          </w:p>
        </w:tc>
      </w:tr>
    </w:tbl>
    <w:p>
      <w:pPr>
        <w:spacing w:line="240" w:lineRule="auto" w:before="7"/>
        <w:rPr>
          <w:rFonts w:ascii="宋体" w:hAnsi="宋体" w:cs="宋体" w:eastAsia="宋体" w:hint="default"/>
          <w:sz w:val="20"/>
          <w:szCs w:val="20"/>
        </w:rPr>
      </w:pPr>
    </w:p>
    <w:p>
      <w:pPr>
        <w:pStyle w:val="Heading2"/>
        <w:spacing w:line="310" w:lineRule="exact" w:before="58"/>
        <w:ind w:left="1238" w:right="0" w:hanging="420"/>
        <w:jc w:val="left"/>
        <w:rPr>
          <w:b w:val="0"/>
          <w:bCs w:val="0"/>
        </w:rPr>
      </w:pPr>
      <w:r>
        <w:rPr>
          <w:rFonts w:ascii="宋体" w:hAnsi="宋体" w:cs="宋体" w:eastAsia="宋体" w:hint="default"/>
          <w:w w:val="99"/>
        </w:rPr>
        <w:t>(2).</w:t>
      </w:r>
      <w:r>
        <w:rPr>
          <w:rFonts w:ascii="宋体" w:hAnsi="宋体" w:cs="宋体" w:eastAsia="宋体" w:hint="default"/>
          <w:spacing w:val="81"/>
          <w:w w:val="99"/>
        </w:rPr>
        <w:t> </w:t>
      </w:r>
      <w:r>
        <w:rPr>
          <w:spacing w:val="-1"/>
          <w:w w:val="99"/>
        </w:rPr>
        <w:t>应付债券的增减变动：（不包括划分为金融负债的优先股、永续债等其他金融</w:t>
      </w:r>
      <w:r>
        <w:rPr>
          <w:w w:val="99"/>
        </w:rPr>
        <w:t> </w:t>
      </w:r>
      <w:r>
        <w:rPr/>
        <w:t>工具）</w:t>
      </w:r>
      <w:r>
        <w:rPr>
          <w:b w:val="0"/>
          <w:bCs w:val="0"/>
        </w:rPr>
      </w:r>
    </w:p>
    <w:p>
      <w:pPr>
        <w:tabs>
          <w:tab w:pos="1049" w:val="left" w:leader="none"/>
        </w:tabs>
        <w:spacing w:before="32"/>
        <w:ind w:left="0" w:right="572"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277"/>
        <w:gridCol w:w="1138"/>
        <w:gridCol w:w="852"/>
        <w:gridCol w:w="362"/>
        <w:gridCol w:w="1112"/>
        <w:gridCol w:w="1112"/>
        <w:gridCol w:w="442"/>
        <w:gridCol w:w="605"/>
        <w:gridCol w:w="1036"/>
        <w:gridCol w:w="960"/>
        <w:gridCol w:w="1104"/>
      </w:tblGrid>
      <w:tr>
        <w:trPr>
          <w:trHeight w:val="60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481" w:right="479"/>
              <w:jc w:val="center"/>
              <w:rPr>
                <w:rFonts w:ascii="宋体" w:hAnsi="宋体" w:cs="宋体" w:eastAsia="宋体" w:hint="default"/>
                <w:sz w:val="15"/>
                <w:szCs w:val="15"/>
              </w:rPr>
            </w:pPr>
            <w:r>
              <w:rPr>
                <w:rFonts w:ascii="宋体" w:hAnsi="宋体" w:cs="宋体" w:eastAsia="宋体" w:hint="default"/>
                <w:sz w:val="15"/>
                <w:szCs w:val="15"/>
              </w:rPr>
              <w:t>债券 名称</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面值</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67" w:right="269"/>
              <w:jc w:val="left"/>
              <w:rPr>
                <w:rFonts w:ascii="宋体" w:hAnsi="宋体" w:cs="宋体" w:eastAsia="宋体" w:hint="default"/>
                <w:sz w:val="15"/>
                <w:szCs w:val="15"/>
              </w:rPr>
            </w:pPr>
            <w:r>
              <w:rPr>
                <w:rFonts w:ascii="宋体" w:hAnsi="宋体" w:cs="宋体" w:eastAsia="宋体" w:hint="default"/>
                <w:sz w:val="15"/>
                <w:szCs w:val="15"/>
              </w:rPr>
              <w:t>发行 日期</w:t>
            </w:r>
          </w:p>
        </w:tc>
        <w:tc>
          <w:tcPr>
            <w:tcW w:w="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2" w:right="23"/>
              <w:jc w:val="left"/>
              <w:rPr>
                <w:rFonts w:ascii="宋体" w:hAnsi="宋体" w:cs="宋体" w:eastAsia="宋体" w:hint="default"/>
                <w:sz w:val="15"/>
                <w:szCs w:val="15"/>
              </w:rPr>
            </w:pPr>
            <w:r>
              <w:rPr>
                <w:rFonts w:ascii="宋体" w:hAnsi="宋体" w:cs="宋体" w:eastAsia="宋体" w:hint="default"/>
                <w:sz w:val="15"/>
                <w:szCs w:val="15"/>
              </w:rPr>
              <w:t>债券 期限</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397" w:right="397"/>
              <w:jc w:val="center"/>
              <w:rPr>
                <w:rFonts w:ascii="宋体" w:hAnsi="宋体" w:cs="宋体" w:eastAsia="宋体" w:hint="default"/>
                <w:sz w:val="15"/>
                <w:szCs w:val="15"/>
              </w:rPr>
            </w:pPr>
            <w:r>
              <w:rPr>
                <w:rFonts w:ascii="宋体" w:hAnsi="宋体" w:cs="宋体" w:eastAsia="宋体" w:hint="default"/>
                <w:sz w:val="15"/>
                <w:szCs w:val="15"/>
              </w:rPr>
              <w:t>发行 金额</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398" w:right="397"/>
              <w:jc w:val="center"/>
              <w:rPr>
                <w:rFonts w:ascii="宋体" w:hAnsi="宋体" w:cs="宋体" w:eastAsia="宋体" w:hint="default"/>
                <w:sz w:val="15"/>
                <w:szCs w:val="15"/>
              </w:rPr>
            </w:pPr>
            <w:r>
              <w:rPr>
                <w:rFonts w:ascii="宋体" w:hAnsi="宋体" w:cs="宋体" w:eastAsia="宋体" w:hint="default"/>
                <w:sz w:val="15"/>
                <w:szCs w:val="15"/>
              </w:rPr>
              <w:t>期初 余额</w:t>
            </w:r>
          </w:p>
        </w:tc>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62" w:right="62"/>
              <w:jc w:val="left"/>
              <w:rPr>
                <w:rFonts w:ascii="宋体" w:hAnsi="宋体" w:cs="宋体" w:eastAsia="宋体" w:hint="default"/>
                <w:sz w:val="15"/>
                <w:szCs w:val="15"/>
              </w:rPr>
            </w:pPr>
            <w:r>
              <w:rPr>
                <w:rFonts w:ascii="宋体" w:hAnsi="宋体" w:cs="宋体" w:eastAsia="宋体" w:hint="default"/>
                <w:sz w:val="15"/>
                <w:szCs w:val="15"/>
              </w:rPr>
              <w:t>本期 发行</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69" w:right="0"/>
              <w:jc w:val="left"/>
              <w:rPr>
                <w:rFonts w:ascii="宋体" w:hAnsi="宋体" w:cs="宋体" w:eastAsia="宋体" w:hint="default"/>
                <w:sz w:val="15"/>
                <w:szCs w:val="15"/>
              </w:rPr>
            </w:pPr>
            <w:r>
              <w:rPr>
                <w:rFonts w:ascii="宋体" w:hAnsi="宋体" w:cs="宋体" w:eastAsia="宋体" w:hint="default"/>
                <w:sz w:val="15"/>
                <w:szCs w:val="15"/>
              </w:rPr>
              <w:t>按面值</w:t>
            </w:r>
          </w:p>
          <w:p>
            <w:pPr>
              <w:pStyle w:val="TableParagraph"/>
              <w:spacing w:line="240" w:lineRule="auto"/>
              <w:ind w:left="219" w:right="68" w:hanging="150"/>
              <w:jc w:val="left"/>
              <w:rPr>
                <w:rFonts w:ascii="宋体" w:hAnsi="宋体" w:cs="宋体" w:eastAsia="宋体" w:hint="default"/>
                <w:sz w:val="15"/>
                <w:szCs w:val="15"/>
              </w:rPr>
            </w:pPr>
            <w:r>
              <w:rPr>
                <w:rFonts w:ascii="宋体" w:hAnsi="宋体" w:cs="宋体" w:eastAsia="宋体" w:hint="default"/>
                <w:sz w:val="15"/>
                <w:szCs w:val="15"/>
              </w:rPr>
              <w:t>计提利 息</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溢折价摊销</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321" w:right="323"/>
              <w:jc w:val="center"/>
              <w:rPr>
                <w:rFonts w:ascii="宋体" w:hAnsi="宋体" w:cs="宋体" w:eastAsia="宋体" w:hint="default"/>
                <w:sz w:val="15"/>
                <w:szCs w:val="15"/>
              </w:rPr>
            </w:pPr>
            <w:r>
              <w:rPr>
                <w:rFonts w:ascii="宋体" w:hAnsi="宋体" w:cs="宋体" w:eastAsia="宋体" w:hint="default"/>
                <w:sz w:val="15"/>
                <w:szCs w:val="15"/>
              </w:rPr>
              <w:t>本期 偿还</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393" w:right="395"/>
              <w:jc w:val="center"/>
              <w:rPr>
                <w:rFonts w:ascii="宋体" w:hAnsi="宋体" w:cs="宋体" w:eastAsia="宋体" w:hint="default"/>
                <w:sz w:val="15"/>
                <w:szCs w:val="15"/>
              </w:rPr>
            </w:pPr>
            <w:r>
              <w:rPr>
                <w:rFonts w:ascii="宋体" w:hAnsi="宋体" w:cs="宋体" w:eastAsia="宋体" w:hint="default"/>
                <w:sz w:val="15"/>
                <w:szCs w:val="15"/>
              </w:rPr>
              <w:t>期末 余额</w:t>
            </w:r>
          </w:p>
        </w:tc>
      </w:tr>
      <w:tr>
        <w:trPr>
          <w:trHeight w:val="792"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22" w:right="0"/>
              <w:jc w:val="left"/>
              <w:rPr>
                <w:rFonts w:ascii="宋体" w:hAnsi="宋体" w:cs="宋体" w:eastAsia="宋体" w:hint="default"/>
                <w:sz w:val="15"/>
                <w:szCs w:val="15"/>
              </w:rPr>
            </w:pPr>
            <w:r>
              <w:rPr>
                <w:rFonts w:ascii="宋体" w:hAnsi="宋体" w:cs="宋体" w:eastAsia="宋体" w:hint="default"/>
                <w:sz w:val="15"/>
                <w:szCs w:val="15"/>
              </w:rPr>
              <w:t>北京华胜天成科技</w:t>
            </w:r>
          </w:p>
          <w:p>
            <w:pPr>
              <w:pStyle w:val="TableParagraph"/>
              <w:spacing w:line="240" w:lineRule="auto"/>
              <w:ind w:left="22" w:right="149"/>
              <w:jc w:val="left"/>
              <w:rPr>
                <w:rFonts w:ascii="宋体" w:hAnsi="宋体" w:cs="宋体" w:eastAsia="宋体" w:hint="default"/>
                <w:sz w:val="15"/>
                <w:szCs w:val="15"/>
              </w:rPr>
            </w:pPr>
            <w:r>
              <w:rPr>
                <w:rFonts w:ascii="宋体" w:hAnsi="宋体" w:cs="宋体" w:eastAsia="宋体" w:hint="default"/>
                <w:sz w:val="15"/>
                <w:szCs w:val="15"/>
              </w:rPr>
              <w:t>股份有限公司 </w:t>
            </w:r>
            <w:r>
              <w:rPr>
                <w:rFonts w:ascii="宋体" w:hAnsi="宋体" w:cs="宋体" w:eastAsia="宋体" w:hint="default"/>
                <w:sz w:val="15"/>
                <w:szCs w:val="15"/>
              </w:rPr>
              <w:t>2012</w:t>
            </w:r>
            <w:r>
              <w:rPr>
                <w:rFonts w:ascii="宋体" w:hAnsi="宋体" w:cs="宋体" w:eastAsia="宋体" w:hint="default"/>
                <w:spacing w:val="-38"/>
                <w:sz w:val="15"/>
                <w:szCs w:val="15"/>
              </w:rPr>
              <w:t> </w:t>
            </w:r>
            <w:r>
              <w:rPr>
                <w:rFonts w:ascii="宋体" w:hAnsi="宋体" w:cs="宋体" w:eastAsia="宋体" w:hint="default"/>
                <w:sz w:val="15"/>
                <w:szCs w:val="15"/>
              </w:rPr>
              <w:t>年公司债券</w:t>
            </w:r>
          </w:p>
          <w:p>
            <w:pPr>
              <w:pStyle w:val="TableParagraph"/>
              <w:spacing w:line="194" w:lineRule="exact"/>
              <w:ind w:left="22" w:right="0"/>
              <w:jc w:val="left"/>
              <w:rPr>
                <w:rFonts w:ascii="宋体" w:hAnsi="宋体" w:cs="宋体" w:eastAsia="宋体" w:hint="default"/>
                <w:sz w:val="15"/>
                <w:szCs w:val="15"/>
              </w:rPr>
            </w:pPr>
            <w:r>
              <w:rPr>
                <w:rFonts w:ascii="宋体" w:hAnsi="宋体" w:cs="宋体" w:eastAsia="宋体" w:hint="default"/>
                <w:sz w:val="15"/>
                <w:szCs w:val="15"/>
              </w:rPr>
              <w:t>（第一期）</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7" w:right="0"/>
              <w:jc w:val="center"/>
              <w:rPr>
                <w:rFonts w:ascii="宋体" w:hAnsi="宋体" w:cs="宋体" w:eastAsia="宋体" w:hint="default"/>
                <w:sz w:val="15"/>
                <w:szCs w:val="15"/>
              </w:rPr>
            </w:pPr>
            <w:r>
              <w:rPr>
                <w:rFonts w:ascii="宋体"/>
                <w:sz w:val="15"/>
              </w:rPr>
              <w:t>900,000,000.00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26" w:right="0"/>
              <w:jc w:val="left"/>
              <w:rPr>
                <w:rFonts w:ascii="宋体" w:hAnsi="宋体" w:cs="宋体" w:eastAsia="宋体" w:hint="default"/>
                <w:sz w:val="15"/>
                <w:szCs w:val="15"/>
              </w:rPr>
            </w:pPr>
            <w:r>
              <w:rPr>
                <w:rFonts w:ascii="宋体" w:hAnsi="宋体" w:cs="宋体" w:eastAsia="宋体" w:hint="default"/>
                <w:sz w:val="15"/>
                <w:szCs w:val="15"/>
              </w:rPr>
              <w:t>2013</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3</w:t>
            </w:r>
            <w:r>
              <w:rPr>
                <w:rFonts w:ascii="宋体" w:hAnsi="宋体" w:cs="宋体" w:eastAsia="宋体" w:hint="default"/>
                <w:spacing w:val="-39"/>
                <w:sz w:val="15"/>
                <w:szCs w:val="15"/>
              </w:rPr>
              <w:t> </w:t>
            </w:r>
            <w:r>
              <w:rPr>
                <w:rFonts w:ascii="宋体" w:hAnsi="宋体" w:cs="宋体" w:eastAsia="宋体" w:hint="default"/>
                <w:sz w:val="15"/>
                <w:szCs w:val="15"/>
              </w:rPr>
              <w:t>月</w:t>
            </w:r>
          </w:p>
          <w:p>
            <w:pPr>
              <w:pStyle w:val="TableParagraph"/>
              <w:spacing w:line="195" w:lineRule="exact"/>
              <w:ind w:left="476" w:right="0"/>
              <w:jc w:val="left"/>
              <w:rPr>
                <w:rFonts w:ascii="宋体" w:hAnsi="宋体" w:cs="宋体" w:eastAsia="宋体" w:hint="default"/>
                <w:sz w:val="15"/>
                <w:szCs w:val="15"/>
              </w:rPr>
            </w:pPr>
            <w:r>
              <w:rPr>
                <w:rFonts w:ascii="宋体" w:hAnsi="宋体" w:cs="宋体" w:eastAsia="宋体" w:hint="default"/>
                <w:sz w:val="15"/>
                <w:szCs w:val="15"/>
              </w:rPr>
              <w:t>13</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36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41"/>
              <w:jc w:val="center"/>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3" w:right="0"/>
              <w:jc w:val="left"/>
              <w:rPr>
                <w:rFonts w:ascii="宋体" w:hAnsi="宋体" w:cs="宋体" w:eastAsia="宋体" w:hint="default"/>
                <w:sz w:val="15"/>
                <w:szCs w:val="15"/>
              </w:rPr>
            </w:pPr>
            <w:r>
              <w:rPr>
                <w:rFonts w:ascii="宋体"/>
                <w:sz w:val="15"/>
              </w:rPr>
              <w:t>900,000,000.00</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5" w:right="0"/>
              <w:jc w:val="left"/>
              <w:rPr>
                <w:rFonts w:ascii="宋体" w:hAnsi="宋体" w:cs="宋体" w:eastAsia="宋体" w:hint="default"/>
                <w:sz w:val="15"/>
                <w:szCs w:val="15"/>
              </w:rPr>
            </w:pPr>
            <w:r>
              <w:rPr>
                <w:rFonts w:ascii="宋体"/>
                <w:sz w:val="15"/>
              </w:rPr>
              <w:t>892,796,246.45</w:t>
            </w:r>
          </w:p>
        </w:tc>
        <w:tc>
          <w:tcPr>
            <w:tcW w:w="442"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
              <w:jc w:val="center"/>
              <w:rPr>
                <w:rFonts w:ascii="宋体" w:hAnsi="宋体" w:cs="宋体" w:eastAsia="宋体" w:hint="default"/>
                <w:sz w:val="15"/>
                <w:szCs w:val="15"/>
              </w:rPr>
            </w:pPr>
            <w:r>
              <w:rPr>
                <w:rFonts w:ascii="宋体"/>
                <w:sz w:val="15"/>
              </w:rPr>
              <w:t>-8,100,000.00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1" w:right="0"/>
              <w:jc w:val="left"/>
              <w:rPr>
                <w:rFonts w:ascii="宋体" w:hAnsi="宋体" w:cs="宋体" w:eastAsia="宋体" w:hint="default"/>
                <w:sz w:val="15"/>
                <w:szCs w:val="15"/>
              </w:rPr>
            </w:pPr>
            <w:r>
              <w:rPr>
                <w:rFonts w:ascii="宋体"/>
                <w:sz w:val="15"/>
              </w:rPr>
              <w:t>1,506,097.80</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right="22"/>
              <w:jc w:val="right"/>
              <w:rPr>
                <w:rFonts w:ascii="宋体" w:hAnsi="宋体" w:cs="宋体" w:eastAsia="宋体" w:hint="default"/>
                <w:sz w:val="15"/>
                <w:szCs w:val="15"/>
              </w:rPr>
            </w:pPr>
            <w:r>
              <w:rPr>
                <w:rFonts w:ascii="宋体"/>
                <w:spacing w:val="-1"/>
                <w:sz w:val="15"/>
              </w:rPr>
              <w:t>894,302,344.2</w:t>
            </w:r>
          </w:p>
          <w:p>
            <w:pPr>
              <w:pStyle w:val="TableParagraph"/>
              <w:spacing w:line="195" w:lineRule="exact"/>
              <w:ind w:right="21"/>
              <w:jc w:val="right"/>
              <w:rPr>
                <w:rFonts w:ascii="宋体" w:hAnsi="宋体" w:cs="宋体" w:eastAsia="宋体" w:hint="default"/>
                <w:sz w:val="15"/>
                <w:szCs w:val="15"/>
              </w:rPr>
            </w:pPr>
            <w:r>
              <w:rPr>
                <w:rFonts w:ascii="宋体"/>
                <w:sz w:val="15"/>
              </w:rPr>
              <w:t>5</w:t>
            </w:r>
          </w:p>
        </w:tc>
      </w:tr>
      <w:tr>
        <w:trPr>
          <w:trHeight w:val="282" w:hRule="exact"/>
        </w:trPr>
        <w:tc>
          <w:tcPr>
            <w:tcW w:w="1277"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362" w:type="dxa"/>
            <w:tcBorders>
              <w:top w:val="single" w:sz="6" w:space="0" w:color="000000"/>
              <w:left w:val="single" w:sz="6" w:space="0" w:color="000000"/>
              <w:bottom w:val="single" w:sz="6" w:space="0" w:color="000000"/>
              <w:right w:val="single" w:sz="6" w:space="0" w:color="000000"/>
            </w:tcBorders>
          </w:tcPr>
          <w:p>
            <w:pPr/>
          </w:p>
        </w:tc>
        <w:tc>
          <w:tcPr>
            <w:tcW w:w="1112" w:type="dxa"/>
            <w:tcBorders>
              <w:top w:val="single" w:sz="6" w:space="0" w:color="000000"/>
              <w:left w:val="single" w:sz="6" w:space="0" w:color="000000"/>
              <w:bottom w:val="single" w:sz="6" w:space="0" w:color="000000"/>
              <w:right w:val="single" w:sz="6" w:space="0" w:color="000000"/>
            </w:tcBorders>
          </w:tcPr>
          <w:p>
            <w:pPr/>
          </w:p>
        </w:tc>
        <w:tc>
          <w:tcPr>
            <w:tcW w:w="1112" w:type="dxa"/>
            <w:tcBorders>
              <w:top w:val="single" w:sz="6" w:space="0" w:color="000000"/>
              <w:left w:val="single" w:sz="6" w:space="0" w:color="000000"/>
              <w:bottom w:val="single" w:sz="6" w:space="0" w:color="000000"/>
              <w:right w:val="single" w:sz="6" w:space="0" w:color="000000"/>
            </w:tcBorders>
          </w:tcPr>
          <w:p>
            <w:pPr/>
          </w:p>
        </w:tc>
        <w:tc>
          <w:tcPr>
            <w:tcW w:w="442"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
              <w:jc w:val="center"/>
              <w:rPr>
                <w:rFonts w:ascii="宋体" w:hAnsi="宋体" w:cs="宋体" w:eastAsia="宋体" w:hint="default"/>
                <w:sz w:val="15"/>
                <w:szCs w:val="15"/>
              </w:rPr>
            </w:pPr>
            <w:r>
              <w:rPr>
                <w:rFonts w:ascii="宋体"/>
                <w:sz w:val="15"/>
              </w:rPr>
              <w:t>/</w:t>
            </w:r>
          </w:p>
        </w:tc>
        <w:tc>
          <w:tcPr>
            <w:tcW w:w="36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
              <w:jc w:val="center"/>
              <w:rPr>
                <w:rFonts w:ascii="宋体" w:hAnsi="宋体" w:cs="宋体" w:eastAsia="宋体" w:hint="default"/>
                <w:sz w:val="15"/>
                <w:szCs w:val="15"/>
              </w:rPr>
            </w:pPr>
            <w:r>
              <w:rPr>
                <w:rFonts w:ascii="宋体"/>
                <w:sz w:val="15"/>
              </w:rPr>
              <w:t>/</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3" w:right="0"/>
              <w:jc w:val="left"/>
              <w:rPr>
                <w:rFonts w:ascii="宋体" w:hAnsi="宋体" w:cs="宋体" w:eastAsia="宋体" w:hint="default"/>
                <w:sz w:val="15"/>
                <w:szCs w:val="15"/>
              </w:rPr>
            </w:pPr>
            <w:r>
              <w:rPr>
                <w:rFonts w:ascii="宋体"/>
                <w:sz w:val="15"/>
              </w:rPr>
              <w:t>900,000,000.00</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5" w:right="0"/>
              <w:jc w:val="left"/>
              <w:rPr>
                <w:rFonts w:ascii="宋体" w:hAnsi="宋体" w:cs="宋体" w:eastAsia="宋体" w:hint="default"/>
                <w:sz w:val="15"/>
                <w:szCs w:val="15"/>
              </w:rPr>
            </w:pPr>
            <w:r>
              <w:rPr>
                <w:rFonts w:ascii="宋体"/>
                <w:sz w:val="15"/>
              </w:rPr>
              <w:t>892,796,246.45</w:t>
            </w:r>
          </w:p>
        </w:tc>
        <w:tc>
          <w:tcPr>
            <w:tcW w:w="442"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
              <w:jc w:val="center"/>
              <w:rPr>
                <w:rFonts w:ascii="宋体" w:hAnsi="宋体" w:cs="宋体" w:eastAsia="宋体" w:hint="default"/>
                <w:sz w:val="15"/>
                <w:szCs w:val="15"/>
              </w:rPr>
            </w:pPr>
            <w:r>
              <w:rPr>
                <w:rFonts w:ascii="宋体"/>
                <w:sz w:val="15"/>
              </w:rPr>
              <w:t>-8,100,000.00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1" w:right="0"/>
              <w:jc w:val="left"/>
              <w:rPr>
                <w:rFonts w:ascii="宋体" w:hAnsi="宋体" w:cs="宋体" w:eastAsia="宋体" w:hint="default"/>
                <w:sz w:val="15"/>
                <w:szCs w:val="15"/>
              </w:rPr>
            </w:pPr>
            <w:r>
              <w:rPr>
                <w:rFonts w:ascii="宋体"/>
                <w:sz w:val="15"/>
              </w:rPr>
              <w:t>1,506,097.80</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right="22"/>
              <w:jc w:val="right"/>
              <w:rPr>
                <w:rFonts w:ascii="宋体" w:hAnsi="宋体" w:cs="宋体" w:eastAsia="宋体" w:hint="default"/>
                <w:sz w:val="15"/>
                <w:szCs w:val="15"/>
              </w:rPr>
            </w:pPr>
            <w:r>
              <w:rPr>
                <w:rFonts w:ascii="宋体"/>
                <w:spacing w:val="-1"/>
                <w:sz w:val="15"/>
              </w:rPr>
              <w:t>894,302,344.2</w:t>
            </w:r>
          </w:p>
          <w:p>
            <w:pPr>
              <w:pStyle w:val="TableParagraph"/>
              <w:spacing w:line="195" w:lineRule="exact"/>
              <w:ind w:right="21"/>
              <w:jc w:val="right"/>
              <w:rPr>
                <w:rFonts w:ascii="宋体" w:hAnsi="宋体" w:cs="宋体" w:eastAsia="宋体" w:hint="default"/>
                <w:sz w:val="15"/>
                <w:szCs w:val="15"/>
              </w:rPr>
            </w:pPr>
            <w:r>
              <w:rPr>
                <w:rFonts w:ascii="宋体"/>
                <w:sz w:val="15"/>
              </w:rPr>
              <w:t>5</w:t>
            </w:r>
          </w:p>
        </w:tc>
      </w:tr>
    </w:tbl>
    <w:p>
      <w:pPr>
        <w:pStyle w:val="Heading2"/>
        <w:spacing w:line="240" w:lineRule="auto" w:before="82"/>
        <w:ind w:left="818" w:right="0"/>
        <w:jc w:val="left"/>
        <w:rPr>
          <w:b w:val="0"/>
          <w:bCs w:val="0"/>
        </w:rPr>
      </w:pPr>
      <w:r>
        <w:rPr/>
        <w:t>（</w:t>
      </w:r>
      <w:r>
        <w:rPr>
          <w:rFonts w:ascii="宋体" w:hAnsi="宋体" w:cs="宋体" w:eastAsia="宋体" w:hint="default"/>
        </w:rPr>
        <w:t>3</w:t>
      </w:r>
      <w:r>
        <w:rPr/>
        <w:t>）公司债券应付利息本年变化情况</w:t>
      </w:r>
      <w:r>
        <w:rPr>
          <w:b w:val="0"/>
          <w:bCs w:val="0"/>
        </w:rPr>
      </w:r>
    </w:p>
    <w:p>
      <w:pPr>
        <w:spacing w:line="240" w:lineRule="auto" w:before="12"/>
        <w:rPr>
          <w:rFonts w:ascii="宋体" w:hAnsi="宋体" w:cs="宋体" w:eastAsia="宋体" w:hint="default"/>
          <w:b/>
          <w:bCs/>
          <w:sz w:val="11"/>
          <w:szCs w:val="11"/>
        </w:rPr>
      </w:pPr>
    </w:p>
    <w:tbl>
      <w:tblPr>
        <w:tblW w:w="0" w:type="auto"/>
        <w:jc w:val="left"/>
        <w:tblInd w:w="710" w:type="dxa"/>
        <w:tblLayout w:type="fixed"/>
        <w:tblCellMar>
          <w:top w:w="0" w:type="dxa"/>
          <w:left w:w="0" w:type="dxa"/>
          <w:bottom w:w="0" w:type="dxa"/>
          <w:right w:w="0" w:type="dxa"/>
        </w:tblCellMar>
        <w:tblLook w:val="01E0"/>
      </w:tblPr>
      <w:tblGrid>
        <w:gridCol w:w="2810"/>
        <w:gridCol w:w="1686"/>
        <w:gridCol w:w="1588"/>
        <w:gridCol w:w="1569"/>
        <w:gridCol w:w="1398"/>
      </w:tblGrid>
      <w:tr>
        <w:trPr>
          <w:trHeight w:val="355" w:hRule="exact"/>
        </w:trPr>
        <w:tc>
          <w:tcPr>
            <w:tcW w:w="2810" w:type="dxa"/>
            <w:tcBorders>
              <w:top w:val="single" w:sz="8" w:space="0" w:color="000000"/>
              <w:left w:val="nil" w:sz="6" w:space="0" w:color="auto"/>
              <w:bottom w:val="single" w:sz="4" w:space="0" w:color="000000"/>
              <w:right w:val="nil" w:sz="6" w:space="0" w:color="auto"/>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b/>
                <w:bCs/>
                <w:sz w:val="18"/>
                <w:szCs w:val="18"/>
              </w:rPr>
              <w:t>债券名称</w:t>
            </w:r>
            <w:r>
              <w:rPr>
                <w:rFonts w:ascii="宋体" w:hAnsi="宋体" w:cs="宋体" w:eastAsia="宋体" w:hint="default"/>
                <w:sz w:val="18"/>
                <w:szCs w:val="18"/>
              </w:rPr>
            </w:r>
          </w:p>
        </w:tc>
        <w:tc>
          <w:tcPr>
            <w:tcW w:w="1686" w:type="dxa"/>
            <w:tcBorders>
              <w:top w:val="single" w:sz="8" w:space="0" w:color="000000"/>
              <w:left w:val="nil" w:sz="6" w:space="0" w:color="auto"/>
              <w:bottom w:val="single" w:sz="4" w:space="0" w:color="000000"/>
              <w:right w:val="nil" w:sz="6" w:space="0" w:color="auto"/>
            </w:tcBorders>
          </w:tcPr>
          <w:p>
            <w:pPr>
              <w:pStyle w:val="TableParagraph"/>
              <w:spacing w:line="240" w:lineRule="auto" w:before="23"/>
              <w:ind w:right="242"/>
              <w:jc w:val="right"/>
              <w:rPr>
                <w:rFonts w:ascii="宋体" w:hAnsi="宋体" w:cs="宋体" w:eastAsia="宋体" w:hint="default"/>
                <w:sz w:val="18"/>
                <w:szCs w:val="18"/>
              </w:rPr>
            </w:pPr>
            <w:r>
              <w:rPr>
                <w:rFonts w:ascii="宋体" w:hAnsi="宋体" w:cs="宋体" w:eastAsia="宋体" w:hint="default"/>
                <w:b/>
                <w:bCs/>
                <w:w w:val="95"/>
                <w:sz w:val="18"/>
                <w:szCs w:val="18"/>
              </w:rPr>
              <w:t>期初应付利息</w:t>
            </w:r>
            <w:r>
              <w:rPr>
                <w:rFonts w:ascii="宋体" w:hAnsi="宋体" w:cs="宋体" w:eastAsia="宋体" w:hint="default"/>
                <w:sz w:val="18"/>
                <w:szCs w:val="18"/>
              </w:rPr>
            </w:r>
          </w:p>
        </w:tc>
        <w:tc>
          <w:tcPr>
            <w:tcW w:w="1588" w:type="dxa"/>
            <w:tcBorders>
              <w:top w:val="single" w:sz="8" w:space="0" w:color="000000"/>
              <w:left w:val="nil" w:sz="6" w:space="0" w:color="auto"/>
              <w:bottom w:val="single" w:sz="4" w:space="0" w:color="000000"/>
              <w:right w:val="nil" w:sz="6" w:space="0" w:color="auto"/>
            </w:tcBorders>
          </w:tcPr>
          <w:p>
            <w:pPr>
              <w:pStyle w:val="TableParagraph"/>
              <w:spacing w:line="240" w:lineRule="auto" w:before="23"/>
              <w:ind w:right="172"/>
              <w:jc w:val="right"/>
              <w:rPr>
                <w:rFonts w:ascii="宋体" w:hAnsi="宋体" w:cs="宋体" w:eastAsia="宋体" w:hint="default"/>
                <w:sz w:val="18"/>
                <w:szCs w:val="18"/>
              </w:rPr>
            </w:pPr>
            <w:r>
              <w:rPr>
                <w:rFonts w:ascii="宋体" w:hAnsi="宋体" w:cs="宋体" w:eastAsia="宋体" w:hint="default"/>
                <w:b/>
                <w:bCs/>
                <w:w w:val="95"/>
                <w:sz w:val="18"/>
                <w:szCs w:val="18"/>
              </w:rPr>
              <w:t>本期应计利息</w:t>
            </w:r>
            <w:r>
              <w:rPr>
                <w:rFonts w:ascii="宋体" w:hAnsi="宋体" w:cs="宋体" w:eastAsia="宋体" w:hint="default"/>
                <w:sz w:val="18"/>
                <w:szCs w:val="18"/>
              </w:rPr>
            </w:r>
          </w:p>
        </w:tc>
        <w:tc>
          <w:tcPr>
            <w:tcW w:w="1569" w:type="dxa"/>
            <w:tcBorders>
              <w:top w:val="single" w:sz="8" w:space="0" w:color="000000"/>
              <w:left w:val="nil" w:sz="6" w:space="0" w:color="auto"/>
              <w:bottom w:val="single" w:sz="4" w:space="0" w:color="000000"/>
              <w:right w:val="nil" w:sz="6" w:space="0" w:color="auto"/>
            </w:tcBorders>
          </w:tcPr>
          <w:p>
            <w:pPr>
              <w:pStyle w:val="TableParagraph"/>
              <w:spacing w:line="240" w:lineRule="auto" w:before="23"/>
              <w:ind w:right="222"/>
              <w:jc w:val="right"/>
              <w:rPr>
                <w:rFonts w:ascii="宋体" w:hAnsi="宋体" w:cs="宋体" w:eastAsia="宋体" w:hint="default"/>
                <w:sz w:val="18"/>
                <w:szCs w:val="18"/>
              </w:rPr>
            </w:pPr>
            <w:r>
              <w:rPr>
                <w:rFonts w:ascii="宋体" w:hAnsi="宋体" w:cs="宋体" w:eastAsia="宋体" w:hint="default"/>
                <w:b/>
                <w:bCs/>
                <w:w w:val="95"/>
                <w:sz w:val="18"/>
                <w:szCs w:val="18"/>
              </w:rPr>
              <w:t>本期已付利息</w:t>
            </w:r>
            <w:r>
              <w:rPr>
                <w:rFonts w:ascii="宋体" w:hAnsi="宋体" w:cs="宋体" w:eastAsia="宋体" w:hint="default"/>
                <w:sz w:val="18"/>
                <w:szCs w:val="18"/>
              </w:rPr>
            </w:r>
          </w:p>
        </w:tc>
        <w:tc>
          <w:tcPr>
            <w:tcW w:w="1398" w:type="dxa"/>
            <w:tcBorders>
              <w:top w:val="single" w:sz="8" w:space="0" w:color="000000"/>
              <w:left w:val="nil" w:sz="6" w:space="0" w:color="auto"/>
              <w:bottom w:val="single" w:sz="4" w:space="0" w:color="000000"/>
              <w:right w:val="nil" w:sz="6" w:space="0" w:color="auto"/>
            </w:tcBorders>
          </w:tcPr>
          <w:p>
            <w:pPr>
              <w:pStyle w:val="TableParagraph"/>
              <w:spacing w:line="240" w:lineRule="auto" w:before="23"/>
              <w:ind w:right="1"/>
              <w:jc w:val="right"/>
              <w:rPr>
                <w:rFonts w:ascii="宋体" w:hAnsi="宋体" w:cs="宋体" w:eastAsia="宋体" w:hint="default"/>
                <w:sz w:val="18"/>
                <w:szCs w:val="18"/>
              </w:rPr>
            </w:pPr>
            <w:r>
              <w:rPr>
                <w:rFonts w:ascii="宋体" w:hAnsi="宋体" w:cs="宋体" w:eastAsia="宋体" w:hint="default"/>
                <w:b/>
                <w:bCs/>
                <w:w w:val="95"/>
                <w:sz w:val="18"/>
                <w:szCs w:val="18"/>
              </w:rPr>
              <w:t>期末应付利息</w:t>
            </w:r>
            <w:r>
              <w:rPr>
                <w:rFonts w:ascii="宋体" w:hAnsi="宋体" w:cs="宋体" w:eastAsia="宋体" w:hint="default"/>
                <w:sz w:val="18"/>
                <w:szCs w:val="18"/>
              </w:rPr>
            </w:r>
          </w:p>
        </w:tc>
      </w:tr>
      <w:tr>
        <w:trPr>
          <w:trHeight w:val="916" w:hRule="exact"/>
        </w:trPr>
        <w:tc>
          <w:tcPr>
            <w:tcW w:w="2810" w:type="dxa"/>
            <w:tcBorders>
              <w:top w:val="single" w:sz="4"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8" w:right="269"/>
              <w:jc w:val="left"/>
              <w:rPr>
                <w:rFonts w:ascii="宋体" w:hAnsi="宋体" w:cs="宋体" w:eastAsia="宋体" w:hint="default"/>
                <w:sz w:val="18"/>
                <w:szCs w:val="18"/>
              </w:rPr>
            </w:pPr>
            <w:r>
              <w:rPr>
                <w:rFonts w:ascii="宋体" w:hAnsi="宋体" w:cs="宋体" w:eastAsia="宋体" w:hint="default"/>
                <w:sz w:val="18"/>
                <w:szCs w:val="18"/>
              </w:rPr>
              <w:t>北京华胜天成科技股份有限公 司</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年公司债券（第一期）</w:t>
            </w:r>
          </w:p>
        </w:tc>
        <w:tc>
          <w:tcPr>
            <w:tcW w:w="1686" w:type="dxa"/>
            <w:tcBorders>
              <w:top w:val="single" w:sz="4" w:space="0" w:color="000000"/>
              <w:left w:val="nil" w:sz="6" w:space="0" w:color="auto"/>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right="241"/>
              <w:jc w:val="right"/>
              <w:rPr>
                <w:rFonts w:ascii="宋体" w:hAnsi="宋体" w:cs="宋体" w:eastAsia="宋体" w:hint="default"/>
                <w:sz w:val="18"/>
                <w:szCs w:val="18"/>
              </w:rPr>
            </w:pPr>
            <w:r>
              <w:rPr>
                <w:rFonts w:ascii="宋体"/>
                <w:sz w:val="18"/>
              </w:rPr>
              <w:t>41,760,000.00</w:t>
            </w:r>
          </w:p>
        </w:tc>
        <w:tc>
          <w:tcPr>
            <w:tcW w:w="1588" w:type="dxa"/>
            <w:tcBorders>
              <w:top w:val="single" w:sz="4" w:space="0" w:color="000000"/>
              <w:left w:val="nil" w:sz="6" w:space="0" w:color="auto"/>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right="172"/>
              <w:jc w:val="right"/>
              <w:rPr>
                <w:rFonts w:ascii="宋体" w:hAnsi="宋体" w:cs="宋体" w:eastAsia="宋体" w:hint="default"/>
                <w:sz w:val="18"/>
                <w:szCs w:val="18"/>
              </w:rPr>
            </w:pPr>
            <w:r>
              <w:rPr>
                <w:rFonts w:ascii="宋体"/>
                <w:sz w:val="18"/>
              </w:rPr>
              <w:t>52,200,000.00</w:t>
            </w:r>
          </w:p>
        </w:tc>
        <w:tc>
          <w:tcPr>
            <w:tcW w:w="1569" w:type="dxa"/>
            <w:tcBorders>
              <w:top w:val="single" w:sz="4" w:space="0" w:color="000000"/>
              <w:left w:val="nil" w:sz="6" w:space="0" w:color="auto"/>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right="223"/>
              <w:jc w:val="right"/>
              <w:rPr>
                <w:rFonts w:ascii="宋体" w:hAnsi="宋体" w:cs="宋体" w:eastAsia="宋体" w:hint="default"/>
                <w:sz w:val="18"/>
                <w:szCs w:val="18"/>
              </w:rPr>
            </w:pPr>
            <w:r>
              <w:rPr>
                <w:rFonts w:ascii="宋体"/>
                <w:sz w:val="18"/>
              </w:rPr>
              <w:t>52,202,610.00</w:t>
            </w:r>
          </w:p>
        </w:tc>
        <w:tc>
          <w:tcPr>
            <w:tcW w:w="1398" w:type="dxa"/>
            <w:tcBorders>
              <w:top w:val="single" w:sz="4" w:space="0" w:color="000000"/>
              <w:left w:val="nil" w:sz="6" w:space="0" w:color="auto"/>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right="1"/>
              <w:jc w:val="right"/>
              <w:rPr>
                <w:rFonts w:ascii="宋体" w:hAnsi="宋体" w:cs="宋体" w:eastAsia="宋体" w:hint="default"/>
                <w:sz w:val="18"/>
                <w:szCs w:val="18"/>
              </w:rPr>
            </w:pPr>
            <w:r>
              <w:rPr>
                <w:rFonts w:ascii="宋体"/>
                <w:sz w:val="18"/>
              </w:rPr>
              <w:t>41,757,390.00</w:t>
            </w:r>
          </w:p>
        </w:tc>
      </w:tr>
    </w:tbl>
    <w:p>
      <w:pPr>
        <w:pStyle w:val="BodyText"/>
        <w:spacing w:line="240" w:lineRule="auto" w:before="81"/>
        <w:ind w:left="818" w:right="0"/>
        <w:jc w:val="left"/>
      </w:pPr>
      <w:r>
        <w:rPr/>
        <w:t>说明：</w:t>
      </w:r>
    </w:p>
    <w:p>
      <w:pPr>
        <w:pStyle w:val="BodyText"/>
        <w:spacing w:line="312" w:lineRule="exact" w:before="118"/>
        <w:ind w:left="1418" w:right="0"/>
        <w:jc w:val="left"/>
      </w:pPr>
      <w:r>
        <w:rPr>
          <w:rFonts w:ascii="宋体" w:hAnsi="宋体" w:cs="宋体" w:eastAsia="宋体" w:hint="default"/>
        </w:rPr>
        <w:t>A</w:t>
      </w:r>
      <w:r>
        <w:rPr/>
        <w:t>、</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6</w:t>
      </w:r>
      <w:r>
        <w:rPr>
          <w:rFonts w:ascii="宋体" w:hAnsi="宋体" w:cs="宋体" w:eastAsia="宋体" w:hint="default"/>
          <w:spacing w:val="-60"/>
        </w:rPr>
        <w:t> </w:t>
      </w:r>
      <w:r>
        <w:rPr/>
        <w:t>日，经本公司</w:t>
      </w:r>
      <w:r>
        <w:rPr>
          <w:spacing w:val="-60"/>
        </w:rPr>
        <w:t> </w:t>
      </w:r>
      <w:r>
        <w:rPr>
          <w:rFonts w:ascii="宋体" w:hAnsi="宋体" w:cs="宋体" w:eastAsia="宋体" w:hint="default"/>
        </w:rPr>
        <w:t>2012</w:t>
      </w:r>
      <w:r>
        <w:rPr>
          <w:rFonts w:ascii="宋体" w:hAnsi="宋体" w:cs="宋体" w:eastAsia="宋体" w:hint="default"/>
          <w:spacing w:val="-60"/>
        </w:rPr>
        <w:t> </w:t>
      </w:r>
      <w:r>
        <w:rPr/>
        <w:t>年第二次临时股东大会决议，拟发行规模</w:t>
      </w:r>
    </w:p>
    <w:p>
      <w:pPr>
        <w:pStyle w:val="BodyText"/>
        <w:spacing w:line="311" w:lineRule="exact"/>
        <w:ind w:left="938" w:right="0"/>
        <w:jc w:val="both"/>
      </w:pPr>
      <w:r>
        <w:rPr/>
        <w:t>不超过人民币</w:t>
      </w:r>
      <w:r>
        <w:rPr>
          <w:spacing w:val="-60"/>
        </w:rPr>
        <w:t> </w:t>
      </w:r>
      <w:r>
        <w:rPr>
          <w:rFonts w:ascii="宋体" w:hAnsi="宋体" w:cs="宋体" w:eastAsia="宋体" w:hint="default"/>
        </w:rPr>
        <w:t>9</w:t>
      </w:r>
      <w:r>
        <w:rPr>
          <w:rFonts w:ascii="宋体" w:hAnsi="宋体" w:cs="宋体" w:eastAsia="宋体" w:hint="default"/>
          <w:spacing w:val="-60"/>
        </w:rPr>
        <w:t> </w:t>
      </w:r>
      <w:r>
        <w:rPr/>
        <w:t>亿（含</w:t>
      </w:r>
      <w:r>
        <w:rPr>
          <w:spacing w:val="-60"/>
        </w:rPr>
        <w:t> </w:t>
      </w:r>
      <w:r>
        <w:rPr>
          <w:rFonts w:ascii="宋体" w:hAnsi="宋体" w:cs="宋体" w:eastAsia="宋体" w:hint="default"/>
        </w:rPr>
        <w:t>9</w:t>
      </w:r>
      <w:r>
        <w:rPr>
          <w:rFonts w:ascii="宋体" w:hAnsi="宋体" w:cs="宋体" w:eastAsia="宋体" w:hint="default"/>
          <w:spacing w:val="-60"/>
        </w:rPr>
        <w:t> </w:t>
      </w:r>
      <w:r>
        <w:rPr/>
        <w:t>亿）的公司债券。</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15</w:t>
      </w:r>
      <w:r>
        <w:rPr>
          <w:rFonts w:ascii="宋体" w:hAnsi="宋体" w:cs="宋体" w:eastAsia="宋体" w:hint="default"/>
          <w:spacing w:val="-60"/>
        </w:rPr>
        <w:t> </w:t>
      </w:r>
      <w:r>
        <w:rPr/>
        <w:t>日，经中国证券监督管</w:t>
      </w:r>
    </w:p>
    <w:p>
      <w:pPr>
        <w:pStyle w:val="BodyText"/>
        <w:spacing w:line="237" w:lineRule="auto" w:before="1"/>
        <w:ind w:left="938" w:right="571"/>
        <w:jc w:val="both"/>
      </w:pPr>
      <w:r>
        <w:rPr/>
        <w:t>理委员会证监许可</w:t>
      </w:r>
      <w:r>
        <w:rPr>
          <w:rFonts w:ascii="宋体" w:hAnsi="宋体" w:cs="宋体" w:eastAsia="宋体" w:hint="default"/>
        </w:rPr>
        <w:t>[2012]1531</w:t>
      </w:r>
      <w:r>
        <w:rPr>
          <w:rFonts w:ascii="宋体" w:hAnsi="宋体" w:cs="宋体" w:eastAsia="宋体" w:hint="default"/>
          <w:spacing w:val="-60"/>
        </w:rPr>
        <w:t> </w:t>
      </w:r>
      <w:r>
        <w:rPr/>
        <w:t>号文核准，本公司获准发行票面总额不超过人民币</w:t>
      </w:r>
      <w:r>
        <w:rPr>
          <w:spacing w:val="-60"/>
        </w:rPr>
        <w:t> </w:t>
      </w:r>
      <w:r>
        <w:rPr>
          <w:rFonts w:ascii="宋体" w:hAnsi="宋体" w:cs="宋体" w:eastAsia="宋体" w:hint="default"/>
        </w:rPr>
        <w:t>9 </w:t>
      </w:r>
      <w:r>
        <w:rPr/>
        <w:t>亿元公司债券。根据网下向投资者询价申购结果，经本公司和主承销商渤海证券股 </w:t>
      </w:r>
      <w:r>
        <w:rPr>
          <w:spacing w:val="-6"/>
        </w:rPr>
        <w:t>份有限公司协商一致，确定本公司</w:t>
      </w:r>
      <w:r>
        <w:rPr>
          <w:spacing w:val="-57"/>
        </w:rPr>
        <w:t> </w:t>
      </w:r>
      <w:r>
        <w:rPr>
          <w:rFonts w:ascii="宋体" w:hAnsi="宋体" w:cs="宋体" w:eastAsia="宋体" w:hint="default"/>
        </w:rPr>
        <w:t>2012</w:t>
      </w:r>
      <w:r>
        <w:rPr>
          <w:rFonts w:ascii="宋体" w:hAnsi="宋体" w:cs="宋体" w:eastAsia="宋体" w:hint="default"/>
          <w:spacing w:val="-57"/>
        </w:rPr>
        <w:t> </w:t>
      </w:r>
      <w:r>
        <w:rPr>
          <w:spacing w:val="-12"/>
        </w:rPr>
        <w:t>年公司债券（第一期）票面利率为</w:t>
      </w:r>
      <w:r>
        <w:rPr>
          <w:spacing w:val="-57"/>
        </w:rPr>
        <w:t> </w:t>
      </w:r>
      <w:r>
        <w:rPr>
          <w:rFonts w:ascii="宋体" w:hAnsi="宋体" w:cs="宋体" w:eastAsia="宋体" w:hint="default"/>
          <w:spacing w:val="-10"/>
        </w:rPr>
        <w:t>5.8%</w:t>
      </w:r>
      <w:r>
        <w:rPr>
          <w:spacing w:val="-10"/>
        </w:rPr>
        <w:t>。</w:t>
      </w:r>
      <w:r>
        <w:rPr>
          <w:rFonts w:ascii="宋体" w:hAnsi="宋体" w:cs="宋体" w:eastAsia="宋体" w:hint="default"/>
          <w:spacing w:val="-10"/>
        </w:rPr>
        <w:t>2013</w:t>
      </w:r>
      <w:r>
        <w:rPr>
          <w:rFonts w:ascii="宋体" w:hAnsi="宋体" w:cs="宋体" w:eastAsia="宋体" w:hint="default"/>
        </w:rPr>
        <w:t> </w:t>
      </w:r>
      <w:r>
        <w:rPr/>
        <w:t>年</w:t>
      </w:r>
      <w:r>
        <w:rPr>
          <w:spacing w:val="-59"/>
        </w:rPr>
        <w:t> </w:t>
      </w:r>
      <w:r>
        <w:rPr>
          <w:rFonts w:ascii="宋体" w:hAnsi="宋体" w:cs="宋体" w:eastAsia="宋体" w:hint="default"/>
        </w:rPr>
        <w:t>3</w:t>
      </w:r>
      <w:r>
        <w:rPr>
          <w:rFonts w:ascii="宋体" w:hAnsi="宋体" w:cs="宋体" w:eastAsia="宋体" w:hint="default"/>
          <w:spacing w:val="-59"/>
        </w:rPr>
        <w:t> </w:t>
      </w:r>
      <w:r>
        <w:rPr/>
        <w:t>月</w:t>
      </w:r>
      <w:r>
        <w:rPr>
          <w:spacing w:val="-59"/>
        </w:rPr>
        <w:t> </w:t>
      </w:r>
      <w:r>
        <w:rPr>
          <w:rFonts w:ascii="宋体" w:hAnsi="宋体" w:cs="宋体" w:eastAsia="宋体" w:hint="default"/>
        </w:rPr>
        <w:t>13</w:t>
      </w:r>
      <w:r>
        <w:rPr>
          <w:rFonts w:ascii="宋体" w:hAnsi="宋体" w:cs="宋体" w:eastAsia="宋体" w:hint="default"/>
          <w:spacing w:val="-59"/>
        </w:rPr>
        <w:t> </w:t>
      </w:r>
      <w:r>
        <w:rPr/>
        <w:t>日面向社会公众投资者网上公开发行</w:t>
      </w:r>
      <w:r>
        <w:rPr>
          <w:spacing w:val="-59"/>
        </w:rPr>
        <w:t> </w:t>
      </w:r>
      <w:r>
        <w:rPr>
          <w:rFonts w:ascii="宋体" w:hAnsi="宋体" w:cs="宋体" w:eastAsia="宋体" w:hint="default"/>
        </w:rPr>
        <w:t>0.5</w:t>
      </w:r>
      <w:r>
        <w:rPr>
          <w:rFonts w:ascii="宋体" w:hAnsi="宋体" w:cs="宋体" w:eastAsia="宋体" w:hint="default"/>
          <w:spacing w:val="-59"/>
        </w:rPr>
        <w:t> </w:t>
      </w:r>
      <w:r>
        <w:rPr>
          <w:spacing w:val="-4"/>
        </w:rPr>
        <w:t>亿元，占本期公司债券发行总量</w:t>
      </w:r>
    </w:p>
    <w:p>
      <w:pPr>
        <w:pStyle w:val="BodyText"/>
        <w:spacing w:line="311" w:lineRule="exact"/>
        <w:ind w:left="938" w:right="0"/>
        <w:jc w:val="both"/>
      </w:pPr>
      <w:r>
        <w:rPr/>
        <w:t>的</w:t>
      </w:r>
      <w:r>
        <w:rPr>
          <w:spacing w:val="-60"/>
        </w:rPr>
        <w:t> </w:t>
      </w:r>
      <w:r>
        <w:rPr>
          <w:rFonts w:ascii="宋体" w:hAnsi="宋体" w:cs="宋体" w:eastAsia="宋体" w:hint="default"/>
        </w:rPr>
        <w:t>5.55%</w:t>
      </w:r>
      <w:r>
        <w:rPr/>
        <w:t>。</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13</w:t>
      </w:r>
      <w:r>
        <w:rPr>
          <w:rFonts w:ascii="宋体" w:hAnsi="宋体" w:cs="宋体" w:eastAsia="宋体" w:hint="default"/>
          <w:spacing w:val="-60"/>
        </w:rPr>
        <w:t> </w:t>
      </w:r>
      <w:r>
        <w:rPr/>
        <w:t>日至</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15</w:t>
      </w:r>
      <w:r>
        <w:rPr>
          <w:rFonts w:ascii="宋体" w:hAnsi="宋体" w:cs="宋体" w:eastAsia="宋体" w:hint="default"/>
          <w:spacing w:val="-60"/>
        </w:rPr>
        <w:t> </w:t>
      </w:r>
      <w:r>
        <w:rPr/>
        <w:t>日面向投资者网下协议发行</w:t>
      </w:r>
      <w:r>
        <w:rPr>
          <w:spacing w:val="-60"/>
        </w:rPr>
        <w:t> </w:t>
      </w:r>
      <w:r>
        <w:rPr>
          <w:rFonts w:ascii="宋体" w:hAnsi="宋体" w:cs="宋体" w:eastAsia="宋体" w:hint="default"/>
        </w:rPr>
        <w:t>8.5</w:t>
      </w:r>
      <w:r>
        <w:rPr>
          <w:rFonts w:ascii="宋体" w:hAnsi="宋体" w:cs="宋体" w:eastAsia="宋体" w:hint="default"/>
          <w:spacing w:val="-60"/>
        </w:rPr>
        <w:t> </w:t>
      </w:r>
      <w:r>
        <w:rPr/>
        <w:t>亿元，占本</w:t>
      </w:r>
    </w:p>
    <w:p>
      <w:pPr>
        <w:pStyle w:val="BodyText"/>
        <w:spacing w:line="240" w:lineRule="auto"/>
        <w:ind w:left="938" w:right="585"/>
        <w:jc w:val="both"/>
      </w:pPr>
      <w:r>
        <w:rPr/>
        <w:t>期公司债券发行总量的</w:t>
      </w:r>
      <w:r>
        <w:rPr>
          <w:spacing w:val="-60"/>
        </w:rPr>
        <w:t> </w:t>
      </w:r>
      <w:r>
        <w:rPr>
          <w:rFonts w:ascii="宋体" w:hAnsi="宋体" w:cs="宋体" w:eastAsia="宋体" w:hint="default"/>
        </w:rPr>
        <w:t>94.45%</w:t>
      </w:r>
      <w:r>
        <w:rPr/>
        <w:t>。本期债券为</w:t>
      </w:r>
      <w:r>
        <w:rPr>
          <w:spacing w:val="-60"/>
        </w:rPr>
        <w:t> </w:t>
      </w:r>
      <w:r>
        <w:rPr>
          <w:rFonts w:ascii="宋体" w:hAnsi="宋体" w:cs="宋体" w:eastAsia="宋体" w:hint="default"/>
        </w:rPr>
        <w:t>5</w:t>
      </w:r>
      <w:r>
        <w:rPr>
          <w:rFonts w:ascii="宋体" w:hAnsi="宋体" w:cs="宋体" w:eastAsia="宋体" w:hint="default"/>
          <w:spacing w:val="-60"/>
        </w:rPr>
        <w:t> </w:t>
      </w:r>
      <w:r>
        <w:rPr/>
        <w:t>年期固定利率债券，附第</w:t>
      </w:r>
      <w:r>
        <w:rPr>
          <w:spacing w:val="-60"/>
        </w:rPr>
        <w:t> </w:t>
      </w:r>
      <w:r>
        <w:rPr>
          <w:rFonts w:ascii="宋体" w:hAnsi="宋体" w:cs="宋体" w:eastAsia="宋体" w:hint="default"/>
        </w:rPr>
        <w:t>3</w:t>
      </w:r>
      <w:r>
        <w:rPr>
          <w:rFonts w:ascii="宋体" w:hAnsi="宋体" w:cs="宋体" w:eastAsia="宋体" w:hint="default"/>
          <w:spacing w:val="-60"/>
        </w:rPr>
        <w:t> </w:t>
      </w:r>
      <w:r>
        <w:rPr/>
        <w:t>年末发行 人上调票面利率选择权和投资者回售选择权。</w:t>
      </w:r>
    </w:p>
    <w:p>
      <w:pPr>
        <w:pStyle w:val="BodyText"/>
        <w:spacing w:line="312" w:lineRule="exact" w:before="116"/>
        <w:ind w:left="1418" w:right="0"/>
        <w:jc w:val="left"/>
      </w:pPr>
      <w:r>
        <w:rPr>
          <w:rFonts w:ascii="宋体" w:hAnsi="宋体" w:cs="宋体" w:eastAsia="宋体" w:hint="default"/>
        </w:rPr>
        <w:t>B</w:t>
      </w:r>
      <w:r>
        <w:rPr/>
        <w:t>、本次发行公司债券应募集资金总额为人民币</w:t>
      </w:r>
      <w:r>
        <w:rPr>
          <w:spacing w:val="-60"/>
        </w:rPr>
        <w:t> </w:t>
      </w:r>
      <w:r>
        <w:rPr>
          <w:rFonts w:ascii="宋体" w:hAnsi="宋体" w:cs="宋体" w:eastAsia="宋体" w:hint="default"/>
        </w:rPr>
        <w:t>900,000,000.00</w:t>
      </w:r>
      <w:r>
        <w:rPr>
          <w:rFonts w:ascii="宋体" w:hAnsi="宋体" w:cs="宋体" w:eastAsia="宋体" w:hint="default"/>
          <w:spacing w:val="-60"/>
        </w:rPr>
        <w:t> </w:t>
      </w:r>
      <w:r>
        <w:rPr/>
        <w:t>元，扣除承销</w:t>
      </w:r>
    </w:p>
    <w:p>
      <w:pPr>
        <w:pStyle w:val="BodyText"/>
        <w:spacing w:line="312" w:lineRule="exact" w:before="29"/>
        <w:ind w:left="938" w:right="645"/>
        <w:jc w:val="both"/>
      </w:pPr>
      <w:r>
        <w:rPr/>
        <w:t>费和保荐费</w:t>
      </w:r>
      <w:r>
        <w:rPr>
          <w:spacing w:val="-60"/>
        </w:rPr>
        <w:t> </w:t>
      </w:r>
      <w:r>
        <w:rPr>
          <w:rFonts w:ascii="宋体" w:hAnsi="宋体" w:cs="宋体" w:eastAsia="宋体" w:hint="default"/>
        </w:rPr>
        <w:t>8,100,000.00</w:t>
      </w:r>
      <w:r>
        <w:rPr>
          <w:rFonts w:ascii="宋体" w:hAnsi="宋体" w:cs="宋体" w:eastAsia="宋体" w:hint="default"/>
          <w:spacing w:val="-60"/>
        </w:rPr>
        <w:t> </w:t>
      </w:r>
      <w:r>
        <w:rPr/>
        <w:t>元后的募集资金为人民币</w:t>
      </w:r>
      <w:r>
        <w:rPr>
          <w:spacing w:val="-60"/>
        </w:rPr>
        <w:t> </w:t>
      </w:r>
      <w:r>
        <w:rPr>
          <w:rFonts w:ascii="宋体" w:hAnsi="宋体" w:cs="宋体" w:eastAsia="宋体" w:hint="default"/>
        </w:rPr>
        <w:t>891,900,000.00</w:t>
      </w:r>
      <w:r>
        <w:rPr>
          <w:rFonts w:ascii="宋体" w:hAnsi="宋体" w:cs="宋体" w:eastAsia="宋体" w:hint="default"/>
          <w:spacing w:val="-60"/>
        </w:rPr>
        <w:t> </w:t>
      </w:r>
      <w:r>
        <w:rPr/>
        <w:t>元，主承销商 渤海证券股份有限公司已将上述款项汇入本公司银行账户。上述募集资金到位情况</w:t>
      </w:r>
    </w:p>
    <w:p>
      <w:pPr>
        <w:spacing w:after="0" w:line="312" w:lineRule="exact"/>
        <w:jc w:val="both"/>
        <w:sectPr>
          <w:type w:val="continuous"/>
          <w:pgSz w:w="11910" w:h="16840"/>
          <w:pgMar w:top="1080" w:bottom="1380" w:left="980" w:right="700"/>
        </w:sectPr>
      </w:pPr>
    </w:p>
    <w:p>
      <w:pPr>
        <w:spacing w:line="240" w:lineRule="auto" w:before="9"/>
        <w:rPr>
          <w:rFonts w:ascii="宋体" w:hAnsi="宋体" w:cs="宋体" w:eastAsia="宋体" w:hint="default"/>
          <w:sz w:val="25"/>
          <w:szCs w:val="25"/>
        </w:rPr>
      </w:pPr>
    </w:p>
    <w:p>
      <w:pPr>
        <w:pStyle w:val="BodyText"/>
        <w:spacing w:line="310" w:lineRule="exact" w:before="58"/>
        <w:ind w:left="598" w:right="478"/>
        <w:jc w:val="left"/>
      </w:pPr>
      <w:r>
        <w:rPr>
          <w:spacing w:val="-10"/>
        </w:rPr>
        <w:t>业经致同会计师事务所（特殊普通合伙）验证，并出具致同验字（</w:t>
      </w:r>
      <w:r>
        <w:rPr>
          <w:rFonts w:ascii="宋体" w:hAnsi="宋体" w:cs="宋体" w:eastAsia="宋体" w:hint="default"/>
          <w:spacing w:val="-10"/>
        </w:rPr>
        <w:t>2013</w:t>
      </w:r>
      <w:r>
        <w:rPr>
          <w:spacing w:val="-10"/>
        </w:rPr>
        <w:t>）第</w:t>
      </w:r>
      <w:r>
        <w:rPr>
          <w:spacing w:val="-60"/>
        </w:rPr>
        <w:t> </w:t>
      </w:r>
      <w:r>
        <w:rPr>
          <w:rFonts w:ascii="宋体" w:hAnsi="宋体" w:cs="宋体" w:eastAsia="宋体" w:hint="default"/>
        </w:rPr>
        <w:t>110ZA0037 </w:t>
      </w:r>
      <w:r>
        <w:rPr/>
        <w:t>号《验资报告》。</w:t>
      </w:r>
    </w:p>
    <w:p>
      <w:pPr>
        <w:pStyle w:val="BodyText"/>
        <w:spacing w:line="313" w:lineRule="exact" w:before="89"/>
        <w:ind w:left="1078" w:right="478"/>
        <w:jc w:val="left"/>
      </w:pPr>
      <w:r>
        <w:rPr>
          <w:rFonts w:ascii="宋体" w:hAnsi="宋体" w:cs="宋体" w:eastAsia="宋体" w:hint="default"/>
        </w:rPr>
        <w:t>C</w:t>
      </w:r>
      <w:r>
        <w:rPr/>
        <w:t>、初始确认利息调整金额为</w:t>
      </w:r>
      <w:r>
        <w:rPr>
          <w:spacing w:val="-60"/>
        </w:rPr>
        <w:t> </w:t>
      </w:r>
      <w:r>
        <w:rPr>
          <w:rFonts w:ascii="宋体" w:hAnsi="宋体" w:cs="宋体" w:eastAsia="宋体" w:hint="default"/>
        </w:rPr>
        <w:t>8,100,000.00</w:t>
      </w:r>
      <w:r>
        <w:rPr>
          <w:rFonts w:ascii="宋体" w:hAnsi="宋体" w:cs="宋体" w:eastAsia="宋体" w:hint="default"/>
          <w:spacing w:val="-60"/>
        </w:rPr>
        <w:t> </w:t>
      </w:r>
      <w:r>
        <w:rPr/>
        <w:t>元，本期按照实际利率计算利息费</w:t>
      </w:r>
    </w:p>
    <w:p>
      <w:pPr>
        <w:pStyle w:val="BodyText"/>
        <w:spacing w:line="311" w:lineRule="exact"/>
        <w:ind w:left="598" w:right="478"/>
        <w:jc w:val="left"/>
      </w:pPr>
      <w:r>
        <w:rPr/>
        <w:t>用为</w:t>
      </w:r>
      <w:r>
        <w:rPr>
          <w:spacing w:val="-60"/>
        </w:rPr>
        <w:t> </w:t>
      </w:r>
      <w:r>
        <w:rPr>
          <w:rFonts w:ascii="宋体" w:hAnsi="宋体" w:cs="宋体" w:eastAsia="宋体" w:hint="default"/>
        </w:rPr>
        <w:t>53,706,097.80</w:t>
      </w:r>
      <w:r>
        <w:rPr>
          <w:rFonts w:ascii="宋体" w:hAnsi="宋体" w:cs="宋体" w:eastAsia="宋体" w:hint="default"/>
          <w:spacing w:val="-60"/>
        </w:rPr>
        <w:t> </w:t>
      </w:r>
      <w:r>
        <w:rPr/>
        <w:t>元，按票面利率计算应计利息</w:t>
      </w:r>
      <w:r>
        <w:rPr>
          <w:spacing w:val="-60"/>
        </w:rPr>
        <w:t> </w:t>
      </w:r>
      <w:r>
        <w:rPr>
          <w:rFonts w:ascii="宋体" w:hAnsi="宋体" w:cs="宋体" w:eastAsia="宋体" w:hint="default"/>
        </w:rPr>
        <w:t>52,200,000.00</w:t>
      </w:r>
      <w:r>
        <w:rPr>
          <w:rFonts w:ascii="宋体" w:hAnsi="宋体" w:cs="宋体" w:eastAsia="宋体" w:hint="default"/>
          <w:spacing w:val="-60"/>
        </w:rPr>
        <w:t> </w:t>
      </w:r>
      <w:r>
        <w:rPr/>
        <w:t>元，差额</w:t>
      </w:r>
    </w:p>
    <w:p>
      <w:pPr>
        <w:pStyle w:val="BodyText"/>
        <w:spacing w:line="312" w:lineRule="exact"/>
        <w:ind w:left="598" w:right="478"/>
        <w:jc w:val="left"/>
      </w:pPr>
      <w:r>
        <w:rPr>
          <w:rFonts w:ascii="宋体" w:hAnsi="宋体" w:cs="宋体" w:eastAsia="宋体" w:hint="default"/>
        </w:rPr>
        <w:t>1,506,097.80</w:t>
      </w:r>
      <w:r>
        <w:rPr>
          <w:rFonts w:ascii="宋体" w:hAnsi="宋体" w:cs="宋体" w:eastAsia="宋体" w:hint="default"/>
          <w:spacing w:val="-60"/>
        </w:rPr>
        <w:t> </w:t>
      </w:r>
      <w:r>
        <w:rPr/>
        <w:t>元调整利息调整项目。</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320" w:right="780"/>
        </w:sectPr>
      </w:pPr>
    </w:p>
    <w:p>
      <w:pPr>
        <w:pStyle w:val="Heading2"/>
        <w:spacing w:line="240" w:lineRule="auto" w:before="188"/>
        <w:ind w:left="478" w:right="-18"/>
        <w:jc w:val="left"/>
        <w:rPr>
          <w:b w:val="0"/>
          <w:bCs w:val="0"/>
        </w:rPr>
      </w:pPr>
      <w:r>
        <w:rPr>
          <w:rFonts w:ascii="宋体" w:hAnsi="宋体" w:cs="宋体" w:eastAsia="宋体" w:hint="default"/>
        </w:rPr>
        <w:t>34</w:t>
      </w:r>
      <w:r>
        <w:rPr/>
        <w:t>、</w:t>
      </w:r>
      <w:r>
        <w:rPr>
          <w:spacing w:val="-101"/>
        </w:rPr>
        <w:t> </w:t>
      </w:r>
      <w:r>
        <w:rPr/>
        <w:t>预计负债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
        <w:rPr>
          <w:rFonts w:ascii="宋体" w:hAnsi="宋体" w:cs="宋体" w:eastAsia="宋体" w:hint="default"/>
          <w:b/>
          <w:bCs/>
          <w:sz w:val="23"/>
          <w:szCs w:val="23"/>
        </w:rPr>
      </w:pPr>
    </w:p>
    <w:p>
      <w:pPr>
        <w:tabs>
          <w:tab w:pos="1527" w:val="left" w:leader="none"/>
        </w:tabs>
        <w:spacing w:before="0"/>
        <w:ind w:left="47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320" w:right="780"/>
          <w:cols w:num="2" w:equalWidth="0">
            <w:col w:w="1947" w:space="4577"/>
            <w:col w:w="3286"/>
          </w:cols>
        </w:sectPr>
      </w:pPr>
    </w:p>
    <w:p>
      <w:pPr>
        <w:spacing w:line="240" w:lineRule="auto" w:before="7"/>
        <w:rPr>
          <w:rFonts w:ascii="宋体" w:hAnsi="宋体" w:cs="宋体" w:eastAsia="宋体" w:hint="default"/>
          <w:sz w:val="2"/>
          <w:szCs w:val="2"/>
        </w:rPr>
      </w:pPr>
    </w:p>
    <w:tbl>
      <w:tblPr>
        <w:tblW w:w="0" w:type="auto"/>
        <w:jc w:val="left"/>
        <w:tblInd w:w="439" w:type="dxa"/>
        <w:tblLayout w:type="fixed"/>
        <w:tblCellMar>
          <w:top w:w="0" w:type="dxa"/>
          <w:left w:w="0" w:type="dxa"/>
          <w:bottom w:w="0" w:type="dxa"/>
          <w:right w:w="0" w:type="dxa"/>
        </w:tblCellMar>
        <w:tblLook w:val="01E0"/>
      </w:tblPr>
      <w:tblGrid>
        <w:gridCol w:w="2224"/>
        <w:gridCol w:w="2224"/>
        <w:gridCol w:w="2224"/>
        <w:gridCol w:w="2225"/>
      </w:tblGrid>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对外提供担保</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未决诉讼</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产品质量保证</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重组义务</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待执行的亏损合同</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3,350,412.86</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1,551,347.91</w:t>
            </w: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3,350,412.86</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1,551,347.91</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80" w:bottom="1380" w:left="1320" w:right="780"/>
        </w:sectPr>
      </w:pPr>
    </w:p>
    <w:p>
      <w:pPr>
        <w:pStyle w:val="Heading2"/>
        <w:spacing w:line="240" w:lineRule="auto"/>
        <w:ind w:left="478" w:right="-18"/>
        <w:jc w:val="left"/>
        <w:rPr>
          <w:b w:val="0"/>
          <w:bCs w:val="0"/>
        </w:rPr>
      </w:pPr>
      <w:r>
        <w:rPr>
          <w:rFonts w:ascii="宋体" w:hAnsi="宋体" w:cs="宋体" w:eastAsia="宋体" w:hint="default"/>
        </w:rPr>
        <w:t>35</w:t>
      </w:r>
      <w:r>
        <w:rPr/>
        <w:t>、</w:t>
      </w:r>
      <w:r>
        <w:rPr>
          <w:spacing w:val="-101"/>
        </w:rPr>
        <w:t> </w:t>
      </w:r>
      <w:r>
        <w:rPr/>
        <w:t>递延收益</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tabs>
          <w:tab w:pos="1527" w:val="left" w:leader="none"/>
        </w:tabs>
        <w:spacing w:before="139"/>
        <w:ind w:left="47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320" w:right="780"/>
          <w:cols w:num="2" w:equalWidth="0">
            <w:col w:w="1947" w:space="4787"/>
            <w:col w:w="3076"/>
          </w:cols>
        </w:sectPr>
      </w:pPr>
    </w:p>
    <w:p>
      <w:pPr>
        <w:spacing w:line="240" w:lineRule="auto" w:before="7"/>
        <w:rPr>
          <w:rFonts w:ascii="宋体" w:hAnsi="宋体" w:cs="宋体" w:eastAsia="宋体" w:hint="default"/>
          <w:sz w:val="2"/>
          <w:szCs w:val="2"/>
        </w:rPr>
      </w:pPr>
    </w:p>
    <w:tbl>
      <w:tblPr>
        <w:tblW w:w="0" w:type="auto"/>
        <w:jc w:val="left"/>
        <w:tblInd w:w="440" w:type="dxa"/>
        <w:tblLayout w:type="fixed"/>
        <w:tblCellMar>
          <w:top w:w="0" w:type="dxa"/>
          <w:left w:w="0" w:type="dxa"/>
          <w:bottom w:w="0" w:type="dxa"/>
          <w:right w:w="0" w:type="dxa"/>
        </w:tblCellMar>
        <w:tblLook w:val="01E0"/>
      </w:tblPr>
      <w:tblGrid>
        <w:gridCol w:w="1501"/>
        <w:gridCol w:w="1442"/>
        <w:gridCol w:w="1457"/>
        <w:gridCol w:w="1441"/>
        <w:gridCol w:w="1485"/>
        <w:gridCol w:w="1567"/>
      </w:tblGrid>
      <w:tr>
        <w:trPr>
          <w:trHeight w:val="351"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533"/>
              <w:jc w:val="right"/>
              <w:rPr>
                <w:rFonts w:ascii="宋体" w:hAnsi="宋体" w:cs="宋体" w:eastAsia="宋体" w:hint="default"/>
                <w:sz w:val="21"/>
                <w:szCs w:val="21"/>
              </w:rPr>
            </w:pPr>
            <w:r>
              <w:rPr>
                <w:rFonts w:ascii="宋体" w:hAnsi="宋体" w:cs="宋体" w:eastAsia="宋体" w:hint="default"/>
                <w:sz w:val="21"/>
                <w:szCs w:val="21"/>
              </w:rPr>
              <w:t>项目</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0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7"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 w:right="0"/>
              <w:jc w:val="center"/>
              <w:rPr>
                <w:rFonts w:ascii="宋体" w:hAnsi="宋体" w:cs="宋体" w:eastAsia="宋体" w:hint="default"/>
                <w:sz w:val="21"/>
                <w:szCs w:val="21"/>
              </w:rPr>
            </w:pPr>
            <w:r>
              <w:rPr>
                <w:rFonts w:ascii="宋体"/>
                <w:sz w:val="21"/>
              </w:rPr>
              <w:t>54,770,970.00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20,349,622.65</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1,151,996.19</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73,968,596.46</w:t>
            </w: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31,496,746.15</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31,207,597.33</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289,148.82</w:t>
            </w: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33"/>
              <w:jc w:val="right"/>
              <w:rPr>
                <w:rFonts w:ascii="宋体" w:hAnsi="宋体" w:cs="宋体" w:eastAsia="宋体" w:hint="default"/>
                <w:sz w:val="21"/>
                <w:szCs w:val="21"/>
              </w:rPr>
            </w:pPr>
            <w:r>
              <w:rPr>
                <w:rFonts w:ascii="宋体" w:hAnsi="宋体" w:cs="宋体" w:eastAsia="宋体" w:hint="default"/>
                <w:sz w:val="21"/>
                <w:szCs w:val="21"/>
              </w:rPr>
              <w:t>合计</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 w:right="0"/>
              <w:jc w:val="center"/>
              <w:rPr>
                <w:rFonts w:ascii="宋体" w:hAnsi="宋体" w:cs="宋体" w:eastAsia="宋体" w:hint="default"/>
                <w:sz w:val="21"/>
                <w:szCs w:val="21"/>
              </w:rPr>
            </w:pPr>
            <w:r>
              <w:rPr>
                <w:rFonts w:ascii="宋体"/>
                <w:sz w:val="21"/>
              </w:rPr>
              <w:t>86,267,716.15</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20,349,622.65</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32,359,593.52</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74,257,745.28</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1"/>
        <w:rPr>
          <w:rFonts w:ascii="宋体" w:hAnsi="宋体" w:cs="宋体" w:eastAsia="宋体" w:hint="default"/>
          <w:sz w:val="20"/>
          <w:szCs w:val="20"/>
        </w:rPr>
      </w:pPr>
    </w:p>
    <w:p>
      <w:pPr>
        <w:spacing w:before="35"/>
        <w:ind w:left="478" w:right="478" w:firstLine="0"/>
        <w:jc w:val="left"/>
        <w:rPr>
          <w:rFonts w:ascii="宋体" w:hAnsi="宋体" w:cs="宋体" w:eastAsia="宋体" w:hint="default"/>
          <w:sz w:val="21"/>
          <w:szCs w:val="21"/>
        </w:rPr>
      </w:pPr>
      <w:r>
        <w:rPr>
          <w:rFonts w:ascii="宋体" w:hAnsi="宋体" w:cs="宋体" w:eastAsia="宋体" w:hint="default"/>
          <w:sz w:val="21"/>
          <w:szCs w:val="21"/>
        </w:rPr>
        <w:t>涉及政府补助的项目：</w:t>
      </w:r>
    </w:p>
    <w:p>
      <w:pPr>
        <w:tabs>
          <w:tab w:pos="1049" w:val="left" w:leader="none"/>
        </w:tabs>
        <w:spacing w:before="57"/>
        <w:ind w:left="0" w:right="492"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1"/>
        <w:rPr>
          <w:rFonts w:ascii="宋体" w:hAnsi="宋体" w:cs="宋体" w:eastAsia="宋体" w:hint="default"/>
          <w:sz w:val="7"/>
          <w:szCs w:val="7"/>
        </w:rPr>
      </w:pPr>
    </w:p>
    <w:tbl>
      <w:tblPr>
        <w:tblW w:w="0" w:type="auto"/>
        <w:jc w:val="left"/>
        <w:tblInd w:w="103" w:type="dxa"/>
        <w:tblLayout w:type="fixed"/>
        <w:tblCellMar>
          <w:top w:w="0" w:type="dxa"/>
          <w:left w:w="0" w:type="dxa"/>
          <w:bottom w:w="0" w:type="dxa"/>
          <w:right w:w="0" w:type="dxa"/>
        </w:tblCellMar>
        <w:tblLook w:val="01E0"/>
      </w:tblPr>
      <w:tblGrid>
        <w:gridCol w:w="1824"/>
        <w:gridCol w:w="1230"/>
        <w:gridCol w:w="1281"/>
        <w:gridCol w:w="1394"/>
        <w:gridCol w:w="1175"/>
        <w:gridCol w:w="1230"/>
        <w:gridCol w:w="1438"/>
      </w:tblGrid>
      <w:tr>
        <w:trPr>
          <w:trHeight w:val="476"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本期新增补助</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本期计入营业外</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收入金额</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0"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w:t>
            </w:r>
            <w:r>
              <w:rPr>
                <w:rFonts w:ascii="宋体" w:hAnsi="宋体" w:cs="宋体" w:eastAsia="宋体" w:hint="default"/>
                <w:sz w:val="18"/>
                <w:szCs w:val="18"/>
              </w:rPr>
              <w:t>与收</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益相关</w:t>
            </w:r>
          </w:p>
        </w:tc>
      </w:tr>
      <w:tr>
        <w:trPr>
          <w:trHeight w:val="476"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TeamSec</w:t>
            </w:r>
            <w:r>
              <w:rPr>
                <w:rFonts w:ascii="宋体" w:hAnsi="宋体" w:cs="宋体" w:eastAsia="宋体" w:hint="default"/>
                <w:spacing w:val="-46"/>
                <w:sz w:val="18"/>
                <w:szCs w:val="18"/>
              </w:rPr>
              <w:t> </w:t>
            </w:r>
            <w:r>
              <w:rPr>
                <w:rFonts w:ascii="宋体" w:hAnsi="宋体" w:cs="宋体" w:eastAsia="宋体" w:hint="default"/>
                <w:sz w:val="18"/>
                <w:szCs w:val="18"/>
              </w:rPr>
              <w:t>内网安全管理</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平台</w:t>
            </w:r>
            <w:r>
              <w:rPr>
                <w:rFonts w:ascii="宋体" w:hAnsi="宋体" w:cs="宋体" w:eastAsia="宋体" w:hint="default"/>
                <w:spacing w:val="-64"/>
                <w:sz w:val="18"/>
                <w:szCs w:val="18"/>
              </w:rPr>
              <w:t> </w:t>
            </w:r>
            <w:r>
              <w:rPr>
                <w:rFonts w:ascii="宋体" w:hAnsi="宋体" w:cs="宋体" w:eastAsia="宋体" w:hint="default"/>
                <w:sz w:val="18"/>
                <w:szCs w:val="18"/>
              </w:rPr>
              <w:t>ISP</w:t>
            </w:r>
            <w:r>
              <w:rPr>
                <w:rFonts w:ascii="宋体" w:hAnsi="宋体" w:cs="宋体" w:eastAsia="宋体" w:hint="default"/>
                <w:spacing w:val="-63"/>
                <w:sz w:val="18"/>
                <w:szCs w:val="18"/>
              </w:rPr>
              <w:t> </w:t>
            </w:r>
            <w:r>
              <w:rPr>
                <w:rFonts w:ascii="宋体" w:hAnsi="宋体" w:cs="宋体" w:eastAsia="宋体" w:hint="default"/>
                <w:sz w:val="18"/>
                <w:szCs w:val="18"/>
              </w:rPr>
              <w:t>项目无偿资助</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1,000,000.00</w:t>
            </w:r>
          </w:p>
        </w:tc>
        <w:tc>
          <w:tcPr>
            <w:tcW w:w="1281"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1,000,000.00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与资产及收益相</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478"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电信针对性营销系统</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2,500,000.00</w:t>
            </w:r>
          </w:p>
        </w:tc>
        <w:tc>
          <w:tcPr>
            <w:tcW w:w="1281"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2,500,000.00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与资产及收益相</w:t>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710"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云计算关键支撑软件</w:t>
            </w:r>
          </w:p>
          <w:p>
            <w:pPr>
              <w:pStyle w:val="TableParagraph"/>
              <w:spacing w:line="232" w:lineRule="exact" w:before="24"/>
              <w:ind w:left="23" w:right="24"/>
              <w:jc w:val="left"/>
              <w:rPr>
                <w:rFonts w:ascii="宋体" w:hAnsi="宋体" w:cs="宋体" w:eastAsia="宋体" w:hint="default"/>
                <w:sz w:val="18"/>
                <w:szCs w:val="18"/>
              </w:rPr>
            </w:pPr>
            <w:r>
              <w:rPr>
                <w:rFonts w:ascii="宋体" w:hAnsi="宋体" w:cs="宋体" w:eastAsia="宋体" w:hint="default"/>
                <w:spacing w:val="-4"/>
                <w:sz w:val="18"/>
                <w:szCs w:val="18"/>
              </w:rPr>
              <w:t>研发与产业化（平台安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全软件）</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3,300,000.00</w:t>
            </w:r>
          </w:p>
        </w:tc>
        <w:tc>
          <w:tcPr>
            <w:tcW w:w="1281"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3,300,000.00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与资产及收益相</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710"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面向城市管理与公共</w:t>
            </w:r>
          </w:p>
          <w:p>
            <w:pPr>
              <w:pStyle w:val="TableParagraph"/>
              <w:spacing w:line="232" w:lineRule="exact" w:before="24"/>
              <w:ind w:left="23" w:right="168"/>
              <w:jc w:val="left"/>
              <w:rPr>
                <w:rFonts w:ascii="宋体" w:hAnsi="宋体" w:cs="宋体" w:eastAsia="宋体" w:hint="default"/>
                <w:sz w:val="18"/>
                <w:szCs w:val="18"/>
              </w:rPr>
            </w:pPr>
            <w:r>
              <w:rPr>
                <w:rFonts w:ascii="宋体" w:hAnsi="宋体" w:cs="宋体" w:eastAsia="宋体" w:hint="default"/>
                <w:sz w:val="18"/>
                <w:szCs w:val="18"/>
              </w:rPr>
              <w:t>服务的物联网应用支 撑平台系统研发</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300,000.00</w:t>
            </w:r>
          </w:p>
        </w:tc>
        <w:tc>
          <w:tcPr>
            <w:tcW w:w="1281"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300,000.00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与资产及收益相</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710"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中小型企业业务撑与</w:t>
            </w:r>
          </w:p>
          <w:p>
            <w:pPr>
              <w:pStyle w:val="TableParagraph"/>
              <w:spacing w:line="232" w:lineRule="exact" w:before="24"/>
              <w:ind w:left="23" w:right="168"/>
              <w:jc w:val="left"/>
              <w:rPr>
                <w:rFonts w:ascii="宋体" w:hAnsi="宋体" w:cs="宋体" w:eastAsia="宋体" w:hint="default"/>
                <w:sz w:val="18"/>
                <w:szCs w:val="18"/>
              </w:rPr>
            </w:pPr>
            <w:r>
              <w:rPr>
                <w:rFonts w:ascii="宋体" w:hAnsi="宋体" w:cs="宋体" w:eastAsia="宋体" w:hint="default"/>
                <w:sz w:val="18"/>
                <w:szCs w:val="18"/>
              </w:rPr>
              <w:t>供应链金融云服务平 台示范</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34,650,000.00</w:t>
            </w:r>
          </w:p>
        </w:tc>
        <w:tc>
          <w:tcPr>
            <w:tcW w:w="1281"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34,650,000.00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与资产及收益相</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477"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南京农业大学</w:t>
            </w:r>
            <w:r>
              <w:rPr>
                <w:rFonts w:ascii="宋体" w:hAnsi="宋体" w:cs="宋体" w:eastAsia="宋体" w:hint="default"/>
                <w:sz w:val="18"/>
                <w:szCs w:val="18"/>
              </w:rPr>
              <w:t>-863</w:t>
            </w:r>
            <w:r>
              <w:rPr>
                <w:rFonts w:ascii="宋体" w:hAnsi="宋体" w:cs="宋体" w:eastAsia="宋体" w:hint="default"/>
                <w:spacing w:val="-46"/>
                <w:sz w:val="18"/>
                <w:szCs w:val="18"/>
              </w:rPr>
              <w:t> </w:t>
            </w:r>
            <w:r>
              <w:rPr>
                <w:rFonts w:ascii="宋体" w:hAnsi="宋体" w:cs="宋体" w:eastAsia="宋体" w:hint="default"/>
                <w:sz w:val="18"/>
                <w:szCs w:val="18"/>
              </w:rPr>
              <w:t>农</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业物联网项目基金</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z w:val="18"/>
              </w:rPr>
              <w:t>2,350,000.00</w:t>
            </w:r>
          </w:p>
        </w:tc>
        <w:tc>
          <w:tcPr>
            <w:tcW w:w="1281"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3"/>
              <w:jc w:val="right"/>
              <w:rPr>
                <w:rFonts w:ascii="宋体" w:hAnsi="宋体" w:cs="宋体" w:eastAsia="宋体" w:hint="default"/>
                <w:sz w:val="18"/>
                <w:szCs w:val="18"/>
              </w:rPr>
            </w:pPr>
            <w:r>
              <w:rPr>
                <w:rFonts w:ascii="宋体"/>
                <w:sz w:val="18"/>
              </w:rPr>
              <w:t>2,350,000.00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与资产及收益相</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710"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中关村科技园区管理</w:t>
            </w:r>
          </w:p>
          <w:p>
            <w:pPr>
              <w:pStyle w:val="TableParagraph"/>
              <w:spacing w:line="232" w:lineRule="exact" w:before="24"/>
              <w:ind w:left="23" w:right="168"/>
              <w:jc w:val="left"/>
              <w:rPr>
                <w:rFonts w:ascii="宋体" w:hAnsi="宋体" w:cs="宋体" w:eastAsia="宋体" w:hint="default"/>
                <w:sz w:val="18"/>
                <w:szCs w:val="18"/>
              </w:rPr>
            </w:pPr>
            <w:r>
              <w:rPr>
                <w:rFonts w:ascii="宋体" w:hAnsi="宋体" w:cs="宋体" w:eastAsia="宋体" w:hint="default"/>
                <w:sz w:val="18"/>
                <w:szCs w:val="18"/>
              </w:rPr>
              <w:t>委员会重大统筹项目 基金</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4,880,000.00</w:t>
            </w:r>
          </w:p>
        </w:tc>
        <w:tc>
          <w:tcPr>
            <w:tcW w:w="1281"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4,880,000.00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与资产及收益相</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244"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工业和信息化部</w:t>
            </w:r>
            <w:r>
              <w:rPr>
                <w:rFonts w:ascii="宋体" w:hAnsi="宋体" w:cs="宋体" w:eastAsia="宋体" w:hint="default"/>
                <w:sz w:val="18"/>
                <w:szCs w:val="18"/>
              </w:rPr>
              <w:t>-</w:t>
            </w:r>
            <w:r>
              <w:rPr>
                <w:rFonts w:ascii="宋体" w:hAnsi="宋体" w:cs="宋体" w:eastAsia="宋体" w:hint="default"/>
                <w:sz w:val="18"/>
                <w:szCs w:val="18"/>
              </w:rPr>
              <w:t>电子</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1,000,000.00</w:t>
            </w:r>
          </w:p>
        </w:tc>
        <w:tc>
          <w:tcPr>
            <w:tcW w:w="1281"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1,000,000.00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与资产及收益相</w:t>
            </w:r>
          </w:p>
        </w:tc>
      </w:tr>
    </w:tbl>
    <w:p>
      <w:pPr>
        <w:spacing w:after="0" w:line="205" w:lineRule="exact"/>
        <w:jc w:val="left"/>
        <w:rPr>
          <w:rFonts w:ascii="宋体" w:hAnsi="宋体" w:cs="宋体" w:eastAsia="宋体" w:hint="default"/>
          <w:sz w:val="18"/>
          <w:szCs w:val="18"/>
        </w:rPr>
        <w:sectPr>
          <w:type w:val="continuous"/>
          <w:pgSz w:w="11910" w:h="16840"/>
          <w:pgMar w:top="1080" w:bottom="1380" w:left="1320" w:right="7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1824"/>
        <w:gridCol w:w="1230"/>
        <w:gridCol w:w="1281"/>
        <w:gridCol w:w="1394"/>
        <w:gridCol w:w="1175"/>
        <w:gridCol w:w="1230"/>
        <w:gridCol w:w="1438"/>
      </w:tblGrid>
      <w:tr>
        <w:trPr>
          <w:trHeight w:val="244"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信息产业发展基金</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710"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移动互联网应用云服</w:t>
            </w:r>
          </w:p>
          <w:p>
            <w:pPr>
              <w:pStyle w:val="TableParagraph"/>
              <w:spacing w:line="232" w:lineRule="exact" w:before="24"/>
              <w:ind w:left="23" w:right="168"/>
              <w:jc w:val="left"/>
              <w:rPr>
                <w:rFonts w:ascii="宋体" w:hAnsi="宋体" w:cs="宋体" w:eastAsia="宋体" w:hint="default"/>
                <w:sz w:val="18"/>
                <w:szCs w:val="18"/>
              </w:rPr>
            </w:pPr>
            <w:r>
              <w:rPr>
                <w:rFonts w:ascii="宋体" w:hAnsi="宋体" w:cs="宋体" w:eastAsia="宋体" w:hint="default"/>
                <w:sz w:val="18"/>
                <w:szCs w:val="18"/>
              </w:rPr>
              <w:t>务中心产业化项目基 金</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800,000.00</w:t>
            </w:r>
          </w:p>
        </w:tc>
        <w:tc>
          <w:tcPr>
            <w:tcW w:w="1281"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800,000.00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与资产及收益相</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711"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银行在线业务系统内</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容管理支撑平台</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iECM</w:t>
            </w:r>
            <w:r>
              <w:rPr>
                <w:rFonts w:ascii="宋体" w:hAnsi="宋体" w:cs="宋体" w:eastAsia="宋体" w:hint="default"/>
                <w:sz w:val="18"/>
                <w:szCs w:val="18"/>
              </w:rPr>
              <w:t>）</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1,740,000.00</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449,622.65</w:t>
            </w:r>
          </w:p>
        </w:tc>
        <w:tc>
          <w:tcPr>
            <w:tcW w:w="1394"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2,189,622.65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hAnsi="宋体" w:cs="宋体" w:eastAsia="宋体" w:hint="default"/>
                <w:sz w:val="18"/>
                <w:szCs w:val="18"/>
              </w:rPr>
              <w:t>与资产及收益相</w:t>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943"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both"/>
              <w:rPr>
                <w:rFonts w:ascii="宋体" w:hAnsi="宋体" w:cs="宋体" w:eastAsia="宋体" w:hint="default"/>
                <w:sz w:val="18"/>
                <w:szCs w:val="18"/>
              </w:rPr>
            </w:pPr>
            <w:r>
              <w:rPr>
                <w:rFonts w:ascii="宋体" w:hAnsi="宋体" w:cs="宋体" w:eastAsia="宋体" w:hint="default"/>
                <w:sz w:val="18"/>
                <w:szCs w:val="18"/>
              </w:rPr>
              <w:t>北京旅游公共服务信</w:t>
            </w:r>
          </w:p>
          <w:p>
            <w:pPr>
              <w:pStyle w:val="TableParagraph"/>
              <w:spacing w:line="237" w:lineRule="auto"/>
              <w:ind w:left="23" w:right="168"/>
              <w:jc w:val="both"/>
              <w:rPr>
                <w:rFonts w:ascii="宋体" w:hAnsi="宋体" w:cs="宋体" w:eastAsia="宋体" w:hint="default"/>
                <w:sz w:val="18"/>
                <w:szCs w:val="18"/>
              </w:rPr>
            </w:pPr>
            <w:r>
              <w:rPr>
                <w:rFonts w:ascii="宋体" w:hAnsi="宋体" w:cs="宋体" w:eastAsia="宋体" w:hint="default"/>
                <w:sz w:val="18"/>
                <w:szCs w:val="18"/>
              </w:rPr>
              <w:t>息整合分析与实时发 布关键技术研究及示 范应用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1,182,000.00</w:t>
            </w:r>
          </w:p>
        </w:tc>
        <w:tc>
          <w:tcPr>
            <w:tcW w:w="1281"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1,028,803.92</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153,196.08</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城市轨道交通运输组</w:t>
            </w:r>
          </w:p>
          <w:p>
            <w:pPr>
              <w:pStyle w:val="TableParagraph"/>
              <w:spacing w:line="232" w:lineRule="exact" w:before="24"/>
              <w:ind w:left="23" w:right="24"/>
              <w:jc w:val="left"/>
              <w:rPr>
                <w:rFonts w:ascii="宋体" w:hAnsi="宋体" w:cs="宋体" w:eastAsia="宋体" w:hint="default"/>
                <w:sz w:val="18"/>
                <w:szCs w:val="18"/>
              </w:rPr>
            </w:pPr>
            <w:r>
              <w:rPr>
                <w:rFonts w:ascii="宋体" w:hAnsi="宋体" w:cs="宋体" w:eastAsia="宋体" w:hint="default"/>
                <w:spacing w:val="-4"/>
                <w:sz w:val="18"/>
                <w:szCs w:val="18"/>
              </w:rPr>
              <w:t>织、控制及保障一体化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关键技术与系统研制</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1,068,970.00</w:t>
            </w:r>
          </w:p>
        </w:tc>
        <w:tc>
          <w:tcPr>
            <w:tcW w:w="1281"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123,192.27</w:t>
            </w:r>
          </w:p>
        </w:tc>
        <w:tc>
          <w:tcPr>
            <w:tcW w:w="1175"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945,777.73</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与资产及收益相</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476"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基于云计算的</w:t>
            </w:r>
            <w:r>
              <w:rPr>
                <w:rFonts w:ascii="宋体" w:hAnsi="宋体" w:cs="宋体" w:eastAsia="宋体" w:hint="default"/>
                <w:spacing w:val="-46"/>
                <w:sz w:val="18"/>
                <w:szCs w:val="18"/>
              </w:rPr>
              <w:t> </w:t>
            </w:r>
            <w:r>
              <w:rPr>
                <w:rFonts w:ascii="宋体" w:hAnsi="宋体" w:cs="宋体" w:eastAsia="宋体" w:hint="default"/>
                <w:sz w:val="18"/>
                <w:szCs w:val="18"/>
              </w:rPr>
              <w:t>IT</w:t>
            </w:r>
            <w:r>
              <w:rPr>
                <w:rFonts w:ascii="宋体" w:hAnsi="宋体" w:cs="宋体" w:eastAsia="宋体" w:hint="default"/>
                <w:spacing w:val="-46"/>
                <w:sz w:val="18"/>
                <w:szCs w:val="18"/>
              </w:rPr>
              <w:t> </w:t>
            </w:r>
            <w:r>
              <w:rPr>
                <w:rFonts w:ascii="宋体" w:hAnsi="宋体" w:cs="宋体" w:eastAsia="宋体" w:hint="default"/>
                <w:sz w:val="18"/>
                <w:szCs w:val="18"/>
              </w:rPr>
              <w:t>运维</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服务</w:t>
            </w:r>
            <w:r>
              <w:rPr>
                <w:rFonts w:ascii="宋体" w:hAnsi="宋体" w:cs="宋体" w:eastAsia="宋体" w:hint="default"/>
                <w:sz w:val="18"/>
                <w:szCs w:val="18"/>
              </w:rPr>
              <w:t>-</w:t>
            </w:r>
            <w:r>
              <w:rPr>
                <w:rFonts w:ascii="宋体" w:hAnsi="宋体" w:cs="宋体" w:eastAsia="宋体" w:hint="default"/>
                <w:sz w:val="18"/>
                <w:szCs w:val="18"/>
              </w:rPr>
              <w:t>云悦服务</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8,090,000.00</w:t>
            </w:r>
          </w:p>
        </w:tc>
        <w:tc>
          <w:tcPr>
            <w:tcW w:w="1394"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8,090,000.00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与资产及收益相</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710"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大数据平台技术北京</w:t>
            </w:r>
          </w:p>
          <w:p>
            <w:pPr>
              <w:pStyle w:val="TableParagraph"/>
              <w:spacing w:line="240" w:lineRule="auto"/>
              <w:ind w:left="23" w:right="168"/>
              <w:jc w:val="left"/>
              <w:rPr>
                <w:rFonts w:ascii="宋体" w:hAnsi="宋体" w:cs="宋体" w:eastAsia="宋体" w:hint="default"/>
                <w:sz w:val="18"/>
                <w:szCs w:val="18"/>
              </w:rPr>
            </w:pPr>
            <w:r>
              <w:rPr>
                <w:rFonts w:ascii="宋体" w:hAnsi="宋体" w:cs="宋体" w:eastAsia="宋体" w:hint="default"/>
                <w:sz w:val="18"/>
                <w:szCs w:val="18"/>
              </w:rPr>
              <w:t>市工程实验室创新能 力建设项目</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11,810,000.00</w:t>
            </w:r>
          </w:p>
        </w:tc>
        <w:tc>
          <w:tcPr>
            <w:tcW w:w="1394"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11,810,000.00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与资产及收益相</w:t>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290"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54,770,970.00</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20,349,622.65</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123,192.27</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1,028,803.92</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73,968,596.46</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r>
    </w:tbl>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48"/>
          <w:pgSz w:w="11910" w:h="16840"/>
          <w:pgMar w:footer="1194" w:header="882" w:top="1120" w:bottom="1380" w:left="1320" w:right="780"/>
        </w:sectPr>
      </w:pPr>
    </w:p>
    <w:p>
      <w:pPr>
        <w:pStyle w:val="Heading2"/>
        <w:spacing w:line="240" w:lineRule="auto"/>
        <w:ind w:left="478" w:right="-14"/>
        <w:jc w:val="left"/>
        <w:rPr>
          <w:b w:val="0"/>
          <w:bCs w:val="0"/>
        </w:rPr>
      </w:pPr>
      <w:r>
        <w:rPr>
          <w:rFonts w:ascii="宋体" w:hAnsi="宋体" w:cs="宋体" w:eastAsia="宋体" w:hint="default"/>
        </w:rPr>
        <w:t>36</w:t>
      </w:r>
      <w:r>
        <w:rPr/>
        <w:t>、</w:t>
      </w:r>
      <w:r>
        <w:rPr>
          <w:spacing w:val="-108"/>
        </w:rPr>
        <w:t> </w:t>
      </w:r>
      <w:r>
        <w:rPr/>
        <w:t>其他非流动负债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tabs>
          <w:tab w:pos="1527" w:val="left" w:leader="none"/>
        </w:tabs>
        <w:spacing w:before="140"/>
        <w:ind w:left="47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320" w:right="780"/>
          <w:cols w:num="2" w:equalWidth="0">
            <w:col w:w="2667" w:space="3857"/>
            <w:col w:w="3286"/>
          </w:cols>
        </w:sectPr>
      </w:pPr>
    </w:p>
    <w:p>
      <w:pPr>
        <w:spacing w:line="240" w:lineRule="auto" w:before="7"/>
        <w:rPr>
          <w:rFonts w:ascii="宋体" w:hAnsi="宋体" w:cs="宋体" w:eastAsia="宋体" w:hint="default"/>
          <w:sz w:val="2"/>
          <w:szCs w:val="2"/>
        </w:rPr>
      </w:pPr>
    </w:p>
    <w:tbl>
      <w:tblPr>
        <w:tblW w:w="0" w:type="auto"/>
        <w:jc w:val="left"/>
        <w:tblInd w:w="365" w:type="dxa"/>
        <w:tblLayout w:type="fixed"/>
        <w:tblCellMar>
          <w:top w:w="0" w:type="dxa"/>
          <w:left w:w="0" w:type="dxa"/>
          <w:bottom w:w="0" w:type="dxa"/>
          <w:right w:w="0" w:type="dxa"/>
        </w:tblCellMar>
        <w:tblLook w:val="01E0"/>
      </w:tblPr>
      <w:tblGrid>
        <w:gridCol w:w="3256"/>
        <w:gridCol w:w="2898"/>
        <w:gridCol w:w="2896"/>
      </w:tblGrid>
      <w:tr>
        <w:trPr>
          <w:trHeight w:val="282"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附回购义务的限制性股票</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6"/>
              <w:jc w:val="right"/>
              <w:rPr>
                <w:rFonts w:ascii="宋体" w:hAnsi="宋体" w:cs="宋体" w:eastAsia="宋体" w:hint="default"/>
                <w:sz w:val="21"/>
                <w:szCs w:val="21"/>
              </w:rPr>
            </w:pPr>
            <w:r>
              <w:rPr>
                <w:rFonts w:ascii="宋体"/>
                <w:sz w:val="21"/>
              </w:rPr>
              <w:t>0</w:t>
            </w:r>
          </w:p>
        </w:tc>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57,972,861.00</w:t>
            </w:r>
          </w:p>
        </w:tc>
      </w:tr>
      <w:tr>
        <w:trPr>
          <w:trHeight w:val="282" w:hRule="exact"/>
        </w:trPr>
        <w:tc>
          <w:tcPr>
            <w:tcW w:w="3256" w:type="dxa"/>
            <w:tcBorders>
              <w:top w:val="single" w:sz="4" w:space="0" w:color="000000"/>
              <w:left w:val="single" w:sz="4" w:space="0" w:color="000000"/>
              <w:bottom w:val="single" w:sz="4" w:space="0" w:color="000000"/>
              <w:right w:val="single" w:sz="4" w:space="0" w:color="000000"/>
            </w:tcBorders>
          </w:tcPr>
          <w:p>
            <w:pPr/>
          </w:p>
        </w:tc>
        <w:tc>
          <w:tcPr>
            <w:tcW w:w="2898" w:type="dxa"/>
            <w:tcBorders>
              <w:top w:val="single" w:sz="4" w:space="0" w:color="000000"/>
              <w:left w:val="single" w:sz="4" w:space="0" w:color="000000"/>
              <w:bottom w:val="single" w:sz="4" w:space="0" w:color="000000"/>
              <w:right w:val="single" w:sz="4" w:space="0" w:color="000000"/>
            </w:tcBorders>
          </w:tcPr>
          <w:p>
            <w:pPr/>
          </w:p>
        </w:tc>
        <w:tc>
          <w:tcPr>
            <w:tcW w:w="289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57,972,861.00</w:t>
            </w:r>
          </w:p>
        </w:tc>
      </w:tr>
    </w:tbl>
    <w:p>
      <w:pPr>
        <w:pStyle w:val="BodyText"/>
        <w:spacing w:line="240" w:lineRule="auto" w:before="81"/>
        <w:ind w:left="478" w:right="478"/>
        <w:jc w:val="left"/>
        <w:rPr>
          <w:rFonts w:ascii="宋体" w:hAnsi="宋体" w:cs="宋体" w:eastAsia="宋体" w:hint="default"/>
        </w:rPr>
      </w:pPr>
      <w:r>
        <w:rPr/>
        <w:t>说明：详见本附注五、</w:t>
      </w:r>
      <w:r>
        <w:rPr>
          <w:rFonts w:ascii="宋体" w:hAnsi="宋体" w:cs="宋体" w:eastAsia="宋体" w:hint="default"/>
        </w:rPr>
        <w:t>39</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80" w:bottom="1380" w:left="1320" w:right="780"/>
        </w:sectPr>
      </w:pPr>
    </w:p>
    <w:p>
      <w:pPr>
        <w:pStyle w:val="Heading2"/>
        <w:spacing w:line="240" w:lineRule="auto" w:before="187"/>
        <w:ind w:left="478" w:right="-19"/>
        <w:jc w:val="left"/>
        <w:rPr>
          <w:b w:val="0"/>
          <w:bCs w:val="0"/>
        </w:rPr>
      </w:pPr>
      <w:r>
        <w:rPr>
          <w:rFonts w:ascii="宋体" w:hAnsi="宋体" w:cs="宋体" w:eastAsia="宋体" w:hint="default"/>
        </w:rPr>
        <w:t>37</w:t>
      </w:r>
      <w:r>
        <w:rPr/>
        <w:t>、</w:t>
      </w:r>
      <w:r>
        <w:rPr>
          <w:spacing w:val="-101"/>
        </w:rPr>
        <w:t> </w:t>
      </w:r>
      <w:r>
        <w:rPr/>
        <w:t>股本</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
        <w:rPr>
          <w:rFonts w:ascii="宋体" w:hAnsi="宋体" w:cs="宋体" w:eastAsia="宋体" w:hint="default"/>
          <w:b/>
          <w:bCs/>
          <w:sz w:val="23"/>
          <w:szCs w:val="23"/>
        </w:rPr>
      </w:pPr>
    </w:p>
    <w:p>
      <w:pPr>
        <w:tabs>
          <w:tab w:pos="1527" w:val="left" w:leader="none"/>
        </w:tabs>
        <w:spacing w:before="0"/>
        <w:ind w:left="47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320" w:right="780"/>
          <w:cols w:num="2" w:equalWidth="0">
            <w:col w:w="1465" w:space="5059"/>
            <w:col w:w="3286"/>
          </w:cols>
        </w:sectPr>
      </w:pPr>
    </w:p>
    <w:p>
      <w:pPr>
        <w:spacing w:line="240" w:lineRule="auto" w:before="7"/>
        <w:rPr>
          <w:rFonts w:ascii="宋体" w:hAnsi="宋体" w:cs="宋体" w:eastAsia="宋体" w:hint="default"/>
          <w:sz w:val="2"/>
          <w:szCs w:val="2"/>
        </w:rPr>
      </w:pPr>
    </w:p>
    <w:tbl>
      <w:tblPr>
        <w:tblW w:w="0" w:type="auto"/>
        <w:jc w:val="left"/>
        <w:tblInd w:w="365" w:type="dxa"/>
        <w:tblLayout w:type="fixed"/>
        <w:tblCellMar>
          <w:top w:w="0" w:type="dxa"/>
          <w:left w:w="0" w:type="dxa"/>
          <w:bottom w:w="0" w:type="dxa"/>
          <w:right w:w="0" w:type="dxa"/>
        </w:tblCellMar>
        <w:tblLook w:val="01E0"/>
      </w:tblPr>
      <w:tblGrid>
        <w:gridCol w:w="730"/>
        <w:gridCol w:w="1686"/>
        <w:gridCol w:w="571"/>
        <w:gridCol w:w="573"/>
        <w:gridCol w:w="642"/>
        <w:gridCol w:w="1580"/>
        <w:gridCol w:w="1582"/>
        <w:gridCol w:w="1686"/>
      </w:tblGrid>
      <w:tr>
        <w:trPr>
          <w:trHeight w:val="282" w:hRule="exact"/>
        </w:trPr>
        <w:tc>
          <w:tcPr>
            <w:tcW w:w="730" w:type="dxa"/>
            <w:vMerge w:val="restart"/>
            <w:tcBorders>
              <w:top w:val="single" w:sz="4" w:space="0" w:color="000000"/>
              <w:left w:val="single" w:sz="4" w:space="0" w:color="000000"/>
              <w:right w:val="single" w:sz="4" w:space="0" w:color="000000"/>
            </w:tcBorders>
          </w:tcPr>
          <w:p>
            <w:pPr/>
          </w:p>
        </w:tc>
        <w:tc>
          <w:tcPr>
            <w:tcW w:w="16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1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94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6"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6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1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1099" w:hRule="exact"/>
        </w:trPr>
        <w:tc>
          <w:tcPr>
            <w:tcW w:w="730" w:type="dxa"/>
            <w:vMerge/>
            <w:tcBorders>
              <w:left w:val="single" w:sz="4" w:space="0" w:color="000000"/>
              <w:bottom w:val="single" w:sz="4" w:space="0" w:color="000000"/>
              <w:right w:val="single" w:sz="4" w:space="0" w:color="000000"/>
            </w:tcBorders>
          </w:tcPr>
          <w:p>
            <w:pPr/>
          </w:p>
        </w:tc>
        <w:tc>
          <w:tcPr>
            <w:tcW w:w="1686" w:type="dxa"/>
            <w:vMerge/>
            <w:tcBorders>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5" w:right="0"/>
              <w:jc w:val="both"/>
              <w:rPr>
                <w:rFonts w:ascii="宋体" w:hAnsi="宋体" w:cs="宋体" w:eastAsia="宋体" w:hint="default"/>
                <w:sz w:val="21"/>
                <w:szCs w:val="21"/>
              </w:rPr>
            </w:pPr>
            <w:r>
              <w:rPr>
                <w:rFonts w:ascii="宋体" w:hAnsi="宋体" w:cs="宋体" w:eastAsia="宋体" w:hint="default"/>
                <w:sz w:val="21"/>
                <w:szCs w:val="21"/>
              </w:rPr>
              <w:t>发</w:t>
            </w:r>
          </w:p>
          <w:p>
            <w:pPr>
              <w:pStyle w:val="TableParagraph"/>
              <w:spacing w:line="272" w:lineRule="exact" w:before="26"/>
              <w:ind w:left="175" w:right="174"/>
              <w:jc w:val="both"/>
              <w:rPr>
                <w:rFonts w:ascii="宋体" w:hAnsi="宋体" w:cs="宋体" w:eastAsia="宋体" w:hint="default"/>
                <w:sz w:val="21"/>
                <w:szCs w:val="21"/>
              </w:rPr>
            </w:pPr>
            <w:r>
              <w:rPr>
                <w:rFonts w:ascii="宋体" w:hAnsi="宋体" w:cs="宋体" w:eastAsia="宋体" w:hint="default"/>
                <w:sz w:val="21"/>
                <w:szCs w:val="21"/>
              </w:rPr>
              <w:t>行 新 股</w:t>
            </w:r>
          </w:p>
        </w:tc>
        <w:tc>
          <w:tcPr>
            <w:tcW w:w="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76" w:right="174"/>
              <w:jc w:val="left"/>
              <w:rPr>
                <w:rFonts w:ascii="宋体" w:hAnsi="宋体" w:cs="宋体" w:eastAsia="宋体" w:hint="default"/>
                <w:sz w:val="21"/>
                <w:szCs w:val="21"/>
              </w:rPr>
            </w:pPr>
            <w:r>
              <w:rPr>
                <w:rFonts w:ascii="宋体" w:hAnsi="宋体" w:cs="宋体" w:eastAsia="宋体" w:hint="default"/>
                <w:sz w:val="21"/>
                <w:szCs w:val="21"/>
              </w:rPr>
              <w:t>送 股</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4" w:right="107"/>
              <w:jc w:val="center"/>
              <w:rPr>
                <w:rFonts w:ascii="宋体" w:hAnsi="宋体" w:cs="宋体" w:eastAsia="宋体" w:hint="default"/>
                <w:sz w:val="21"/>
                <w:szCs w:val="21"/>
              </w:rPr>
            </w:pPr>
            <w:r>
              <w:rPr>
                <w:rFonts w:ascii="宋体" w:hAnsi="宋体" w:cs="宋体" w:eastAsia="宋体" w:hint="default"/>
                <w:sz w:val="21"/>
                <w:szCs w:val="21"/>
              </w:rPr>
              <w:t>公积 金 转股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686" w:type="dxa"/>
            <w:vMerge/>
            <w:tcBorders>
              <w:left w:val="single" w:sz="4" w:space="0" w:color="000000"/>
              <w:bottom w:val="single" w:sz="4" w:space="0" w:color="000000"/>
              <w:right w:val="single" w:sz="4" w:space="0" w:color="000000"/>
            </w:tcBorders>
          </w:tcPr>
          <w:p>
            <w:pPr/>
          </w:p>
        </w:tc>
      </w:tr>
      <w:tr>
        <w:trPr>
          <w:trHeight w:val="556"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8"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148" w:right="0"/>
              <w:jc w:val="left"/>
              <w:rPr>
                <w:rFonts w:ascii="宋体" w:hAnsi="宋体" w:cs="宋体" w:eastAsia="宋体" w:hint="default"/>
                <w:sz w:val="21"/>
                <w:szCs w:val="21"/>
              </w:rPr>
            </w:pPr>
            <w:r>
              <w:rPr>
                <w:rFonts w:ascii="宋体" w:hAnsi="宋体" w:cs="宋体" w:eastAsia="宋体" w:hint="default"/>
                <w:sz w:val="21"/>
                <w:szCs w:val="21"/>
              </w:rPr>
              <w:t>总数</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646,034,068.00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4" w:right="0"/>
              <w:jc w:val="left"/>
              <w:rPr>
                <w:rFonts w:ascii="宋体" w:hAnsi="宋体" w:cs="宋体" w:eastAsia="宋体" w:hint="default"/>
                <w:sz w:val="21"/>
                <w:szCs w:val="21"/>
              </w:rPr>
            </w:pPr>
            <w:r>
              <w:rPr>
                <w:rFonts w:ascii="宋体"/>
                <w:sz w:val="21"/>
              </w:rPr>
              <w:t>0</w:t>
            </w:r>
          </w:p>
        </w:tc>
        <w:tc>
          <w:tcPr>
            <w:tcW w:w="5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5" w:right="0"/>
              <w:jc w:val="left"/>
              <w:rPr>
                <w:rFonts w:ascii="宋体" w:hAnsi="宋体" w:cs="宋体" w:eastAsia="宋体" w:hint="default"/>
                <w:sz w:val="21"/>
                <w:szCs w:val="21"/>
              </w:rPr>
            </w:pPr>
            <w:r>
              <w:rPr>
                <w:rFonts w:ascii="宋体"/>
                <w:sz w:val="21"/>
              </w:rPr>
              <w:t>0</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-4,710,183.00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-4,710,183.00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641,323,885.00</w:t>
            </w:r>
          </w:p>
        </w:tc>
      </w:tr>
    </w:tbl>
    <w:p>
      <w:pPr>
        <w:pStyle w:val="BodyText"/>
        <w:spacing w:line="240" w:lineRule="auto" w:before="81"/>
        <w:ind w:left="478" w:right="478"/>
        <w:jc w:val="left"/>
      </w:pPr>
      <w:r>
        <w:rPr/>
        <w:t>说明：</w:t>
      </w:r>
    </w:p>
    <w:p>
      <w:pPr>
        <w:pStyle w:val="BodyText"/>
        <w:spacing w:line="312" w:lineRule="exact" w:before="116"/>
        <w:ind w:left="958" w:right="478"/>
        <w:jc w:val="left"/>
      </w:pPr>
      <w:r>
        <w:rPr/>
        <w:t>（</w:t>
      </w:r>
      <w:r>
        <w:rPr>
          <w:rFonts w:ascii="宋体" w:hAnsi="宋体" w:cs="宋体" w:eastAsia="宋体" w:hint="default"/>
        </w:rPr>
        <w:t>1</w:t>
      </w:r>
      <w:r>
        <w:rPr/>
        <w:t>）本公司股权激励对象傅浩等</w:t>
      </w:r>
      <w:r>
        <w:rPr>
          <w:spacing w:val="-60"/>
        </w:rPr>
        <w:t> </w:t>
      </w:r>
      <w:r>
        <w:rPr>
          <w:rFonts w:ascii="宋体" w:hAnsi="宋体" w:cs="宋体" w:eastAsia="宋体" w:hint="default"/>
        </w:rPr>
        <w:t>6</w:t>
      </w:r>
      <w:r>
        <w:rPr>
          <w:rFonts w:ascii="宋体" w:hAnsi="宋体" w:cs="宋体" w:eastAsia="宋体" w:hint="default"/>
          <w:spacing w:val="-60"/>
        </w:rPr>
        <w:t> </w:t>
      </w:r>
      <w:r>
        <w:rPr/>
        <w:t>人因个人原因辞职，根据股东大会授权，本</w:t>
      </w:r>
    </w:p>
    <w:p>
      <w:pPr>
        <w:pStyle w:val="BodyText"/>
        <w:spacing w:line="311" w:lineRule="exact"/>
        <w:ind w:left="478" w:right="478"/>
        <w:jc w:val="left"/>
      </w:pPr>
      <w:r>
        <w:rPr/>
        <w:t>公司于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22</w:t>
      </w:r>
      <w:r>
        <w:rPr>
          <w:rFonts w:ascii="宋体" w:hAnsi="宋体" w:cs="宋体" w:eastAsia="宋体" w:hint="default"/>
          <w:spacing w:val="-60"/>
        </w:rPr>
        <w:t> </w:t>
      </w:r>
      <w:r>
        <w:rPr/>
        <w:t>日召开的</w:t>
      </w:r>
      <w:r>
        <w:rPr>
          <w:spacing w:val="-60"/>
        </w:rPr>
        <w:t> </w:t>
      </w:r>
      <w:r>
        <w:rPr>
          <w:rFonts w:ascii="宋体" w:hAnsi="宋体" w:cs="宋体" w:eastAsia="宋体" w:hint="default"/>
        </w:rPr>
        <w:t>2014</w:t>
      </w:r>
      <w:r>
        <w:rPr>
          <w:rFonts w:ascii="宋体" w:hAnsi="宋体" w:cs="宋体" w:eastAsia="宋体" w:hint="default"/>
          <w:spacing w:val="-60"/>
        </w:rPr>
        <w:t> </w:t>
      </w:r>
      <w:r>
        <w:rPr/>
        <w:t>年第二次临时董事会审议通过了回购并注销上</w:t>
      </w:r>
    </w:p>
    <w:p>
      <w:pPr>
        <w:pStyle w:val="BodyText"/>
        <w:spacing w:line="311" w:lineRule="exact"/>
        <w:ind w:left="478" w:right="0"/>
        <w:jc w:val="left"/>
      </w:pPr>
      <w:r>
        <w:rPr/>
        <w:t>述激励对象已获授但尚未解锁的股权激励股票的相关议案，回购并注销此</w:t>
      </w:r>
      <w:r>
        <w:rPr>
          <w:spacing w:val="-84"/>
        </w:rPr>
        <w:t> </w:t>
      </w:r>
      <w:r>
        <w:rPr>
          <w:rFonts w:ascii="宋体" w:hAnsi="宋体" w:cs="宋体" w:eastAsia="宋体" w:hint="default"/>
        </w:rPr>
        <w:t>6</w:t>
      </w:r>
      <w:r>
        <w:rPr>
          <w:rFonts w:ascii="宋体" w:hAnsi="宋体" w:cs="宋体" w:eastAsia="宋体" w:hint="default"/>
          <w:spacing w:val="-84"/>
        </w:rPr>
        <w:t> </w:t>
      </w:r>
      <w:r>
        <w:rPr/>
        <w:t>人的股权</w:t>
      </w:r>
    </w:p>
    <w:p>
      <w:pPr>
        <w:pStyle w:val="BodyText"/>
        <w:spacing w:line="311" w:lineRule="exact"/>
        <w:ind w:left="478" w:right="478"/>
        <w:jc w:val="left"/>
      </w:pPr>
      <w:r>
        <w:rPr/>
        <w:t>激励股票共计</w:t>
      </w:r>
      <w:r>
        <w:rPr>
          <w:spacing w:val="-60"/>
        </w:rPr>
        <w:t> </w:t>
      </w:r>
      <w:r>
        <w:rPr>
          <w:rFonts w:ascii="宋体" w:hAnsi="宋体" w:cs="宋体" w:eastAsia="宋体" w:hint="default"/>
        </w:rPr>
        <w:t>250,860</w:t>
      </w:r>
      <w:r>
        <w:rPr>
          <w:rFonts w:ascii="宋体" w:hAnsi="宋体" w:cs="宋体" w:eastAsia="宋体" w:hint="default"/>
          <w:spacing w:val="-60"/>
        </w:rPr>
        <w:t> </w:t>
      </w:r>
      <w:r>
        <w:rPr/>
        <w:t>股；本公司</w:t>
      </w:r>
      <w:r>
        <w:rPr>
          <w:spacing w:val="-60"/>
        </w:rPr>
        <w:t> </w:t>
      </w:r>
      <w:r>
        <w:rPr>
          <w:rFonts w:ascii="宋体" w:hAnsi="宋体" w:cs="宋体" w:eastAsia="宋体" w:hint="default"/>
        </w:rPr>
        <w:t>2013</w:t>
      </w:r>
      <w:r>
        <w:rPr>
          <w:rFonts w:ascii="宋体" w:hAnsi="宋体" w:cs="宋体" w:eastAsia="宋体" w:hint="default"/>
          <w:spacing w:val="-60"/>
        </w:rPr>
        <w:t> </w:t>
      </w:r>
      <w:r>
        <w:rPr/>
        <w:t>年的业绩未达到股权激励股票解锁的条件，</w:t>
      </w:r>
    </w:p>
    <w:p>
      <w:pPr>
        <w:pStyle w:val="BodyText"/>
        <w:spacing w:line="312" w:lineRule="exact"/>
        <w:ind w:left="478" w:right="478"/>
        <w:jc w:val="left"/>
      </w:pPr>
      <w:r>
        <w:rPr/>
        <w:t>根据股东大会授权，公司董事会决定回购并注销杨俏丛等</w:t>
      </w:r>
      <w:r>
        <w:rPr>
          <w:spacing w:val="-60"/>
        </w:rPr>
        <w:t> </w:t>
      </w:r>
      <w:r>
        <w:rPr>
          <w:rFonts w:ascii="宋体" w:hAnsi="宋体" w:cs="宋体" w:eastAsia="宋体" w:hint="default"/>
        </w:rPr>
        <w:t>52</w:t>
      </w:r>
      <w:r>
        <w:rPr>
          <w:rFonts w:ascii="宋体" w:hAnsi="宋体" w:cs="宋体" w:eastAsia="宋体" w:hint="default"/>
          <w:spacing w:val="-60"/>
        </w:rPr>
        <w:t> </w:t>
      </w:r>
      <w:r>
        <w:rPr/>
        <w:t>人的股权激励股票共计</w:t>
      </w:r>
    </w:p>
    <w:p>
      <w:pPr>
        <w:pStyle w:val="BodyText"/>
        <w:spacing w:line="311" w:lineRule="exact"/>
        <w:ind w:left="478" w:right="0"/>
        <w:jc w:val="left"/>
      </w:pPr>
      <w:r>
        <w:rPr>
          <w:rFonts w:ascii="宋体" w:hAnsi="宋体" w:cs="宋体" w:eastAsia="宋体" w:hint="default"/>
        </w:rPr>
        <w:t>3,927,901</w:t>
      </w:r>
      <w:r>
        <w:rPr>
          <w:rFonts w:ascii="宋体" w:hAnsi="宋体" w:cs="宋体" w:eastAsia="宋体" w:hint="default"/>
          <w:spacing w:val="-60"/>
        </w:rPr>
        <w:t> </w:t>
      </w:r>
      <w:r>
        <w:rPr/>
        <w:t>股；截止到</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24</w:t>
      </w:r>
      <w:r>
        <w:rPr>
          <w:rFonts w:ascii="宋体" w:hAnsi="宋体" w:cs="宋体" w:eastAsia="宋体" w:hint="default"/>
          <w:spacing w:val="-60"/>
        </w:rPr>
        <w:t> </w:t>
      </w:r>
      <w:r>
        <w:rPr/>
        <w:t>日，共计</w:t>
      </w:r>
      <w:r>
        <w:rPr>
          <w:spacing w:val="-60"/>
        </w:rPr>
        <w:t> </w:t>
      </w:r>
      <w:r>
        <w:rPr>
          <w:rFonts w:ascii="宋体" w:hAnsi="宋体" w:cs="宋体" w:eastAsia="宋体" w:hint="default"/>
        </w:rPr>
        <w:t>4,178,761</w:t>
      </w:r>
      <w:r>
        <w:rPr>
          <w:rFonts w:ascii="宋体" w:hAnsi="宋体" w:cs="宋体" w:eastAsia="宋体" w:hint="default"/>
          <w:spacing w:val="-60"/>
        </w:rPr>
        <w:t> </w:t>
      </w:r>
      <w:r>
        <w:rPr/>
        <w:t>股需回购注销，股权激励</w:t>
      </w:r>
    </w:p>
    <w:p>
      <w:pPr>
        <w:pStyle w:val="BodyText"/>
        <w:spacing w:line="311" w:lineRule="exact"/>
        <w:ind w:left="478" w:right="0"/>
        <w:jc w:val="left"/>
      </w:pPr>
      <w:r>
        <w:rPr/>
        <w:t>对象沈志明等</w:t>
      </w:r>
      <w:r>
        <w:rPr>
          <w:spacing w:val="-55"/>
        </w:rPr>
        <w:t> </w:t>
      </w:r>
      <w:r>
        <w:rPr>
          <w:rFonts w:ascii="宋体" w:hAnsi="宋体" w:cs="宋体" w:eastAsia="宋体" w:hint="default"/>
        </w:rPr>
        <w:t>20</w:t>
      </w:r>
      <w:r>
        <w:rPr>
          <w:rFonts w:ascii="宋体" w:hAnsi="宋体" w:cs="宋体" w:eastAsia="宋体" w:hint="default"/>
          <w:spacing w:val="-55"/>
        </w:rPr>
        <w:t> </w:t>
      </w:r>
      <w:r>
        <w:rPr>
          <w:spacing w:val="-3"/>
        </w:rPr>
        <w:t>人因个人原因尚未办妥回购手续，其余股权激励对象</w:t>
      </w:r>
      <w:r>
        <w:rPr>
          <w:spacing w:val="-55"/>
        </w:rPr>
        <w:t> </w:t>
      </w:r>
      <w:r>
        <w:rPr>
          <w:rFonts w:ascii="宋体" w:hAnsi="宋体" w:cs="宋体" w:eastAsia="宋体" w:hint="default"/>
        </w:rPr>
        <w:t>38</w:t>
      </w:r>
      <w:r>
        <w:rPr>
          <w:rFonts w:ascii="宋体" w:hAnsi="宋体" w:cs="宋体" w:eastAsia="宋体" w:hint="default"/>
          <w:spacing w:val="-55"/>
        </w:rPr>
        <w:t> </w:t>
      </w:r>
      <w:r>
        <w:rPr/>
        <w:t>人的待回购</w:t>
      </w:r>
    </w:p>
    <w:p>
      <w:pPr>
        <w:pStyle w:val="BodyText"/>
        <w:spacing w:line="313" w:lineRule="exact"/>
        <w:ind w:left="478" w:right="0"/>
        <w:jc w:val="left"/>
        <w:rPr>
          <w:rFonts w:ascii="宋体" w:hAnsi="宋体" w:cs="宋体" w:eastAsia="宋体" w:hint="default"/>
        </w:rPr>
      </w:pPr>
      <w:r>
        <w:rPr/>
        <w:t>的股票</w:t>
      </w:r>
      <w:r>
        <w:rPr>
          <w:spacing w:val="-60"/>
        </w:rPr>
        <w:t> </w:t>
      </w:r>
      <w:r>
        <w:rPr>
          <w:rFonts w:ascii="宋体" w:hAnsi="宋体" w:cs="宋体" w:eastAsia="宋体" w:hint="default"/>
        </w:rPr>
        <w:t>3,135,720</w:t>
      </w:r>
      <w:r>
        <w:rPr>
          <w:rFonts w:ascii="宋体" w:hAnsi="宋体" w:cs="宋体" w:eastAsia="宋体" w:hint="default"/>
          <w:spacing w:val="-60"/>
        </w:rPr>
        <w:t> </w:t>
      </w:r>
      <w:r>
        <w:rPr/>
        <w:t>股已过户至公司开立的回购专用证券账户</w:t>
      </w:r>
      <w:r>
        <w:rPr>
          <w:spacing w:val="-107"/>
        </w:rPr>
        <w:t>，</w:t>
      </w:r>
      <w:r>
        <w:rPr/>
        <w:t>该部分股票于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6</w:t>
      </w:r>
    </w:p>
    <w:p>
      <w:pPr>
        <w:spacing w:after="0" w:line="313" w:lineRule="exact"/>
        <w:jc w:val="left"/>
        <w:rPr>
          <w:rFonts w:ascii="宋体" w:hAnsi="宋体" w:cs="宋体" w:eastAsia="宋体" w:hint="default"/>
        </w:rPr>
        <w:sectPr>
          <w:type w:val="continuous"/>
          <w:pgSz w:w="11910" w:h="16840"/>
          <w:pgMar w:top="1080" w:bottom="1380" w:left="1320" w:right="780"/>
        </w:sectPr>
      </w:pPr>
    </w:p>
    <w:p>
      <w:pPr>
        <w:spacing w:line="240" w:lineRule="auto" w:before="9"/>
        <w:rPr>
          <w:rFonts w:ascii="宋体" w:hAnsi="宋体" w:cs="宋体" w:eastAsia="宋体" w:hint="default"/>
          <w:sz w:val="25"/>
          <w:szCs w:val="25"/>
        </w:rPr>
      </w:pPr>
    </w:p>
    <w:p>
      <w:pPr>
        <w:pStyle w:val="BodyText"/>
        <w:spacing w:line="312" w:lineRule="exact" w:before="26"/>
        <w:ind w:right="0"/>
        <w:jc w:val="left"/>
      </w:pPr>
      <w:r>
        <w:rPr/>
        <w:t>月</w:t>
      </w:r>
      <w:r>
        <w:rPr>
          <w:spacing w:val="-60"/>
        </w:rPr>
        <w:t> </w:t>
      </w:r>
      <w:r>
        <w:rPr>
          <w:rFonts w:ascii="宋体" w:hAnsi="宋体" w:cs="宋体" w:eastAsia="宋体" w:hint="default"/>
        </w:rPr>
        <w:t>25</w:t>
      </w:r>
      <w:r>
        <w:rPr>
          <w:rFonts w:ascii="宋体" w:hAnsi="宋体" w:cs="宋体" w:eastAsia="宋体" w:hint="default"/>
          <w:spacing w:val="-60"/>
        </w:rPr>
        <w:t> </w:t>
      </w:r>
      <w:r>
        <w:rPr>
          <w:spacing w:val="-6"/>
        </w:rPr>
        <w:t>日予以注销，公司相应减少股本</w:t>
      </w:r>
      <w:r>
        <w:rPr>
          <w:spacing w:val="-60"/>
        </w:rPr>
        <w:t> </w:t>
      </w:r>
      <w:r>
        <w:rPr>
          <w:rFonts w:ascii="宋体" w:hAnsi="宋体" w:cs="宋体" w:eastAsia="宋体" w:hint="default"/>
        </w:rPr>
        <w:t>3,135,720</w:t>
      </w:r>
      <w:r>
        <w:rPr>
          <w:rFonts w:ascii="宋体" w:hAnsi="宋体" w:cs="宋体" w:eastAsia="宋体" w:hint="default"/>
          <w:spacing w:val="-60"/>
        </w:rPr>
        <w:t> </w:t>
      </w:r>
      <w:r>
        <w:rPr>
          <w:spacing w:val="-12"/>
        </w:rPr>
        <w:t>元，减少库存股</w:t>
      </w:r>
      <w:r>
        <w:rPr>
          <w:spacing w:val="-60"/>
        </w:rPr>
        <w:t> </w:t>
      </w:r>
      <w:r>
        <w:rPr>
          <w:rFonts w:ascii="宋体" w:hAnsi="宋体" w:cs="宋体" w:eastAsia="宋体" w:hint="default"/>
        </w:rPr>
        <w:t>22,451,755.20</w:t>
      </w:r>
      <w:r>
        <w:rPr>
          <w:rFonts w:ascii="宋体" w:hAnsi="宋体" w:cs="宋体" w:eastAsia="宋体" w:hint="default"/>
          <w:spacing w:val="-60"/>
        </w:rPr>
        <w:t> </w:t>
      </w:r>
      <w:r>
        <w:rPr/>
        <w:t>元，</w:t>
      </w:r>
    </w:p>
    <w:p>
      <w:pPr>
        <w:pStyle w:val="BodyText"/>
        <w:spacing w:line="312" w:lineRule="exact"/>
        <w:ind w:right="0"/>
        <w:jc w:val="left"/>
      </w:pPr>
      <w:r>
        <w:rPr/>
        <w:t>减少资本公积</w:t>
      </w:r>
      <w:r>
        <w:rPr>
          <w:rFonts w:ascii="宋体" w:hAnsi="宋体" w:cs="宋体" w:eastAsia="宋体" w:hint="default"/>
        </w:rPr>
        <w:t>-</w:t>
      </w:r>
      <w:r>
        <w:rPr/>
        <w:t>股本溢价</w:t>
      </w:r>
      <w:r>
        <w:rPr>
          <w:spacing w:val="-60"/>
        </w:rPr>
        <w:t> </w:t>
      </w:r>
      <w:r>
        <w:rPr>
          <w:rFonts w:ascii="宋体" w:hAnsi="宋体" w:cs="宋体" w:eastAsia="宋体" w:hint="default"/>
        </w:rPr>
        <w:t>19,316,035.20</w:t>
      </w:r>
      <w:r>
        <w:rPr>
          <w:rFonts w:ascii="宋体" w:hAnsi="宋体" w:cs="宋体" w:eastAsia="宋体" w:hint="default"/>
          <w:spacing w:val="-60"/>
        </w:rPr>
        <w:t> </w:t>
      </w:r>
      <w:r>
        <w:rPr/>
        <w:t>元。</w:t>
      </w:r>
    </w:p>
    <w:p>
      <w:pPr>
        <w:pStyle w:val="BodyText"/>
        <w:spacing w:line="313" w:lineRule="exact" w:before="118"/>
        <w:ind w:left="618" w:right="0"/>
        <w:jc w:val="left"/>
      </w:pPr>
      <w:r>
        <w:rPr/>
        <w:t>（</w:t>
      </w:r>
      <w:r>
        <w:rPr>
          <w:rFonts w:ascii="宋体" w:hAnsi="宋体" w:cs="宋体" w:eastAsia="宋体" w:hint="default"/>
        </w:rPr>
        <w:t>2</w:t>
      </w:r>
      <w:r>
        <w:rPr/>
        <w:t>）以上人员中</w:t>
      </w:r>
      <w:r>
        <w:rPr>
          <w:spacing w:val="-61"/>
        </w:rPr>
        <w:t> </w:t>
      </w:r>
      <w:r>
        <w:rPr>
          <w:rFonts w:ascii="宋体" w:hAnsi="宋体" w:cs="宋体" w:eastAsia="宋体" w:hint="default"/>
        </w:rPr>
        <w:t>18</w:t>
      </w:r>
      <w:r>
        <w:rPr>
          <w:rFonts w:ascii="宋体" w:hAnsi="宋体" w:cs="宋体" w:eastAsia="宋体" w:hint="default"/>
          <w:spacing w:val="-61"/>
        </w:rPr>
        <w:t> </w:t>
      </w:r>
      <w:r>
        <w:rPr>
          <w:spacing w:val="-3"/>
        </w:rPr>
        <w:t>人，共计</w:t>
      </w:r>
      <w:r>
        <w:rPr>
          <w:spacing w:val="-61"/>
        </w:rPr>
        <w:t> </w:t>
      </w:r>
      <w:r>
        <w:rPr>
          <w:rFonts w:ascii="宋体" w:hAnsi="宋体" w:cs="宋体" w:eastAsia="宋体" w:hint="default"/>
        </w:rPr>
        <w:t>993,529</w:t>
      </w:r>
      <w:r>
        <w:rPr>
          <w:rFonts w:ascii="宋体" w:hAnsi="宋体" w:cs="宋体" w:eastAsia="宋体" w:hint="default"/>
          <w:spacing w:val="-61"/>
        </w:rPr>
        <w:t> </w:t>
      </w:r>
      <w:r>
        <w:rPr>
          <w:spacing w:val="-3"/>
        </w:rPr>
        <w:t>股，另外，徐静江</w:t>
      </w:r>
      <w:r>
        <w:rPr>
          <w:spacing w:val="-61"/>
        </w:rPr>
        <w:t> </w:t>
      </w:r>
      <w:r>
        <w:rPr>
          <w:rFonts w:ascii="宋体" w:hAnsi="宋体" w:cs="宋体" w:eastAsia="宋体" w:hint="default"/>
        </w:rPr>
        <w:t>1</w:t>
      </w:r>
      <w:r>
        <w:rPr>
          <w:rFonts w:ascii="宋体" w:hAnsi="宋体" w:cs="宋体" w:eastAsia="宋体" w:hint="default"/>
          <w:spacing w:val="-61"/>
        </w:rPr>
        <w:t> </w:t>
      </w:r>
      <w:r>
        <w:rPr/>
        <w:t>人计</w:t>
      </w:r>
      <w:r>
        <w:rPr>
          <w:spacing w:val="-61"/>
        </w:rPr>
        <w:t> </w:t>
      </w:r>
      <w:r>
        <w:rPr>
          <w:rFonts w:ascii="宋体" w:hAnsi="宋体" w:cs="宋体" w:eastAsia="宋体" w:hint="default"/>
        </w:rPr>
        <w:t>481,910</w:t>
      </w:r>
      <w:r>
        <w:rPr>
          <w:rFonts w:ascii="宋体" w:hAnsi="宋体" w:cs="宋体" w:eastAsia="宋体" w:hint="default"/>
          <w:spacing w:val="-61"/>
        </w:rPr>
        <w:t> </w:t>
      </w:r>
      <w:r>
        <w:rPr>
          <w:spacing w:val="-4"/>
        </w:rPr>
        <w:t>股（本</w:t>
      </w:r>
    </w:p>
    <w:p>
      <w:pPr>
        <w:pStyle w:val="BodyText"/>
        <w:spacing w:line="311" w:lineRule="exact"/>
        <w:ind w:right="0"/>
        <w:jc w:val="left"/>
      </w:pPr>
      <w:r>
        <w:rPr/>
        <w:t>公司</w:t>
      </w:r>
      <w:r>
        <w:rPr>
          <w:spacing w:val="-66"/>
        </w:rPr>
        <w:t> </w:t>
      </w:r>
      <w:r>
        <w:rPr>
          <w:rFonts w:ascii="宋体" w:hAnsi="宋体" w:cs="宋体" w:eastAsia="宋体" w:hint="default"/>
        </w:rPr>
        <w:t>2012</w:t>
      </w:r>
      <w:r>
        <w:rPr>
          <w:rFonts w:ascii="宋体" w:hAnsi="宋体" w:cs="宋体" w:eastAsia="宋体" w:hint="default"/>
          <w:spacing w:val="-66"/>
        </w:rPr>
        <w:t> </w:t>
      </w:r>
      <w:r>
        <w:rPr/>
        <w:t>年第十次临时董事会审批通过），于</w:t>
      </w:r>
      <w:r>
        <w:rPr>
          <w:spacing w:val="-66"/>
        </w:rPr>
        <w:t> </w:t>
      </w:r>
      <w:r>
        <w:rPr>
          <w:rFonts w:ascii="宋体" w:hAnsi="宋体" w:cs="宋体" w:eastAsia="宋体" w:hint="default"/>
        </w:rPr>
        <w:t>2014</w:t>
      </w:r>
      <w:r>
        <w:rPr>
          <w:rFonts w:ascii="宋体" w:hAnsi="宋体" w:cs="宋体" w:eastAsia="宋体" w:hint="default"/>
          <w:spacing w:val="-66"/>
        </w:rPr>
        <w:t> </w:t>
      </w:r>
      <w:r>
        <w:rPr/>
        <w:t>年</w:t>
      </w:r>
      <w:r>
        <w:rPr>
          <w:spacing w:val="-66"/>
        </w:rPr>
        <w:t> </w:t>
      </w:r>
      <w:r>
        <w:rPr>
          <w:rFonts w:ascii="宋体" w:hAnsi="宋体" w:cs="宋体" w:eastAsia="宋体" w:hint="default"/>
        </w:rPr>
        <w:t>9</w:t>
      </w:r>
      <w:r>
        <w:rPr>
          <w:rFonts w:ascii="宋体" w:hAnsi="宋体" w:cs="宋体" w:eastAsia="宋体" w:hint="default"/>
          <w:spacing w:val="-66"/>
        </w:rPr>
        <w:t> </w:t>
      </w:r>
      <w:r>
        <w:rPr/>
        <w:t>月</w:t>
      </w:r>
      <w:r>
        <w:rPr>
          <w:spacing w:val="-66"/>
        </w:rPr>
        <w:t> </w:t>
      </w:r>
      <w:r>
        <w:rPr>
          <w:rFonts w:ascii="宋体" w:hAnsi="宋体" w:cs="宋体" w:eastAsia="宋体" w:hint="default"/>
        </w:rPr>
        <w:t>1</w:t>
      </w:r>
      <w:r>
        <w:rPr>
          <w:rFonts w:ascii="宋体" w:hAnsi="宋体" w:cs="宋体" w:eastAsia="宋体" w:hint="default"/>
          <w:spacing w:val="-66"/>
        </w:rPr>
        <w:t> </w:t>
      </w:r>
      <w:r>
        <w:rPr/>
        <w:t>日完成回购，该部分股</w:t>
      </w:r>
    </w:p>
    <w:p>
      <w:pPr>
        <w:pStyle w:val="BodyText"/>
        <w:spacing w:line="311" w:lineRule="exact"/>
        <w:ind w:right="0"/>
        <w:jc w:val="left"/>
      </w:pPr>
      <w:r>
        <w:rPr/>
        <w:t>票于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2</w:t>
      </w:r>
      <w:r>
        <w:rPr>
          <w:rFonts w:ascii="宋体" w:hAnsi="宋体" w:cs="宋体" w:eastAsia="宋体" w:hint="default"/>
          <w:spacing w:val="-60"/>
        </w:rPr>
        <w:t> </w:t>
      </w:r>
      <w:r>
        <w:rPr/>
        <w:t>日完成注销，公司股本相应减少股本</w:t>
      </w:r>
      <w:r>
        <w:rPr>
          <w:spacing w:val="-60"/>
        </w:rPr>
        <w:t> </w:t>
      </w:r>
      <w:r>
        <w:rPr>
          <w:rFonts w:ascii="宋体" w:hAnsi="宋体" w:cs="宋体" w:eastAsia="宋体" w:hint="default"/>
        </w:rPr>
        <w:t>1,475,439</w:t>
      </w:r>
      <w:r>
        <w:rPr>
          <w:rFonts w:ascii="宋体" w:hAnsi="宋体" w:cs="宋体" w:eastAsia="宋体" w:hint="default"/>
          <w:spacing w:val="-60"/>
        </w:rPr>
        <w:t> </w:t>
      </w:r>
      <w:r>
        <w:rPr/>
        <w:t>元，减少库存股</w:t>
      </w:r>
    </w:p>
    <w:p>
      <w:pPr>
        <w:pStyle w:val="BodyText"/>
        <w:spacing w:line="313" w:lineRule="exact"/>
        <w:ind w:right="0"/>
        <w:jc w:val="left"/>
      </w:pPr>
      <w:r>
        <w:rPr>
          <w:rFonts w:ascii="宋体" w:hAnsi="宋体" w:cs="宋体" w:eastAsia="宋体" w:hint="default"/>
        </w:rPr>
        <w:t>10,482,994.10</w:t>
      </w:r>
      <w:r>
        <w:rPr>
          <w:rFonts w:ascii="宋体" w:hAnsi="宋体" w:cs="宋体" w:eastAsia="宋体" w:hint="default"/>
          <w:spacing w:val="-60"/>
        </w:rPr>
        <w:t> </w:t>
      </w:r>
      <w:r>
        <w:rPr/>
        <w:t>元，减少资本公积</w:t>
      </w:r>
      <w:r>
        <w:rPr>
          <w:rFonts w:ascii="宋体" w:hAnsi="宋体" w:cs="宋体" w:eastAsia="宋体" w:hint="default"/>
        </w:rPr>
        <w:t>-</w:t>
      </w:r>
      <w:r>
        <w:rPr/>
        <w:t>股本溢价</w:t>
      </w:r>
      <w:r>
        <w:rPr>
          <w:spacing w:val="-60"/>
        </w:rPr>
        <w:t> </w:t>
      </w:r>
      <w:r>
        <w:rPr>
          <w:rFonts w:ascii="宋体" w:hAnsi="宋体" w:cs="宋体" w:eastAsia="宋体" w:hint="default"/>
        </w:rPr>
        <w:t>9,007,555.10</w:t>
      </w:r>
      <w:r>
        <w:rPr>
          <w:rFonts w:ascii="宋体" w:hAnsi="宋体" w:cs="宋体" w:eastAsia="宋体" w:hint="default"/>
          <w:spacing w:val="-60"/>
        </w:rPr>
        <w:t> </w:t>
      </w:r>
      <w:r>
        <w:rPr/>
        <w:t>元。</w:t>
      </w:r>
    </w:p>
    <w:p>
      <w:pPr>
        <w:pStyle w:val="BodyText"/>
        <w:spacing w:line="312" w:lineRule="exact" w:before="116"/>
        <w:ind w:left="618" w:right="0"/>
        <w:jc w:val="left"/>
      </w:pPr>
      <w:r>
        <w:rPr/>
        <w:t>（</w:t>
      </w:r>
      <w:r>
        <w:rPr>
          <w:rFonts w:ascii="宋体" w:hAnsi="宋体" w:cs="宋体" w:eastAsia="宋体" w:hint="default"/>
        </w:rPr>
        <w:t>3</w:t>
      </w:r>
      <w:r>
        <w:rPr/>
        <w:t>）股权激励对象董圆圆、段明强</w:t>
      </w:r>
      <w:r>
        <w:rPr>
          <w:spacing w:val="-60"/>
        </w:rPr>
        <w:t> </w:t>
      </w:r>
      <w:r>
        <w:rPr>
          <w:rFonts w:ascii="宋体" w:hAnsi="宋体" w:cs="宋体" w:eastAsia="宋体" w:hint="default"/>
        </w:rPr>
        <w:t>2</w:t>
      </w:r>
      <w:r>
        <w:rPr>
          <w:rFonts w:ascii="宋体" w:hAnsi="宋体" w:cs="宋体" w:eastAsia="宋体" w:hint="default"/>
          <w:spacing w:val="-60"/>
        </w:rPr>
        <w:t> </w:t>
      </w:r>
      <w:r>
        <w:rPr/>
        <w:t>人因个人原因辞职，根据股东大会授权，</w:t>
      </w:r>
    </w:p>
    <w:p>
      <w:pPr>
        <w:pStyle w:val="BodyText"/>
        <w:spacing w:line="311" w:lineRule="exact"/>
        <w:ind w:right="0"/>
        <w:jc w:val="left"/>
      </w:pPr>
      <w:r>
        <w:rPr/>
        <w:t>本公司于</w:t>
      </w:r>
      <w:r>
        <w:rPr>
          <w:spacing w:val="-69"/>
        </w:rPr>
        <w:t> </w:t>
      </w:r>
      <w:r>
        <w:rPr>
          <w:rFonts w:ascii="宋体" w:hAnsi="宋体" w:cs="宋体" w:eastAsia="宋体" w:hint="default"/>
        </w:rPr>
        <w:t>2014</w:t>
      </w:r>
      <w:r>
        <w:rPr>
          <w:rFonts w:ascii="宋体" w:hAnsi="宋体" w:cs="宋体" w:eastAsia="宋体" w:hint="default"/>
          <w:spacing w:val="-69"/>
        </w:rPr>
        <w:t> </w:t>
      </w:r>
      <w:r>
        <w:rPr/>
        <w:t>年</w:t>
      </w:r>
      <w:r>
        <w:rPr>
          <w:spacing w:val="-69"/>
        </w:rPr>
        <w:t> </w:t>
      </w:r>
      <w:r>
        <w:rPr>
          <w:rFonts w:ascii="宋体" w:hAnsi="宋体" w:cs="宋体" w:eastAsia="宋体" w:hint="default"/>
        </w:rPr>
        <w:t>8</w:t>
      </w:r>
      <w:r>
        <w:rPr>
          <w:rFonts w:ascii="宋体" w:hAnsi="宋体" w:cs="宋体" w:eastAsia="宋体" w:hint="default"/>
          <w:spacing w:val="-68"/>
        </w:rPr>
        <w:t> </w:t>
      </w:r>
      <w:r>
        <w:rPr/>
        <w:t>月</w:t>
      </w:r>
      <w:r>
        <w:rPr>
          <w:spacing w:val="-68"/>
        </w:rPr>
        <w:t> </w:t>
      </w:r>
      <w:r>
        <w:rPr>
          <w:rFonts w:ascii="宋体" w:hAnsi="宋体" w:cs="宋体" w:eastAsia="宋体" w:hint="default"/>
        </w:rPr>
        <w:t>25</w:t>
      </w:r>
      <w:r>
        <w:rPr>
          <w:rFonts w:ascii="宋体" w:hAnsi="宋体" w:cs="宋体" w:eastAsia="宋体" w:hint="default"/>
          <w:spacing w:val="-69"/>
        </w:rPr>
        <w:t> </w:t>
      </w:r>
      <w:r>
        <w:rPr/>
        <w:t>日召开的第五届第三次董事会审议通过了回购并注销上述激</w:t>
      </w:r>
    </w:p>
    <w:p>
      <w:pPr>
        <w:pStyle w:val="BodyText"/>
        <w:spacing w:line="311" w:lineRule="exact"/>
        <w:ind w:right="0"/>
        <w:jc w:val="left"/>
      </w:pPr>
      <w:r>
        <w:rPr/>
        <w:t>励对象已获授但尚未解锁的股权激励股票的相关议案，回购并注销此</w:t>
      </w:r>
      <w:r>
        <w:rPr>
          <w:spacing w:val="-84"/>
        </w:rPr>
        <w:t> </w:t>
      </w:r>
      <w:r>
        <w:rPr>
          <w:rFonts w:ascii="宋体" w:hAnsi="宋体" w:cs="宋体" w:eastAsia="宋体" w:hint="default"/>
        </w:rPr>
        <w:t>2</w:t>
      </w:r>
      <w:r>
        <w:rPr>
          <w:rFonts w:ascii="宋体" w:hAnsi="宋体" w:cs="宋体" w:eastAsia="宋体" w:hint="default"/>
          <w:spacing w:val="-84"/>
        </w:rPr>
        <w:t> </w:t>
      </w:r>
      <w:r>
        <w:rPr/>
        <w:t>人的股权激励</w:t>
      </w:r>
    </w:p>
    <w:p>
      <w:pPr>
        <w:pStyle w:val="BodyText"/>
        <w:spacing w:line="311" w:lineRule="exact"/>
        <w:ind w:right="0"/>
        <w:jc w:val="left"/>
      </w:pPr>
      <w:r>
        <w:rPr/>
        <w:t>股票共计</w:t>
      </w:r>
      <w:r>
        <w:rPr>
          <w:spacing w:val="-60"/>
        </w:rPr>
        <w:t> </w:t>
      </w:r>
      <w:r>
        <w:rPr>
          <w:rFonts w:ascii="宋体" w:hAnsi="宋体" w:cs="宋体" w:eastAsia="宋体" w:hint="default"/>
        </w:rPr>
        <w:t>99,024</w:t>
      </w:r>
      <w:r>
        <w:rPr>
          <w:rFonts w:ascii="宋体" w:hAnsi="宋体" w:cs="宋体" w:eastAsia="宋体" w:hint="default"/>
          <w:spacing w:val="-60"/>
        </w:rPr>
        <w:t> </w:t>
      </w:r>
      <w:r>
        <w:rPr/>
        <w:t>股，该部分股票于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2</w:t>
      </w:r>
      <w:r>
        <w:rPr>
          <w:rFonts w:ascii="宋体" w:hAnsi="宋体" w:cs="宋体" w:eastAsia="宋体" w:hint="default"/>
          <w:spacing w:val="-60"/>
        </w:rPr>
        <w:t> </w:t>
      </w:r>
      <w:r>
        <w:rPr/>
        <w:t>日完成注销，公司股本相应减少</w:t>
      </w:r>
    </w:p>
    <w:p>
      <w:pPr>
        <w:pStyle w:val="BodyText"/>
        <w:spacing w:line="313" w:lineRule="exact"/>
        <w:ind w:right="0"/>
        <w:jc w:val="left"/>
      </w:pPr>
      <w:r>
        <w:rPr/>
        <w:t>股本</w:t>
      </w:r>
      <w:r>
        <w:rPr>
          <w:spacing w:val="-69"/>
        </w:rPr>
        <w:t> </w:t>
      </w:r>
      <w:r>
        <w:rPr>
          <w:rFonts w:ascii="宋体" w:hAnsi="宋体" w:cs="宋体" w:eastAsia="宋体" w:hint="default"/>
        </w:rPr>
        <w:t>99,024</w:t>
      </w:r>
      <w:r>
        <w:rPr>
          <w:rFonts w:ascii="宋体" w:hAnsi="宋体" w:cs="宋体" w:eastAsia="宋体" w:hint="default"/>
          <w:spacing w:val="-69"/>
        </w:rPr>
        <w:t> </w:t>
      </w:r>
      <w:r>
        <w:rPr/>
        <w:t>元</w:t>
      </w:r>
      <w:r>
        <w:rPr>
          <w:spacing w:val="-120"/>
        </w:rPr>
        <w:t>，</w:t>
      </w:r>
      <w:r>
        <w:rPr/>
        <w:t>减少库存股</w:t>
      </w:r>
      <w:r>
        <w:rPr>
          <w:spacing w:val="-69"/>
        </w:rPr>
        <w:t> </w:t>
      </w:r>
      <w:r>
        <w:rPr>
          <w:rFonts w:ascii="宋体" w:hAnsi="宋体" w:cs="宋体" w:eastAsia="宋体" w:hint="default"/>
        </w:rPr>
        <w:t>703,565.52</w:t>
      </w:r>
      <w:r>
        <w:rPr>
          <w:rFonts w:ascii="宋体" w:hAnsi="宋体" w:cs="宋体" w:eastAsia="宋体" w:hint="default"/>
          <w:spacing w:val="-68"/>
        </w:rPr>
        <w:t> </w:t>
      </w:r>
      <w:r>
        <w:rPr/>
        <w:t>元</w:t>
      </w:r>
      <w:r>
        <w:rPr>
          <w:spacing w:val="-120"/>
        </w:rPr>
        <w:t>，</w:t>
      </w:r>
      <w:r>
        <w:rPr/>
        <w:t>减少资本公积</w:t>
      </w:r>
      <w:r>
        <w:rPr>
          <w:rFonts w:ascii="宋体" w:hAnsi="宋体" w:cs="宋体" w:eastAsia="宋体" w:hint="default"/>
        </w:rPr>
        <w:t>-</w:t>
      </w:r>
      <w:r>
        <w:rPr/>
        <w:t>股本溢价</w:t>
      </w:r>
      <w:r>
        <w:rPr>
          <w:spacing w:val="-68"/>
        </w:rPr>
        <w:t> </w:t>
      </w:r>
      <w:r>
        <w:rPr>
          <w:rFonts w:ascii="宋体" w:hAnsi="宋体" w:cs="宋体" w:eastAsia="宋体" w:hint="default"/>
        </w:rPr>
        <w:t>604,541.52</w:t>
      </w:r>
      <w:r>
        <w:rPr>
          <w:rFonts w:ascii="宋体" w:hAnsi="宋体" w:cs="宋体" w:eastAsia="宋体" w:hint="default"/>
          <w:spacing w:val="-68"/>
        </w:rPr>
        <w:t> </w:t>
      </w:r>
      <w:r>
        <w:rPr>
          <w:spacing w:val="1"/>
        </w:rPr>
        <w:t>元。</w:t>
      </w:r>
      <w:r>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49"/>
          <w:pgSz w:w="11910" w:h="16840"/>
          <w:pgMar w:footer="1194" w:header="882" w:top="1120" w:bottom="1380" w:left="1660" w:right="1120"/>
          <w:pgNumType w:start="141"/>
        </w:sectPr>
      </w:pPr>
    </w:p>
    <w:p>
      <w:pPr>
        <w:pStyle w:val="Heading2"/>
        <w:spacing w:line="240" w:lineRule="auto" w:before="187"/>
        <w:ind w:left="138" w:right="-18"/>
        <w:jc w:val="left"/>
        <w:rPr>
          <w:b w:val="0"/>
          <w:bCs w:val="0"/>
        </w:rPr>
      </w:pPr>
      <w:r>
        <w:rPr>
          <w:rFonts w:ascii="宋体" w:hAnsi="宋体" w:cs="宋体" w:eastAsia="宋体" w:hint="default"/>
        </w:rPr>
        <w:t>38</w:t>
      </w:r>
      <w:r>
        <w:rPr/>
        <w:t>、</w:t>
      </w:r>
      <w:r>
        <w:rPr>
          <w:spacing w:val="-101"/>
        </w:rPr>
        <w:t> </w:t>
      </w:r>
      <w:r>
        <w:rPr/>
        <w:t>资本公积</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2"/>
        <w:rPr>
          <w:rFonts w:ascii="宋体" w:hAnsi="宋体" w:cs="宋体" w:eastAsia="宋体" w:hint="default"/>
          <w:b/>
          <w:bCs/>
          <w:sz w:val="22"/>
          <w:szCs w:val="22"/>
        </w:rPr>
      </w:pPr>
    </w:p>
    <w:p>
      <w:pPr>
        <w:tabs>
          <w:tab w:pos="1187" w:val="left" w:leader="none"/>
        </w:tabs>
        <w:spacing w:before="0"/>
        <w:ind w:left="13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660" w:right="1120"/>
          <w:cols w:num="2" w:equalWidth="0">
            <w:col w:w="1607" w:space="4917"/>
            <w:col w:w="2606"/>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676"/>
        <w:gridCol w:w="1787"/>
        <w:gridCol w:w="1820"/>
        <w:gridCol w:w="1806"/>
        <w:gridCol w:w="1804"/>
      </w:tblGrid>
      <w:tr>
        <w:trPr>
          <w:trHeight w:val="288"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9"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8"/>
                <w:sz w:val="21"/>
                <w:szCs w:val="21"/>
              </w:rPr>
              <w:t>资本溢价（股本溢</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662,905,667.06</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2,360,863.15</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34,086,832.67</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631,179,697.54</w:t>
            </w:r>
          </w:p>
        </w:tc>
      </w:tr>
      <w:tr>
        <w:trPr>
          <w:trHeight w:val="288"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12,939,688.66</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969,787.89</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1,654,188.90</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12,255,287.65</w:t>
            </w:r>
          </w:p>
        </w:tc>
      </w:tr>
      <w:tr>
        <w:trPr>
          <w:trHeight w:val="287"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675,845,355.72</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3,330,651.04</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35,741,021.57</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643,434,985.19</w:t>
            </w:r>
          </w:p>
        </w:tc>
      </w:tr>
    </w:tbl>
    <w:p>
      <w:pPr>
        <w:pStyle w:val="BodyText"/>
        <w:spacing w:line="240" w:lineRule="auto" w:before="82"/>
        <w:ind w:right="0"/>
        <w:jc w:val="left"/>
      </w:pPr>
      <w:r>
        <w:rPr/>
        <w:t>说明：</w:t>
      </w:r>
    </w:p>
    <w:p>
      <w:pPr>
        <w:pStyle w:val="BodyText"/>
        <w:spacing w:line="328" w:lineRule="auto" w:before="117"/>
        <w:ind w:left="562" w:right="744" w:hanging="425"/>
        <w:jc w:val="left"/>
      </w:pPr>
      <w:r>
        <w:rPr/>
        <w:t>（</w:t>
      </w:r>
      <w:r>
        <w:rPr>
          <w:rFonts w:ascii="宋体" w:hAnsi="宋体" w:cs="宋体" w:eastAsia="宋体" w:hint="default"/>
        </w:rPr>
        <w:t>1</w:t>
      </w:r>
      <w:r>
        <w:rPr/>
        <w:t>）股本溢价增减变动： </w:t>
      </w:r>
      <w:r>
        <w:rPr>
          <w:rFonts w:ascii="宋体" w:hAnsi="宋体" w:cs="宋体" w:eastAsia="宋体" w:hint="default"/>
        </w:rPr>
        <w:t>A</w:t>
      </w:r>
      <w:r>
        <w:rPr/>
        <w:t>、本公司本期回购并注销股权激励股票减少股本溢价</w:t>
      </w:r>
      <w:r>
        <w:rPr>
          <w:spacing w:val="-60"/>
        </w:rPr>
        <w:t> </w:t>
      </w:r>
      <w:r>
        <w:rPr>
          <w:rFonts w:ascii="宋体" w:hAnsi="宋体" w:cs="宋体" w:eastAsia="宋体" w:hint="default"/>
        </w:rPr>
        <w:t>28,928,131.82</w:t>
      </w:r>
      <w:r>
        <w:rPr>
          <w:rFonts w:ascii="宋体" w:hAnsi="宋体" w:cs="宋体" w:eastAsia="宋体" w:hint="default"/>
          <w:spacing w:val="-60"/>
        </w:rPr>
        <w:t> </w:t>
      </w:r>
      <w:r>
        <w:rPr/>
        <w:t>元； </w:t>
      </w:r>
      <w:r>
        <w:rPr>
          <w:rFonts w:ascii="宋体" w:hAnsi="宋体" w:cs="宋体" w:eastAsia="宋体" w:hint="default"/>
        </w:rPr>
        <w:t>B</w:t>
      </w:r>
      <w:r>
        <w:rPr/>
        <w:t>、本公司间接控制子公司</w:t>
      </w:r>
      <w:r>
        <w:rPr>
          <w:spacing w:val="-60"/>
        </w:rPr>
        <w:t> </w:t>
      </w:r>
      <w:r>
        <w:rPr>
          <w:rFonts w:ascii="宋体" w:hAnsi="宋体" w:cs="宋体" w:eastAsia="宋体" w:hint="default"/>
        </w:rPr>
        <w:t>ASL</w:t>
      </w:r>
      <w:r>
        <w:rPr>
          <w:rFonts w:ascii="宋体" w:hAnsi="宋体" w:cs="宋体" w:eastAsia="宋体" w:hint="default"/>
          <w:spacing w:val="-60"/>
        </w:rPr>
        <w:t> </w:t>
      </w:r>
      <w:r>
        <w:rPr/>
        <w:t>公司本期发生未丧失控制权的权益性交易</w:t>
      </w:r>
    </w:p>
    <w:p>
      <w:pPr>
        <w:pStyle w:val="BodyText"/>
        <w:spacing w:line="220" w:lineRule="exact"/>
        <w:ind w:right="0"/>
        <w:jc w:val="left"/>
      </w:pPr>
      <w:r>
        <w:rPr>
          <w:rFonts w:ascii="宋体" w:hAnsi="宋体" w:cs="宋体" w:eastAsia="宋体" w:hint="default"/>
        </w:rPr>
        <w:t>9,004,911.43</w:t>
      </w:r>
      <w:r>
        <w:rPr>
          <w:rFonts w:ascii="宋体" w:hAnsi="宋体" w:cs="宋体" w:eastAsia="宋体" w:hint="default"/>
          <w:spacing w:val="-60"/>
        </w:rPr>
        <w:t> </w:t>
      </w:r>
      <w:r>
        <w:rPr/>
        <w:t>元港币，扣除少数股东权益影响，相应减少股本溢价</w:t>
      </w:r>
      <w:r>
        <w:rPr>
          <w:spacing w:val="-60"/>
        </w:rPr>
        <w:t> </w:t>
      </w:r>
      <w:r>
        <w:rPr>
          <w:rFonts w:ascii="宋体" w:hAnsi="宋体" w:cs="宋体" w:eastAsia="宋体" w:hint="default"/>
        </w:rPr>
        <w:t>4,784,224.09</w:t>
      </w:r>
      <w:r>
        <w:rPr>
          <w:rFonts w:ascii="宋体" w:hAnsi="宋体" w:cs="宋体" w:eastAsia="宋体" w:hint="default"/>
          <w:spacing w:val="-60"/>
        </w:rPr>
        <w:t> </w:t>
      </w:r>
      <w:r>
        <w:rPr/>
        <w:t>元</w:t>
      </w:r>
    </w:p>
    <w:p>
      <w:pPr>
        <w:pStyle w:val="BodyText"/>
        <w:spacing w:line="312" w:lineRule="exact"/>
        <w:ind w:right="0"/>
        <w:jc w:val="left"/>
      </w:pPr>
      <w:r>
        <w:rPr/>
        <w:t>人民币，详见本附注七、</w:t>
      </w:r>
      <w:r>
        <w:rPr>
          <w:rFonts w:ascii="宋体" w:hAnsi="宋体" w:cs="宋体" w:eastAsia="宋体" w:hint="default"/>
        </w:rPr>
        <w:t>1</w:t>
      </w:r>
      <w:r>
        <w:rPr/>
        <w:t>（</w:t>
      </w:r>
      <w:r>
        <w:rPr>
          <w:rFonts w:ascii="宋体" w:hAnsi="宋体" w:cs="宋体" w:eastAsia="宋体" w:hint="default"/>
        </w:rPr>
        <w:t>4</w:t>
      </w:r>
      <w:r>
        <w:rPr/>
        <w:t>）；</w:t>
      </w:r>
    </w:p>
    <w:p>
      <w:pPr>
        <w:pStyle w:val="BodyText"/>
        <w:spacing w:line="237" w:lineRule="auto" w:before="120"/>
        <w:ind w:right="152" w:firstLine="424"/>
        <w:jc w:val="both"/>
        <w:rPr>
          <w:rFonts w:ascii="宋体" w:hAnsi="宋体" w:cs="宋体" w:eastAsia="宋体" w:hint="default"/>
        </w:rPr>
      </w:pPr>
      <w:r>
        <w:rPr>
          <w:rFonts w:ascii="宋体" w:hAnsi="宋体" w:cs="宋体" w:eastAsia="宋体" w:hint="default"/>
          <w:spacing w:val="-10"/>
        </w:rPr>
        <w:t>C</w:t>
      </w:r>
      <w:r>
        <w:rPr>
          <w:spacing w:val="-10"/>
        </w:rPr>
        <w:t>、本公司间接控制子公司</w:t>
      </w:r>
      <w:r>
        <w:rPr>
          <w:spacing w:val="-57"/>
        </w:rPr>
        <w:t> </w:t>
      </w:r>
      <w:r>
        <w:rPr>
          <w:rFonts w:ascii="宋体" w:hAnsi="宋体" w:cs="宋体" w:eastAsia="宋体" w:hint="default"/>
        </w:rPr>
        <w:t>ASL</w:t>
      </w:r>
      <w:r>
        <w:rPr>
          <w:rFonts w:ascii="宋体" w:hAnsi="宋体" w:cs="宋体" w:eastAsia="宋体" w:hint="default"/>
          <w:spacing w:val="-57"/>
        </w:rPr>
        <w:t> </w:t>
      </w:r>
      <w:r>
        <w:rPr/>
        <w:t>公司激励对象已满足行权条件本期行权相应增加股 本变动</w:t>
      </w:r>
      <w:r>
        <w:rPr>
          <w:spacing w:val="-60"/>
        </w:rPr>
        <w:t> </w:t>
      </w:r>
      <w:r>
        <w:rPr>
          <w:rFonts w:ascii="宋体" w:hAnsi="宋体" w:cs="宋体" w:eastAsia="宋体" w:hint="default"/>
        </w:rPr>
        <w:t>4.6</w:t>
      </w:r>
      <w:r>
        <w:rPr>
          <w:rFonts w:ascii="宋体" w:hAnsi="宋体" w:cs="宋体" w:eastAsia="宋体" w:hint="default"/>
          <w:spacing w:val="-60"/>
        </w:rPr>
        <w:t> </w:t>
      </w:r>
      <w:r>
        <w:rPr/>
        <w:t>万港币，本公司持股比例变更为</w:t>
      </w:r>
      <w:r>
        <w:rPr>
          <w:spacing w:val="-60"/>
        </w:rPr>
        <w:t> </w:t>
      </w:r>
      <w:r>
        <w:rPr>
          <w:rFonts w:ascii="宋体" w:hAnsi="宋体" w:cs="宋体" w:eastAsia="宋体" w:hint="default"/>
        </w:rPr>
        <w:t>66.95%</w:t>
      </w:r>
      <w:r>
        <w:rPr/>
        <w:t>，相应减少股本溢价</w:t>
      </w:r>
      <w:r>
        <w:rPr>
          <w:spacing w:val="-60"/>
        </w:rPr>
        <w:t> </w:t>
      </w:r>
      <w:r>
        <w:rPr>
          <w:rFonts w:ascii="宋体" w:hAnsi="宋体" w:cs="宋体" w:eastAsia="宋体" w:hint="default"/>
        </w:rPr>
        <w:t>374,476.76 </w:t>
      </w:r>
      <w:r>
        <w:rPr/>
        <w:t>元，详见本附注七、</w:t>
      </w:r>
      <w:r>
        <w:rPr>
          <w:rFonts w:ascii="宋体" w:hAnsi="宋体" w:cs="宋体" w:eastAsia="宋体" w:hint="default"/>
        </w:rPr>
        <w:t>1</w:t>
      </w:r>
      <w:r>
        <w:rPr/>
        <w:t>（</w:t>
      </w:r>
      <w:r>
        <w:rPr>
          <w:rFonts w:ascii="宋体" w:hAnsi="宋体" w:cs="宋体" w:eastAsia="宋体" w:hint="default"/>
        </w:rPr>
        <w:t>4</w:t>
      </w:r>
      <w:r>
        <w:rPr/>
        <w:t>）</w:t>
      </w:r>
      <w:r>
        <w:rPr>
          <w:rFonts w:ascii="宋体" w:hAnsi="宋体" w:cs="宋体" w:eastAsia="宋体" w:hint="default"/>
        </w:rPr>
        <w:t>;</w:t>
      </w:r>
    </w:p>
    <w:p>
      <w:pPr>
        <w:pStyle w:val="BodyText"/>
        <w:spacing w:line="237" w:lineRule="auto" w:before="120"/>
        <w:ind w:right="152" w:firstLine="424"/>
        <w:jc w:val="both"/>
      </w:pPr>
      <w:r>
        <w:rPr>
          <w:rFonts w:ascii="宋体" w:hAnsi="宋体" w:cs="宋体" w:eastAsia="宋体" w:hint="default"/>
          <w:spacing w:val="-12"/>
        </w:rPr>
        <w:t>D</w:t>
      </w:r>
      <w:r>
        <w:rPr>
          <w:spacing w:val="-12"/>
        </w:rPr>
        <w:t>、本公司间接控制子</w:t>
      </w:r>
      <w:r>
        <w:rPr>
          <w:spacing w:val="-57"/>
        </w:rPr>
        <w:t> </w:t>
      </w:r>
      <w:r>
        <w:rPr>
          <w:rFonts w:ascii="宋体" w:hAnsi="宋体" w:cs="宋体" w:eastAsia="宋体" w:hint="default"/>
        </w:rPr>
        <w:t>ASL</w:t>
      </w:r>
      <w:r>
        <w:rPr>
          <w:rFonts w:ascii="宋体" w:hAnsi="宋体" w:cs="宋体" w:eastAsia="宋体" w:hint="default"/>
          <w:spacing w:val="-57"/>
        </w:rPr>
        <w:t> </w:t>
      </w:r>
      <w:r>
        <w:rPr/>
        <w:t>公司激励对象已满足行权条件本期行权相应增加股本溢 价</w:t>
      </w:r>
      <w:r>
        <w:rPr>
          <w:spacing w:val="-56"/>
        </w:rPr>
        <w:t> </w:t>
      </w:r>
      <w:r>
        <w:rPr>
          <w:rFonts w:ascii="宋体" w:hAnsi="宋体" w:cs="宋体" w:eastAsia="宋体" w:hint="default"/>
        </w:rPr>
        <w:t>581,394.00</w:t>
      </w:r>
      <w:r>
        <w:rPr>
          <w:rFonts w:ascii="宋体" w:hAnsi="宋体" w:cs="宋体" w:eastAsia="宋体" w:hint="default"/>
          <w:spacing w:val="-56"/>
        </w:rPr>
        <w:t> </w:t>
      </w:r>
      <w:r>
        <w:rPr>
          <w:spacing w:val="-3"/>
        </w:rPr>
        <w:t>元港币，扣除少数股东的影响，相应增加股本溢价</w:t>
      </w:r>
      <w:r>
        <w:rPr>
          <w:spacing w:val="-56"/>
        </w:rPr>
        <w:t> </w:t>
      </w:r>
      <w:r>
        <w:rPr>
          <w:rFonts w:ascii="宋体" w:hAnsi="宋体" w:cs="宋体" w:eastAsia="宋体" w:hint="default"/>
        </w:rPr>
        <w:t>308,889.14</w:t>
      </w:r>
      <w:r>
        <w:rPr>
          <w:rFonts w:ascii="宋体" w:hAnsi="宋体" w:cs="宋体" w:eastAsia="宋体" w:hint="default"/>
          <w:spacing w:val="-56"/>
        </w:rPr>
        <w:t> </w:t>
      </w:r>
      <w:r>
        <w:rPr/>
        <w:t>元人民 币；</w:t>
      </w:r>
    </w:p>
    <w:p>
      <w:pPr>
        <w:pStyle w:val="BodyText"/>
        <w:spacing w:line="310" w:lineRule="exact" w:before="149"/>
        <w:ind w:right="153" w:firstLine="424"/>
        <w:jc w:val="both"/>
      </w:pPr>
      <w:r>
        <w:rPr>
          <w:rFonts w:ascii="宋体" w:hAnsi="宋体" w:cs="宋体" w:eastAsia="宋体" w:hint="default"/>
          <w:spacing w:val="-4"/>
        </w:rPr>
        <w:t>E</w:t>
      </w:r>
      <w:r>
        <w:rPr>
          <w:spacing w:val="-4"/>
        </w:rPr>
        <w:t>、本公司间接控制子公司北京华胜天成创业投资管理有限公司本期发生未丧失控</w:t>
      </w:r>
      <w:r>
        <w:rPr/>
        <w:t> 制权的权益性交易</w:t>
      </w:r>
      <w:r>
        <w:rPr>
          <w:spacing w:val="-60"/>
        </w:rPr>
        <w:t> </w:t>
      </w:r>
      <w:r>
        <w:rPr>
          <w:rFonts w:ascii="宋体" w:hAnsi="宋体" w:cs="宋体" w:eastAsia="宋体" w:hint="default"/>
        </w:rPr>
        <w:t>3,730,861.83</w:t>
      </w:r>
      <w:r>
        <w:rPr>
          <w:rFonts w:ascii="宋体" w:hAnsi="宋体" w:cs="宋体" w:eastAsia="宋体" w:hint="default"/>
          <w:spacing w:val="-60"/>
        </w:rPr>
        <w:t> </w:t>
      </w:r>
      <w:r>
        <w:rPr/>
        <w:t>元，扣除少数股东的影响，相应增加股本溢价</w:t>
      </w:r>
    </w:p>
    <w:p>
      <w:pPr>
        <w:pStyle w:val="BodyText"/>
        <w:spacing w:line="284" w:lineRule="exact"/>
        <w:ind w:right="0"/>
        <w:jc w:val="left"/>
      </w:pPr>
      <w:r>
        <w:rPr>
          <w:rFonts w:ascii="宋体" w:hAnsi="宋体" w:cs="宋体" w:eastAsia="宋体" w:hint="default"/>
        </w:rPr>
        <w:t>2,051,974.01</w:t>
      </w:r>
      <w:r>
        <w:rPr>
          <w:rFonts w:ascii="宋体" w:hAnsi="宋体" w:cs="宋体" w:eastAsia="宋体" w:hint="default"/>
          <w:spacing w:val="-60"/>
        </w:rPr>
        <w:t> </w:t>
      </w:r>
      <w:r>
        <w:rPr/>
        <w:t>元，详见本附注七、</w:t>
      </w:r>
      <w:r>
        <w:rPr>
          <w:rFonts w:ascii="宋体" w:hAnsi="宋体" w:cs="宋体" w:eastAsia="宋体" w:hint="default"/>
        </w:rPr>
        <w:t>1</w:t>
      </w:r>
      <w:r>
        <w:rPr/>
        <w:t>（</w:t>
      </w:r>
      <w:r>
        <w:rPr>
          <w:rFonts w:ascii="宋体" w:hAnsi="宋体" w:cs="宋体" w:eastAsia="宋体" w:hint="default"/>
        </w:rPr>
        <w:t>4</w:t>
      </w:r>
      <w:r>
        <w:rPr/>
        <w:t>）。</w:t>
      </w:r>
    </w:p>
    <w:p>
      <w:pPr>
        <w:pStyle w:val="BodyText"/>
        <w:spacing w:line="240" w:lineRule="auto" w:before="116"/>
        <w:ind w:right="0"/>
        <w:jc w:val="left"/>
      </w:pPr>
      <w:r>
        <w:rPr/>
        <w:t>（</w:t>
      </w:r>
      <w:r>
        <w:rPr>
          <w:rFonts w:ascii="宋体" w:hAnsi="宋体" w:cs="宋体" w:eastAsia="宋体" w:hint="default"/>
        </w:rPr>
        <w:t>2</w:t>
      </w:r>
      <w:r>
        <w:rPr/>
        <w:t>）其他资本公积增减变动：</w:t>
      </w:r>
    </w:p>
    <w:p>
      <w:pPr>
        <w:pStyle w:val="BodyText"/>
        <w:spacing w:line="310" w:lineRule="exact" w:before="150"/>
        <w:ind w:right="148" w:firstLine="424"/>
        <w:jc w:val="left"/>
      </w:pPr>
      <w:r>
        <w:rPr>
          <w:rFonts w:ascii="宋体" w:hAnsi="宋体" w:cs="宋体" w:eastAsia="宋体" w:hint="default"/>
        </w:rPr>
        <w:t>A</w:t>
      </w:r>
      <w:r>
        <w:rPr/>
        <w:t>、本期因间接控制子公司</w:t>
      </w:r>
      <w:r>
        <w:rPr>
          <w:spacing w:val="-60"/>
        </w:rPr>
        <w:t> </w:t>
      </w:r>
      <w:r>
        <w:rPr>
          <w:rFonts w:ascii="宋体" w:hAnsi="宋体" w:cs="宋体" w:eastAsia="宋体" w:hint="default"/>
        </w:rPr>
        <w:t>ASL</w:t>
      </w:r>
      <w:r>
        <w:rPr>
          <w:rFonts w:ascii="宋体" w:hAnsi="宋体" w:cs="宋体" w:eastAsia="宋体" w:hint="default"/>
          <w:spacing w:val="-60"/>
        </w:rPr>
        <w:t> </w:t>
      </w:r>
      <w:r>
        <w:rPr/>
        <w:t>公司实施股权激励相应增加其他资本公积 </w:t>
      </w:r>
      <w:r>
        <w:rPr>
          <w:rFonts w:ascii="宋体" w:hAnsi="宋体" w:cs="宋体" w:eastAsia="宋体" w:hint="default"/>
        </w:rPr>
        <w:t>1,825,343.89</w:t>
      </w:r>
      <w:r>
        <w:rPr>
          <w:rFonts w:ascii="宋体" w:hAnsi="宋体" w:cs="宋体" w:eastAsia="宋体" w:hint="default"/>
          <w:spacing w:val="-60"/>
        </w:rPr>
        <w:t> </w:t>
      </w:r>
      <w:r>
        <w:rPr/>
        <w:t>元港币，扣除少数股东的影响，相应增加其他资本公积</w:t>
      </w:r>
      <w:r>
        <w:rPr>
          <w:spacing w:val="-60"/>
        </w:rPr>
        <w:t> </w:t>
      </w:r>
      <w:r>
        <w:rPr>
          <w:rFonts w:ascii="宋体" w:hAnsi="宋体" w:cs="宋体" w:eastAsia="宋体" w:hint="default"/>
        </w:rPr>
        <w:t>969,787.89</w:t>
      </w:r>
      <w:r>
        <w:rPr>
          <w:rFonts w:ascii="宋体" w:hAnsi="宋体" w:cs="宋体" w:eastAsia="宋体" w:hint="default"/>
          <w:spacing w:val="-60"/>
        </w:rPr>
        <w:t> </w:t>
      </w:r>
      <w:r>
        <w:rPr/>
        <w:t>元 人民币；</w:t>
      </w:r>
    </w:p>
    <w:p>
      <w:pPr>
        <w:spacing w:after="0" w:line="310" w:lineRule="exact"/>
        <w:jc w:val="left"/>
        <w:sectPr>
          <w:type w:val="continuous"/>
          <w:pgSz w:w="11910" w:h="16840"/>
          <w:pgMar w:top="1080" w:bottom="1380" w:left="1660" w:right="1120"/>
        </w:sectPr>
      </w:pPr>
    </w:p>
    <w:p>
      <w:pPr>
        <w:spacing w:line="240" w:lineRule="auto" w:before="9"/>
        <w:rPr>
          <w:rFonts w:ascii="宋体" w:hAnsi="宋体" w:cs="宋体" w:eastAsia="宋体" w:hint="default"/>
          <w:sz w:val="25"/>
          <w:szCs w:val="25"/>
        </w:rPr>
      </w:pPr>
    </w:p>
    <w:p>
      <w:pPr>
        <w:pStyle w:val="BodyText"/>
        <w:spacing w:line="310" w:lineRule="exact" w:before="58"/>
        <w:ind w:left="958" w:right="678" w:firstLine="424"/>
        <w:jc w:val="left"/>
      </w:pPr>
      <w:r>
        <w:rPr>
          <w:rFonts w:ascii="宋体" w:hAnsi="宋体" w:cs="宋体" w:eastAsia="宋体" w:hint="default"/>
          <w:spacing w:val="-10"/>
        </w:rPr>
        <w:t>B</w:t>
      </w:r>
      <w:r>
        <w:rPr>
          <w:spacing w:val="-10"/>
        </w:rPr>
        <w:t>、本公司间接控制子公司</w:t>
      </w:r>
      <w:r>
        <w:rPr>
          <w:spacing w:val="-57"/>
        </w:rPr>
        <w:t> </w:t>
      </w:r>
      <w:r>
        <w:rPr>
          <w:rFonts w:ascii="宋体" w:hAnsi="宋体" w:cs="宋体" w:eastAsia="宋体" w:hint="default"/>
        </w:rPr>
        <w:t>ASL</w:t>
      </w:r>
      <w:r>
        <w:rPr>
          <w:rFonts w:ascii="宋体" w:hAnsi="宋体" w:cs="宋体" w:eastAsia="宋体" w:hint="default"/>
          <w:spacing w:val="-57"/>
        </w:rPr>
        <w:t> </w:t>
      </w:r>
      <w:r>
        <w:rPr/>
        <w:t>公司激励对象已满足行权条件本期行权相应减少其 他资本公积</w:t>
      </w:r>
      <w:r>
        <w:rPr>
          <w:spacing w:val="-60"/>
        </w:rPr>
        <w:t> </w:t>
      </w:r>
      <w:r>
        <w:rPr>
          <w:rFonts w:ascii="宋体" w:hAnsi="宋体" w:cs="宋体" w:eastAsia="宋体" w:hint="default"/>
        </w:rPr>
        <w:t>125,594.00</w:t>
      </w:r>
      <w:r>
        <w:rPr>
          <w:rFonts w:ascii="宋体" w:hAnsi="宋体" w:cs="宋体" w:eastAsia="宋体" w:hint="default"/>
          <w:spacing w:val="-60"/>
        </w:rPr>
        <w:t> </w:t>
      </w:r>
      <w:r>
        <w:rPr/>
        <w:t>元港币，同时增加未分配利润，扣除少数股东的影响，相应</w:t>
      </w:r>
    </w:p>
    <w:p>
      <w:pPr>
        <w:pStyle w:val="BodyText"/>
        <w:spacing w:line="284" w:lineRule="exact"/>
        <w:ind w:left="958" w:right="678"/>
        <w:jc w:val="left"/>
      </w:pPr>
      <w:r>
        <w:rPr/>
        <w:t>减少其他资本公积</w:t>
      </w:r>
      <w:r>
        <w:rPr>
          <w:spacing w:val="-60"/>
        </w:rPr>
        <w:t> </w:t>
      </w:r>
      <w:r>
        <w:rPr>
          <w:rFonts w:ascii="宋体" w:hAnsi="宋体" w:cs="宋体" w:eastAsia="宋体" w:hint="default"/>
        </w:rPr>
        <w:t>66,939.40</w:t>
      </w:r>
      <w:r>
        <w:rPr>
          <w:rFonts w:ascii="宋体" w:hAnsi="宋体" w:cs="宋体" w:eastAsia="宋体" w:hint="default"/>
          <w:spacing w:val="-60"/>
        </w:rPr>
        <w:t> </w:t>
      </w:r>
      <w:r>
        <w:rPr/>
        <w:t>元人民币；</w:t>
      </w:r>
    </w:p>
    <w:p>
      <w:pPr>
        <w:pStyle w:val="BodyText"/>
        <w:spacing w:line="310" w:lineRule="exact" w:before="149"/>
        <w:ind w:left="958" w:right="676" w:firstLine="424"/>
        <w:jc w:val="left"/>
      </w:pPr>
      <w:r>
        <w:rPr>
          <w:rFonts w:ascii="宋体" w:hAnsi="宋体" w:cs="宋体" w:eastAsia="宋体" w:hint="default"/>
        </w:rPr>
        <w:t>C</w:t>
      </w:r>
      <w:r>
        <w:rPr/>
        <w:t>、本公司间接控制子公司</w:t>
      </w:r>
      <w:r>
        <w:rPr>
          <w:spacing w:val="-60"/>
        </w:rPr>
        <w:t> </w:t>
      </w:r>
      <w:r>
        <w:rPr>
          <w:rFonts w:ascii="宋体" w:hAnsi="宋体" w:cs="宋体" w:eastAsia="宋体" w:hint="default"/>
        </w:rPr>
        <w:t>ASL</w:t>
      </w:r>
      <w:r>
        <w:rPr>
          <w:rFonts w:ascii="宋体" w:hAnsi="宋体" w:cs="宋体" w:eastAsia="宋体" w:hint="default"/>
          <w:spacing w:val="-60"/>
        </w:rPr>
        <w:t> </w:t>
      </w:r>
      <w:r>
        <w:rPr/>
        <w:t>公司股权激励失效导致减少其他资本公积 </w:t>
      </w:r>
      <w:r>
        <w:rPr>
          <w:rFonts w:ascii="宋体" w:hAnsi="宋体" w:cs="宋体" w:eastAsia="宋体" w:hint="default"/>
        </w:rPr>
        <w:t>301,899.50</w:t>
      </w:r>
      <w:r>
        <w:rPr>
          <w:rFonts w:ascii="宋体" w:hAnsi="宋体" w:cs="宋体" w:eastAsia="宋体" w:hint="default"/>
          <w:spacing w:val="-40"/>
        </w:rPr>
        <w:t> </w:t>
      </w:r>
      <w:r>
        <w:rPr>
          <w:spacing w:val="-4"/>
        </w:rPr>
        <w:t>元港币，同时增加未分配利润，扣除少数股东的影响，相应减少其他资本</w:t>
      </w:r>
    </w:p>
    <w:p>
      <w:pPr>
        <w:pStyle w:val="BodyText"/>
        <w:spacing w:line="284" w:lineRule="exact"/>
        <w:ind w:left="958" w:right="678"/>
        <w:jc w:val="left"/>
      </w:pPr>
      <w:r>
        <w:rPr/>
        <w:t>公积</w:t>
      </w:r>
      <w:r>
        <w:rPr>
          <w:spacing w:val="-60"/>
        </w:rPr>
        <w:t> </w:t>
      </w:r>
      <w:r>
        <w:rPr>
          <w:rFonts w:ascii="宋体" w:hAnsi="宋体" w:cs="宋体" w:eastAsia="宋体" w:hint="default"/>
        </w:rPr>
        <w:t>160,396.32</w:t>
      </w:r>
      <w:r>
        <w:rPr>
          <w:rFonts w:ascii="宋体" w:hAnsi="宋体" w:cs="宋体" w:eastAsia="宋体" w:hint="default"/>
          <w:spacing w:val="-60"/>
        </w:rPr>
        <w:t> </w:t>
      </w:r>
      <w:r>
        <w:rPr/>
        <w:t>元人民币；</w:t>
      </w:r>
    </w:p>
    <w:p>
      <w:pPr>
        <w:pStyle w:val="BodyText"/>
        <w:spacing w:line="237" w:lineRule="auto" w:before="119"/>
        <w:ind w:left="958" w:right="436"/>
        <w:jc w:val="left"/>
      </w:pPr>
      <w:r>
        <w:rPr>
          <w:rFonts w:ascii="宋体" w:hAnsi="宋体" w:cs="宋体" w:eastAsia="宋体" w:hint="default"/>
          <w:spacing w:val="-9"/>
        </w:rPr>
        <w:t>D</w:t>
      </w:r>
      <w:r>
        <w:rPr>
          <w:spacing w:val="-9"/>
        </w:rPr>
        <w:t>、本公司间接控制子公司</w:t>
      </w:r>
      <w:r>
        <w:rPr>
          <w:spacing w:val="-60"/>
        </w:rPr>
        <w:t> </w:t>
      </w:r>
      <w:r>
        <w:rPr>
          <w:rFonts w:ascii="宋体" w:hAnsi="宋体" w:cs="宋体" w:eastAsia="宋体" w:hint="default"/>
        </w:rPr>
        <w:t>ASL</w:t>
      </w:r>
      <w:r>
        <w:rPr>
          <w:rFonts w:ascii="宋体" w:hAnsi="宋体" w:cs="宋体" w:eastAsia="宋体" w:hint="default"/>
          <w:spacing w:val="-60"/>
        </w:rPr>
        <w:t> </w:t>
      </w:r>
      <w:r>
        <w:rPr/>
        <w:t>公司处置原全资子公司</w:t>
      </w:r>
      <w:r>
        <w:rPr>
          <w:spacing w:val="-60"/>
        </w:rPr>
        <w:t> </w:t>
      </w:r>
      <w:r>
        <w:rPr>
          <w:rFonts w:ascii="宋体" w:hAnsi="宋体" w:cs="宋体" w:eastAsia="宋体" w:hint="default"/>
        </w:rPr>
        <w:t>I-Sprint</w:t>
      </w:r>
      <w:r>
        <w:rPr>
          <w:rFonts w:ascii="宋体" w:hAnsi="宋体" w:cs="宋体" w:eastAsia="宋体" w:hint="default"/>
          <w:spacing w:val="-60"/>
        </w:rPr>
        <w:t> </w:t>
      </w:r>
      <w:r>
        <w:rPr>
          <w:rFonts w:ascii="宋体" w:hAnsi="宋体" w:cs="宋体" w:eastAsia="宋体" w:hint="default"/>
        </w:rPr>
        <w:t>Innovations</w:t>
      </w:r>
      <w:r>
        <w:rPr>
          <w:rFonts w:ascii="宋体" w:hAnsi="宋体" w:cs="宋体" w:eastAsia="宋体" w:hint="default"/>
          <w:spacing w:val="-60"/>
        </w:rPr>
        <w:t> </w:t>
      </w:r>
      <w:r>
        <w:rPr>
          <w:rFonts w:ascii="宋体" w:hAnsi="宋体" w:cs="宋体" w:eastAsia="宋体" w:hint="default"/>
        </w:rPr>
        <w:t>PteLtd.</w:t>
      </w:r>
      <w:r>
        <w:rPr/>
        <w:t>， 现持股比例变更为</w:t>
      </w:r>
      <w:r>
        <w:rPr>
          <w:spacing w:val="-60"/>
        </w:rPr>
        <w:t> </w:t>
      </w:r>
      <w:r>
        <w:rPr>
          <w:rFonts w:ascii="宋体" w:hAnsi="宋体" w:cs="宋体" w:eastAsia="宋体" w:hint="default"/>
        </w:rPr>
        <w:t>48.22%</w:t>
      </w:r>
      <w:r>
        <w:rPr/>
        <w:t>，相应减少</w:t>
      </w:r>
      <w:r>
        <w:rPr>
          <w:spacing w:val="-60"/>
        </w:rPr>
        <w:t> </w:t>
      </w:r>
      <w:r>
        <w:rPr>
          <w:rFonts w:ascii="宋体" w:hAnsi="宋体" w:cs="宋体" w:eastAsia="宋体" w:hint="default"/>
        </w:rPr>
        <w:t>I-Sprint Innovations PteLtd.</w:t>
      </w:r>
      <w:r>
        <w:rPr/>
        <w:t>因股权激励形 成的其他资本公积</w:t>
      </w:r>
      <w:r>
        <w:rPr>
          <w:spacing w:val="-60"/>
        </w:rPr>
        <w:t> </w:t>
      </w:r>
      <w:r>
        <w:rPr>
          <w:rFonts w:ascii="宋体" w:hAnsi="宋体" w:cs="宋体" w:eastAsia="宋体" w:hint="default"/>
        </w:rPr>
        <w:t>2,685,636.34</w:t>
      </w:r>
      <w:r>
        <w:rPr>
          <w:rFonts w:ascii="宋体" w:hAnsi="宋体" w:cs="宋体" w:eastAsia="宋体" w:hint="default"/>
          <w:spacing w:val="-60"/>
        </w:rPr>
        <w:t> </w:t>
      </w:r>
      <w:r>
        <w:rPr/>
        <w:t>元港币，同时增加未分配利润，扣除少数股东的影</w:t>
      </w:r>
    </w:p>
    <w:p>
      <w:pPr>
        <w:pStyle w:val="BodyText"/>
        <w:spacing w:line="311" w:lineRule="exact"/>
        <w:ind w:left="958" w:right="678"/>
        <w:jc w:val="left"/>
      </w:pPr>
      <w:r>
        <w:rPr/>
        <w:t>响，相应减少资本公积</w:t>
      </w:r>
      <w:r>
        <w:rPr>
          <w:spacing w:val="-60"/>
        </w:rPr>
        <w:t> </w:t>
      </w:r>
      <w:r>
        <w:rPr>
          <w:rFonts w:ascii="宋体" w:hAnsi="宋体" w:cs="宋体" w:eastAsia="宋体" w:hint="default"/>
        </w:rPr>
        <w:t>1,426,853.18</w:t>
      </w:r>
      <w:r>
        <w:rPr>
          <w:rFonts w:ascii="宋体" w:hAnsi="宋体" w:cs="宋体" w:eastAsia="宋体" w:hint="default"/>
          <w:spacing w:val="-60"/>
        </w:rPr>
        <w:t> </w:t>
      </w:r>
      <w:r>
        <w:rPr/>
        <w:t>元人民币。详见本附注六、</w:t>
      </w:r>
      <w:r>
        <w:rPr>
          <w:rFonts w:ascii="宋体" w:hAnsi="宋体" w:cs="宋体" w:eastAsia="宋体" w:hint="default"/>
        </w:rPr>
        <w:t>2</w:t>
      </w:r>
      <w:r>
        <w:rPr/>
        <w:t>。</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840" w:right="580"/>
        </w:sectPr>
      </w:pPr>
    </w:p>
    <w:p>
      <w:pPr>
        <w:pStyle w:val="Heading2"/>
        <w:spacing w:line="240" w:lineRule="auto" w:before="188"/>
        <w:ind w:left="958" w:right="-18"/>
        <w:jc w:val="left"/>
        <w:rPr>
          <w:b w:val="0"/>
          <w:bCs w:val="0"/>
        </w:rPr>
      </w:pPr>
      <w:r>
        <w:rPr>
          <w:rFonts w:ascii="宋体" w:hAnsi="宋体" w:cs="宋体" w:eastAsia="宋体" w:hint="default"/>
        </w:rPr>
        <w:t>39</w:t>
      </w:r>
      <w:r>
        <w:rPr/>
        <w:t>、</w:t>
      </w:r>
      <w:r>
        <w:rPr>
          <w:spacing w:val="-101"/>
        </w:rPr>
        <w:t> </w:t>
      </w:r>
      <w:r>
        <w:rPr/>
        <w:t>库存股</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
        <w:rPr>
          <w:rFonts w:ascii="宋体" w:hAnsi="宋体" w:cs="宋体" w:eastAsia="宋体" w:hint="default"/>
          <w:b/>
          <w:bCs/>
          <w:sz w:val="23"/>
          <w:szCs w:val="23"/>
        </w:rPr>
      </w:pPr>
    </w:p>
    <w:p>
      <w:pPr>
        <w:tabs>
          <w:tab w:pos="2007" w:val="left" w:leader="none"/>
        </w:tabs>
        <w:spacing w:before="0"/>
        <w:ind w:left="95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840" w:right="580"/>
          <w:cols w:num="2" w:equalWidth="0">
            <w:col w:w="2186" w:space="4338"/>
            <w:col w:w="3966"/>
          </w:cols>
        </w:sectPr>
      </w:pPr>
    </w:p>
    <w:p>
      <w:pPr>
        <w:spacing w:line="240" w:lineRule="auto" w:before="7"/>
        <w:rPr>
          <w:rFonts w:ascii="宋体" w:hAnsi="宋体" w:cs="宋体" w:eastAsia="宋体" w:hint="default"/>
          <w:sz w:val="2"/>
          <w:szCs w:val="2"/>
        </w:rPr>
      </w:pPr>
    </w:p>
    <w:tbl>
      <w:tblPr>
        <w:tblW w:w="0" w:type="auto"/>
        <w:jc w:val="left"/>
        <w:tblInd w:w="920" w:type="dxa"/>
        <w:tblLayout w:type="fixed"/>
        <w:tblCellMar>
          <w:top w:w="0" w:type="dxa"/>
          <w:left w:w="0" w:type="dxa"/>
          <w:bottom w:w="0" w:type="dxa"/>
          <w:right w:w="0" w:type="dxa"/>
        </w:tblCellMar>
        <w:tblLook w:val="01E0"/>
      </w:tblPr>
      <w:tblGrid>
        <w:gridCol w:w="1680"/>
        <w:gridCol w:w="1775"/>
        <w:gridCol w:w="1805"/>
        <w:gridCol w:w="1816"/>
        <w:gridCol w:w="1818"/>
      </w:tblGrid>
      <w:tr>
        <w:trPr>
          <w:trHeight w:val="287" w:hRule="exact"/>
        </w:trPr>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20"/>
              <w:jc w:val="right"/>
              <w:rPr>
                <w:rFonts w:ascii="宋体" w:hAnsi="宋体" w:cs="宋体" w:eastAsia="宋体" w:hint="default"/>
                <w:sz w:val="21"/>
                <w:szCs w:val="21"/>
              </w:rPr>
            </w:pPr>
            <w:r>
              <w:rPr>
                <w:rFonts w:ascii="宋体" w:hAnsi="宋体" w:cs="宋体" w:eastAsia="宋体" w:hint="default"/>
                <w:sz w:val="21"/>
                <w:szCs w:val="21"/>
              </w:rPr>
              <w:t>项目</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库存股</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57,972,861.00</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7" w:right="0"/>
              <w:jc w:val="left"/>
              <w:rPr>
                <w:rFonts w:ascii="宋体" w:hAnsi="宋体" w:cs="宋体" w:eastAsia="宋体" w:hint="default"/>
                <w:sz w:val="21"/>
                <w:szCs w:val="21"/>
              </w:rPr>
            </w:pPr>
            <w:r>
              <w:rPr>
                <w:rFonts w:ascii="宋体"/>
                <w:sz w:val="21"/>
              </w:rPr>
              <w:t>3,221,407.67</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2" w:right="0"/>
              <w:jc w:val="left"/>
              <w:rPr>
                <w:rFonts w:ascii="宋体" w:hAnsi="宋体" w:cs="宋体" w:eastAsia="宋体" w:hint="default"/>
                <w:sz w:val="21"/>
                <w:szCs w:val="21"/>
              </w:rPr>
            </w:pPr>
            <w:r>
              <w:rPr>
                <w:rFonts w:ascii="宋体"/>
                <w:sz w:val="21"/>
              </w:rPr>
              <w:t>33,638,314.82</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27,555,953.85</w:t>
            </w:r>
          </w:p>
        </w:tc>
      </w:tr>
      <w:tr>
        <w:trPr>
          <w:trHeight w:val="287" w:hRule="exact"/>
        </w:trPr>
        <w:tc>
          <w:tcPr>
            <w:tcW w:w="1680" w:type="dxa"/>
            <w:tcBorders>
              <w:top w:val="single" w:sz="6" w:space="0" w:color="000000"/>
              <w:left w:val="single" w:sz="6" w:space="0" w:color="000000"/>
              <w:bottom w:val="single" w:sz="6" w:space="0" w:color="000000"/>
              <w:right w:val="single" w:sz="6" w:space="0" w:color="000000"/>
            </w:tcBorders>
          </w:tcPr>
          <w:p>
            <w:pPr/>
          </w:p>
        </w:tc>
        <w:tc>
          <w:tcPr>
            <w:tcW w:w="1775"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6" w:type="dxa"/>
            <w:tcBorders>
              <w:top w:val="single" w:sz="6" w:space="0" w:color="000000"/>
              <w:left w:val="single" w:sz="6" w:space="0" w:color="000000"/>
              <w:bottom w:val="single" w:sz="6" w:space="0" w:color="000000"/>
              <w:right w:val="single" w:sz="6" w:space="0" w:color="000000"/>
            </w:tcBorders>
          </w:tcPr>
          <w:p>
            <w:pPr/>
          </w:p>
        </w:tc>
        <w:tc>
          <w:tcPr>
            <w:tcW w:w="1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20"/>
              <w:jc w:val="right"/>
              <w:rPr>
                <w:rFonts w:ascii="宋体" w:hAnsi="宋体" w:cs="宋体" w:eastAsia="宋体" w:hint="default"/>
                <w:sz w:val="21"/>
                <w:szCs w:val="21"/>
              </w:rPr>
            </w:pPr>
            <w:r>
              <w:rPr>
                <w:rFonts w:ascii="宋体" w:hAnsi="宋体" w:cs="宋体" w:eastAsia="宋体" w:hint="default"/>
                <w:sz w:val="21"/>
                <w:szCs w:val="21"/>
              </w:rPr>
              <w:t>合计</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57,972,861.00</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7" w:right="0"/>
              <w:jc w:val="left"/>
              <w:rPr>
                <w:rFonts w:ascii="宋体" w:hAnsi="宋体" w:cs="宋体" w:eastAsia="宋体" w:hint="default"/>
                <w:sz w:val="21"/>
                <w:szCs w:val="21"/>
              </w:rPr>
            </w:pPr>
            <w:r>
              <w:rPr>
                <w:rFonts w:ascii="宋体"/>
                <w:sz w:val="21"/>
              </w:rPr>
              <w:t>3,221,407.67</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2" w:right="0"/>
              <w:jc w:val="left"/>
              <w:rPr>
                <w:rFonts w:ascii="宋体" w:hAnsi="宋体" w:cs="宋体" w:eastAsia="宋体" w:hint="default"/>
                <w:sz w:val="21"/>
                <w:szCs w:val="21"/>
              </w:rPr>
            </w:pPr>
            <w:r>
              <w:rPr>
                <w:rFonts w:ascii="宋体"/>
                <w:sz w:val="21"/>
              </w:rPr>
              <w:t>33,638,314.82</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27,555,953.85</w:t>
            </w:r>
          </w:p>
        </w:tc>
      </w:tr>
    </w:tbl>
    <w:p>
      <w:pPr>
        <w:pStyle w:val="BodyText"/>
        <w:spacing w:line="240" w:lineRule="auto" w:before="82"/>
        <w:ind w:left="958" w:right="678"/>
        <w:jc w:val="left"/>
      </w:pPr>
      <w:r>
        <w:rPr/>
        <w:t>说明：</w:t>
      </w:r>
    </w:p>
    <w:p>
      <w:pPr>
        <w:pStyle w:val="BodyText"/>
        <w:tabs>
          <w:tab w:pos="2217" w:val="left" w:leader="none"/>
        </w:tabs>
        <w:spacing w:line="240" w:lineRule="auto" w:before="118"/>
        <w:ind w:left="1524" w:right="678"/>
        <w:jc w:val="left"/>
      </w:pPr>
      <w:r>
        <w:rPr>
          <w:rFonts w:ascii="宋体" w:hAnsi="宋体" w:cs="宋体" w:eastAsia="宋体" w:hint="default"/>
        </w:rPr>
        <w:t>1</w:t>
      </w:r>
      <w:r>
        <w:rPr/>
        <w:t>、</w:t>
        <w:tab/>
        <w:t>本期减少变动详见本附注五、</w:t>
      </w:r>
      <w:r>
        <w:rPr>
          <w:rFonts w:ascii="宋体" w:hAnsi="宋体" w:cs="宋体" w:eastAsia="宋体" w:hint="default"/>
        </w:rPr>
        <w:t>37</w:t>
      </w:r>
      <w:r>
        <w:rPr/>
        <w:t>；</w:t>
      </w:r>
    </w:p>
    <w:p>
      <w:pPr>
        <w:pStyle w:val="BodyText"/>
        <w:tabs>
          <w:tab w:pos="2217" w:val="left" w:leader="none"/>
        </w:tabs>
        <w:spacing w:line="324" w:lineRule="exact" w:before="116"/>
        <w:ind w:left="1524" w:right="678"/>
        <w:jc w:val="left"/>
      </w:pPr>
      <w:r>
        <w:rPr>
          <w:rFonts w:ascii="Calibri" w:hAnsi="Calibri" w:cs="Calibri" w:eastAsia="Calibri" w:hint="default"/>
          <w:b/>
          <w:bCs/>
          <w:w w:val="95"/>
          <w:sz w:val="21"/>
          <w:szCs w:val="21"/>
        </w:rPr>
        <w:t>2</w:t>
      </w:r>
      <w:r>
        <w:rPr>
          <w:rFonts w:ascii="宋体" w:hAnsi="宋体" w:cs="宋体" w:eastAsia="宋体" w:hint="default"/>
          <w:b/>
          <w:bCs/>
          <w:w w:val="95"/>
          <w:sz w:val="21"/>
          <w:szCs w:val="21"/>
        </w:rPr>
        <w:t>、</w:t>
        <w:tab/>
      </w:r>
      <w:r>
        <w:rPr>
          <w:spacing w:val="3"/>
        </w:rPr>
        <w:t>本期增加</w:t>
      </w:r>
      <w:r>
        <w:rPr/>
        <w:t> </w:t>
      </w:r>
      <w:r>
        <w:rPr>
          <w:rFonts w:ascii="宋体" w:hAnsi="宋体" w:cs="宋体" w:eastAsia="宋体" w:hint="default"/>
          <w:spacing w:val="-1"/>
        </w:rPr>
        <w:t>3,221,407.67</w:t>
      </w:r>
      <w:r>
        <w:rPr>
          <w:rFonts w:ascii="宋体" w:hAnsi="宋体" w:cs="宋体" w:eastAsia="宋体" w:hint="default"/>
          <w:spacing w:val="30"/>
        </w:rPr>
        <w:t> </w:t>
      </w:r>
      <w:r>
        <w:rPr>
          <w:spacing w:val="4"/>
        </w:rPr>
        <w:t>元系回购价调整影响所致。期初限售股股数为</w:t>
      </w:r>
    </w:p>
    <w:p>
      <w:pPr>
        <w:pStyle w:val="BodyText"/>
        <w:spacing w:line="300" w:lineRule="exact"/>
        <w:ind w:left="958" w:right="436"/>
        <w:jc w:val="left"/>
      </w:pPr>
      <w:r>
        <w:rPr>
          <w:rFonts w:ascii="宋体" w:hAnsi="宋体" w:cs="宋体" w:eastAsia="宋体" w:hint="default"/>
        </w:rPr>
        <w:t>8,588,572</w:t>
      </w:r>
      <w:r>
        <w:rPr>
          <w:rFonts w:ascii="宋体" w:hAnsi="宋体" w:cs="宋体" w:eastAsia="宋体" w:hint="default"/>
          <w:spacing w:val="-60"/>
        </w:rPr>
        <w:t> </w:t>
      </w:r>
      <w:r>
        <w:rPr>
          <w:spacing w:val="-4"/>
        </w:rPr>
        <w:t>股，期初回购价格为</w:t>
      </w:r>
      <w:r>
        <w:rPr>
          <w:spacing w:val="-60"/>
        </w:rPr>
        <w:t> </w:t>
      </w:r>
      <w:r>
        <w:rPr>
          <w:rFonts w:ascii="宋体" w:hAnsi="宋体" w:cs="宋体" w:eastAsia="宋体" w:hint="default"/>
        </w:rPr>
        <w:t>6.75</w:t>
      </w:r>
      <w:r>
        <w:rPr>
          <w:rFonts w:ascii="宋体" w:hAnsi="宋体" w:cs="宋体" w:eastAsia="宋体" w:hint="default"/>
          <w:spacing w:val="-60"/>
        </w:rPr>
        <w:t> </w:t>
      </w:r>
      <w:r>
        <w:rPr>
          <w:spacing w:val="-6"/>
        </w:rPr>
        <w:t>元每股，共计</w:t>
      </w:r>
      <w:r>
        <w:rPr>
          <w:spacing w:val="-60"/>
        </w:rPr>
        <w:t> </w:t>
      </w:r>
      <w:r>
        <w:rPr>
          <w:rFonts w:ascii="宋体" w:hAnsi="宋体" w:cs="宋体" w:eastAsia="宋体" w:hint="default"/>
        </w:rPr>
        <w:t>57,972,861.00</w:t>
      </w:r>
      <w:r>
        <w:rPr>
          <w:rFonts w:ascii="宋体" w:hAnsi="宋体" w:cs="宋体" w:eastAsia="宋体" w:hint="default"/>
          <w:spacing w:val="-60"/>
        </w:rPr>
        <w:t> </w:t>
      </w:r>
      <w:r>
        <w:rPr>
          <w:spacing w:val="-5"/>
        </w:rPr>
        <w:t>元；期末限售股股</w:t>
      </w:r>
    </w:p>
    <w:p>
      <w:pPr>
        <w:pStyle w:val="BodyText"/>
        <w:spacing w:line="313" w:lineRule="exact"/>
        <w:ind w:left="958" w:right="678"/>
        <w:jc w:val="left"/>
      </w:pPr>
      <w:r>
        <w:rPr/>
        <w:t>数为</w:t>
      </w:r>
      <w:r>
        <w:rPr>
          <w:spacing w:val="-60"/>
        </w:rPr>
        <w:t> </w:t>
      </w:r>
      <w:r>
        <w:rPr>
          <w:rFonts w:ascii="宋体" w:hAnsi="宋体" w:cs="宋体" w:eastAsia="宋体" w:hint="default"/>
        </w:rPr>
        <w:t>3,878,389</w:t>
      </w:r>
      <w:r>
        <w:rPr>
          <w:rFonts w:ascii="宋体" w:hAnsi="宋体" w:cs="宋体" w:eastAsia="宋体" w:hint="default"/>
          <w:spacing w:val="-60"/>
        </w:rPr>
        <w:t> </w:t>
      </w:r>
      <w:r>
        <w:rPr/>
        <w:t>股，期末回购价格为</w:t>
      </w:r>
      <w:r>
        <w:rPr>
          <w:spacing w:val="-60"/>
        </w:rPr>
        <w:t> </w:t>
      </w:r>
      <w:r>
        <w:rPr>
          <w:rFonts w:ascii="宋体" w:hAnsi="宋体" w:cs="宋体" w:eastAsia="宋体" w:hint="default"/>
        </w:rPr>
        <w:t>7.105</w:t>
      </w:r>
      <w:r>
        <w:rPr>
          <w:rFonts w:ascii="宋体" w:hAnsi="宋体" w:cs="宋体" w:eastAsia="宋体" w:hint="default"/>
          <w:spacing w:val="-60"/>
        </w:rPr>
        <w:t> </w:t>
      </w:r>
      <w:r>
        <w:rPr/>
        <w:t>元每股，共计</w:t>
      </w:r>
      <w:r>
        <w:rPr>
          <w:spacing w:val="-60"/>
        </w:rPr>
        <w:t> </w:t>
      </w:r>
      <w:r>
        <w:rPr>
          <w:rFonts w:ascii="宋体" w:hAnsi="宋体" w:cs="宋体" w:eastAsia="宋体" w:hint="default"/>
        </w:rPr>
        <w:t>27,555,953.85</w:t>
      </w:r>
      <w:r>
        <w:rPr>
          <w:rFonts w:ascii="宋体" w:hAnsi="宋体" w:cs="宋体" w:eastAsia="宋体" w:hint="default"/>
          <w:spacing w:val="-60"/>
        </w:rPr>
        <w:t> </w:t>
      </w:r>
      <w:r>
        <w:rPr/>
        <w:t>元。</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before="0"/>
        <w:ind w:left="958" w:right="678" w:firstLine="0"/>
        <w:jc w:val="left"/>
        <w:rPr>
          <w:rFonts w:ascii="宋体" w:hAnsi="宋体" w:cs="宋体" w:eastAsia="宋体" w:hint="default"/>
          <w:sz w:val="21"/>
          <w:szCs w:val="21"/>
        </w:rPr>
      </w:pPr>
      <w:r>
        <w:rPr>
          <w:rFonts w:ascii="宋体" w:hAnsi="宋体" w:cs="宋体" w:eastAsia="宋体" w:hint="default"/>
          <w:b/>
          <w:bCs/>
          <w:sz w:val="21"/>
          <w:szCs w:val="21"/>
        </w:rPr>
        <w:t>40</w:t>
      </w:r>
      <w:r>
        <w:rPr>
          <w:rFonts w:ascii="宋体" w:hAnsi="宋体" w:cs="宋体" w:eastAsia="宋体" w:hint="default"/>
          <w:b/>
          <w:bCs/>
          <w:sz w:val="21"/>
          <w:szCs w:val="21"/>
        </w:rPr>
        <w:t>、</w:t>
      </w:r>
      <w:r>
        <w:rPr>
          <w:rFonts w:ascii="宋体" w:hAnsi="宋体" w:cs="宋体" w:eastAsia="宋体" w:hint="default"/>
          <w:b/>
          <w:bCs/>
          <w:spacing w:val="-29"/>
          <w:sz w:val="21"/>
          <w:szCs w:val="21"/>
        </w:rPr>
        <w:t> </w:t>
      </w:r>
      <w:r>
        <w:rPr>
          <w:rFonts w:ascii="宋体" w:hAnsi="宋体" w:cs="宋体" w:eastAsia="宋体" w:hint="default"/>
          <w:b/>
          <w:bCs/>
          <w:sz w:val="21"/>
          <w:szCs w:val="21"/>
        </w:rPr>
        <w:t>其他综合收益</w:t>
      </w:r>
      <w:r>
        <w:rPr>
          <w:rFonts w:ascii="宋体" w:hAnsi="宋体" w:cs="宋体" w:eastAsia="宋体" w:hint="default"/>
          <w:sz w:val="21"/>
          <w:szCs w:val="21"/>
        </w:rPr>
      </w:r>
    </w:p>
    <w:p>
      <w:pPr>
        <w:tabs>
          <w:tab w:pos="1049" w:val="left" w:leader="none"/>
        </w:tabs>
        <w:spacing w:before="57"/>
        <w:ind w:left="0" w:right="692"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997"/>
        <w:gridCol w:w="1476"/>
        <w:gridCol w:w="1206"/>
        <w:gridCol w:w="1117"/>
        <w:gridCol w:w="576"/>
        <w:gridCol w:w="1206"/>
        <w:gridCol w:w="1214"/>
        <w:gridCol w:w="1476"/>
      </w:tblGrid>
      <w:tr>
        <w:trPr>
          <w:trHeight w:val="244" w:hRule="exact"/>
        </w:trPr>
        <w:tc>
          <w:tcPr>
            <w:tcW w:w="19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53" w:right="551"/>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53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本期发生金额</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52" w:right="552"/>
              <w:jc w:val="center"/>
              <w:rPr>
                <w:rFonts w:ascii="宋体" w:hAnsi="宋体" w:cs="宋体" w:eastAsia="宋体" w:hint="default"/>
                <w:sz w:val="18"/>
                <w:szCs w:val="18"/>
              </w:rPr>
            </w:pPr>
            <w:r>
              <w:rPr>
                <w:rFonts w:ascii="宋体" w:hAnsi="宋体" w:cs="宋体" w:eastAsia="宋体" w:hint="default"/>
                <w:sz w:val="18"/>
                <w:szCs w:val="18"/>
              </w:rPr>
              <w:t>期末 余额</w:t>
            </w:r>
          </w:p>
        </w:tc>
      </w:tr>
      <w:tr>
        <w:trPr>
          <w:trHeight w:val="943" w:hRule="exact"/>
        </w:trPr>
        <w:tc>
          <w:tcPr>
            <w:tcW w:w="1997"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237" w:right="147" w:hanging="90"/>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减：前期计</w:t>
            </w:r>
          </w:p>
          <w:p>
            <w:pPr>
              <w:pStyle w:val="TableParagraph"/>
              <w:spacing w:line="237" w:lineRule="auto" w:before="1"/>
              <w:ind w:left="101" w:right="103"/>
              <w:jc w:val="center"/>
              <w:rPr>
                <w:rFonts w:ascii="宋体" w:hAnsi="宋体" w:cs="宋体" w:eastAsia="宋体" w:hint="default"/>
                <w:sz w:val="18"/>
                <w:szCs w:val="18"/>
              </w:rPr>
            </w:pPr>
            <w:r>
              <w:rPr>
                <w:rFonts w:ascii="宋体" w:hAnsi="宋体" w:cs="宋体" w:eastAsia="宋体" w:hint="default"/>
                <w:sz w:val="18"/>
                <w:szCs w:val="18"/>
              </w:rPr>
              <w:t>入其他综合 收益当期转 入损益</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7" w:lineRule="auto" w:before="1"/>
              <w:ind w:left="102" w:right="102"/>
              <w:jc w:val="both"/>
              <w:rPr>
                <w:rFonts w:ascii="宋体" w:hAnsi="宋体" w:cs="宋体" w:eastAsia="宋体" w:hint="default"/>
                <w:sz w:val="18"/>
                <w:szCs w:val="18"/>
              </w:rPr>
            </w:pPr>
            <w:r>
              <w:rPr>
                <w:rFonts w:ascii="宋体" w:hAnsi="宋体" w:cs="宋体" w:eastAsia="宋体" w:hint="default"/>
                <w:sz w:val="18"/>
                <w:szCs w:val="18"/>
              </w:rPr>
              <w:t>所得 税费 用</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326" w:right="148"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241" w:right="151" w:hanging="90"/>
              <w:jc w:val="left"/>
              <w:rPr>
                <w:rFonts w:ascii="宋体" w:hAnsi="宋体" w:cs="宋体" w:eastAsia="宋体" w:hint="default"/>
                <w:sz w:val="18"/>
                <w:szCs w:val="18"/>
              </w:rPr>
            </w:pPr>
            <w:r>
              <w:rPr>
                <w:rFonts w:ascii="宋体" w:hAnsi="宋体" w:cs="宋体" w:eastAsia="宋体" w:hint="default"/>
                <w:sz w:val="18"/>
                <w:szCs w:val="18"/>
              </w:rPr>
              <w:t>税后归属于 少数股东</w:t>
            </w:r>
          </w:p>
        </w:tc>
        <w:tc>
          <w:tcPr>
            <w:tcW w:w="1476" w:type="dxa"/>
            <w:vMerge/>
            <w:tcBorders>
              <w:left w:val="single" w:sz="4" w:space="0" w:color="000000"/>
              <w:bottom w:val="single" w:sz="4" w:space="0" w:color="000000"/>
              <w:right w:val="single" w:sz="4" w:space="0" w:color="000000"/>
            </w:tcBorders>
          </w:tcPr>
          <w:p>
            <w:pPr/>
          </w:p>
        </w:tc>
      </w:tr>
      <w:tr>
        <w:trPr>
          <w:trHeight w:val="478"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一、以后不能重分类进</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损益的其他综合收益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2" w:right="0"/>
              <w:jc w:val="left"/>
              <w:rPr>
                <w:rFonts w:ascii="宋体" w:hAnsi="宋体" w:cs="宋体" w:eastAsia="宋体" w:hint="default"/>
                <w:sz w:val="18"/>
                <w:szCs w:val="18"/>
              </w:rPr>
            </w:pPr>
            <w:r>
              <w:rPr>
                <w:rFonts w:ascii="宋体" w:hAnsi="宋体" w:cs="宋体" w:eastAsia="宋体" w:hint="default"/>
                <w:sz w:val="18"/>
                <w:szCs w:val="18"/>
              </w:rPr>
              <w:t>其中：重新计算设定受</w:t>
            </w:r>
          </w:p>
          <w:p>
            <w:pPr>
              <w:pStyle w:val="TableParagraph"/>
              <w:spacing w:line="240" w:lineRule="auto"/>
              <w:ind w:left="102" w:right="263"/>
              <w:jc w:val="left"/>
              <w:rPr>
                <w:rFonts w:ascii="宋体" w:hAnsi="宋体" w:cs="宋体" w:eastAsia="宋体" w:hint="default"/>
                <w:sz w:val="18"/>
                <w:szCs w:val="18"/>
              </w:rPr>
            </w:pPr>
            <w:r>
              <w:rPr>
                <w:rFonts w:ascii="宋体" w:hAnsi="宋体" w:cs="宋体" w:eastAsia="宋体" w:hint="default"/>
                <w:sz w:val="18"/>
                <w:szCs w:val="18"/>
              </w:rPr>
              <w:t>益计划净负债和净资 产的变动</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2" w:right="0" w:firstLine="180"/>
              <w:jc w:val="left"/>
              <w:rPr>
                <w:rFonts w:ascii="宋体" w:hAnsi="宋体" w:cs="宋体" w:eastAsia="宋体" w:hint="default"/>
                <w:sz w:val="18"/>
                <w:szCs w:val="18"/>
              </w:rPr>
            </w:pPr>
            <w:r>
              <w:rPr>
                <w:rFonts w:ascii="宋体" w:hAnsi="宋体" w:cs="宋体" w:eastAsia="宋体" w:hint="default"/>
                <w:sz w:val="18"/>
                <w:szCs w:val="18"/>
              </w:rPr>
              <w:t>权益法下在被投资</w:t>
            </w:r>
          </w:p>
          <w:p>
            <w:pPr>
              <w:pStyle w:val="TableParagraph"/>
              <w:spacing w:line="237" w:lineRule="auto"/>
              <w:ind w:left="102" w:right="263"/>
              <w:jc w:val="both"/>
              <w:rPr>
                <w:rFonts w:ascii="宋体" w:hAnsi="宋体" w:cs="宋体" w:eastAsia="宋体" w:hint="default"/>
                <w:sz w:val="18"/>
                <w:szCs w:val="18"/>
              </w:rPr>
            </w:pPr>
            <w:r>
              <w:rPr>
                <w:rFonts w:ascii="宋体" w:hAnsi="宋体" w:cs="宋体" w:eastAsia="宋体" w:hint="default"/>
                <w:sz w:val="18"/>
                <w:szCs w:val="18"/>
              </w:rPr>
              <w:t>单位不能重分类进损 益的其他综合收益中 享有的份额</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9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9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77"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二、以后将重分类进损</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益的其他综合收益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both"/>
              <w:rPr>
                <w:rFonts w:ascii="宋体" w:hAnsi="宋体" w:cs="宋体" w:eastAsia="宋体" w:hint="default"/>
                <w:sz w:val="18"/>
                <w:szCs w:val="18"/>
              </w:rPr>
            </w:pPr>
            <w:r>
              <w:rPr>
                <w:rFonts w:ascii="宋体" w:hAnsi="宋体" w:cs="宋体" w:eastAsia="宋体" w:hint="default"/>
                <w:sz w:val="18"/>
                <w:szCs w:val="18"/>
              </w:rPr>
              <w:t>其中：权益法下在被投</w:t>
            </w:r>
          </w:p>
          <w:p>
            <w:pPr>
              <w:pStyle w:val="TableParagraph"/>
              <w:spacing w:line="237" w:lineRule="auto" w:before="1"/>
              <w:ind w:left="102" w:right="263"/>
              <w:jc w:val="both"/>
              <w:rPr>
                <w:rFonts w:ascii="宋体" w:hAnsi="宋体" w:cs="宋体" w:eastAsia="宋体" w:hint="default"/>
                <w:sz w:val="18"/>
                <w:szCs w:val="18"/>
              </w:rPr>
            </w:pPr>
            <w:r>
              <w:rPr>
                <w:rFonts w:ascii="宋体" w:hAnsi="宋体" w:cs="宋体" w:eastAsia="宋体" w:hint="default"/>
                <w:sz w:val="18"/>
                <w:szCs w:val="18"/>
              </w:rPr>
              <w:t>资单位以后将重分类 进损益的其他综合收 益中享有的份额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-159,683.26</w:t>
            </w:r>
          </w:p>
        </w:tc>
        <w:tc>
          <w:tcPr>
            <w:tcW w:w="111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-107,067.63</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0" w:right="0"/>
              <w:jc w:val="left"/>
              <w:rPr>
                <w:rFonts w:ascii="宋体" w:hAnsi="宋体" w:cs="宋体" w:eastAsia="宋体" w:hint="default"/>
                <w:sz w:val="18"/>
                <w:szCs w:val="18"/>
              </w:rPr>
            </w:pPr>
            <w:r>
              <w:rPr>
                <w:rFonts w:ascii="宋体"/>
                <w:sz w:val="18"/>
              </w:rPr>
              <w:t>-52,615.63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3" w:right="0"/>
              <w:jc w:val="left"/>
              <w:rPr>
                <w:rFonts w:ascii="宋体" w:hAnsi="宋体" w:cs="宋体" w:eastAsia="宋体" w:hint="default"/>
                <w:sz w:val="18"/>
                <w:szCs w:val="18"/>
              </w:rPr>
            </w:pPr>
            <w:r>
              <w:rPr>
                <w:rFonts w:ascii="宋体"/>
                <w:sz w:val="18"/>
              </w:rPr>
              <w:t>-107,067.63</w:t>
            </w:r>
          </w:p>
        </w:tc>
      </w:tr>
    </w:tbl>
    <w:p>
      <w:pPr>
        <w:spacing w:after="0" w:line="205" w:lineRule="exact"/>
        <w:jc w:val="left"/>
        <w:rPr>
          <w:rFonts w:ascii="宋体" w:hAnsi="宋体" w:cs="宋体" w:eastAsia="宋体" w:hint="default"/>
          <w:sz w:val="18"/>
          <w:szCs w:val="18"/>
        </w:rPr>
        <w:sectPr>
          <w:type w:val="continuous"/>
          <w:pgSz w:w="11910" w:h="16840"/>
          <w:pgMar w:top="1080" w:bottom="1380" w:left="840" w:right="5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997"/>
        <w:gridCol w:w="1476"/>
        <w:gridCol w:w="1206"/>
        <w:gridCol w:w="1117"/>
        <w:gridCol w:w="576"/>
        <w:gridCol w:w="1206"/>
        <w:gridCol w:w="1214"/>
        <w:gridCol w:w="1476"/>
      </w:tblGrid>
      <w:tr>
        <w:trPr>
          <w:trHeight w:val="476"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firstLine="180"/>
              <w:jc w:val="left"/>
              <w:rPr>
                <w:rFonts w:ascii="宋体" w:hAnsi="宋体" w:cs="宋体" w:eastAsia="宋体" w:hint="default"/>
                <w:sz w:val="18"/>
                <w:szCs w:val="18"/>
              </w:rPr>
            </w:pPr>
            <w:r>
              <w:rPr>
                <w:rFonts w:ascii="宋体" w:hAnsi="宋体" w:cs="宋体" w:eastAsia="宋体" w:hint="default"/>
                <w:sz w:val="18"/>
                <w:szCs w:val="18"/>
              </w:rPr>
              <w:t>持有至到期投资重</w:t>
            </w:r>
          </w:p>
          <w:p>
            <w:pPr>
              <w:pStyle w:val="TableParagraph"/>
              <w:spacing w:line="240" w:lineRule="auto"/>
              <w:ind w:left="102" w:right="263"/>
              <w:jc w:val="left"/>
              <w:rPr>
                <w:rFonts w:ascii="宋体" w:hAnsi="宋体" w:cs="宋体" w:eastAsia="宋体" w:hint="default"/>
                <w:sz w:val="18"/>
                <w:szCs w:val="18"/>
              </w:rPr>
            </w:pPr>
            <w:r>
              <w:rPr>
                <w:rFonts w:ascii="宋体" w:hAnsi="宋体" w:cs="宋体" w:eastAsia="宋体" w:hint="default"/>
                <w:sz w:val="18"/>
                <w:szCs w:val="18"/>
              </w:rPr>
              <w:t>分类为可供出售金融 资产损益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2" w:right="0"/>
              <w:jc w:val="left"/>
              <w:rPr>
                <w:rFonts w:ascii="宋体" w:hAnsi="宋体" w:cs="宋体" w:eastAsia="宋体" w:hint="default"/>
                <w:sz w:val="18"/>
                <w:szCs w:val="18"/>
              </w:rPr>
            </w:pPr>
            <w:r>
              <w:rPr>
                <w:rFonts w:ascii="宋体" w:hAnsi="宋体" w:cs="宋体" w:eastAsia="宋体" w:hint="default"/>
                <w:sz w:val="18"/>
                <w:szCs w:val="18"/>
              </w:rPr>
              <w:t>现金流量套期损益</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的有效部分</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82" w:right="0"/>
              <w:jc w:val="left"/>
              <w:rPr>
                <w:rFonts w:ascii="宋体" w:hAnsi="宋体" w:cs="宋体" w:eastAsia="宋体" w:hint="default"/>
                <w:sz w:val="18"/>
                <w:szCs w:val="18"/>
              </w:rPr>
            </w:pPr>
            <w:r>
              <w:rPr>
                <w:rFonts w:ascii="宋体" w:hAnsi="宋体" w:cs="宋体" w:eastAsia="宋体" w:hint="default"/>
                <w:sz w:val="18"/>
                <w:szCs w:val="18"/>
              </w:rPr>
              <w:t>外币财务报表折算</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-51,846,189.90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441,841.85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357,178.35</w:t>
            </w:r>
          </w:p>
        </w:tc>
        <w:tc>
          <w:tcPr>
            <w:tcW w:w="5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349,473.14</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-264,809.64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-51,496,716.76</w:t>
            </w:r>
          </w:p>
        </w:tc>
      </w:tr>
      <w:tr>
        <w:trPr>
          <w:trHeight w:val="244" w:hRule="exact"/>
        </w:trPr>
        <w:tc>
          <w:tcPr>
            <w:tcW w:w="199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9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-51,846,189.90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282,158.59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357,178.35</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2" w:right="0"/>
              <w:jc w:val="left"/>
              <w:rPr>
                <w:rFonts w:ascii="宋体" w:hAnsi="宋体" w:cs="宋体" w:eastAsia="宋体" w:hint="default"/>
                <w:sz w:val="18"/>
                <w:szCs w:val="18"/>
              </w:rPr>
            </w:pPr>
            <w:r>
              <w:rPr>
                <w:rFonts w:ascii="宋体"/>
                <w:sz w:val="18"/>
              </w:rPr>
              <w: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242,405.51</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-317,425.27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-51,603,784.39</w:t>
            </w:r>
          </w:p>
        </w:tc>
      </w:tr>
    </w:tbl>
    <w:p>
      <w:pPr>
        <w:spacing w:line="240" w:lineRule="auto" w:before="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840" w:right="580"/>
        </w:sectPr>
      </w:pPr>
    </w:p>
    <w:p>
      <w:pPr>
        <w:pStyle w:val="Heading2"/>
        <w:spacing w:line="240" w:lineRule="auto"/>
        <w:ind w:left="958" w:right="-18"/>
        <w:jc w:val="left"/>
        <w:rPr>
          <w:b w:val="0"/>
          <w:bCs w:val="0"/>
        </w:rPr>
      </w:pPr>
      <w:r>
        <w:rPr>
          <w:rFonts w:ascii="宋体" w:hAnsi="宋体" w:cs="宋体" w:eastAsia="宋体" w:hint="default"/>
        </w:rPr>
        <w:t>41</w:t>
      </w:r>
      <w:r>
        <w:rPr/>
        <w:t>、</w:t>
      </w:r>
      <w:r>
        <w:rPr>
          <w:spacing w:val="-101"/>
        </w:rPr>
        <w:t> </w:t>
      </w:r>
      <w:r>
        <w:rPr/>
        <w:t>盈余公积</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tabs>
          <w:tab w:pos="2007" w:val="left" w:leader="none"/>
        </w:tabs>
        <w:spacing w:before="139"/>
        <w:ind w:left="95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840" w:right="580"/>
          <w:cols w:num="2" w:equalWidth="0">
            <w:col w:w="2427" w:space="4097"/>
            <w:col w:w="3966"/>
          </w:cols>
        </w:sectPr>
      </w:pPr>
    </w:p>
    <w:p>
      <w:pPr>
        <w:spacing w:line="240" w:lineRule="auto" w:before="7"/>
        <w:rPr>
          <w:rFonts w:ascii="宋体" w:hAnsi="宋体" w:cs="宋体" w:eastAsia="宋体" w:hint="default"/>
          <w:sz w:val="2"/>
          <w:szCs w:val="2"/>
        </w:rPr>
      </w:pPr>
    </w:p>
    <w:tbl>
      <w:tblPr>
        <w:tblW w:w="0" w:type="auto"/>
        <w:jc w:val="left"/>
        <w:tblInd w:w="920" w:type="dxa"/>
        <w:tblLayout w:type="fixed"/>
        <w:tblCellMar>
          <w:top w:w="0" w:type="dxa"/>
          <w:left w:w="0" w:type="dxa"/>
          <w:bottom w:w="0" w:type="dxa"/>
          <w:right w:w="0" w:type="dxa"/>
        </w:tblCellMar>
        <w:tblLook w:val="01E0"/>
      </w:tblPr>
      <w:tblGrid>
        <w:gridCol w:w="1672"/>
        <w:gridCol w:w="1798"/>
        <w:gridCol w:w="1804"/>
        <w:gridCol w:w="1817"/>
        <w:gridCol w:w="1804"/>
      </w:tblGrid>
      <w:tr>
        <w:trPr>
          <w:trHeight w:val="28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1"/>
              <w:jc w:val="right"/>
              <w:rPr>
                <w:rFonts w:ascii="宋体" w:hAnsi="宋体" w:cs="宋体" w:eastAsia="宋体" w:hint="default"/>
                <w:sz w:val="21"/>
                <w:szCs w:val="21"/>
              </w:rPr>
            </w:pPr>
            <w:r>
              <w:rPr>
                <w:rFonts w:ascii="宋体"/>
                <w:sz w:val="21"/>
              </w:rPr>
              <w:t>135,664,869.42</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0"/>
              <w:jc w:val="right"/>
              <w:rPr>
                <w:rFonts w:ascii="宋体" w:hAnsi="宋体" w:cs="宋体" w:eastAsia="宋体" w:hint="default"/>
                <w:sz w:val="21"/>
                <w:szCs w:val="21"/>
              </w:rPr>
            </w:pPr>
            <w:r>
              <w:rPr>
                <w:rFonts w:ascii="宋体"/>
                <w:sz w:val="21"/>
              </w:rPr>
              <w:t>8,143,278.49</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1"/>
              <w:jc w:val="right"/>
              <w:rPr>
                <w:rFonts w:ascii="宋体" w:hAnsi="宋体" w:cs="宋体" w:eastAsia="宋体" w:hint="default"/>
                <w:sz w:val="21"/>
                <w:szCs w:val="21"/>
              </w:rPr>
            </w:pPr>
            <w:r>
              <w:rPr>
                <w:rFonts w:ascii="宋体"/>
                <w:sz w:val="21"/>
              </w:rPr>
              <w:t>0</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0"/>
              <w:jc w:val="right"/>
              <w:rPr>
                <w:rFonts w:ascii="宋体" w:hAnsi="宋体" w:cs="宋体" w:eastAsia="宋体" w:hint="default"/>
                <w:sz w:val="21"/>
                <w:szCs w:val="21"/>
              </w:rPr>
            </w:pPr>
            <w:r>
              <w:rPr>
                <w:rFonts w:ascii="宋体"/>
                <w:sz w:val="21"/>
              </w:rPr>
              <w:t>143,808,147.91</w:t>
            </w:r>
          </w:p>
        </w:tc>
      </w:tr>
      <w:tr>
        <w:trPr>
          <w:trHeight w:val="28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免税基金</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1"/>
              <w:jc w:val="right"/>
              <w:rPr>
                <w:rFonts w:ascii="宋体" w:hAnsi="宋体" w:cs="宋体" w:eastAsia="宋体" w:hint="default"/>
                <w:sz w:val="21"/>
                <w:szCs w:val="21"/>
              </w:rPr>
            </w:pPr>
            <w:r>
              <w:rPr>
                <w:rFonts w:ascii="宋体"/>
                <w:sz w:val="21"/>
              </w:rPr>
              <w:t>32,391,282.92</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1"/>
              <w:jc w:val="right"/>
              <w:rPr>
                <w:rFonts w:ascii="宋体" w:hAnsi="宋体" w:cs="宋体" w:eastAsia="宋体" w:hint="default"/>
                <w:sz w:val="21"/>
                <w:szCs w:val="21"/>
              </w:rPr>
            </w:pPr>
            <w:r>
              <w:rPr>
                <w:rFonts w:ascii="宋体"/>
                <w:sz w:val="21"/>
              </w:rPr>
              <w:t>0</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1"/>
              <w:jc w:val="right"/>
              <w:rPr>
                <w:rFonts w:ascii="宋体" w:hAnsi="宋体" w:cs="宋体" w:eastAsia="宋体" w:hint="default"/>
                <w:sz w:val="21"/>
                <w:szCs w:val="21"/>
              </w:rPr>
            </w:pPr>
            <w:r>
              <w:rPr>
                <w:rFonts w:ascii="宋体"/>
                <w:sz w:val="21"/>
              </w:rPr>
              <w:t>0</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1"/>
              <w:jc w:val="right"/>
              <w:rPr>
                <w:rFonts w:ascii="宋体" w:hAnsi="宋体" w:cs="宋体" w:eastAsia="宋体" w:hint="default"/>
                <w:sz w:val="21"/>
                <w:szCs w:val="21"/>
              </w:rPr>
            </w:pPr>
            <w:r>
              <w:rPr>
                <w:rFonts w:ascii="宋体"/>
                <w:sz w:val="21"/>
              </w:rPr>
              <w:t>32,391,282.92</w:t>
            </w:r>
          </w:p>
        </w:tc>
      </w:tr>
      <w:tr>
        <w:trPr>
          <w:trHeight w:val="286"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1"/>
              <w:jc w:val="right"/>
              <w:rPr>
                <w:rFonts w:ascii="宋体" w:hAnsi="宋体" w:cs="宋体" w:eastAsia="宋体" w:hint="default"/>
                <w:sz w:val="21"/>
                <w:szCs w:val="21"/>
              </w:rPr>
            </w:pPr>
            <w:r>
              <w:rPr>
                <w:rFonts w:ascii="宋体"/>
                <w:sz w:val="21"/>
              </w:rPr>
              <w:t>168,056,152.34</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0"/>
              <w:jc w:val="right"/>
              <w:rPr>
                <w:rFonts w:ascii="宋体" w:hAnsi="宋体" w:cs="宋体" w:eastAsia="宋体" w:hint="default"/>
                <w:sz w:val="21"/>
                <w:szCs w:val="21"/>
              </w:rPr>
            </w:pPr>
            <w:r>
              <w:rPr>
                <w:rFonts w:ascii="宋体"/>
                <w:sz w:val="21"/>
              </w:rPr>
              <w:t>8,143,278.49</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1"/>
              <w:jc w:val="right"/>
              <w:rPr>
                <w:rFonts w:ascii="宋体" w:hAnsi="宋体" w:cs="宋体" w:eastAsia="宋体" w:hint="default"/>
                <w:sz w:val="21"/>
                <w:szCs w:val="21"/>
              </w:rPr>
            </w:pPr>
            <w:r>
              <w:rPr>
                <w:rFonts w:ascii="宋体"/>
                <w:sz w:val="21"/>
              </w:rPr>
              <w:t>0</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0"/>
              <w:jc w:val="right"/>
              <w:rPr>
                <w:rFonts w:ascii="宋体" w:hAnsi="宋体" w:cs="宋体" w:eastAsia="宋体" w:hint="default"/>
                <w:sz w:val="21"/>
                <w:szCs w:val="21"/>
              </w:rPr>
            </w:pPr>
            <w:r>
              <w:rPr>
                <w:rFonts w:ascii="宋体"/>
                <w:sz w:val="21"/>
              </w:rPr>
              <w:t>176,199,430.83</w:t>
            </w:r>
          </w:p>
        </w:tc>
      </w:tr>
    </w:tbl>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080" w:bottom="1380" w:left="840" w:right="580"/>
        </w:sectPr>
      </w:pPr>
    </w:p>
    <w:p>
      <w:pPr>
        <w:pStyle w:val="Heading2"/>
        <w:spacing w:line="240" w:lineRule="auto"/>
        <w:ind w:left="958" w:right="-18"/>
        <w:jc w:val="left"/>
        <w:rPr>
          <w:b w:val="0"/>
          <w:bCs w:val="0"/>
        </w:rPr>
      </w:pPr>
      <w:r>
        <w:rPr>
          <w:rFonts w:ascii="宋体" w:hAnsi="宋体" w:cs="宋体" w:eastAsia="宋体" w:hint="default"/>
        </w:rPr>
        <w:t>42</w:t>
      </w:r>
      <w:r>
        <w:rPr/>
        <w:t>、</w:t>
      </w:r>
      <w:r>
        <w:rPr>
          <w:spacing w:val="-101"/>
        </w:rPr>
        <w:t> </w:t>
      </w:r>
      <w:r>
        <w:rPr/>
        <w:t>未分配利润</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tabs>
          <w:tab w:pos="2007" w:val="left" w:leader="none"/>
        </w:tabs>
        <w:spacing w:before="140"/>
        <w:ind w:left="95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840" w:right="580"/>
          <w:cols w:num="2" w:equalWidth="0">
            <w:col w:w="2669" w:space="3855"/>
            <w:col w:w="3966"/>
          </w:cols>
        </w:sectPr>
      </w:pPr>
    </w:p>
    <w:p>
      <w:pPr>
        <w:spacing w:line="240" w:lineRule="auto" w:before="7"/>
        <w:rPr>
          <w:rFonts w:ascii="宋体" w:hAnsi="宋体" w:cs="宋体" w:eastAsia="宋体" w:hint="default"/>
          <w:sz w:val="2"/>
          <w:szCs w:val="2"/>
        </w:rPr>
      </w:pPr>
    </w:p>
    <w:tbl>
      <w:tblPr>
        <w:tblW w:w="0" w:type="auto"/>
        <w:jc w:val="left"/>
        <w:tblInd w:w="919" w:type="dxa"/>
        <w:tblLayout w:type="fixed"/>
        <w:tblCellMar>
          <w:top w:w="0" w:type="dxa"/>
          <w:left w:w="0" w:type="dxa"/>
          <w:bottom w:w="0" w:type="dxa"/>
          <w:right w:w="0" w:type="dxa"/>
        </w:tblCellMar>
        <w:tblLook w:val="01E0"/>
      </w:tblPr>
      <w:tblGrid>
        <w:gridCol w:w="3430"/>
        <w:gridCol w:w="2776"/>
        <w:gridCol w:w="2691"/>
      </w:tblGrid>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880,598,946.55</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905,310,437.18</w:t>
            </w:r>
          </w:p>
        </w:tc>
      </w:tr>
      <w:tr>
        <w:trPr>
          <w:trHeight w:val="560"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tabs>
                <w:tab w:pos="2626" w:val="left" w:leader="none"/>
              </w:tabs>
              <w:spacing w:line="240" w:lineRule="exact"/>
              <w:ind w:left="-152" w:right="27"/>
              <w:jc w:val="right"/>
              <w:rPr>
                <w:rFonts w:ascii="宋体" w:hAnsi="宋体" w:cs="宋体" w:eastAsia="宋体" w:hint="default"/>
                <w:sz w:val="21"/>
                <w:szCs w:val="21"/>
              </w:rPr>
            </w:pPr>
            <w:r>
              <w:rPr>
                <w:rFonts w:ascii="宋体" w:hAnsi="宋体" w:cs="宋体" w:eastAsia="宋体" w:hint="default"/>
                <w:sz w:val="21"/>
                <w:szCs w:val="21"/>
              </w:rPr>
              <w:t>，</w:t>
              <w:tab/>
            </w:r>
            <w:r>
              <w:rPr>
                <w:rFonts w:ascii="宋体" w:hAnsi="宋体" w:cs="宋体" w:eastAsia="宋体" w:hint="default"/>
                <w:sz w:val="21"/>
                <w:szCs w:val="21"/>
              </w:rPr>
              <w:t>0</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right"/>
              <w:rPr>
                <w:rFonts w:ascii="宋体" w:hAnsi="宋体" w:cs="宋体" w:eastAsia="宋体" w:hint="default"/>
                <w:sz w:val="21"/>
                <w:szCs w:val="21"/>
              </w:rPr>
            </w:pPr>
            <w:r>
              <w:rPr>
                <w:rFonts w:ascii="宋体"/>
                <w:sz w:val="21"/>
              </w:rPr>
              <w:t>635,390.52</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880,598,946.55</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right"/>
              <w:rPr>
                <w:rFonts w:ascii="宋体" w:hAnsi="宋体" w:cs="宋体" w:eastAsia="宋体" w:hint="default"/>
                <w:sz w:val="21"/>
                <w:szCs w:val="21"/>
              </w:rPr>
            </w:pPr>
            <w:r>
              <w:rPr>
                <w:rFonts w:ascii="宋体"/>
                <w:sz w:val="21"/>
              </w:rPr>
              <w:t>905,945,827.70</w:t>
            </w:r>
          </w:p>
        </w:tc>
      </w:tr>
      <w:tr>
        <w:trPr>
          <w:trHeight w:val="559"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润</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95,133,561.09</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8"/>
              <w:jc w:val="right"/>
              <w:rPr>
                <w:rFonts w:ascii="宋体" w:hAnsi="宋体" w:cs="宋体" w:eastAsia="宋体" w:hint="default"/>
                <w:sz w:val="21"/>
                <w:szCs w:val="21"/>
              </w:rPr>
            </w:pPr>
            <w:r>
              <w:rPr>
                <w:rFonts w:ascii="宋体"/>
                <w:sz w:val="21"/>
              </w:rPr>
              <w:t>41,384,775.02</w:t>
            </w: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8,143,278.49</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right"/>
              <w:rPr>
                <w:rFonts w:ascii="宋体" w:hAnsi="宋体" w:cs="宋体" w:eastAsia="宋体" w:hint="default"/>
                <w:sz w:val="21"/>
                <w:szCs w:val="21"/>
              </w:rPr>
            </w:pPr>
            <w:r>
              <w:rPr>
                <w:rFonts w:ascii="宋体"/>
                <w:sz w:val="21"/>
              </w:rPr>
              <w:t>2,128,249.37</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0</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
              <w:jc w:val="right"/>
              <w:rPr>
                <w:rFonts w:ascii="宋体" w:hAnsi="宋体" w:cs="宋体" w:eastAsia="宋体" w:hint="default"/>
                <w:sz w:val="21"/>
                <w:szCs w:val="21"/>
              </w:rPr>
            </w:pPr>
            <w:r>
              <w:rPr>
                <w:rFonts w:ascii="宋体"/>
                <w:sz w:val="21"/>
              </w:rPr>
              <w:t>0</w:t>
            </w: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0</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8"/>
              <w:jc w:val="right"/>
              <w:rPr>
                <w:rFonts w:ascii="宋体" w:hAnsi="宋体" w:cs="宋体" w:eastAsia="宋体" w:hint="default"/>
                <w:sz w:val="21"/>
                <w:szCs w:val="21"/>
              </w:rPr>
            </w:pPr>
            <w:r>
              <w:rPr>
                <w:rFonts w:ascii="宋体"/>
                <w:sz w:val="21"/>
              </w:rPr>
              <w:t>0</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35,359,409.41</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
              <w:jc w:val="right"/>
              <w:rPr>
                <w:rFonts w:ascii="宋体" w:hAnsi="宋体" w:cs="宋体" w:eastAsia="宋体" w:hint="default"/>
                <w:sz w:val="21"/>
                <w:szCs w:val="21"/>
              </w:rPr>
            </w:pPr>
            <w:r>
              <w:rPr>
                <w:rFonts w:ascii="宋体"/>
                <w:sz w:val="21"/>
              </w:rPr>
              <w:t>64,603,406.80</w:t>
            </w: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0</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8"/>
              <w:jc w:val="right"/>
              <w:rPr>
                <w:rFonts w:ascii="宋体" w:hAnsi="宋体" w:cs="宋体" w:eastAsia="宋体" w:hint="default"/>
                <w:sz w:val="21"/>
                <w:szCs w:val="21"/>
              </w:rPr>
            </w:pPr>
            <w:r>
              <w:rPr>
                <w:rFonts w:ascii="宋体"/>
                <w:sz w:val="21"/>
              </w:rPr>
              <w:t>0</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0</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
              <w:jc w:val="right"/>
              <w:rPr>
                <w:rFonts w:ascii="宋体" w:hAnsi="宋体" w:cs="宋体" w:eastAsia="宋体" w:hint="default"/>
                <w:sz w:val="21"/>
                <w:szCs w:val="21"/>
              </w:rPr>
            </w:pPr>
            <w:r>
              <w:rPr>
                <w:rFonts w:ascii="宋体"/>
                <w:sz w:val="21"/>
              </w:rPr>
              <w:t>0</w:t>
            </w: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加：其他转入</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1,587,249.50</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8"/>
              <w:jc w:val="right"/>
              <w:rPr>
                <w:rFonts w:ascii="宋体" w:hAnsi="宋体" w:cs="宋体" w:eastAsia="宋体" w:hint="default"/>
                <w:sz w:val="21"/>
                <w:szCs w:val="21"/>
              </w:rPr>
            </w:pPr>
            <w:r>
              <w:rPr>
                <w:rFonts w:ascii="宋体"/>
                <w:sz w:val="21"/>
              </w:rPr>
              <w:t>0</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933,817,069.24</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right"/>
              <w:rPr>
                <w:rFonts w:ascii="宋体" w:hAnsi="宋体" w:cs="宋体" w:eastAsia="宋体" w:hint="default"/>
                <w:sz w:val="21"/>
                <w:szCs w:val="21"/>
              </w:rPr>
            </w:pPr>
            <w:r>
              <w:rPr>
                <w:rFonts w:ascii="宋体"/>
                <w:sz w:val="21"/>
              </w:rPr>
              <w:t>880,598,946.55</w:t>
            </w:r>
          </w:p>
        </w:tc>
      </w:tr>
      <w:tr>
        <w:trPr>
          <w:trHeight w:val="55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其中：子公司当年提取的盈余公积归</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属于母公司的金额</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746,725.77</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8"/>
              <w:jc w:val="right"/>
              <w:rPr>
                <w:rFonts w:ascii="宋体" w:hAnsi="宋体" w:cs="宋体" w:eastAsia="宋体" w:hint="default"/>
                <w:sz w:val="21"/>
                <w:szCs w:val="21"/>
              </w:rPr>
            </w:pPr>
            <w:r>
              <w:rPr>
                <w:rFonts w:ascii="宋体"/>
                <w:sz w:val="21"/>
              </w:rPr>
              <w:t>39,243.30</w:t>
            </w:r>
          </w:p>
        </w:tc>
      </w:tr>
    </w:tbl>
    <w:p>
      <w:pPr>
        <w:tabs>
          <w:tab w:pos="8880" w:val="left" w:leader="none"/>
        </w:tabs>
        <w:spacing w:line="290" w:lineRule="auto" w:before="26"/>
        <w:ind w:left="958" w:right="1125" w:firstLine="0"/>
        <w:jc w:val="left"/>
        <w:rPr>
          <w:rFonts w:ascii="宋体" w:hAnsi="宋体" w:cs="宋体" w:eastAsia="宋体" w:hint="default"/>
          <w:sz w:val="21"/>
          <w:szCs w:val="21"/>
        </w:rPr>
      </w:pPr>
      <w:r>
        <w:rPr>
          <w:rFonts w:ascii="宋体" w:hAnsi="宋体" w:cs="宋体" w:eastAsia="宋体" w:hint="default"/>
          <w:sz w:val="21"/>
          <w:szCs w:val="21"/>
        </w:rPr>
        <w:t>调整期初未分配利润明细： </w:t>
      </w:r>
      <w:r>
        <w:rPr>
          <w:rFonts w:ascii="宋体" w:hAnsi="宋体" w:cs="宋体" w:eastAsia="宋体" w:hint="default"/>
          <w:spacing w:val="-1"/>
          <w:sz w:val="21"/>
          <w:szCs w:val="21"/>
        </w:rPr>
        <w:t>1</w:t>
      </w:r>
      <w:r>
        <w:rPr>
          <w:rFonts w:ascii="宋体" w:hAnsi="宋体" w:cs="宋体" w:eastAsia="宋体" w:hint="default"/>
          <w:spacing w:val="-1"/>
          <w:sz w:val="21"/>
          <w:szCs w:val="21"/>
        </w:rPr>
        <w:t>、由于《企业会计准则》及其相关新规定进行追溯调整，影响期初未分配利润</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FF"/>
        </w:rPr>
        <w:t> </w:t>
        <w:tab/>
      </w:r>
      <w:r>
        <w:rPr>
          <w:rFonts w:ascii="Times New Roman" w:hAnsi="Times New Roman" w:cs="Times New Roman" w:eastAsia="Times New Roman" w:hint="default"/>
          <w:spacing w:val="-1"/>
          <w:sz w:val="21"/>
          <w:szCs w:val="21"/>
        </w:rPr>
      </w:r>
      <w:r>
        <w:rPr>
          <w:rFonts w:ascii="宋体" w:hAnsi="宋体" w:cs="宋体" w:eastAsia="宋体" w:hint="default"/>
          <w:sz w:val="21"/>
          <w:szCs w:val="21"/>
        </w:rPr>
        <w:t>元。</w:t>
      </w:r>
    </w:p>
    <w:p>
      <w:pPr>
        <w:tabs>
          <w:tab w:pos="5730" w:val="left" w:leader="none"/>
        </w:tabs>
        <w:spacing w:line="227" w:lineRule="exact" w:before="0"/>
        <w:ind w:left="958" w:right="678" w:firstLine="0"/>
        <w:jc w:val="lef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、由于会计政策变更，影响期初未分配利润</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FF"/>
        </w:rPr>
        <w:t> </w:t>
        <w:tab/>
      </w:r>
      <w:r>
        <w:rPr>
          <w:rFonts w:ascii="Times New Roman" w:hAnsi="Times New Roman" w:cs="Times New Roman" w:eastAsia="Times New Roman" w:hint="default"/>
          <w:spacing w:val="-1"/>
          <w:sz w:val="21"/>
          <w:szCs w:val="21"/>
        </w:rPr>
      </w:r>
      <w:r>
        <w:rPr>
          <w:rFonts w:ascii="宋体" w:hAnsi="宋体" w:cs="宋体" w:eastAsia="宋体" w:hint="default"/>
          <w:sz w:val="21"/>
          <w:szCs w:val="21"/>
        </w:rPr>
        <w:t>元。</w:t>
      </w:r>
    </w:p>
    <w:p>
      <w:pPr>
        <w:tabs>
          <w:tab w:pos="6150" w:val="left" w:leader="none"/>
        </w:tabs>
        <w:spacing w:line="272" w:lineRule="exact" w:before="0"/>
        <w:ind w:left="958" w:right="678" w:firstLine="0"/>
        <w:jc w:val="lef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、由于重大会计差错更正，影响期初未分配利润</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FF"/>
        </w:rPr>
        <w:t> </w:t>
        <w:tab/>
      </w:r>
      <w:r>
        <w:rPr>
          <w:rFonts w:ascii="Times New Roman" w:hAnsi="Times New Roman" w:cs="Times New Roman" w:eastAsia="Times New Roman" w:hint="default"/>
          <w:spacing w:val="-1"/>
          <w:sz w:val="21"/>
          <w:szCs w:val="21"/>
        </w:rPr>
      </w:r>
      <w:r>
        <w:rPr>
          <w:rFonts w:ascii="宋体" w:hAnsi="宋体" w:cs="宋体" w:eastAsia="宋体" w:hint="default"/>
          <w:spacing w:val="-2"/>
          <w:sz w:val="21"/>
          <w:szCs w:val="21"/>
        </w:rPr>
        <w:t>元。</w:t>
      </w:r>
      <w:r>
        <w:rPr>
          <w:rFonts w:ascii="宋体" w:hAnsi="宋体" w:cs="宋体" w:eastAsia="宋体" w:hint="default"/>
          <w:sz w:val="21"/>
          <w:szCs w:val="21"/>
        </w:rPr>
      </w:r>
    </w:p>
    <w:p>
      <w:pPr>
        <w:tabs>
          <w:tab w:pos="7200" w:val="left" w:leader="none"/>
        </w:tabs>
        <w:spacing w:line="273" w:lineRule="exact" w:before="0"/>
        <w:ind w:left="958" w:right="678" w:firstLine="0"/>
        <w:jc w:val="lef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、由于同一控制导致的合并范围变更，影响期初未分配利润</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FF"/>
        </w:rPr>
        <w:t> </w:t>
        <w:tab/>
      </w:r>
      <w:r>
        <w:rPr>
          <w:rFonts w:ascii="Times New Roman" w:hAnsi="Times New Roman" w:cs="Times New Roman" w:eastAsia="Times New Roman" w:hint="default"/>
          <w:spacing w:val="-1"/>
          <w:sz w:val="21"/>
          <w:szCs w:val="21"/>
        </w:rPr>
      </w:r>
      <w:r>
        <w:rPr>
          <w:rFonts w:ascii="宋体" w:hAnsi="宋体" w:cs="宋体" w:eastAsia="宋体" w:hint="default"/>
          <w:spacing w:val="-2"/>
          <w:sz w:val="21"/>
          <w:szCs w:val="21"/>
        </w:rPr>
        <w:t>元。</w:t>
      </w:r>
      <w:r>
        <w:rPr>
          <w:rFonts w:ascii="宋体" w:hAnsi="宋体" w:cs="宋体" w:eastAsia="宋体" w:hint="default"/>
          <w:sz w:val="21"/>
          <w:szCs w:val="21"/>
        </w:rPr>
      </w:r>
    </w:p>
    <w:p>
      <w:pPr>
        <w:tabs>
          <w:tab w:pos="5100" w:val="left" w:leader="none"/>
        </w:tabs>
        <w:spacing w:line="274" w:lineRule="exact" w:before="0"/>
        <w:ind w:left="958" w:right="678"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、其他调整合计影响期初未分配利润</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p>
    <w:p>
      <w:pPr>
        <w:pStyle w:val="BodyText"/>
        <w:spacing w:line="240" w:lineRule="auto" w:before="113"/>
        <w:ind w:left="958" w:right="678"/>
        <w:jc w:val="left"/>
      </w:pPr>
      <w:r>
        <w:rPr/>
        <w:t>说明：其他转入详见本附注五、</w:t>
      </w:r>
      <w:r>
        <w:rPr>
          <w:rFonts w:ascii="宋体" w:hAnsi="宋体" w:cs="宋体" w:eastAsia="宋体" w:hint="default"/>
        </w:rPr>
        <w:t>38</w:t>
      </w:r>
      <w:r>
        <w:rPr/>
        <w:t>（</w:t>
      </w:r>
      <w:r>
        <w:rPr>
          <w:rFonts w:ascii="宋体" w:hAnsi="宋体" w:cs="宋体" w:eastAsia="宋体" w:hint="default"/>
        </w:rPr>
        <w:t>2</w:t>
      </w:r>
      <w:r>
        <w:rPr/>
        <w:t>）</w:t>
      </w:r>
      <w:r>
        <w:rPr>
          <w:rFonts w:ascii="宋体" w:hAnsi="宋体" w:cs="宋体" w:eastAsia="宋体" w:hint="default"/>
        </w:rPr>
        <w:t>C</w:t>
      </w:r>
      <w:r>
        <w:rPr/>
        <w:t>、</w:t>
      </w:r>
      <w:r>
        <w:rPr>
          <w:rFonts w:ascii="宋体" w:hAnsi="宋体" w:cs="宋体" w:eastAsia="宋体" w:hint="default"/>
        </w:rPr>
        <w:t>D</w:t>
      </w:r>
      <w:r>
        <w:rPr/>
        <w:t>。</w:t>
      </w:r>
    </w:p>
    <w:p>
      <w:pPr>
        <w:spacing w:after="0" w:line="240" w:lineRule="auto"/>
        <w:jc w:val="left"/>
        <w:sectPr>
          <w:type w:val="continuous"/>
          <w:pgSz w:w="11910" w:h="16840"/>
          <w:pgMar w:top="1080" w:bottom="1380" w:left="840" w:right="58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1520" w:right="780"/>
        </w:sectPr>
      </w:pPr>
    </w:p>
    <w:p>
      <w:pPr>
        <w:pStyle w:val="Heading2"/>
        <w:spacing w:line="240" w:lineRule="auto"/>
        <w:ind w:left="278" w:right="-15"/>
        <w:jc w:val="left"/>
        <w:rPr>
          <w:b w:val="0"/>
          <w:bCs w:val="0"/>
        </w:rPr>
      </w:pPr>
      <w:r>
        <w:rPr>
          <w:rFonts w:ascii="宋体" w:hAnsi="宋体" w:cs="宋体" w:eastAsia="宋体" w:hint="default"/>
        </w:rPr>
        <w:t>43</w:t>
      </w:r>
      <w:r>
        <w:rPr/>
        <w:t>、</w:t>
      </w:r>
      <w:r>
        <w:rPr>
          <w:spacing w:val="-106"/>
        </w:rPr>
        <w:t> </w:t>
      </w:r>
      <w:r>
        <w:rPr/>
        <w:t>营业收入和营业成本</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tabs>
          <w:tab w:pos="1327" w:val="left" w:leader="none"/>
        </w:tabs>
        <w:spacing w:before="139"/>
        <w:ind w:left="27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520" w:right="780"/>
          <w:cols w:num="2" w:equalWidth="0">
            <w:col w:w="2950" w:space="3574"/>
            <w:col w:w="3086"/>
          </w:cols>
        </w:sectPr>
      </w:pPr>
    </w:p>
    <w:p>
      <w:pPr>
        <w:spacing w:line="240" w:lineRule="auto" w:before="7"/>
        <w:rPr>
          <w:rFonts w:ascii="宋体" w:hAnsi="宋体" w:cs="宋体" w:eastAsia="宋体" w:hint="default"/>
          <w:sz w:val="2"/>
          <w:szCs w:val="2"/>
        </w:rPr>
      </w:pPr>
    </w:p>
    <w:tbl>
      <w:tblPr>
        <w:tblW w:w="0" w:type="auto"/>
        <w:jc w:val="left"/>
        <w:tblInd w:w="287" w:type="dxa"/>
        <w:tblLayout w:type="fixed"/>
        <w:tblCellMar>
          <w:top w:w="0" w:type="dxa"/>
          <w:left w:w="0" w:type="dxa"/>
          <w:bottom w:w="0" w:type="dxa"/>
          <w:right w:w="0" w:type="dxa"/>
        </w:tblCellMar>
        <w:tblLook w:val="01E0"/>
      </w:tblPr>
      <w:tblGrid>
        <w:gridCol w:w="1344"/>
        <w:gridCol w:w="1896"/>
        <w:gridCol w:w="1896"/>
        <w:gridCol w:w="1896"/>
        <w:gridCol w:w="1896"/>
      </w:tblGrid>
      <w:tr>
        <w:trPr>
          <w:trHeight w:val="282" w:hRule="exact"/>
        </w:trPr>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344" w:type="dxa"/>
            <w:vMerge/>
            <w:tcBorders>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90"/>
              <w:jc w:val="right"/>
              <w:rPr>
                <w:rFonts w:ascii="宋体" w:hAnsi="宋体" w:cs="宋体" w:eastAsia="宋体" w:hint="default"/>
                <w:sz w:val="21"/>
                <w:szCs w:val="21"/>
              </w:rPr>
            </w:pPr>
            <w:r>
              <w:rPr>
                <w:rFonts w:ascii="宋体" w:hAnsi="宋体" w:cs="宋体" w:eastAsia="宋体" w:hint="default"/>
                <w:sz w:val="21"/>
                <w:szCs w:val="21"/>
              </w:rPr>
              <w:t>主营业务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4,266,047,522.84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3,473,886,065.23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4,805,403,647.24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4,047,937,830.72</w:t>
            </w:r>
          </w:p>
        </w:tc>
      </w:tr>
      <w:tr>
        <w:trPr>
          <w:trHeight w:val="28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90"/>
              <w:jc w:val="right"/>
              <w:rPr>
                <w:rFonts w:ascii="宋体" w:hAnsi="宋体" w:cs="宋体" w:eastAsia="宋体" w:hint="default"/>
                <w:sz w:val="21"/>
                <w:szCs w:val="21"/>
              </w:rPr>
            </w:pPr>
            <w:r>
              <w:rPr>
                <w:rFonts w:ascii="宋体" w:hAnsi="宋体" w:cs="宋体" w:eastAsia="宋体" w:hint="default"/>
                <w:sz w:val="21"/>
                <w:szCs w:val="21"/>
              </w:rPr>
              <w:t>其他业务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12,496,982.73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1,900,664.91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10,612,866.31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2,302,866.92</w:t>
            </w:r>
          </w:p>
        </w:tc>
      </w:tr>
      <w:tr>
        <w:trPr>
          <w:trHeight w:val="28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6"/>
              <w:jc w:val="right"/>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4,278,544,505.57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3,475,786,730.14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4,816,016,513.55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4,050,240,697.64</w:t>
            </w:r>
          </w:p>
        </w:tc>
      </w:tr>
    </w:tbl>
    <w:p>
      <w:pPr>
        <w:pStyle w:val="BodyText"/>
        <w:spacing w:line="240" w:lineRule="auto" w:before="81"/>
        <w:ind w:left="278" w:right="548"/>
        <w:jc w:val="left"/>
      </w:pPr>
      <w:r>
        <w:rPr/>
        <w:t>（</w:t>
      </w:r>
      <w:r>
        <w:rPr>
          <w:rFonts w:ascii="宋体" w:hAnsi="宋体" w:cs="宋体" w:eastAsia="宋体" w:hint="default"/>
        </w:rPr>
        <w:t>1</w:t>
      </w:r>
      <w:r>
        <w:rPr/>
        <w:t>）主营业务（分业务）</w:t>
      </w:r>
    </w:p>
    <w:p>
      <w:pPr>
        <w:spacing w:line="240" w:lineRule="auto" w:before="12"/>
        <w:rPr>
          <w:rFonts w:ascii="宋体" w:hAnsi="宋体" w:cs="宋体" w:eastAsia="宋体" w:hint="default"/>
          <w:sz w:val="11"/>
          <w:szCs w:val="11"/>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468.8pt;height:1pt;mso-position-horizontal-relative:char;mso-position-vertical-relative:line" coordorigin="0,0" coordsize="9376,20">
            <v:group style="position:absolute;left:10;top:10;width:2462;height:2" coordorigin="10,10" coordsize="2462,2">
              <v:shape style="position:absolute;left:10;top:10;width:2462;height:2" coordorigin="10,10" coordsize="2462,0" path="m10,10l2471,10e" filled="false" stroked="true" strokeweight=".95999pt" strokecolor="#000000">
                <v:path arrowok="t"/>
              </v:shape>
            </v:group>
            <v:group style="position:absolute;left:2471;top:10;width:20;height:2" coordorigin="2471,10" coordsize="20,2">
              <v:shape style="position:absolute;left:2471;top:10;width:20;height:2" coordorigin="2471,10" coordsize="20,0" path="m2471,10l2490,10e" filled="false" stroked="true" strokeweight=".95999pt" strokecolor="#000000">
                <v:path arrowok="t"/>
              </v:shape>
            </v:group>
            <v:group style="position:absolute;left:2490;top:10;width:3480;height:2" coordorigin="2490,10" coordsize="3480,2">
              <v:shape style="position:absolute;left:2490;top:10;width:3480;height:2" coordorigin="2490,10" coordsize="3480,0" path="m2490,10l5969,10e" filled="false" stroked="true" strokeweight=".95999pt" strokecolor="#000000">
                <v:path arrowok="t"/>
              </v:shape>
            </v:group>
            <v:group style="position:absolute;left:5969;top:10;width:20;height:2" coordorigin="5969,10" coordsize="20,2">
              <v:shape style="position:absolute;left:5969;top:10;width:20;height:2" coordorigin="5969,10" coordsize="20,0" path="m5969,10l5988,10e" filled="false" stroked="true" strokeweight=".95999pt" strokecolor="#000000">
                <v:path arrowok="t"/>
              </v:shape>
            </v:group>
            <v:group style="position:absolute;left:5988;top:10;width:3378;height:2" coordorigin="5988,10" coordsize="3378,2">
              <v:shape style="position:absolute;left:5988;top:10;width:3378;height:2" coordorigin="5988,10" coordsize="3378,0" path="m5988,10l9366,10e" filled="false" stroked="true" strokeweight=".95999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80" w:bottom="1380" w:left="1520" w:right="780"/>
        </w:sectPr>
      </w:pPr>
    </w:p>
    <w:p>
      <w:pPr>
        <w:spacing w:line="240" w:lineRule="auto" w:before="5"/>
        <w:rPr>
          <w:rFonts w:ascii="宋体" w:hAnsi="宋体" w:cs="宋体" w:eastAsia="宋体" w:hint="default"/>
          <w:sz w:val="18"/>
          <w:szCs w:val="18"/>
        </w:rPr>
      </w:pPr>
    </w:p>
    <w:p>
      <w:pPr>
        <w:spacing w:before="0"/>
        <w:ind w:left="243" w:right="0" w:firstLine="0"/>
        <w:jc w:val="left"/>
        <w:rPr>
          <w:rFonts w:ascii="宋体" w:hAnsi="宋体" w:cs="宋体" w:eastAsia="宋体" w:hint="default"/>
          <w:sz w:val="18"/>
          <w:szCs w:val="18"/>
        </w:rPr>
      </w:pPr>
      <w:r>
        <w:rPr>
          <w:rFonts w:ascii="宋体" w:hAnsi="宋体" w:cs="宋体" w:eastAsia="宋体" w:hint="default"/>
          <w:b/>
          <w:bCs/>
          <w:w w:val="95"/>
          <w:sz w:val="18"/>
          <w:szCs w:val="18"/>
        </w:rPr>
        <w:t>业务名称</w:t>
      </w:r>
      <w:r>
        <w:rPr>
          <w:rFonts w:ascii="宋体" w:hAnsi="宋体" w:cs="宋体" w:eastAsia="宋体" w:hint="default"/>
          <w:sz w:val="18"/>
          <w:szCs w:val="18"/>
        </w:rPr>
      </w:r>
    </w:p>
    <w:p>
      <w:pPr>
        <w:tabs>
          <w:tab w:pos="4016" w:val="left" w:leader="none"/>
        </w:tabs>
        <w:spacing w:before="42"/>
        <w:ind w:left="569"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本期发生额</w:t>
        <w:tab/>
      </w:r>
      <w:r>
        <w:rPr>
          <w:rFonts w:ascii="宋体" w:hAnsi="宋体" w:cs="宋体" w:eastAsia="宋体" w:hint="default"/>
          <w:b/>
          <w:bCs/>
          <w:sz w:val="18"/>
          <w:szCs w:val="18"/>
        </w:rPr>
        <w:t>上期发生额</w:t>
      </w:r>
      <w:r>
        <w:rPr>
          <w:rFonts w:ascii="宋体" w:hAnsi="宋体" w:cs="宋体" w:eastAsia="宋体" w:hint="default"/>
          <w:sz w:val="18"/>
          <w:szCs w:val="18"/>
        </w:rPr>
      </w:r>
    </w:p>
    <w:p>
      <w:pPr>
        <w:tabs>
          <w:tab w:pos="1991" w:val="left" w:leader="none"/>
          <w:tab w:pos="3669" w:val="left" w:leader="none"/>
          <w:tab w:pos="5387" w:val="left" w:leader="none"/>
        </w:tabs>
        <w:spacing w:before="151"/>
        <w:ind w:left="243" w:right="0" w:firstLine="0"/>
        <w:jc w:val="left"/>
        <w:rPr>
          <w:rFonts w:ascii="宋体" w:hAnsi="宋体" w:cs="宋体" w:eastAsia="宋体" w:hint="default"/>
          <w:sz w:val="18"/>
          <w:szCs w:val="18"/>
        </w:rPr>
      </w:pPr>
      <w:r>
        <w:rPr>
          <w:rFonts w:ascii="宋体" w:hAnsi="宋体" w:cs="宋体" w:eastAsia="宋体" w:hint="default"/>
          <w:b/>
          <w:bCs/>
          <w:w w:val="95"/>
          <w:sz w:val="18"/>
          <w:szCs w:val="18"/>
        </w:rPr>
        <w:t>营业收入</w:t>
        <w:tab/>
        <w:t>营业成本</w:t>
        <w:tab/>
        <w:t>营业收入</w:t>
        <w:tab/>
      </w:r>
      <w:r>
        <w:rPr>
          <w:rFonts w:ascii="宋体" w:hAnsi="宋体" w:cs="宋体" w:eastAsia="宋体" w:hint="default"/>
          <w:b/>
          <w:bCs/>
          <w:sz w:val="18"/>
          <w:szCs w:val="18"/>
        </w:rPr>
        <w:t>营业成本</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80" w:bottom="1380" w:left="1520" w:right="780"/>
          <w:cols w:num="2" w:equalWidth="0">
            <w:col w:w="966" w:space="2413"/>
            <w:col w:w="6231"/>
          </w:cols>
        </w:sectPr>
      </w:pPr>
    </w:p>
    <w:p>
      <w:pPr>
        <w:spacing w:line="240" w:lineRule="auto" w:before="6"/>
        <w:rPr>
          <w:rFonts w:ascii="宋体" w:hAnsi="宋体" w:cs="宋体" w:eastAsia="宋体" w:hint="default"/>
          <w:b/>
          <w:bCs/>
          <w:sz w:val="8"/>
          <w:szCs w:val="8"/>
        </w:rPr>
      </w:pPr>
    </w:p>
    <w:p>
      <w:pPr>
        <w:spacing w:line="20" w:lineRule="exact"/>
        <w:ind w:left="131" w:right="0" w:firstLine="0"/>
        <w:rPr>
          <w:rFonts w:ascii="宋体" w:hAnsi="宋体" w:cs="宋体" w:eastAsia="宋体" w:hint="default"/>
          <w:sz w:val="2"/>
          <w:szCs w:val="2"/>
        </w:rPr>
      </w:pPr>
      <w:r>
        <w:rPr>
          <w:rFonts w:ascii="宋体" w:hAnsi="宋体" w:cs="宋体" w:eastAsia="宋体" w:hint="default"/>
          <w:sz w:val="2"/>
          <w:szCs w:val="2"/>
        </w:rPr>
        <w:pict>
          <v:group style="width:468.3pt;height:.5pt;mso-position-horizontal-relative:char;mso-position-vertical-relative:line" coordorigin="0,0" coordsize="9366,10">
            <v:group style="position:absolute;left:5;top:5;width:2462;height:2" coordorigin="5,5" coordsize="2462,2">
              <v:shape style="position:absolute;left:5;top:5;width:2462;height:2" coordorigin="5,5" coordsize="2462,0" path="m5,5l2466,5e" filled="false" stroked="true" strokeweight=".48001pt" strokecolor="#000000">
                <v:path arrowok="t"/>
              </v:shape>
            </v:group>
            <v:group style="position:absolute;left:2466;top:5;width:10;height:2" coordorigin="2466,5" coordsize="10,2">
              <v:shape style="position:absolute;left:2466;top:5;width:10;height:2" coordorigin="2466,5" coordsize="10,0" path="m2466,5l2476,5e" filled="false" stroked="true" strokeweight=".48001pt" strokecolor="#000000">
                <v:path arrowok="t"/>
              </v:shape>
            </v:group>
            <v:group style="position:absolute;left:2476;top:5;width:1741;height:2" coordorigin="2476,5" coordsize="1741,2">
              <v:shape style="position:absolute;left:2476;top:5;width:1741;height:2" coordorigin="2476,5" coordsize="1741,0" path="m2476,5l4216,5e" filled="false" stroked="true" strokeweight=".48001pt" strokecolor="#000000">
                <v:path arrowok="t"/>
              </v:shape>
            </v:group>
            <v:group style="position:absolute;left:4216;top:5;width:10;height:2" coordorigin="4216,5" coordsize="10,2">
              <v:shape style="position:absolute;left:4216;top:5;width:10;height:2" coordorigin="4216,5" coordsize="10,0" path="m4216,5l4226,5e" filled="false" stroked="true" strokeweight=".48001pt" strokecolor="#000000">
                <v:path arrowok="t"/>
              </v:shape>
            </v:group>
            <v:group style="position:absolute;left:4226;top:5;width:1739;height:2" coordorigin="4226,5" coordsize="1739,2">
              <v:shape style="position:absolute;left:4226;top:5;width:1739;height:2" coordorigin="4226,5" coordsize="1739,0" path="m4226,5l5964,5e" filled="false" stroked="true" strokeweight=".48001pt" strokecolor="#000000">
                <v:path arrowok="t"/>
              </v:shape>
            </v:group>
            <v:group style="position:absolute;left:5964;top:5;width:10;height:2" coordorigin="5964,5" coordsize="10,2">
              <v:shape style="position:absolute;left:5964;top:5;width:10;height:2" coordorigin="5964,5" coordsize="10,0" path="m5964,5l5974,5e" filled="false" stroked="true" strokeweight=".48001pt" strokecolor="#000000">
                <v:path arrowok="t"/>
              </v:shape>
            </v:group>
            <v:group style="position:absolute;left:5974;top:5;width:1669;height:2" coordorigin="5974,5" coordsize="1669,2">
              <v:shape style="position:absolute;left:5974;top:5;width:1669;height:2" coordorigin="5974,5" coordsize="1669,0" path="m5974,5l7642,5e" filled="false" stroked="true" strokeweight=".48001pt" strokecolor="#000000">
                <v:path arrowok="t"/>
              </v:shape>
            </v:group>
            <v:group style="position:absolute;left:7642;top:5;width:10;height:2" coordorigin="7642,5" coordsize="10,2">
              <v:shape style="position:absolute;left:7642;top:5;width:10;height:2" coordorigin="7642,5" coordsize="10,0" path="m7642,5l7652,5e" filled="false" stroked="true" strokeweight=".48001pt" strokecolor="#000000">
                <v:path arrowok="t"/>
              </v:shape>
            </v:group>
            <v:group style="position:absolute;left:7652;top:5;width:1709;height:2" coordorigin="7652,5" coordsize="1709,2">
              <v:shape style="position:absolute;left:7652;top:5;width:1709;height:2" coordorigin="7652,5" coordsize="1709,0" path="m7652,5l9361,5e" filled="false" stroked="true" strokeweight=".48001pt" strokecolor="#000000">
                <v:path arrowok="t"/>
              </v:shape>
            </v:group>
          </v:group>
        </w:pict>
      </w:r>
      <w:r>
        <w:rPr>
          <w:rFonts w:ascii="宋体" w:hAnsi="宋体" w:cs="宋体" w:eastAsia="宋体" w:hint="default"/>
          <w:sz w:val="2"/>
          <w:szCs w:val="2"/>
        </w:rPr>
      </w:r>
    </w:p>
    <w:p>
      <w:pPr>
        <w:tabs>
          <w:tab w:pos="2903" w:val="left" w:leader="none"/>
          <w:tab w:pos="4652" w:val="left" w:leader="none"/>
          <w:tab w:pos="6329" w:val="left" w:leader="none"/>
          <w:tab w:pos="8048" w:val="left" w:leader="none"/>
        </w:tabs>
        <w:spacing w:before="36"/>
        <w:ind w:left="243" w:right="0" w:firstLine="0"/>
        <w:jc w:val="left"/>
        <w:rPr>
          <w:rFonts w:ascii="宋体" w:hAnsi="宋体" w:cs="宋体" w:eastAsia="宋体" w:hint="default"/>
          <w:sz w:val="18"/>
          <w:szCs w:val="18"/>
        </w:rPr>
      </w:pPr>
      <w:r>
        <w:rPr>
          <w:rFonts w:ascii="宋体" w:hAnsi="宋体" w:cs="宋体" w:eastAsia="宋体" w:hint="default"/>
          <w:sz w:val="18"/>
          <w:szCs w:val="18"/>
        </w:rPr>
        <w:t>系统集成收入</w:t>
        <w:tab/>
      </w:r>
      <w:r>
        <w:rPr>
          <w:rFonts w:ascii="宋体" w:hAnsi="宋体" w:cs="宋体" w:eastAsia="宋体" w:hint="default"/>
          <w:sz w:val="18"/>
          <w:szCs w:val="18"/>
        </w:rPr>
        <w:t>3,006,585,647.72</w:t>
        <w:tab/>
        <w:t>2,618,543,649.90</w:t>
        <w:tab/>
        <w:t>3,468,210,016.79</w:t>
        <w:tab/>
        <w:t>3,127,248,902.25</w:t>
      </w:r>
    </w:p>
    <w:p>
      <w:pPr>
        <w:spacing w:line="240" w:lineRule="auto" w:before="4"/>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080" w:bottom="1380" w:left="1520" w:right="780"/>
        </w:sectPr>
      </w:pPr>
    </w:p>
    <w:p>
      <w:pPr>
        <w:spacing w:before="44"/>
        <w:ind w:left="384" w:right="-20" w:firstLine="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w:t>
      </w:r>
      <w:r>
        <w:rPr>
          <w:rFonts w:ascii="宋体" w:hAnsi="宋体" w:cs="宋体" w:eastAsia="宋体" w:hint="default"/>
          <w:sz w:val="18"/>
          <w:szCs w:val="18"/>
        </w:rPr>
        <w:t>系统产品及系统集成</w:t>
      </w:r>
    </w:p>
    <w:p>
      <w:pPr>
        <w:spacing w:line="240" w:lineRule="auto" w:before="5"/>
        <w:rPr>
          <w:rFonts w:ascii="宋体" w:hAnsi="宋体" w:cs="宋体" w:eastAsia="宋体" w:hint="default"/>
          <w:sz w:val="12"/>
          <w:szCs w:val="12"/>
        </w:rPr>
      </w:pPr>
      <w:r>
        <w:rPr/>
        <w:br w:type="column"/>
      </w:r>
      <w:r>
        <w:rPr>
          <w:rFonts w:ascii="宋体"/>
          <w:sz w:val="12"/>
        </w:rPr>
      </w:r>
    </w:p>
    <w:p>
      <w:pPr>
        <w:tabs>
          <w:tab w:pos="2133" w:val="left" w:leader="none"/>
          <w:tab w:pos="3811" w:val="left" w:leader="none"/>
          <w:tab w:pos="5529" w:val="left" w:leader="none"/>
        </w:tabs>
        <w:spacing w:before="0"/>
        <w:ind w:left="384" w:right="0" w:firstLine="0"/>
        <w:jc w:val="left"/>
        <w:rPr>
          <w:rFonts w:ascii="宋体" w:hAnsi="宋体" w:cs="宋体" w:eastAsia="宋体" w:hint="default"/>
          <w:sz w:val="18"/>
          <w:szCs w:val="18"/>
        </w:rPr>
      </w:pPr>
      <w:r>
        <w:rPr/>
        <w:pict>
          <v:shape style="position:absolute;margin-left:82.82pt;margin-top:8.597324pt;width:467.8pt;height:93.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54"/>
                    <w:gridCol w:w="1801"/>
                    <w:gridCol w:w="1713"/>
                    <w:gridCol w:w="1698"/>
                    <w:gridCol w:w="1589"/>
                  </w:tblGrid>
                  <w:tr>
                    <w:trPr>
                      <w:trHeight w:val="682"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180" w:lineRule="exact"/>
                          <w:ind w:left="1093" w:right="0" w:firstLine="865"/>
                          <w:jc w:val="left"/>
                          <w:rPr>
                            <w:rFonts w:ascii="宋体" w:hAnsi="宋体" w:cs="宋体" w:eastAsia="宋体" w:hint="default"/>
                            <w:sz w:val="18"/>
                            <w:szCs w:val="18"/>
                          </w:rPr>
                        </w:pPr>
                        <w:r>
                          <w:rPr>
                            <w:rFonts w:ascii="宋体" w:hAnsi="宋体" w:cs="宋体" w:eastAsia="宋体" w:hint="default"/>
                            <w:sz w:val="18"/>
                            <w:szCs w:val="18"/>
                          </w:rPr>
                          <w:t>服务</w:t>
                        </w:r>
                      </w:p>
                      <w:p>
                        <w:pPr>
                          <w:pStyle w:val="TableParagraph"/>
                          <w:spacing w:line="240" w:lineRule="auto" w:before="158"/>
                          <w:ind w:left="1093" w:right="0"/>
                          <w:jc w:val="left"/>
                          <w:rPr>
                            <w:rFonts w:ascii="宋体" w:hAnsi="宋体" w:cs="宋体" w:eastAsia="宋体" w:hint="default"/>
                            <w:sz w:val="18"/>
                            <w:szCs w:val="18"/>
                          </w:rPr>
                        </w:pPr>
                        <w:r>
                          <w:rPr>
                            <w:rFonts w:ascii="宋体" w:hAnsi="宋体" w:cs="宋体" w:eastAsia="宋体" w:hint="default"/>
                            <w:sz w:val="18"/>
                            <w:szCs w:val="18"/>
                          </w:rPr>
                          <w:t>软件及软件开发</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46"/>
                          <w:jc w:val="right"/>
                          <w:rPr>
                            <w:rFonts w:ascii="宋体" w:hAnsi="宋体" w:cs="宋体" w:eastAsia="宋体" w:hint="default"/>
                            <w:sz w:val="18"/>
                            <w:szCs w:val="18"/>
                          </w:rPr>
                        </w:pPr>
                        <w:r>
                          <w:rPr>
                            <w:rFonts w:ascii="宋体"/>
                            <w:sz w:val="18"/>
                          </w:rPr>
                          <w:t>649,044,818.51</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10"/>
                          <w:jc w:val="right"/>
                          <w:rPr>
                            <w:rFonts w:ascii="宋体" w:hAnsi="宋体" w:cs="宋体" w:eastAsia="宋体" w:hint="default"/>
                            <w:sz w:val="18"/>
                            <w:szCs w:val="18"/>
                          </w:rPr>
                        </w:pPr>
                        <w:r>
                          <w:rPr>
                            <w:rFonts w:ascii="宋体"/>
                            <w:sz w:val="18"/>
                          </w:rPr>
                          <w:t>469,812,342.01</w:t>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31"/>
                          <w:jc w:val="right"/>
                          <w:rPr>
                            <w:rFonts w:ascii="宋体" w:hAnsi="宋体" w:cs="宋体" w:eastAsia="宋体" w:hint="default"/>
                            <w:sz w:val="18"/>
                            <w:szCs w:val="18"/>
                          </w:rPr>
                        </w:pPr>
                        <w:r>
                          <w:rPr>
                            <w:rFonts w:ascii="宋体"/>
                            <w:sz w:val="18"/>
                          </w:rPr>
                          <w:t>845,583,067.62</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
                          <w:jc w:val="right"/>
                          <w:rPr>
                            <w:rFonts w:ascii="宋体" w:hAnsi="宋体" w:cs="宋体" w:eastAsia="宋体" w:hint="default"/>
                            <w:sz w:val="18"/>
                            <w:szCs w:val="18"/>
                          </w:rPr>
                        </w:pPr>
                        <w:r>
                          <w:rPr>
                            <w:rFonts w:ascii="宋体"/>
                            <w:sz w:val="18"/>
                          </w:rPr>
                          <w:t>653,382,503.22</w:t>
                        </w:r>
                      </w:p>
                    </w:tc>
                  </w:tr>
                  <w:tr>
                    <w:trPr>
                      <w:trHeight w:val="397"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专业服务收入</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6"/>
                          <w:jc w:val="right"/>
                          <w:rPr>
                            <w:rFonts w:ascii="宋体" w:hAnsi="宋体" w:cs="宋体" w:eastAsia="宋体" w:hint="default"/>
                            <w:sz w:val="18"/>
                            <w:szCs w:val="18"/>
                          </w:rPr>
                        </w:pPr>
                        <w:r>
                          <w:rPr>
                            <w:rFonts w:ascii="宋体"/>
                            <w:sz w:val="18"/>
                          </w:rPr>
                          <w:t>1,146,379,606.33</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0"/>
                          <w:jc w:val="right"/>
                          <w:rPr>
                            <w:rFonts w:ascii="宋体" w:hAnsi="宋体" w:cs="宋体" w:eastAsia="宋体" w:hint="default"/>
                            <w:sz w:val="18"/>
                            <w:szCs w:val="18"/>
                          </w:rPr>
                        </w:pPr>
                        <w:r>
                          <w:rPr>
                            <w:rFonts w:ascii="宋体"/>
                            <w:sz w:val="18"/>
                          </w:rPr>
                          <w:t>792,878,424.54</w:t>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1"/>
                          <w:jc w:val="right"/>
                          <w:rPr>
                            <w:rFonts w:ascii="宋体" w:hAnsi="宋体" w:cs="宋体" w:eastAsia="宋体" w:hint="default"/>
                            <w:sz w:val="18"/>
                            <w:szCs w:val="18"/>
                          </w:rPr>
                        </w:pPr>
                        <w:r>
                          <w:rPr>
                            <w:rFonts w:ascii="宋体"/>
                            <w:sz w:val="18"/>
                          </w:rPr>
                          <w:t>1,309,247,384.17</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8"/>
                            <w:szCs w:val="18"/>
                          </w:rPr>
                        </w:pPr>
                        <w:r>
                          <w:rPr>
                            <w:rFonts w:ascii="宋体"/>
                            <w:sz w:val="18"/>
                          </w:rPr>
                          <w:t>909,746,220.43</w:t>
                        </w:r>
                      </w:p>
                    </w:tc>
                  </w:tr>
                  <w:tr>
                    <w:trPr>
                      <w:trHeight w:val="402" w:hRule="exact"/>
                    </w:trPr>
                    <w:tc>
                      <w:tcPr>
                        <w:tcW w:w="2554"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金融服务类收入</w:t>
                        </w:r>
                      </w:p>
                    </w:tc>
                    <w:tc>
                      <w:tcPr>
                        <w:tcW w:w="180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46"/>
                          <w:jc w:val="right"/>
                          <w:rPr>
                            <w:rFonts w:ascii="宋体" w:hAnsi="宋体" w:cs="宋体" w:eastAsia="宋体" w:hint="default"/>
                            <w:sz w:val="18"/>
                            <w:szCs w:val="18"/>
                          </w:rPr>
                        </w:pPr>
                        <w:r>
                          <w:rPr>
                            <w:rFonts w:ascii="宋体"/>
                            <w:sz w:val="18"/>
                          </w:rPr>
                          <w:t>113,082,268.79</w:t>
                        </w:r>
                      </w:p>
                    </w:tc>
                    <w:tc>
                      <w:tcPr>
                        <w:tcW w:w="171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10"/>
                          <w:jc w:val="right"/>
                          <w:rPr>
                            <w:rFonts w:ascii="宋体" w:hAnsi="宋体" w:cs="宋体" w:eastAsia="宋体" w:hint="default"/>
                            <w:sz w:val="18"/>
                            <w:szCs w:val="18"/>
                          </w:rPr>
                        </w:pPr>
                        <w:r>
                          <w:rPr>
                            <w:rFonts w:ascii="宋体"/>
                            <w:sz w:val="18"/>
                          </w:rPr>
                          <w:t>62,463,990.79</w:t>
                        </w:r>
                      </w:p>
                    </w:tc>
                    <w:tc>
                      <w:tcPr>
                        <w:tcW w:w="169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31"/>
                          <w:jc w:val="right"/>
                          <w:rPr>
                            <w:rFonts w:ascii="宋体" w:hAnsi="宋体" w:cs="宋体" w:eastAsia="宋体" w:hint="default"/>
                            <w:sz w:val="18"/>
                            <w:szCs w:val="18"/>
                          </w:rPr>
                        </w:pPr>
                        <w:r>
                          <w:rPr>
                            <w:rFonts w:ascii="宋体"/>
                            <w:sz w:val="18"/>
                          </w:rPr>
                          <w:t>27,946,246.28</w:t>
                        </w:r>
                      </w:p>
                    </w:tc>
                    <w:tc>
                      <w:tcPr>
                        <w:tcW w:w="158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
                          <w:jc w:val="right"/>
                          <w:rPr>
                            <w:rFonts w:ascii="宋体" w:hAnsi="宋体" w:cs="宋体" w:eastAsia="宋体" w:hint="default"/>
                            <w:sz w:val="18"/>
                            <w:szCs w:val="18"/>
                          </w:rPr>
                        </w:pPr>
                        <w:r>
                          <w:rPr>
                            <w:rFonts w:ascii="宋体"/>
                            <w:sz w:val="18"/>
                          </w:rPr>
                          <w:t>10,942,708.04</w:t>
                        </w:r>
                      </w:p>
                    </w:tc>
                  </w:tr>
                  <w:tr>
                    <w:trPr>
                      <w:trHeight w:val="388" w:hRule="exact"/>
                    </w:trPr>
                    <w:tc>
                      <w:tcPr>
                        <w:tcW w:w="2554"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left="10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01"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147"/>
                          <w:jc w:val="right"/>
                          <w:rPr>
                            <w:rFonts w:ascii="宋体" w:hAnsi="宋体" w:cs="宋体" w:eastAsia="宋体" w:hint="default"/>
                            <w:sz w:val="18"/>
                            <w:szCs w:val="18"/>
                          </w:rPr>
                        </w:pPr>
                        <w:r>
                          <w:rPr>
                            <w:rFonts w:ascii="宋体"/>
                            <w:b/>
                            <w:w w:val="95"/>
                            <w:sz w:val="18"/>
                          </w:rPr>
                          <w:t>4,266,047,522.84</w:t>
                        </w:r>
                        <w:r>
                          <w:rPr>
                            <w:rFonts w:ascii="宋体"/>
                            <w:sz w:val="18"/>
                          </w:rPr>
                        </w:r>
                      </w:p>
                    </w:tc>
                    <w:tc>
                      <w:tcPr>
                        <w:tcW w:w="1713"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113"/>
                          <w:jc w:val="right"/>
                          <w:rPr>
                            <w:rFonts w:ascii="宋体" w:hAnsi="宋体" w:cs="宋体" w:eastAsia="宋体" w:hint="default"/>
                            <w:sz w:val="18"/>
                            <w:szCs w:val="18"/>
                          </w:rPr>
                        </w:pPr>
                        <w:r>
                          <w:rPr>
                            <w:rFonts w:ascii="宋体"/>
                            <w:b/>
                            <w:w w:val="95"/>
                            <w:sz w:val="18"/>
                          </w:rPr>
                          <w:t>3,473,886,065.23</w:t>
                        </w:r>
                        <w:r>
                          <w:rPr>
                            <w:rFonts w:ascii="宋体"/>
                            <w:sz w:val="18"/>
                          </w:rPr>
                        </w:r>
                      </w:p>
                    </w:tc>
                    <w:tc>
                      <w:tcPr>
                        <w:tcW w:w="1698"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132"/>
                          <w:jc w:val="right"/>
                          <w:rPr>
                            <w:rFonts w:ascii="宋体" w:hAnsi="宋体" w:cs="宋体" w:eastAsia="宋体" w:hint="default"/>
                            <w:sz w:val="18"/>
                            <w:szCs w:val="18"/>
                          </w:rPr>
                        </w:pPr>
                        <w:r>
                          <w:rPr>
                            <w:rFonts w:ascii="宋体"/>
                            <w:b/>
                            <w:w w:val="95"/>
                            <w:sz w:val="18"/>
                          </w:rPr>
                          <w:t>4,805,403,647.24</w:t>
                        </w:r>
                        <w:r>
                          <w:rPr>
                            <w:rFonts w:ascii="宋体"/>
                            <w:sz w:val="18"/>
                          </w:rPr>
                        </w:r>
                      </w:p>
                    </w:tc>
                    <w:tc>
                      <w:tcPr>
                        <w:tcW w:w="1589"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1"/>
                          <w:jc w:val="right"/>
                          <w:rPr>
                            <w:rFonts w:ascii="宋体" w:hAnsi="宋体" w:cs="宋体" w:eastAsia="宋体" w:hint="default"/>
                            <w:sz w:val="18"/>
                            <w:szCs w:val="18"/>
                          </w:rPr>
                        </w:pPr>
                        <w:r>
                          <w:rPr>
                            <w:rFonts w:ascii="宋体"/>
                            <w:b/>
                            <w:w w:val="95"/>
                            <w:sz w:val="18"/>
                          </w:rPr>
                          <w:t>4,047,937,830.72</w:t>
                        </w:r>
                        <w:r>
                          <w:rPr>
                            <w:rFonts w:ascii="宋体"/>
                            <w:sz w:val="18"/>
                          </w:rPr>
                        </w:r>
                      </w:p>
                    </w:tc>
                  </w:tr>
                </w:tbl>
                <w:p>
                  <w:pPr/>
                </w:p>
              </w:txbxContent>
            </v:textbox>
            <w10:wrap type="none"/>
          </v:shape>
        </w:pict>
      </w:r>
      <w:r>
        <w:rPr>
          <w:rFonts w:ascii="宋体"/>
          <w:sz w:val="18"/>
        </w:rPr>
        <w:t>2,357,540,829.21</w:t>
        <w:tab/>
        <w:t>2,148,731,307.89</w:t>
        <w:tab/>
        <w:t>2,622,626,949.17</w:t>
        <w:tab/>
        <w:t>2,473,866,399.03</w:t>
      </w:r>
    </w:p>
    <w:p>
      <w:pPr>
        <w:spacing w:after="0"/>
        <w:jc w:val="left"/>
        <w:rPr>
          <w:rFonts w:ascii="宋体" w:hAnsi="宋体" w:cs="宋体" w:eastAsia="宋体" w:hint="default"/>
          <w:sz w:val="18"/>
          <w:szCs w:val="18"/>
        </w:rPr>
        <w:sectPr>
          <w:type w:val="continuous"/>
          <w:pgSz w:w="11910" w:h="16840"/>
          <w:pgMar w:top="1080" w:bottom="1380" w:left="1520" w:right="780"/>
          <w:cols w:num="2" w:equalWidth="0">
            <w:col w:w="2455" w:space="63"/>
            <w:col w:w="7092"/>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69.5pt;height:1pt;mso-position-horizontal-relative:char;mso-position-vertical-relative:line" coordorigin="0,0" coordsize="9390,20">
            <v:group style="position:absolute;left:10;top:10;width:2476;height:2" coordorigin="10,10" coordsize="2476,2">
              <v:shape style="position:absolute;left:10;top:10;width:2476;height:2" coordorigin="10,10" coordsize="2476,0" path="m10,10l2485,10e" filled="false" stroked="true" strokeweight=".95999pt" strokecolor="#000000">
                <v:path arrowok="t"/>
              </v:shape>
            </v:group>
            <v:group style="position:absolute;left:2471;top:10;width:20;height:2" coordorigin="2471,10" coordsize="20,2">
              <v:shape style="position:absolute;left:2471;top:10;width:20;height:2" coordorigin="2471,10" coordsize="20,0" path="m2471,10l2490,10e" filled="false" stroked="true" strokeweight=".95999pt" strokecolor="#000000">
                <v:path arrowok="t"/>
              </v:shape>
            </v:group>
            <v:group style="position:absolute;left:2490;top:10;width:1746;height:2" coordorigin="2490,10" coordsize="1746,2">
              <v:shape style="position:absolute;left:2490;top:10;width:1746;height:2" coordorigin="2490,10" coordsize="1746,0" path="m2490,10l4235,10e" filled="false" stroked="true" strokeweight=".95999pt" strokecolor="#000000">
                <v:path arrowok="t"/>
              </v:shape>
            </v:group>
            <v:group style="position:absolute;left:4221;top:10;width:20;height:2" coordorigin="4221,10" coordsize="20,2">
              <v:shape style="position:absolute;left:4221;top:10;width:20;height:2" coordorigin="4221,10" coordsize="20,0" path="m4221,10l4240,10e" filled="false" stroked="true" strokeweight=".95999pt" strokecolor="#000000">
                <v:path arrowok="t"/>
              </v:shape>
            </v:group>
            <v:group style="position:absolute;left:4240;top:10;width:1744;height:2" coordorigin="4240,10" coordsize="1744,2">
              <v:shape style="position:absolute;left:4240;top:10;width:1744;height:2" coordorigin="4240,10" coordsize="1744,0" path="m4240,10l5984,10e" filled="false" stroked="true" strokeweight=".95999pt" strokecolor="#000000">
                <v:path arrowok="t"/>
              </v:shape>
            </v:group>
            <v:group style="position:absolute;left:5969;top:10;width:20;height:2" coordorigin="5969,10" coordsize="20,2">
              <v:shape style="position:absolute;left:5969;top:10;width:20;height:2" coordorigin="5969,10" coordsize="20,0" path="m5969,10l5988,10e" filled="false" stroked="true" strokeweight=".95999pt" strokecolor="#000000">
                <v:path arrowok="t"/>
              </v:shape>
            </v:group>
            <v:group style="position:absolute;left:5988;top:10;width:1674;height:2" coordorigin="5988,10" coordsize="1674,2">
              <v:shape style="position:absolute;left:5988;top:10;width:1674;height:2" coordorigin="5988,10" coordsize="1674,0" path="m5988,10l7662,10e" filled="false" stroked="true" strokeweight=".95999pt" strokecolor="#000000">
                <v:path arrowok="t"/>
              </v:shape>
            </v:group>
            <v:group style="position:absolute;left:7647;top:10;width:20;height:2" coordorigin="7647,10" coordsize="20,2">
              <v:shape style="position:absolute;left:7647;top:10;width:20;height:2" coordorigin="7647,10" coordsize="20,0" path="m7647,10l7666,10e" filled="false" stroked="true" strokeweight=".95999pt" strokecolor="#000000">
                <v:path arrowok="t"/>
              </v:shape>
            </v:group>
            <v:group style="position:absolute;left:7666;top:10;width:1714;height:2" coordorigin="7666,10" coordsize="1714,2">
              <v:shape style="position:absolute;left:7666;top:10;width:1714;height:2" coordorigin="7666,10" coordsize="1714,0" path="m7666,10l9380,10e" filled="false" stroked="true" strokeweight=".95999pt" strokecolor="#000000">
                <v:path arrowok="t"/>
              </v:shape>
            </v:group>
          </v:group>
        </w:pict>
      </w:r>
      <w:r>
        <w:rPr>
          <w:rFonts w:ascii="宋体" w:hAnsi="宋体" w:cs="宋体" w:eastAsia="宋体" w:hint="default"/>
          <w:sz w:val="2"/>
          <w:szCs w:val="2"/>
        </w:rPr>
      </w:r>
    </w:p>
    <w:p>
      <w:pPr>
        <w:pStyle w:val="BodyText"/>
        <w:spacing w:line="240" w:lineRule="auto" w:before="80"/>
        <w:ind w:left="278" w:right="548"/>
        <w:jc w:val="left"/>
      </w:pPr>
      <w:r>
        <w:rPr/>
        <w:t>（</w:t>
      </w:r>
      <w:r>
        <w:rPr>
          <w:rFonts w:ascii="宋体" w:hAnsi="宋体" w:cs="宋体" w:eastAsia="宋体" w:hint="default"/>
        </w:rPr>
        <w:t>2</w:t>
      </w:r>
      <w:r>
        <w:rPr/>
        <w:t>）主营业务（分地区）</w:t>
      </w:r>
    </w:p>
    <w:p>
      <w:pPr>
        <w:spacing w:line="240" w:lineRule="auto" w:before="12"/>
        <w:rPr>
          <w:rFonts w:ascii="宋体" w:hAnsi="宋体" w:cs="宋体" w:eastAsia="宋体" w:hint="default"/>
          <w:sz w:val="11"/>
          <w:szCs w:val="11"/>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468.8pt;height:1pt;mso-position-horizontal-relative:char;mso-position-vertical-relative:line" coordorigin="0,0" coordsize="9376,20">
            <v:group style="position:absolute;left:10;top:10;width:2552;height:2" coordorigin="10,10" coordsize="2552,2">
              <v:shape style="position:absolute;left:10;top:10;width:2552;height:2" coordorigin="10,10" coordsize="2552,0" path="m10,10l2561,10e" filled="false" stroked="true" strokeweight=".95999pt" strokecolor="#000000">
                <v:path arrowok="t"/>
              </v:shape>
            </v:group>
            <v:group style="position:absolute;left:2561;top:10;width:20;height:2" coordorigin="2561,10" coordsize="20,2">
              <v:shape style="position:absolute;left:2561;top:10;width:20;height:2" coordorigin="2561,10" coordsize="20,0" path="m2561,10l2580,10e" filled="false" stroked="true" strokeweight=".95999pt" strokecolor="#000000">
                <v:path arrowok="t"/>
              </v:shape>
            </v:group>
            <v:group style="position:absolute;left:2580;top:10;width:3384;height:2" coordorigin="2580,10" coordsize="3384,2">
              <v:shape style="position:absolute;left:2580;top:10;width:3384;height:2" coordorigin="2580,10" coordsize="3384,0" path="m2580,10l5963,10e" filled="false" stroked="true" strokeweight=".95999pt" strokecolor="#000000">
                <v:path arrowok="t"/>
              </v:shape>
            </v:group>
            <v:group style="position:absolute;left:5963;top:10;width:20;height:2" coordorigin="5963,10" coordsize="20,2">
              <v:shape style="position:absolute;left:5963;top:10;width:20;height:2" coordorigin="5963,10" coordsize="20,0" path="m5963,10l5982,10e" filled="false" stroked="true" strokeweight=".95999pt" strokecolor="#000000">
                <v:path arrowok="t"/>
              </v:shape>
            </v:group>
            <v:group style="position:absolute;left:5982;top:10;width:3384;height:2" coordorigin="5982,10" coordsize="3384,2">
              <v:shape style="position:absolute;left:5982;top:10;width:3384;height:2" coordorigin="5982,10" coordsize="3384,0" path="m5982,10l9366,10e" filled="false" stroked="true" strokeweight=".95999pt" strokecolor="#000000">
                <v:path arrowok="t"/>
              </v:shape>
            </v:group>
          </v:group>
        </w:pict>
      </w:r>
      <w:r>
        <w:rPr>
          <w:rFonts w:ascii="宋体" w:hAnsi="宋体" w:cs="宋体" w:eastAsia="宋体" w:hint="default"/>
          <w:sz w:val="2"/>
          <w:szCs w:val="2"/>
        </w:rPr>
      </w:r>
    </w:p>
    <w:p>
      <w:pPr>
        <w:tabs>
          <w:tab w:pos="7392" w:val="left" w:leader="none"/>
        </w:tabs>
        <w:spacing w:before="42"/>
        <w:ind w:left="3990" w:right="548" w:firstLine="0"/>
        <w:jc w:val="left"/>
        <w:rPr>
          <w:rFonts w:ascii="宋体" w:hAnsi="宋体" w:cs="宋体" w:eastAsia="宋体" w:hint="default"/>
          <w:sz w:val="18"/>
          <w:szCs w:val="18"/>
        </w:rPr>
      </w:pPr>
      <w:r>
        <w:rPr>
          <w:rFonts w:ascii="宋体" w:hAnsi="宋体" w:cs="宋体" w:eastAsia="宋体" w:hint="default"/>
          <w:b/>
          <w:bCs/>
          <w:w w:val="95"/>
          <w:sz w:val="18"/>
          <w:szCs w:val="18"/>
        </w:rPr>
        <w:t>本期发生额</w:t>
        <w:tab/>
      </w:r>
      <w:r>
        <w:rPr>
          <w:rFonts w:ascii="宋体" w:hAnsi="宋体" w:cs="宋体" w:eastAsia="宋体" w:hint="default"/>
          <w:b/>
          <w:bCs/>
          <w:sz w:val="18"/>
          <w:szCs w:val="18"/>
        </w:rPr>
        <w:t>上期发生额</w:t>
      </w:r>
      <w:r>
        <w:rPr>
          <w:rFonts w:ascii="宋体" w:hAnsi="宋体" w:cs="宋体" w:eastAsia="宋体" w:hint="default"/>
          <w:sz w:val="18"/>
          <w:szCs w:val="18"/>
        </w:rPr>
      </w:r>
    </w:p>
    <w:tbl>
      <w:tblPr>
        <w:tblW w:w="0" w:type="auto"/>
        <w:jc w:val="left"/>
        <w:tblInd w:w="136" w:type="dxa"/>
        <w:tblLayout w:type="fixed"/>
        <w:tblCellMar>
          <w:top w:w="0" w:type="dxa"/>
          <w:left w:w="0" w:type="dxa"/>
          <w:bottom w:w="0" w:type="dxa"/>
          <w:right w:w="0" w:type="dxa"/>
        </w:tblCellMar>
        <w:tblLook w:val="01E0"/>
      </w:tblPr>
      <w:tblGrid>
        <w:gridCol w:w="2262"/>
        <w:gridCol w:w="2112"/>
        <w:gridCol w:w="1701"/>
        <w:gridCol w:w="1701"/>
        <w:gridCol w:w="1580"/>
      </w:tblGrid>
      <w:tr>
        <w:trPr>
          <w:trHeight w:val="483" w:hRule="exact"/>
        </w:trPr>
        <w:tc>
          <w:tcPr>
            <w:tcW w:w="2262" w:type="dxa"/>
            <w:tcBorders>
              <w:top w:val="nil" w:sz="6" w:space="0" w:color="auto"/>
              <w:left w:val="nil" w:sz="6" w:space="0" w:color="auto"/>
              <w:bottom w:val="single" w:sz="4" w:space="0" w:color="000000"/>
              <w:right w:val="nil" w:sz="6" w:space="0" w:color="auto"/>
            </w:tcBorders>
          </w:tcPr>
          <w:p>
            <w:pPr>
              <w:pStyle w:val="TableParagraph"/>
              <w:spacing w:line="180" w:lineRule="exact"/>
              <w:ind w:left="106" w:right="0"/>
              <w:jc w:val="left"/>
              <w:rPr>
                <w:rFonts w:ascii="宋体" w:hAnsi="宋体" w:cs="宋体" w:eastAsia="宋体" w:hint="default"/>
                <w:sz w:val="18"/>
                <w:szCs w:val="18"/>
              </w:rPr>
            </w:pPr>
            <w:r>
              <w:rPr>
                <w:rFonts w:ascii="宋体" w:hAnsi="宋体" w:cs="宋体" w:eastAsia="宋体" w:hint="default"/>
                <w:b/>
                <w:bCs/>
                <w:sz w:val="18"/>
                <w:szCs w:val="18"/>
              </w:rPr>
              <w:t>地区名称</w:t>
            </w:r>
            <w:r>
              <w:rPr>
                <w:rFonts w:ascii="宋体" w:hAnsi="宋体" w:cs="宋体" w:eastAsia="宋体" w:hint="default"/>
                <w:sz w:val="18"/>
                <w:szCs w:val="18"/>
              </w:rPr>
            </w:r>
          </w:p>
        </w:tc>
        <w:tc>
          <w:tcPr>
            <w:tcW w:w="2112" w:type="dxa"/>
            <w:tcBorders>
              <w:top w:val="nil" w:sz="6" w:space="0" w:color="auto"/>
              <w:left w:val="nil" w:sz="6" w:space="0" w:color="auto"/>
              <w:bottom w:val="single" w:sz="4" w:space="0" w:color="000000"/>
              <w:right w:val="nil" w:sz="6" w:space="0" w:color="auto"/>
            </w:tcBorders>
          </w:tcPr>
          <w:p>
            <w:pPr>
              <w:pStyle w:val="TableParagraph"/>
              <w:spacing w:line="240" w:lineRule="auto" w:before="133"/>
              <w:ind w:right="122"/>
              <w:jc w:val="right"/>
              <w:rPr>
                <w:rFonts w:ascii="宋体" w:hAnsi="宋体" w:cs="宋体" w:eastAsia="宋体" w:hint="default"/>
                <w:sz w:val="18"/>
                <w:szCs w:val="18"/>
              </w:rPr>
            </w:pPr>
            <w:r>
              <w:rPr>
                <w:rFonts w:ascii="宋体" w:hAnsi="宋体" w:cs="宋体" w:eastAsia="宋体" w:hint="default"/>
                <w:b/>
                <w:bCs/>
                <w:w w:val="95"/>
                <w:sz w:val="18"/>
                <w:szCs w:val="18"/>
              </w:rPr>
              <w:t>营业收入</w:t>
            </w:r>
            <w:r>
              <w:rPr>
                <w:rFonts w:ascii="宋体" w:hAnsi="宋体" w:cs="宋体" w:eastAsia="宋体" w:hint="default"/>
                <w:sz w:val="18"/>
                <w:szCs w:val="18"/>
              </w:rPr>
            </w:r>
          </w:p>
        </w:tc>
        <w:tc>
          <w:tcPr>
            <w:tcW w:w="1701" w:type="dxa"/>
            <w:tcBorders>
              <w:top w:val="nil" w:sz="6" w:space="0" w:color="auto"/>
              <w:left w:val="nil" w:sz="6" w:space="0" w:color="auto"/>
              <w:bottom w:val="single" w:sz="4" w:space="0" w:color="000000"/>
              <w:right w:val="nil" w:sz="6" w:space="0" w:color="auto"/>
            </w:tcBorders>
          </w:tcPr>
          <w:p>
            <w:pPr>
              <w:pStyle w:val="TableParagraph"/>
              <w:spacing w:line="240" w:lineRule="auto" w:before="133"/>
              <w:ind w:right="123"/>
              <w:jc w:val="right"/>
              <w:rPr>
                <w:rFonts w:ascii="宋体" w:hAnsi="宋体" w:cs="宋体" w:eastAsia="宋体" w:hint="default"/>
                <w:sz w:val="18"/>
                <w:szCs w:val="18"/>
              </w:rPr>
            </w:pPr>
            <w:r>
              <w:rPr>
                <w:rFonts w:ascii="宋体" w:hAnsi="宋体" w:cs="宋体" w:eastAsia="宋体" w:hint="default"/>
                <w:b/>
                <w:bCs/>
                <w:w w:val="95"/>
                <w:sz w:val="18"/>
                <w:szCs w:val="18"/>
              </w:rPr>
              <w:t>营业成本</w:t>
            </w:r>
            <w:r>
              <w:rPr>
                <w:rFonts w:ascii="宋体" w:hAnsi="宋体" w:cs="宋体" w:eastAsia="宋体" w:hint="default"/>
                <w:sz w:val="18"/>
                <w:szCs w:val="18"/>
              </w:rPr>
            </w:r>
          </w:p>
        </w:tc>
        <w:tc>
          <w:tcPr>
            <w:tcW w:w="1701" w:type="dxa"/>
            <w:tcBorders>
              <w:top w:val="nil" w:sz="6" w:space="0" w:color="auto"/>
              <w:left w:val="nil" w:sz="6" w:space="0" w:color="auto"/>
              <w:bottom w:val="single" w:sz="4" w:space="0" w:color="000000"/>
              <w:right w:val="nil" w:sz="6" w:space="0" w:color="auto"/>
            </w:tcBorders>
          </w:tcPr>
          <w:p>
            <w:pPr>
              <w:pStyle w:val="TableParagraph"/>
              <w:spacing w:line="240" w:lineRule="auto" w:before="133"/>
              <w:ind w:right="122"/>
              <w:jc w:val="right"/>
              <w:rPr>
                <w:rFonts w:ascii="宋体" w:hAnsi="宋体" w:cs="宋体" w:eastAsia="宋体" w:hint="default"/>
                <w:sz w:val="18"/>
                <w:szCs w:val="18"/>
              </w:rPr>
            </w:pPr>
            <w:r>
              <w:rPr>
                <w:rFonts w:ascii="宋体" w:hAnsi="宋体" w:cs="宋体" w:eastAsia="宋体" w:hint="default"/>
                <w:b/>
                <w:bCs/>
                <w:w w:val="95"/>
                <w:sz w:val="18"/>
                <w:szCs w:val="18"/>
              </w:rPr>
              <w:t>营业收入</w:t>
            </w:r>
            <w:r>
              <w:rPr>
                <w:rFonts w:ascii="宋体" w:hAnsi="宋体" w:cs="宋体" w:eastAsia="宋体" w:hint="default"/>
                <w:sz w:val="18"/>
                <w:szCs w:val="18"/>
              </w:rPr>
            </w:r>
          </w:p>
        </w:tc>
        <w:tc>
          <w:tcPr>
            <w:tcW w:w="1580" w:type="dxa"/>
            <w:tcBorders>
              <w:top w:val="nil" w:sz="6" w:space="0" w:color="auto"/>
              <w:left w:val="nil" w:sz="6" w:space="0" w:color="auto"/>
              <w:bottom w:val="single" w:sz="4" w:space="0" w:color="000000"/>
              <w:right w:val="nil" w:sz="6" w:space="0" w:color="auto"/>
            </w:tcBorders>
          </w:tcPr>
          <w:p>
            <w:pPr>
              <w:pStyle w:val="TableParagraph"/>
              <w:spacing w:line="240" w:lineRule="auto" w:before="133"/>
              <w:ind w:right="1"/>
              <w:jc w:val="right"/>
              <w:rPr>
                <w:rFonts w:ascii="宋体" w:hAnsi="宋体" w:cs="宋体" w:eastAsia="宋体" w:hint="default"/>
                <w:sz w:val="18"/>
                <w:szCs w:val="18"/>
              </w:rPr>
            </w:pPr>
            <w:r>
              <w:rPr>
                <w:rFonts w:ascii="宋体" w:hAnsi="宋体" w:cs="宋体" w:eastAsia="宋体" w:hint="default"/>
                <w:b/>
                <w:bCs/>
                <w:w w:val="95"/>
                <w:sz w:val="18"/>
                <w:szCs w:val="18"/>
              </w:rPr>
              <w:t>营业成本</w:t>
            </w:r>
            <w:r>
              <w:rPr>
                <w:rFonts w:ascii="宋体" w:hAnsi="宋体" w:cs="宋体" w:eastAsia="宋体" w:hint="default"/>
                <w:sz w:val="18"/>
                <w:szCs w:val="18"/>
              </w:rPr>
            </w:r>
          </w:p>
        </w:tc>
      </w:tr>
      <w:tr>
        <w:trPr>
          <w:trHeight w:val="393" w:hRule="exact"/>
        </w:trPr>
        <w:tc>
          <w:tcPr>
            <w:tcW w:w="2262"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06" w:right="0"/>
              <w:jc w:val="left"/>
              <w:rPr>
                <w:rFonts w:ascii="宋体" w:hAnsi="宋体" w:cs="宋体" w:eastAsia="宋体" w:hint="default"/>
                <w:sz w:val="18"/>
                <w:szCs w:val="18"/>
              </w:rPr>
            </w:pPr>
            <w:r>
              <w:rPr>
                <w:rFonts w:ascii="宋体" w:hAnsi="宋体" w:cs="宋体" w:eastAsia="宋体" w:hint="default"/>
                <w:sz w:val="18"/>
                <w:szCs w:val="18"/>
              </w:rPr>
              <w:t>北方区</w:t>
            </w:r>
          </w:p>
        </w:tc>
        <w:tc>
          <w:tcPr>
            <w:tcW w:w="2112"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22"/>
              <w:jc w:val="right"/>
              <w:rPr>
                <w:rFonts w:ascii="宋体" w:hAnsi="宋体" w:cs="宋体" w:eastAsia="宋体" w:hint="default"/>
                <w:sz w:val="18"/>
                <w:szCs w:val="18"/>
              </w:rPr>
            </w:pPr>
            <w:r>
              <w:rPr>
                <w:rFonts w:ascii="宋体"/>
                <w:sz w:val="18"/>
              </w:rPr>
              <w:t>2,111,564,390.41</w:t>
            </w:r>
          </w:p>
        </w:tc>
        <w:tc>
          <w:tcPr>
            <w:tcW w:w="170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22"/>
              <w:jc w:val="right"/>
              <w:rPr>
                <w:rFonts w:ascii="宋体" w:hAnsi="宋体" w:cs="宋体" w:eastAsia="宋体" w:hint="default"/>
                <w:sz w:val="18"/>
                <w:szCs w:val="18"/>
              </w:rPr>
            </w:pPr>
            <w:r>
              <w:rPr>
                <w:rFonts w:ascii="宋体"/>
                <w:sz w:val="18"/>
              </w:rPr>
              <w:t>1,680,182,579.13</w:t>
            </w:r>
          </w:p>
        </w:tc>
        <w:tc>
          <w:tcPr>
            <w:tcW w:w="170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22"/>
              <w:jc w:val="right"/>
              <w:rPr>
                <w:rFonts w:ascii="宋体" w:hAnsi="宋体" w:cs="宋体" w:eastAsia="宋体" w:hint="default"/>
                <w:sz w:val="18"/>
                <w:szCs w:val="18"/>
              </w:rPr>
            </w:pPr>
            <w:r>
              <w:rPr>
                <w:rFonts w:ascii="宋体"/>
                <w:sz w:val="18"/>
              </w:rPr>
              <w:t>2,519,596,754.38</w:t>
            </w:r>
          </w:p>
        </w:tc>
        <w:tc>
          <w:tcPr>
            <w:tcW w:w="1580"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
              <w:jc w:val="right"/>
              <w:rPr>
                <w:rFonts w:ascii="宋体" w:hAnsi="宋体" w:cs="宋体" w:eastAsia="宋体" w:hint="default"/>
                <w:sz w:val="18"/>
                <w:szCs w:val="18"/>
              </w:rPr>
            </w:pPr>
            <w:r>
              <w:rPr>
                <w:rFonts w:ascii="宋体"/>
                <w:sz w:val="18"/>
              </w:rPr>
              <w:t>2,122,888,749.41</w:t>
            </w:r>
          </w:p>
        </w:tc>
      </w:tr>
      <w:tr>
        <w:trPr>
          <w:trHeight w:val="395" w:hRule="exact"/>
        </w:trPr>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6"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211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2"/>
              <w:jc w:val="right"/>
              <w:rPr>
                <w:rFonts w:ascii="宋体" w:hAnsi="宋体" w:cs="宋体" w:eastAsia="宋体" w:hint="default"/>
                <w:sz w:val="18"/>
                <w:szCs w:val="18"/>
              </w:rPr>
            </w:pPr>
            <w:r>
              <w:rPr>
                <w:rFonts w:ascii="宋体"/>
                <w:sz w:val="18"/>
              </w:rPr>
              <w:t>251,450,615.36</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2"/>
              <w:jc w:val="right"/>
              <w:rPr>
                <w:rFonts w:ascii="宋体" w:hAnsi="宋体" w:cs="宋体" w:eastAsia="宋体" w:hint="default"/>
                <w:sz w:val="18"/>
                <w:szCs w:val="18"/>
              </w:rPr>
            </w:pPr>
            <w:r>
              <w:rPr>
                <w:rFonts w:ascii="宋体"/>
                <w:sz w:val="18"/>
              </w:rPr>
              <w:t>171,468,646.05</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2"/>
              <w:jc w:val="right"/>
              <w:rPr>
                <w:rFonts w:ascii="宋体" w:hAnsi="宋体" w:cs="宋体" w:eastAsia="宋体" w:hint="default"/>
                <w:sz w:val="18"/>
                <w:szCs w:val="18"/>
              </w:rPr>
            </w:pPr>
            <w:r>
              <w:rPr>
                <w:rFonts w:ascii="宋体"/>
                <w:sz w:val="18"/>
              </w:rPr>
              <w:t>174,040,397.57</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
              <w:jc w:val="right"/>
              <w:rPr>
                <w:rFonts w:ascii="宋体" w:hAnsi="宋体" w:cs="宋体" w:eastAsia="宋体" w:hint="default"/>
                <w:sz w:val="18"/>
                <w:szCs w:val="18"/>
              </w:rPr>
            </w:pPr>
            <w:r>
              <w:rPr>
                <w:rFonts w:ascii="宋体"/>
                <w:sz w:val="18"/>
              </w:rPr>
              <w:t>129,803,615.74</w:t>
            </w:r>
          </w:p>
        </w:tc>
      </w:tr>
      <w:tr>
        <w:trPr>
          <w:trHeight w:val="397" w:hRule="exact"/>
        </w:trPr>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211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2"/>
              <w:jc w:val="right"/>
              <w:rPr>
                <w:rFonts w:ascii="宋体" w:hAnsi="宋体" w:cs="宋体" w:eastAsia="宋体" w:hint="default"/>
                <w:sz w:val="18"/>
                <w:szCs w:val="18"/>
              </w:rPr>
            </w:pPr>
            <w:r>
              <w:rPr>
                <w:rFonts w:ascii="宋体"/>
                <w:sz w:val="18"/>
              </w:rPr>
              <w:t>223,163,238.64</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2"/>
              <w:jc w:val="right"/>
              <w:rPr>
                <w:rFonts w:ascii="宋体" w:hAnsi="宋体" w:cs="宋体" w:eastAsia="宋体" w:hint="default"/>
                <w:sz w:val="18"/>
                <w:szCs w:val="18"/>
              </w:rPr>
            </w:pPr>
            <w:r>
              <w:rPr>
                <w:rFonts w:ascii="宋体"/>
                <w:sz w:val="18"/>
              </w:rPr>
              <w:t>167,036,580.58</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2"/>
              <w:jc w:val="right"/>
              <w:rPr>
                <w:rFonts w:ascii="宋体" w:hAnsi="宋体" w:cs="宋体" w:eastAsia="宋体" w:hint="default"/>
                <w:sz w:val="18"/>
                <w:szCs w:val="18"/>
              </w:rPr>
            </w:pPr>
            <w:r>
              <w:rPr>
                <w:rFonts w:ascii="宋体"/>
                <w:sz w:val="18"/>
              </w:rPr>
              <w:t>359,390,088.36</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8"/>
                <w:szCs w:val="18"/>
              </w:rPr>
            </w:pPr>
            <w:r>
              <w:rPr>
                <w:rFonts w:ascii="宋体"/>
                <w:sz w:val="18"/>
              </w:rPr>
              <w:t>257,419,275.24</w:t>
            </w:r>
          </w:p>
        </w:tc>
      </w:tr>
      <w:tr>
        <w:trPr>
          <w:trHeight w:val="397" w:hRule="exact"/>
        </w:trPr>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西区</w:t>
            </w:r>
          </w:p>
        </w:tc>
        <w:tc>
          <w:tcPr>
            <w:tcW w:w="211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2"/>
              <w:jc w:val="right"/>
              <w:rPr>
                <w:rFonts w:ascii="宋体" w:hAnsi="宋体" w:cs="宋体" w:eastAsia="宋体" w:hint="default"/>
                <w:sz w:val="18"/>
                <w:szCs w:val="18"/>
              </w:rPr>
            </w:pPr>
            <w:r>
              <w:rPr>
                <w:rFonts w:ascii="宋体"/>
                <w:sz w:val="18"/>
              </w:rPr>
              <w:t>553,985,821.14</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2"/>
              <w:jc w:val="right"/>
              <w:rPr>
                <w:rFonts w:ascii="宋体" w:hAnsi="宋体" w:cs="宋体" w:eastAsia="宋体" w:hint="default"/>
                <w:sz w:val="18"/>
                <w:szCs w:val="18"/>
              </w:rPr>
            </w:pPr>
            <w:r>
              <w:rPr>
                <w:rFonts w:ascii="宋体"/>
                <w:sz w:val="18"/>
              </w:rPr>
              <w:t>442,308,312.34</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2"/>
              <w:jc w:val="right"/>
              <w:rPr>
                <w:rFonts w:ascii="宋体" w:hAnsi="宋体" w:cs="宋体" w:eastAsia="宋体" w:hint="default"/>
                <w:sz w:val="18"/>
                <w:szCs w:val="18"/>
              </w:rPr>
            </w:pPr>
            <w:r>
              <w:rPr>
                <w:rFonts w:ascii="宋体"/>
                <w:sz w:val="18"/>
              </w:rPr>
              <w:t>561,029,801.56</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8"/>
                <w:szCs w:val="18"/>
              </w:rPr>
            </w:pPr>
            <w:r>
              <w:rPr>
                <w:rFonts w:ascii="宋体"/>
                <w:sz w:val="18"/>
              </w:rPr>
              <w:t>458,224,478.69</w:t>
            </w:r>
          </w:p>
        </w:tc>
      </w:tr>
      <w:tr>
        <w:trPr>
          <w:trHeight w:val="403" w:hRule="exact"/>
        </w:trPr>
        <w:tc>
          <w:tcPr>
            <w:tcW w:w="2262"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106" w:right="0"/>
              <w:jc w:val="left"/>
              <w:rPr>
                <w:rFonts w:ascii="宋体" w:hAnsi="宋体" w:cs="宋体" w:eastAsia="宋体" w:hint="default"/>
                <w:sz w:val="18"/>
                <w:szCs w:val="18"/>
              </w:rPr>
            </w:pPr>
            <w:r>
              <w:rPr>
                <w:rFonts w:ascii="宋体" w:hAnsi="宋体" w:cs="宋体" w:eastAsia="宋体" w:hint="default"/>
                <w:sz w:val="18"/>
                <w:szCs w:val="18"/>
              </w:rPr>
              <w:t>港澳台及东南亚地区</w:t>
            </w:r>
          </w:p>
        </w:tc>
        <w:tc>
          <w:tcPr>
            <w:tcW w:w="2112"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22"/>
              <w:jc w:val="right"/>
              <w:rPr>
                <w:rFonts w:ascii="宋体" w:hAnsi="宋体" w:cs="宋体" w:eastAsia="宋体" w:hint="default"/>
                <w:sz w:val="18"/>
                <w:szCs w:val="18"/>
              </w:rPr>
            </w:pPr>
            <w:r>
              <w:rPr>
                <w:rFonts w:ascii="宋体"/>
                <w:sz w:val="18"/>
              </w:rPr>
              <w:t>1,125,883,457.29</w:t>
            </w:r>
          </w:p>
        </w:tc>
        <w:tc>
          <w:tcPr>
            <w:tcW w:w="1701"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22"/>
              <w:jc w:val="right"/>
              <w:rPr>
                <w:rFonts w:ascii="宋体" w:hAnsi="宋体" w:cs="宋体" w:eastAsia="宋体" w:hint="default"/>
                <w:sz w:val="18"/>
                <w:szCs w:val="18"/>
              </w:rPr>
            </w:pPr>
            <w:r>
              <w:rPr>
                <w:rFonts w:ascii="宋体"/>
                <w:sz w:val="18"/>
              </w:rPr>
              <w:t>1,012,889,947.13</w:t>
            </w:r>
          </w:p>
        </w:tc>
        <w:tc>
          <w:tcPr>
            <w:tcW w:w="1701"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22"/>
              <w:jc w:val="right"/>
              <w:rPr>
                <w:rFonts w:ascii="宋体" w:hAnsi="宋体" w:cs="宋体" w:eastAsia="宋体" w:hint="default"/>
                <w:sz w:val="18"/>
                <w:szCs w:val="18"/>
              </w:rPr>
            </w:pPr>
            <w:r>
              <w:rPr>
                <w:rFonts w:ascii="宋体"/>
                <w:sz w:val="18"/>
              </w:rPr>
              <w:t>1,191,346,605.37</w:t>
            </w:r>
          </w:p>
        </w:tc>
        <w:tc>
          <w:tcPr>
            <w:tcW w:w="1580"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
              <w:jc w:val="right"/>
              <w:rPr>
                <w:rFonts w:ascii="宋体" w:hAnsi="宋体" w:cs="宋体" w:eastAsia="宋体" w:hint="default"/>
                <w:sz w:val="18"/>
                <w:szCs w:val="18"/>
              </w:rPr>
            </w:pPr>
            <w:r>
              <w:rPr>
                <w:rFonts w:ascii="宋体"/>
                <w:sz w:val="18"/>
              </w:rPr>
              <w:t>1,079,601,711.64</w:t>
            </w:r>
          </w:p>
        </w:tc>
      </w:tr>
      <w:tr>
        <w:trPr>
          <w:trHeight w:val="387" w:hRule="exact"/>
        </w:trPr>
        <w:tc>
          <w:tcPr>
            <w:tcW w:w="2262"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0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12"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23"/>
              <w:jc w:val="right"/>
              <w:rPr>
                <w:rFonts w:ascii="宋体" w:hAnsi="宋体" w:cs="宋体" w:eastAsia="宋体" w:hint="default"/>
                <w:sz w:val="18"/>
                <w:szCs w:val="18"/>
              </w:rPr>
            </w:pPr>
            <w:r>
              <w:rPr>
                <w:rFonts w:ascii="宋体"/>
                <w:b/>
                <w:w w:val="95"/>
                <w:sz w:val="18"/>
              </w:rPr>
              <w:t>4,266,047,522.84</w:t>
            </w:r>
            <w:r>
              <w:rPr>
                <w:rFonts w:ascii="宋体"/>
                <w:sz w:val="18"/>
              </w:rPr>
            </w:r>
          </w:p>
        </w:tc>
        <w:tc>
          <w:tcPr>
            <w:tcW w:w="170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25"/>
              <w:jc w:val="right"/>
              <w:rPr>
                <w:rFonts w:ascii="宋体" w:hAnsi="宋体" w:cs="宋体" w:eastAsia="宋体" w:hint="default"/>
                <w:sz w:val="18"/>
                <w:szCs w:val="18"/>
              </w:rPr>
            </w:pPr>
            <w:r>
              <w:rPr>
                <w:rFonts w:ascii="宋体"/>
                <w:b/>
                <w:w w:val="95"/>
                <w:sz w:val="18"/>
              </w:rPr>
              <w:t>3,473,886,065.23</w:t>
            </w:r>
            <w:r>
              <w:rPr>
                <w:rFonts w:ascii="宋体"/>
                <w:sz w:val="18"/>
              </w:rPr>
            </w:r>
          </w:p>
        </w:tc>
        <w:tc>
          <w:tcPr>
            <w:tcW w:w="170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23"/>
              <w:jc w:val="right"/>
              <w:rPr>
                <w:rFonts w:ascii="宋体" w:hAnsi="宋体" w:cs="宋体" w:eastAsia="宋体" w:hint="default"/>
                <w:sz w:val="18"/>
                <w:szCs w:val="18"/>
              </w:rPr>
            </w:pPr>
            <w:r>
              <w:rPr>
                <w:rFonts w:ascii="宋体"/>
                <w:b/>
                <w:w w:val="95"/>
                <w:sz w:val="18"/>
              </w:rPr>
              <w:t>4,805,403,647.24</w:t>
            </w:r>
            <w:r>
              <w:rPr>
                <w:rFonts w:ascii="宋体"/>
                <w:sz w:val="18"/>
              </w:rPr>
            </w:r>
          </w:p>
        </w:tc>
        <w:tc>
          <w:tcPr>
            <w:tcW w:w="1580"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
              <w:jc w:val="right"/>
              <w:rPr>
                <w:rFonts w:ascii="宋体" w:hAnsi="宋体" w:cs="宋体" w:eastAsia="宋体" w:hint="default"/>
                <w:sz w:val="18"/>
                <w:szCs w:val="18"/>
              </w:rPr>
            </w:pPr>
            <w:r>
              <w:rPr>
                <w:rFonts w:ascii="宋体"/>
                <w:b/>
                <w:w w:val="95"/>
                <w:sz w:val="18"/>
              </w:rPr>
              <w:t>4,047,937,830.72</w:t>
            </w:r>
            <w:r>
              <w:rPr>
                <w:rFonts w:ascii="宋体"/>
                <w:sz w:val="18"/>
              </w:rPr>
            </w:r>
          </w:p>
        </w:tc>
      </w:tr>
    </w:tbl>
    <w:p>
      <w:pPr>
        <w:spacing w:line="240" w:lineRule="auto" w:before="0"/>
        <w:rPr>
          <w:rFonts w:ascii="宋体" w:hAnsi="宋体" w:cs="宋体" w:eastAsia="宋体" w:hint="default"/>
          <w:b/>
          <w:bCs/>
          <w:sz w:val="2"/>
          <w:szCs w:val="2"/>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69.5pt;height:1pt;mso-position-horizontal-relative:char;mso-position-vertical-relative:line" coordorigin="0,0" coordsize="9390,20">
            <v:group style="position:absolute;left:10;top:10;width:2566;height:2" coordorigin="10,10" coordsize="2566,2">
              <v:shape style="position:absolute;left:10;top:10;width:2566;height:2" coordorigin="10,10" coordsize="2566,0" path="m10,10l2575,10e" filled="false" stroked="true" strokeweight=".95996pt" strokecolor="#000000">
                <v:path arrowok="t"/>
              </v:shape>
            </v:group>
            <v:group style="position:absolute;left:2561;top:10;width:20;height:2" coordorigin="2561,10" coordsize="20,2">
              <v:shape style="position:absolute;left:2561;top:10;width:20;height:2" coordorigin="2561,10" coordsize="20,0" path="m2561,10l2580,10e" filled="false" stroked="true" strokeweight=".95996pt" strokecolor="#000000">
                <v:path arrowok="t"/>
              </v:shape>
            </v:group>
            <v:group style="position:absolute;left:2580;top:10;width:1698;height:2" coordorigin="2580,10" coordsize="1698,2">
              <v:shape style="position:absolute;left:2580;top:10;width:1698;height:2" coordorigin="2580,10" coordsize="1698,0" path="m2580,10l4277,10e" filled="false" stroked="true" strokeweight=".95996pt" strokecolor="#000000">
                <v:path arrowok="t"/>
              </v:shape>
            </v:group>
            <v:group style="position:absolute;left:4263;top:10;width:20;height:2" coordorigin="4263,10" coordsize="20,2">
              <v:shape style="position:absolute;left:4263;top:10;width:20;height:2" coordorigin="4263,10" coordsize="20,0" path="m4263,10l4282,10e" filled="false" stroked="true" strokeweight=".95996pt" strokecolor="#000000">
                <v:path arrowok="t"/>
              </v:shape>
            </v:group>
            <v:group style="position:absolute;left:4282;top:10;width:1696;height:2" coordorigin="4282,10" coordsize="1696,2">
              <v:shape style="position:absolute;left:4282;top:10;width:1696;height:2" coordorigin="4282,10" coordsize="1696,0" path="m4282,10l5978,10e" filled="false" stroked="true" strokeweight=".95996pt" strokecolor="#000000">
                <v:path arrowok="t"/>
              </v:shape>
            </v:group>
            <v:group style="position:absolute;left:5963;top:10;width:20;height:2" coordorigin="5963,10" coordsize="20,2">
              <v:shape style="position:absolute;left:5963;top:10;width:20;height:2" coordorigin="5963,10" coordsize="20,0" path="m5963,10l5982,10e" filled="false" stroked="true" strokeweight=".95996pt" strokecolor="#000000">
                <v:path arrowok="t"/>
              </v:shape>
            </v:group>
            <v:group style="position:absolute;left:5982;top:10;width:1698;height:2" coordorigin="5982,10" coordsize="1698,2">
              <v:shape style="position:absolute;left:5982;top:10;width:1698;height:2" coordorigin="5982,10" coordsize="1698,0" path="m5982,10l7680,10e" filled="false" stroked="true" strokeweight=".95996pt" strokecolor="#000000">
                <v:path arrowok="t"/>
              </v:shape>
            </v:group>
            <v:group style="position:absolute;left:7665;top:10;width:20;height:2" coordorigin="7665,10" coordsize="20,2">
              <v:shape style="position:absolute;left:7665;top:10;width:20;height:2" coordorigin="7665,10" coordsize="20,0" path="m7665,10l7684,10e" filled="false" stroked="true" strokeweight=".95996pt" strokecolor="#000000">
                <v:path arrowok="t"/>
              </v:shape>
            </v:group>
            <v:group style="position:absolute;left:7684;top:10;width:1696;height:2" coordorigin="7684,10" coordsize="1696,2">
              <v:shape style="position:absolute;left:7684;top:10;width:1696;height:2" coordorigin="7684,10" coordsize="1696,0" path="m7684,10l9380,10e" filled="false" stroked="true" strokeweight=".95996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24"/>
          <w:szCs w:val="24"/>
        </w:rPr>
      </w:pPr>
    </w:p>
    <w:p>
      <w:pPr>
        <w:pStyle w:val="Heading2"/>
        <w:spacing w:line="240" w:lineRule="auto"/>
        <w:ind w:left="278" w:right="548"/>
        <w:jc w:val="left"/>
        <w:rPr>
          <w:b w:val="0"/>
          <w:bCs w:val="0"/>
        </w:rPr>
      </w:pPr>
      <w:r>
        <w:rPr>
          <w:rFonts w:ascii="宋体" w:hAnsi="宋体" w:cs="宋体" w:eastAsia="宋体" w:hint="default"/>
        </w:rPr>
        <w:t>44</w:t>
      </w:r>
      <w:r>
        <w:rPr/>
        <w:t>、</w:t>
      </w:r>
      <w:r>
        <w:rPr>
          <w:spacing w:val="-108"/>
        </w:rPr>
        <w:t> </w:t>
      </w:r>
      <w:r>
        <w:rPr/>
        <w:t>营业税金及附加</w:t>
      </w:r>
      <w:r>
        <w:rPr>
          <w:b w:val="0"/>
          <w:bCs w:val="0"/>
        </w:rPr>
      </w:r>
    </w:p>
    <w:p>
      <w:pPr>
        <w:spacing w:line="240" w:lineRule="auto" w:before="11"/>
        <w:rPr>
          <w:rFonts w:ascii="宋体" w:hAnsi="宋体" w:cs="宋体" w:eastAsia="宋体" w:hint="default"/>
          <w:b/>
          <w:bCs/>
          <w:sz w:val="22"/>
          <w:szCs w:val="22"/>
        </w:rPr>
      </w:pPr>
    </w:p>
    <w:p>
      <w:pPr>
        <w:tabs>
          <w:tab w:pos="1049" w:val="left" w:leader="none"/>
        </w:tabs>
        <w:spacing w:before="35"/>
        <w:ind w:left="0" w:right="492"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240" w:type="dxa"/>
        <w:tblLayout w:type="fixed"/>
        <w:tblCellMar>
          <w:top w:w="0" w:type="dxa"/>
          <w:left w:w="0" w:type="dxa"/>
          <w:bottom w:w="0" w:type="dxa"/>
          <w:right w:w="0" w:type="dxa"/>
        </w:tblCellMar>
        <w:tblLook w:val="01E0"/>
      </w:tblPr>
      <w:tblGrid>
        <w:gridCol w:w="2857"/>
        <w:gridCol w:w="3018"/>
        <w:gridCol w:w="3018"/>
      </w:tblGrid>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11"/>
              <w:jc w:val="right"/>
              <w:rPr>
                <w:rFonts w:ascii="宋体" w:hAnsi="宋体" w:cs="宋体" w:eastAsia="宋体" w:hint="default"/>
                <w:sz w:val="21"/>
                <w:szCs w:val="21"/>
              </w:rPr>
            </w:pPr>
            <w:r>
              <w:rPr>
                <w:rFonts w:ascii="宋体" w:hAnsi="宋体" w:cs="宋体" w:eastAsia="宋体" w:hint="default"/>
                <w:sz w:val="21"/>
                <w:szCs w:val="21"/>
              </w:rPr>
              <w:t>项目</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7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6,187,103.74</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-215,723.30</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7,088,108.96</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5,975,734.29</w:t>
            </w:r>
          </w:p>
        </w:tc>
      </w:tr>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5,271,563.86</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4,304,784.88</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24,359.63</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50,175.68</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11"/>
              <w:jc w:val="right"/>
              <w:rPr>
                <w:rFonts w:ascii="宋体" w:hAnsi="宋体" w:cs="宋体" w:eastAsia="宋体" w:hint="default"/>
                <w:sz w:val="21"/>
                <w:szCs w:val="21"/>
              </w:rPr>
            </w:pPr>
            <w:r>
              <w:rPr>
                <w:rFonts w:ascii="宋体" w:hAnsi="宋体" w:cs="宋体" w:eastAsia="宋体" w:hint="default"/>
                <w:sz w:val="21"/>
                <w:szCs w:val="21"/>
              </w:rPr>
              <w:t>合计</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18,571,136.19</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10,114,971.55</w:t>
            </w:r>
          </w:p>
        </w:tc>
      </w:tr>
    </w:tbl>
    <w:p>
      <w:pPr>
        <w:pStyle w:val="BodyText"/>
        <w:spacing w:line="240" w:lineRule="auto" w:before="82"/>
        <w:ind w:left="278" w:right="548"/>
        <w:jc w:val="left"/>
      </w:pPr>
      <w:r>
        <w:rPr/>
        <w:t>说明：各项营业税金及附加的计缴标准详见附注四、税项。</w:t>
      </w:r>
    </w:p>
    <w:p>
      <w:pPr>
        <w:spacing w:after="0" w:line="240" w:lineRule="auto"/>
        <w:jc w:val="left"/>
        <w:sectPr>
          <w:type w:val="continuous"/>
          <w:pgSz w:w="11910" w:h="16840"/>
          <w:pgMar w:top="1080" w:bottom="1380" w:left="1520" w:right="78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1580" w:right="1040"/>
        </w:sectPr>
      </w:pPr>
    </w:p>
    <w:p>
      <w:pPr>
        <w:pStyle w:val="Heading2"/>
        <w:spacing w:line="240" w:lineRule="auto"/>
        <w:ind w:right="-18"/>
        <w:jc w:val="left"/>
        <w:rPr>
          <w:b w:val="0"/>
          <w:bCs w:val="0"/>
        </w:rPr>
      </w:pPr>
      <w:r>
        <w:rPr>
          <w:rFonts w:ascii="宋体" w:hAnsi="宋体" w:cs="宋体" w:eastAsia="宋体" w:hint="default"/>
        </w:rPr>
        <w:t>45</w:t>
      </w:r>
      <w:r>
        <w:rPr/>
        <w:t>、</w:t>
      </w:r>
      <w:r>
        <w:rPr>
          <w:spacing w:val="-101"/>
        </w:rPr>
        <w:t> </w:t>
      </w:r>
      <w:r>
        <w:rPr/>
        <w:t>销售费用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tabs>
          <w:tab w:pos="1267" w:val="left" w:leader="none"/>
        </w:tabs>
        <w:spacing w:before="139"/>
        <w:ind w:left="21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580" w:right="1040"/>
          <w:cols w:num="2" w:equalWidth="0">
            <w:col w:w="1687" w:space="4837"/>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3"/>
        <w:gridCol w:w="2858"/>
        <w:gridCol w:w="2859"/>
      </w:tblGrid>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50"/>
              <w:jc w:val="right"/>
              <w:rPr>
                <w:rFonts w:ascii="宋体" w:hAnsi="宋体" w:cs="宋体" w:eastAsia="宋体" w:hint="default"/>
                <w:sz w:val="21"/>
                <w:szCs w:val="21"/>
              </w:rPr>
            </w:pPr>
            <w:r>
              <w:rPr>
                <w:rFonts w:ascii="宋体" w:hAnsi="宋体" w:cs="宋体" w:eastAsia="宋体" w:hint="default"/>
                <w:sz w:val="21"/>
                <w:szCs w:val="21"/>
              </w:rPr>
              <w:t>项目</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9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人工成本费用</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236,545,417.78</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275,257,095.52</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摊销及折旧</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24,185,143.34</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15,513,401.95</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股权激励摊销</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-2,084,454.17</w:t>
            </w:r>
          </w:p>
        </w:tc>
      </w:tr>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交通差旅费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24,397,786.17</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28,056,921.44</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交际应酬费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19,008,881.83</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24,063,870.27</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技术服务及咨询费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14,105,257.51</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18,300,137.15</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其他日常费用</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60,336,699.27</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49,339,767.49</w:t>
            </w:r>
          </w:p>
        </w:tc>
      </w:tr>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0"/>
              <w:jc w:val="right"/>
              <w:rPr>
                <w:rFonts w:ascii="宋体" w:hAnsi="宋体" w:cs="宋体" w:eastAsia="宋体" w:hint="default"/>
                <w:sz w:val="21"/>
                <w:szCs w:val="21"/>
              </w:rPr>
            </w:pPr>
            <w:r>
              <w:rPr>
                <w:rFonts w:ascii="宋体" w:hAnsi="宋体" w:cs="宋体" w:eastAsia="宋体" w:hint="default"/>
                <w:sz w:val="21"/>
                <w:szCs w:val="21"/>
              </w:rPr>
              <w:t>合计</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378,579,185.90</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408,446,739.65</w:t>
            </w:r>
          </w:p>
        </w:tc>
      </w:tr>
    </w:tbl>
    <w:p>
      <w:pPr>
        <w:spacing w:line="240" w:lineRule="auto" w:before="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080" w:bottom="1380" w:left="1580" w:right="1040"/>
        </w:sectPr>
      </w:pPr>
    </w:p>
    <w:p>
      <w:pPr>
        <w:pStyle w:val="Heading2"/>
        <w:spacing w:line="240" w:lineRule="auto"/>
        <w:ind w:right="-18"/>
        <w:jc w:val="left"/>
        <w:rPr>
          <w:b w:val="0"/>
          <w:bCs w:val="0"/>
        </w:rPr>
      </w:pPr>
      <w:r>
        <w:rPr>
          <w:rFonts w:ascii="宋体" w:hAnsi="宋体" w:cs="宋体" w:eastAsia="宋体" w:hint="default"/>
        </w:rPr>
        <w:t>46</w:t>
      </w:r>
      <w:r>
        <w:rPr/>
        <w:t>、</w:t>
      </w:r>
      <w:r>
        <w:rPr>
          <w:spacing w:val="-101"/>
        </w:rPr>
        <w:t> </w:t>
      </w:r>
      <w:r>
        <w:rPr/>
        <w:t>管理费用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tabs>
          <w:tab w:pos="1267" w:val="left" w:leader="none"/>
        </w:tabs>
        <w:spacing w:before="139"/>
        <w:ind w:left="21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580" w:right="1040"/>
          <w:cols w:num="2" w:equalWidth="0">
            <w:col w:w="1687" w:space="4837"/>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40"/>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人工成本费用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128,929,404.58</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102,045,542.28</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摊销及折旧</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18,139,815.60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18,649,711.89</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-420,154.17</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技术服务及咨询费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34,570,840.65</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30,694,772.77</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6,338,162.83</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7,685,617.30</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交际应酬费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5,403,314.42</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3,463,209.52</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其他日常费用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64,374,724.73</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67,446,252.71</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257,756,262.81</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229,564,952.30</w:t>
            </w:r>
          </w:p>
        </w:tc>
      </w:tr>
    </w:tbl>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80" w:bottom="1380" w:left="1580" w:right="1040"/>
        </w:sectPr>
      </w:pPr>
    </w:p>
    <w:p>
      <w:pPr>
        <w:pStyle w:val="Heading2"/>
        <w:spacing w:line="240" w:lineRule="auto"/>
        <w:ind w:right="-18"/>
        <w:jc w:val="left"/>
        <w:rPr>
          <w:b w:val="0"/>
          <w:bCs w:val="0"/>
        </w:rPr>
      </w:pPr>
      <w:r>
        <w:rPr>
          <w:rFonts w:ascii="宋体" w:hAnsi="宋体" w:cs="宋体" w:eastAsia="宋体" w:hint="default"/>
        </w:rPr>
        <w:t>47</w:t>
      </w:r>
      <w:r>
        <w:rPr/>
        <w:t>、</w:t>
      </w:r>
      <w:r>
        <w:rPr>
          <w:spacing w:val="-101"/>
        </w:rPr>
        <w:t> </w:t>
      </w:r>
      <w:r>
        <w:rPr/>
        <w:t>财务费用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tabs>
          <w:tab w:pos="1267" w:val="left" w:leader="none"/>
        </w:tabs>
        <w:spacing w:before="140"/>
        <w:ind w:left="21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580" w:right="1040"/>
          <w:cols w:num="2" w:equalWidth="0">
            <w:col w:w="1687" w:space="4837"/>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40"/>
      </w:tblGrid>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82,735,522.96</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66,355,029.89</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减：利息资本化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3,855,845.76</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17,397,334.82</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21,976,207.09</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5,786,053.48</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176,122.97</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手续费及其他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8,659,736.61</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9,758,897.60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现金折扣</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-5,346,092.00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-2,813,026.12</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70,582,040.47</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51,500,817.25</w:t>
            </w:r>
          </w:p>
        </w:tc>
      </w:tr>
    </w:tbl>
    <w:p>
      <w:pPr>
        <w:pStyle w:val="BodyText"/>
        <w:spacing w:line="312" w:lineRule="exact" w:before="111"/>
        <w:ind w:left="218" w:right="101"/>
        <w:jc w:val="left"/>
      </w:pPr>
      <w:r>
        <w:rPr>
          <w:spacing w:val="-3"/>
        </w:rPr>
        <w:t>说明：利息资本化金额已计入在建工程。本期用于计算确定借款费用资本化金额</w:t>
      </w:r>
      <w:r>
        <w:rPr>
          <w:spacing w:val="-87"/>
        </w:rPr>
        <w:t> </w:t>
      </w:r>
      <w:r>
        <w:rPr>
          <w:spacing w:val="-87"/>
        </w:rPr>
      </w:r>
      <w:r>
        <w:rPr/>
        <w:t>的年资本化率为</w:t>
      </w:r>
      <w:r>
        <w:rPr>
          <w:spacing w:val="-60"/>
        </w:rPr>
        <w:t> </w:t>
      </w:r>
      <w:r>
        <w:rPr>
          <w:rFonts w:ascii="宋体" w:hAnsi="宋体" w:cs="宋体" w:eastAsia="宋体" w:hint="default"/>
        </w:rPr>
        <w:t>6.0137%</w:t>
      </w:r>
      <w:r>
        <w:rPr/>
        <w:t>。</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80" w:bottom="1380" w:left="1580" w:right="1040"/>
        </w:sectPr>
      </w:pPr>
    </w:p>
    <w:p>
      <w:pPr>
        <w:pStyle w:val="Heading2"/>
        <w:spacing w:line="240" w:lineRule="auto" w:before="158"/>
        <w:ind w:right="-16"/>
        <w:jc w:val="left"/>
        <w:rPr>
          <w:b w:val="0"/>
          <w:bCs w:val="0"/>
        </w:rPr>
      </w:pPr>
      <w:r>
        <w:rPr>
          <w:rFonts w:ascii="宋体" w:hAnsi="宋体" w:cs="宋体" w:eastAsia="宋体" w:hint="default"/>
        </w:rPr>
        <w:t>48</w:t>
      </w:r>
      <w:r>
        <w:rPr/>
        <w:t>、</w:t>
      </w:r>
      <w:r>
        <w:rPr>
          <w:spacing w:val="-106"/>
        </w:rPr>
        <w:t> </w:t>
      </w:r>
      <w:r>
        <w:rPr/>
        <w:t>资产减值损失</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0"/>
        <w:rPr>
          <w:rFonts w:ascii="宋体" w:hAnsi="宋体" w:cs="宋体" w:eastAsia="宋体" w:hint="default"/>
          <w:b/>
          <w:bCs/>
          <w:sz w:val="20"/>
          <w:szCs w:val="20"/>
        </w:rPr>
      </w:pPr>
    </w:p>
    <w:p>
      <w:pPr>
        <w:tabs>
          <w:tab w:pos="1267" w:val="left" w:leader="none"/>
        </w:tabs>
        <w:spacing w:before="0"/>
        <w:ind w:left="21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580" w:right="1040"/>
          <w:cols w:num="2" w:equalWidth="0">
            <w:col w:w="2167" w:space="4357"/>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4"/>
        <w:gridCol w:w="3077"/>
      </w:tblGrid>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2"/>
              <w:jc w:val="right"/>
              <w:rPr>
                <w:rFonts w:ascii="宋体" w:hAnsi="宋体" w:cs="宋体" w:eastAsia="宋体" w:hint="default"/>
                <w:sz w:val="21"/>
                <w:szCs w:val="21"/>
              </w:rPr>
            </w:pPr>
            <w:r>
              <w:rPr>
                <w:rFonts w:ascii="宋体" w:hAnsi="宋体" w:cs="宋体" w:eastAsia="宋体" w:hint="default"/>
                <w:sz w:val="21"/>
                <w:szCs w:val="21"/>
              </w:rPr>
              <w:t>项目</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29,822,848.98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35,054,605.37</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-6,687,300.20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-3,833,589.49</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82"/>
              <w:jc w:val="right"/>
              <w:rPr>
                <w:rFonts w:ascii="宋体" w:hAnsi="宋体" w:cs="宋体" w:eastAsia="宋体" w:hint="default"/>
                <w:sz w:val="21"/>
                <w:szCs w:val="21"/>
              </w:rPr>
            </w:pPr>
            <w:r>
              <w:rPr>
                <w:rFonts w:ascii="宋体" w:hAnsi="宋体" w:cs="宋体" w:eastAsia="宋体" w:hint="default"/>
                <w:sz w:val="21"/>
                <w:szCs w:val="21"/>
              </w:rPr>
              <w:t>合计</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23,135,548.78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31,221,015.88</w:t>
            </w:r>
          </w:p>
        </w:tc>
      </w:tr>
    </w:tbl>
    <w:p>
      <w:pPr>
        <w:spacing w:after="0" w:line="240" w:lineRule="exact"/>
        <w:jc w:val="right"/>
        <w:rPr>
          <w:rFonts w:ascii="宋体" w:hAnsi="宋体" w:cs="宋体" w:eastAsia="宋体" w:hint="default"/>
          <w:sz w:val="21"/>
          <w:szCs w:val="21"/>
        </w:rPr>
        <w:sectPr>
          <w:type w:val="continuous"/>
          <w:pgSz w:w="11910" w:h="16840"/>
          <w:pgMar w:top="1080" w:bottom="1380" w:left="1580" w:right="104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1540" w:right="1040"/>
        </w:sectPr>
      </w:pPr>
    </w:p>
    <w:p>
      <w:pPr>
        <w:pStyle w:val="Heading2"/>
        <w:spacing w:line="240" w:lineRule="auto"/>
        <w:ind w:left="258" w:right="-18"/>
        <w:jc w:val="left"/>
        <w:rPr>
          <w:b w:val="0"/>
          <w:bCs w:val="0"/>
        </w:rPr>
      </w:pPr>
      <w:r>
        <w:rPr>
          <w:rFonts w:ascii="宋体" w:hAnsi="宋体" w:cs="宋体" w:eastAsia="宋体" w:hint="default"/>
        </w:rPr>
        <w:t>49</w:t>
      </w:r>
      <w:r>
        <w:rPr/>
        <w:t>、</w:t>
      </w:r>
      <w:r>
        <w:rPr>
          <w:spacing w:val="-101"/>
        </w:rPr>
        <w:t> </w:t>
      </w:r>
      <w:r>
        <w:rPr/>
        <w:t>投资收益</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tabs>
          <w:tab w:pos="1307" w:val="left" w:leader="none"/>
        </w:tabs>
        <w:spacing w:before="139"/>
        <w:ind w:left="25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540" w:right="1040"/>
          <w:cols w:num="2" w:equalWidth="0">
            <w:col w:w="1727" w:space="4797"/>
            <w:col w:w="2806"/>
          </w:cols>
        </w:sectPr>
      </w:pP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950"/>
        <w:gridCol w:w="2232"/>
        <w:gridCol w:w="2673"/>
        <w:gridCol w:w="1195"/>
      </w:tblGrid>
      <w:tr>
        <w:trPr>
          <w:trHeight w:val="282"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59"/>
              <w:jc w:val="right"/>
              <w:rPr>
                <w:rFonts w:ascii="宋体" w:hAnsi="宋体" w:cs="宋体" w:eastAsia="宋体" w:hint="default"/>
                <w:sz w:val="21"/>
                <w:szCs w:val="21"/>
              </w:rPr>
            </w:pPr>
            <w:r>
              <w:rPr>
                <w:rFonts w:ascii="宋体" w:hAnsi="宋体" w:cs="宋体" w:eastAsia="宋体" w:hint="default"/>
                <w:sz w:val="21"/>
                <w:szCs w:val="21"/>
              </w:rPr>
              <w:t>项目</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8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0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195" w:type="dxa"/>
            <w:vMerge w:val="restart"/>
            <w:tcBorders>
              <w:top w:val="nil" w:sz="6" w:space="0" w:color="auto"/>
              <w:left w:val="single" w:sz="4" w:space="0" w:color="000000"/>
              <w:right w:val="nil" w:sz="6" w:space="0" w:color="auto"/>
            </w:tcBorders>
          </w:tcPr>
          <w:p>
            <w:pPr/>
          </w:p>
        </w:tc>
      </w:tr>
      <w:tr>
        <w:trPr>
          <w:trHeight w:val="556"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-17,535,094.58</w:t>
            </w:r>
          </w:p>
        </w:tc>
        <w:tc>
          <w:tcPr>
            <w:tcW w:w="2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-189,449.53</w:t>
            </w:r>
          </w:p>
        </w:tc>
        <w:tc>
          <w:tcPr>
            <w:tcW w:w="1195" w:type="dxa"/>
            <w:vMerge/>
            <w:tcBorders>
              <w:left w:val="single" w:sz="4" w:space="0" w:color="000000"/>
              <w:right w:val="nil" w:sz="6" w:space="0" w:color="auto"/>
            </w:tcBorders>
          </w:tcPr>
          <w:p>
            <w:pPr/>
          </w:p>
        </w:tc>
      </w:tr>
      <w:tr>
        <w:trPr>
          <w:trHeight w:val="554"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-464,823.67</w:t>
            </w:r>
          </w:p>
        </w:tc>
        <w:tc>
          <w:tcPr>
            <w:tcW w:w="2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-5,017,282.51</w:t>
            </w:r>
          </w:p>
        </w:tc>
        <w:tc>
          <w:tcPr>
            <w:tcW w:w="1195" w:type="dxa"/>
            <w:vMerge/>
            <w:tcBorders>
              <w:left w:val="single" w:sz="4" w:space="0" w:color="000000"/>
              <w:right w:val="nil" w:sz="6" w:space="0" w:color="auto"/>
            </w:tcBorders>
          </w:tcPr>
          <w:p>
            <w:pPr/>
          </w:p>
        </w:tc>
      </w:tr>
      <w:tr>
        <w:trPr>
          <w:trHeight w:val="554"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购买日之前原持有股权按公允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价值重新计量产生的利得</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162,228.66</w:t>
            </w:r>
          </w:p>
        </w:tc>
        <w:tc>
          <w:tcPr>
            <w:tcW w:w="2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95" w:type="dxa"/>
            <w:vMerge/>
            <w:tcBorders>
              <w:left w:val="single" w:sz="4" w:space="0" w:color="000000"/>
              <w:right w:val="nil" w:sz="6" w:space="0" w:color="auto"/>
            </w:tcBorders>
          </w:tcPr>
          <w:p>
            <w:pPr/>
          </w:p>
        </w:tc>
      </w:tr>
      <w:tr>
        <w:trPr>
          <w:trHeight w:val="282"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22,173,621.79</w:t>
            </w:r>
          </w:p>
        </w:tc>
        <w:tc>
          <w:tcPr>
            <w:tcW w:w="2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7,040,219.33</w:t>
            </w:r>
          </w:p>
        </w:tc>
        <w:tc>
          <w:tcPr>
            <w:tcW w:w="1195" w:type="dxa"/>
            <w:vMerge/>
            <w:tcBorders>
              <w:left w:val="single" w:sz="4" w:space="0" w:color="000000"/>
              <w:right w:val="nil" w:sz="6" w:space="0" w:color="auto"/>
            </w:tcBorders>
          </w:tcPr>
          <w:p>
            <w:pPr/>
          </w:p>
        </w:tc>
      </w:tr>
      <w:tr>
        <w:trPr>
          <w:trHeight w:val="556"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允价值重新计量产生的利得</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35,857,295.22</w:t>
            </w:r>
          </w:p>
        </w:tc>
        <w:tc>
          <w:tcPr>
            <w:tcW w:w="2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95" w:type="dxa"/>
            <w:vMerge/>
            <w:tcBorders>
              <w:left w:val="single" w:sz="4" w:space="0" w:color="000000"/>
              <w:right w:val="nil" w:sz="6" w:space="0" w:color="auto"/>
            </w:tcBorders>
          </w:tcPr>
          <w:p>
            <w:pPr/>
          </w:p>
        </w:tc>
      </w:tr>
      <w:tr>
        <w:trPr>
          <w:trHeight w:val="282"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-337,355.52</w:t>
            </w:r>
          </w:p>
        </w:tc>
        <w:tc>
          <w:tcPr>
            <w:tcW w:w="2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95" w:type="dxa"/>
            <w:vMerge/>
            <w:tcBorders>
              <w:left w:val="single" w:sz="4" w:space="0" w:color="000000"/>
              <w:right w:val="nil" w:sz="6" w:space="0" w:color="auto"/>
            </w:tcBorders>
          </w:tcPr>
          <w:p>
            <w:pPr/>
          </w:p>
        </w:tc>
      </w:tr>
      <w:tr>
        <w:trPr>
          <w:trHeight w:val="282"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59"/>
              <w:jc w:val="right"/>
              <w:rPr>
                <w:rFonts w:ascii="宋体" w:hAnsi="宋体" w:cs="宋体" w:eastAsia="宋体" w:hint="default"/>
                <w:sz w:val="21"/>
                <w:szCs w:val="21"/>
              </w:rPr>
            </w:pPr>
            <w:r>
              <w:rPr>
                <w:rFonts w:ascii="宋体" w:hAnsi="宋体" w:cs="宋体" w:eastAsia="宋体" w:hint="default"/>
                <w:sz w:val="21"/>
                <w:szCs w:val="21"/>
              </w:rPr>
              <w:t>合计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39,855,871.90</w:t>
            </w:r>
          </w:p>
        </w:tc>
        <w:tc>
          <w:tcPr>
            <w:tcW w:w="2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1,833,487.29</w:t>
            </w:r>
          </w:p>
        </w:tc>
        <w:tc>
          <w:tcPr>
            <w:tcW w:w="1195" w:type="dxa"/>
            <w:vMerge/>
            <w:tcBorders>
              <w:left w:val="single" w:sz="4" w:space="0" w:color="000000"/>
              <w:bottom w:val="single" w:sz="4" w:space="0" w:color="000000"/>
              <w:right w:val="nil" w:sz="6" w:space="0" w:color="auto"/>
            </w:tcBorders>
          </w:tcPr>
          <w:p>
            <w:pPr/>
          </w:p>
        </w:tc>
      </w:tr>
    </w:tbl>
    <w:p>
      <w:pPr>
        <w:tabs>
          <w:tab w:pos="5217" w:val="left" w:leader="none"/>
          <w:tab w:pos="7788" w:val="left" w:leader="none"/>
        </w:tabs>
        <w:spacing w:before="22"/>
        <w:ind w:left="240" w:right="0" w:firstLine="0"/>
        <w:jc w:val="left"/>
        <w:rPr>
          <w:rFonts w:ascii="宋体" w:hAnsi="宋体" w:cs="宋体" w:eastAsia="宋体" w:hint="default"/>
          <w:sz w:val="21"/>
          <w:szCs w:val="21"/>
        </w:rPr>
      </w:pPr>
      <w:r>
        <w:rPr>
          <w:rFonts w:ascii="宋体" w:hAnsi="宋体" w:cs="宋体" w:eastAsia="宋体" w:hint="default"/>
          <w:b/>
          <w:bCs/>
          <w:w w:val="95"/>
          <w:sz w:val="21"/>
          <w:szCs w:val="21"/>
        </w:rPr>
        <w:t>合计</w:t>
        <w:tab/>
      </w:r>
      <w:r>
        <w:rPr>
          <w:rFonts w:ascii="宋体" w:hAnsi="宋体" w:cs="宋体" w:eastAsia="宋体" w:hint="default"/>
          <w:b/>
          <w:bCs/>
          <w:w w:val="95"/>
          <w:sz w:val="21"/>
          <w:szCs w:val="21"/>
        </w:rPr>
        <w:t>39,855,871.90</w:t>
        <w:tab/>
      </w:r>
      <w:r>
        <w:rPr>
          <w:rFonts w:ascii="宋体" w:hAnsi="宋体" w:cs="宋体" w:eastAsia="宋体" w:hint="default"/>
          <w:b/>
          <w:bCs/>
          <w:sz w:val="21"/>
          <w:szCs w:val="21"/>
        </w:rPr>
        <w:t>1,833,487.29</w:t>
      </w:r>
      <w:r>
        <w:rPr>
          <w:rFonts w:ascii="宋体" w:hAnsi="宋体" w:cs="宋体" w:eastAsia="宋体" w:hint="default"/>
          <w:sz w:val="21"/>
          <w:szCs w:val="21"/>
        </w:rPr>
      </w:r>
    </w:p>
    <w:p>
      <w:pPr>
        <w:spacing w:line="240" w:lineRule="auto" w:before="0"/>
        <w:rPr>
          <w:rFonts w:ascii="宋体" w:hAnsi="宋体" w:cs="宋体" w:eastAsia="宋体" w:hint="default"/>
          <w:b/>
          <w:bCs/>
          <w:sz w:val="7"/>
          <w:szCs w:val="7"/>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454.2pt;height:1pt;mso-position-horizontal-relative:char;mso-position-vertical-relative:line" coordorigin="0,0" coordsize="9084,20">
            <v:group style="position:absolute;left:10;top:10;width:4081;height:2" coordorigin="10,10" coordsize="4081,2">
              <v:shape style="position:absolute;left:10;top:10;width:4081;height:2" coordorigin="10,10" coordsize="4081,0" path="m10,10l4090,10e" filled="false" stroked="true" strokeweight=".96002pt" strokecolor="#000000">
                <v:path arrowok="t"/>
              </v:shape>
            </v:group>
            <v:group style="position:absolute;left:4076;top:10;width:20;height:2" coordorigin="4076,10" coordsize="20,2">
              <v:shape style="position:absolute;left:4076;top:10;width:20;height:2" coordorigin="4076,10" coordsize="20,0" path="m4076,10l4095,10e" filled="false" stroked="true" strokeweight=".96002pt" strokecolor="#000000">
                <v:path arrowok="t"/>
              </v:shape>
            </v:group>
            <v:group style="position:absolute;left:4095;top:10;width:2449;height:2" coordorigin="4095,10" coordsize="2449,2">
              <v:shape style="position:absolute;left:4095;top:10;width:2449;height:2" coordorigin="4095,10" coordsize="2449,0" path="m4095,10l6543,10e" filled="false" stroked="true" strokeweight=".96002pt" strokecolor="#000000">
                <v:path arrowok="t"/>
              </v:shape>
            </v:group>
            <v:group style="position:absolute;left:6529;top:10;width:20;height:2" coordorigin="6529,10" coordsize="20,2">
              <v:shape style="position:absolute;left:6529;top:10;width:20;height:2" coordorigin="6529,10" coordsize="20,0" path="m6529,10l6548,10e" filled="false" stroked="true" strokeweight=".96002pt" strokecolor="#000000">
                <v:path arrowok="t"/>
              </v:shape>
            </v:group>
            <v:group style="position:absolute;left:6548;top:10;width:2526;height:2" coordorigin="6548,10" coordsize="2526,2">
              <v:shape style="position:absolute;left:6548;top:10;width:2526;height:2" coordorigin="6548,10" coordsize="2526,0" path="m6548,10l9074,10e" filled="false" stroked="true" strokeweight=".96002pt" strokecolor="#000000">
                <v:path arrowok="t"/>
              </v:shape>
            </v:group>
          </v:group>
        </w:pict>
      </w:r>
      <w:r>
        <w:rPr>
          <w:rFonts w:ascii="宋体" w:hAnsi="宋体" w:cs="宋体" w:eastAsia="宋体" w:hint="default"/>
          <w:sz w:val="2"/>
          <w:szCs w:val="2"/>
        </w:rPr>
      </w:r>
    </w:p>
    <w:p>
      <w:pPr>
        <w:pStyle w:val="BodyText"/>
        <w:spacing w:line="240" w:lineRule="auto" w:before="80"/>
        <w:ind w:left="258" w:right="0"/>
        <w:jc w:val="left"/>
      </w:pPr>
      <w:r>
        <w:rPr/>
        <w:t>说明：本期不存在投资收益汇回有重大限制的投资收益。</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80" w:bottom="1380" w:left="1540" w:right="1040"/>
        </w:sectPr>
      </w:pPr>
    </w:p>
    <w:p>
      <w:pPr>
        <w:pStyle w:val="Heading2"/>
        <w:spacing w:line="240" w:lineRule="auto" w:before="187"/>
        <w:ind w:left="258" w:right="-18"/>
        <w:jc w:val="left"/>
        <w:rPr>
          <w:b w:val="0"/>
          <w:bCs w:val="0"/>
        </w:rPr>
      </w:pPr>
      <w:r>
        <w:rPr>
          <w:rFonts w:ascii="宋体" w:hAnsi="宋体" w:cs="宋体" w:eastAsia="宋体" w:hint="default"/>
        </w:rPr>
        <w:t>50</w:t>
      </w:r>
      <w:r>
        <w:rPr/>
        <w:t>、</w:t>
      </w:r>
      <w:r>
        <w:rPr>
          <w:spacing w:val="-101"/>
        </w:rPr>
        <w:t> </w:t>
      </w:r>
      <w:r>
        <w:rPr/>
        <w:t>营业外收入</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2"/>
        <w:rPr>
          <w:rFonts w:ascii="宋体" w:hAnsi="宋体" w:cs="宋体" w:eastAsia="宋体" w:hint="default"/>
          <w:b/>
          <w:bCs/>
          <w:sz w:val="22"/>
          <w:szCs w:val="22"/>
        </w:rPr>
      </w:pPr>
    </w:p>
    <w:p>
      <w:pPr>
        <w:tabs>
          <w:tab w:pos="1307" w:val="left" w:leader="none"/>
        </w:tabs>
        <w:spacing w:before="0"/>
        <w:ind w:left="25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540" w:right="1040"/>
          <w:cols w:num="2" w:equalWidth="0">
            <w:col w:w="1969" w:space="4555"/>
            <w:col w:w="2806"/>
          </w:cols>
        </w:sectPr>
      </w:pP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111"/>
        <w:gridCol w:w="2307"/>
        <w:gridCol w:w="2315"/>
        <w:gridCol w:w="2317"/>
      </w:tblGrid>
      <w:tr>
        <w:trPr>
          <w:trHeight w:val="556"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2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5"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1,167,400.57</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286,914.85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1,167,400.57</w:t>
            </w:r>
          </w:p>
        </w:tc>
      </w:tr>
      <w:tr>
        <w:trPr>
          <w:trHeight w:val="55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164,274.43</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286,914.85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164,274.43</w:t>
            </w:r>
          </w:p>
        </w:tc>
      </w:tr>
      <w:tr>
        <w:trPr>
          <w:trHeight w:val="55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z w:val="21"/>
                <w:szCs w:val="21"/>
              </w:rPr>
              <w:t>长期待摊费用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处置利得</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1,003,126.14</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1,003,126.14</w:t>
            </w:r>
          </w:p>
        </w:tc>
      </w:tr>
      <w:tr>
        <w:trPr>
          <w:trHeight w:val="283"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18,251,883.68</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15,479,253.10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2,595,542.27</w:t>
            </w:r>
          </w:p>
        </w:tc>
      </w:tr>
      <w:tr>
        <w:trPr>
          <w:trHeight w:val="28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无法支付的款项</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850,204.16</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3,763,636.54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850,204.16</w:t>
            </w:r>
          </w:p>
        </w:tc>
      </w:tr>
      <w:tr>
        <w:trPr>
          <w:trHeight w:val="28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废品处置收入</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134.25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r>
      <w:tr>
        <w:trPr>
          <w:trHeight w:val="283"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罚款收入</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399.97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r>
      <w:tr>
        <w:trPr>
          <w:trHeight w:val="55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非同一控制下企业合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并或有对价调整</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2,709,528.09</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12,887,429.83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2,709,528.09</w:t>
            </w:r>
          </w:p>
        </w:tc>
      </w:tr>
      <w:tr>
        <w:trPr>
          <w:trHeight w:val="28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3,083,570.57</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2,801,843.54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3,083,570.57</w:t>
            </w:r>
          </w:p>
        </w:tc>
      </w:tr>
      <w:tr>
        <w:trPr>
          <w:trHeight w:val="283"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26,062,587.07</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35,219,612.08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10,406,245.66</w:t>
            </w:r>
          </w:p>
        </w:tc>
      </w:tr>
    </w:tbl>
    <w:p>
      <w:pPr>
        <w:pStyle w:val="BodyText"/>
        <w:spacing w:line="240" w:lineRule="auto" w:before="81"/>
        <w:ind w:left="114" w:right="0"/>
        <w:jc w:val="left"/>
      </w:pPr>
      <w:r>
        <w:rPr/>
        <w:t>说明：</w:t>
      </w:r>
    </w:p>
    <w:p>
      <w:pPr>
        <w:pStyle w:val="BodyText"/>
        <w:spacing w:line="240" w:lineRule="auto" w:before="116"/>
        <w:ind w:left="594" w:right="0"/>
        <w:jc w:val="left"/>
      </w:pPr>
      <w:r>
        <w:rPr/>
        <w:t>（</w:t>
      </w:r>
      <w:r>
        <w:rPr>
          <w:rFonts w:ascii="宋体" w:hAnsi="宋体" w:cs="宋体" w:eastAsia="宋体" w:hint="default"/>
        </w:rPr>
        <w:t>1</w:t>
      </w:r>
      <w:r>
        <w:rPr/>
        <w:t>）本期长期待摊费用处置利得系处置高尔夫球会员费利得。</w:t>
      </w:r>
    </w:p>
    <w:p>
      <w:pPr>
        <w:pStyle w:val="BodyText"/>
        <w:spacing w:line="331" w:lineRule="auto" w:before="116"/>
        <w:ind w:left="114" w:right="2232" w:firstLine="480"/>
        <w:jc w:val="left"/>
      </w:pPr>
      <w:r>
        <w:rPr/>
        <w:t>（</w:t>
      </w:r>
      <w:r>
        <w:rPr>
          <w:rFonts w:ascii="宋体" w:hAnsi="宋体" w:cs="宋体" w:eastAsia="宋体" w:hint="default"/>
        </w:rPr>
        <w:t>2</w:t>
      </w:r>
      <w:r>
        <w:rPr/>
        <w:t>）作为经常性损益的政府补助，具体原因见附注十六、</w:t>
      </w:r>
      <w:r>
        <w:rPr>
          <w:rFonts w:ascii="宋体" w:hAnsi="宋体" w:cs="宋体" w:eastAsia="宋体" w:hint="default"/>
        </w:rPr>
        <w:t>1</w:t>
      </w:r>
      <w:r>
        <w:rPr/>
        <w:t>。 其中，政府补助明细如下：</w:t>
      </w:r>
    </w:p>
    <w:p>
      <w:pPr>
        <w:spacing w:line="240" w:lineRule="auto" w:before="1"/>
        <w:rPr>
          <w:rFonts w:ascii="宋体" w:hAnsi="宋体" w:cs="宋体" w:eastAsia="宋体" w:hint="default"/>
          <w:sz w:val="23"/>
          <w:szCs w:val="23"/>
        </w:rPr>
      </w:pPr>
    </w:p>
    <w:p>
      <w:pPr>
        <w:tabs>
          <w:tab w:pos="1048" w:val="left" w:leader="none"/>
        </w:tabs>
        <w:spacing w:before="0"/>
        <w:ind w:left="0" w:right="326"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223" w:type="dxa"/>
        <w:tblLayout w:type="fixed"/>
        <w:tblCellMar>
          <w:top w:w="0" w:type="dxa"/>
          <w:left w:w="0" w:type="dxa"/>
          <w:bottom w:w="0" w:type="dxa"/>
          <w:right w:w="0" w:type="dxa"/>
        </w:tblCellMar>
        <w:tblLook w:val="01E0"/>
      </w:tblPr>
      <w:tblGrid>
        <w:gridCol w:w="2476"/>
        <w:gridCol w:w="2138"/>
        <w:gridCol w:w="2139"/>
        <w:gridCol w:w="2142"/>
      </w:tblGrid>
      <w:tr>
        <w:trPr>
          <w:trHeight w:val="566"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812"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33"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34"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关</w:t>
            </w:r>
          </w:p>
        </w:tc>
      </w:tr>
      <w:tr>
        <w:trPr>
          <w:trHeight w:val="282"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税收返回</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8" w:right="0"/>
              <w:jc w:val="left"/>
              <w:rPr>
                <w:rFonts w:ascii="宋体" w:hAnsi="宋体" w:cs="宋体" w:eastAsia="宋体" w:hint="default"/>
                <w:sz w:val="21"/>
                <w:szCs w:val="21"/>
              </w:rPr>
            </w:pPr>
            <w:r>
              <w:rPr>
                <w:rFonts w:ascii="宋体"/>
                <w:sz w:val="21"/>
              </w:rPr>
              <w:t>15,656,341.41</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9" w:right="0"/>
              <w:jc w:val="left"/>
              <w:rPr>
                <w:rFonts w:ascii="宋体" w:hAnsi="宋体" w:cs="宋体" w:eastAsia="宋体" w:hint="default"/>
                <w:sz w:val="21"/>
                <w:szCs w:val="21"/>
              </w:rPr>
            </w:pPr>
            <w:r>
              <w:rPr>
                <w:rFonts w:ascii="宋体"/>
                <w:sz w:val="21"/>
              </w:rPr>
              <w:t>13,018,107.40</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0" w:lineRule="exact"/>
        <w:jc w:val="left"/>
        <w:rPr>
          <w:rFonts w:ascii="宋体" w:hAnsi="宋体" w:cs="宋体" w:eastAsia="宋体" w:hint="default"/>
          <w:sz w:val="21"/>
          <w:szCs w:val="21"/>
        </w:rPr>
        <w:sectPr>
          <w:type w:val="continuous"/>
          <w:pgSz w:w="11910" w:h="16840"/>
          <w:pgMar w:top="1080" w:bottom="1380" w:left="154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3" w:type="dxa"/>
        <w:tblLayout w:type="fixed"/>
        <w:tblCellMar>
          <w:top w:w="0" w:type="dxa"/>
          <w:left w:w="0" w:type="dxa"/>
          <w:bottom w:w="0" w:type="dxa"/>
          <w:right w:w="0" w:type="dxa"/>
        </w:tblCellMar>
        <w:tblLook w:val="01E0"/>
      </w:tblPr>
      <w:tblGrid>
        <w:gridCol w:w="2476"/>
        <w:gridCol w:w="2138"/>
        <w:gridCol w:w="2139"/>
        <w:gridCol w:w="2142"/>
      </w:tblGrid>
      <w:tr>
        <w:trPr>
          <w:trHeight w:val="282"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中关村科技园风险补贴</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1,437,500.00</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0</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海淀区人民政府办公室房</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租补贴</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730,000.00</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0</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6"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年科技服务业促进专</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项支持</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200,000.00</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7"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成网条件下城轨交通运输</w:t>
            </w:r>
          </w:p>
          <w:p>
            <w:pPr>
              <w:pStyle w:val="TableParagraph"/>
              <w:spacing w:line="272" w:lineRule="exact" w:before="26"/>
              <w:ind w:left="25" w:right="128"/>
              <w:jc w:val="left"/>
              <w:rPr>
                <w:rFonts w:ascii="宋体" w:hAnsi="宋体" w:cs="宋体" w:eastAsia="宋体" w:hint="default"/>
                <w:sz w:val="21"/>
                <w:szCs w:val="21"/>
              </w:rPr>
            </w:pPr>
            <w:r>
              <w:rPr>
                <w:rFonts w:ascii="宋体" w:hAnsi="宋体" w:cs="宋体" w:eastAsia="宋体" w:hint="default"/>
                <w:sz w:val="21"/>
                <w:szCs w:val="21"/>
              </w:rPr>
              <w:t>组织关键技术与系统研制 项目补助</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123,492.27</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154,430.00</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中关村科技企业家协会补</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助款</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100,000.00</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0</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国家知识产权专利资助金</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4,550.00</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2,400.00</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Productivity&amp;Innovation</w:t>
            </w:r>
          </w:p>
          <w:p>
            <w:pPr>
              <w:pStyle w:val="TableParagraph"/>
              <w:spacing w:line="272" w:lineRule="exact" w:before="26"/>
              <w:ind w:left="235" w:right="128" w:hanging="210"/>
              <w:jc w:val="left"/>
              <w:rPr>
                <w:rFonts w:ascii="宋体" w:hAnsi="宋体" w:cs="宋体" w:eastAsia="宋体" w:hint="default"/>
                <w:sz w:val="21"/>
                <w:szCs w:val="21"/>
              </w:rPr>
            </w:pPr>
            <w:r>
              <w:rPr>
                <w:rFonts w:ascii="宋体"/>
                <w:sz w:val="21"/>
              </w:rPr>
              <w:t>CreditI-Sprint Innovations Pte Ltd.</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659,615.47</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驰名商标奖励</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0</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500,000.00</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中关村商标促进资金</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0</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500,000.00</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天河科技园管委会科技项</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目奖励资金</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0</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402,000.00</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面向</w:t>
            </w:r>
            <w:r>
              <w:rPr>
                <w:rFonts w:ascii="宋体" w:hAnsi="宋体" w:cs="宋体" w:eastAsia="宋体" w:hint="default"/>
                <w:spacing w:val="-54"/>
                <w:sz w:val="21"/>
                <w:szCs w:val="21"/>
              </w:rPr>
              <w:t> </w:t>
            </w:r>
            <w:r>
              <w:rPr>
                <w:rFonts w:ascii="宋体" w:hAnsi="宋体" w:cs="宋体" w:eastAsia="宋体" w:hint="default"/>
                <w:sz w:val="21"/>
                <w:szCs w:val="21"/>
              </w:rPr>
              <w:t>SOA</w:t>
            </w:r>
            <w:r>
              <w:rPr>
                <w:rFonts w:ascii="宋体" w:hAnsi="宋体" w:cs="宋体" w:eastAsia="宋体" w:hint="default"/>
                <w:spacing w:val="-53"/>
                <w:sz w:val="21"/>
                <w:szCs w:val="21"/>
              </w:rPr>
              <w:t> </w:t>
            </w:r>
            <w:r>
              <w:rPr>
                <w:rFonts w:ascii="宋体" w:hAnsi="宋体" w:cs="宋体" w:eastAsia="宋体" w:hint="default"/>
                <w:sz w:val="21"/>
                <w:szCs w:val="21"/>
              </w:rPr>
              <w:t>的工作平台</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234,000.08</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中关村企业信用促进会支</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持资金</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0</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4,500.00</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科技局专利补贴款</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0</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4,200.00</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北京市工业促进局企业技</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术中心专项补助</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0</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0.15</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4"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18,251,883.68</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15,479,253.10</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2"/>
        <w:spacing w:line="240" w:lineRule="auto"/>
        <w:ind w:right="-18"/>
        <w:jc w:val="left"/>
        <w:rPr>
          <w:b w:val="0"/>
          <w:bCs w:val="0"/>
        </w:rPr>
      </w:pPr>
      <w:r>
        <w:rPr>
          <w:rFonts w:ascii="宋体" w:hAnsi="宋体" w:cs="宋体" w:eastAsia="宋体" w:hint="default"/>
        </w:rPr>
        <w:t>51</w:t>
      </w:r>
      <w:r>
        <w:rPr/>
        <w:t>、</w:t>
      </w:r>
      <w:r>
        <w:rPr>
          <w:spacing w:val="-101"/>
        </w:rPr>
        <w:t> </w:t>
      </w:r>
      <w:r>
        <w:rPr/>
        <w:t>营业外支出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tabs>
          <w:tab w:pos="1267" w:val="left" w:leader="none"/>
        </w:tabs>
        <w:spacing w:before="139"/>
        <w:ind w:left="21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580" w:right="1040"/>
          <w:cols w:num="2" w:equalWidth="0">
            <w:col w:w="1929" w:space="459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27"/>
        <w:gridCol w:w="2376"/>
        <w:gridCol w:w="2330"/>
        <w:gridCol w:w="2317"/>
      </w:tblGrid>
      <w:tr>
        <w:trPr>
          <w:trHeight w:val="556"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34"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318,124.14</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528,633.83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318,124.14</w:t>
            </w:r>
          </w:p>
        </w:tc>
      </w:tr>
      <w:tr>
        <w:trPr>
          <w:trHeight w:val="554"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318,124.14</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528,633.83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318,124.14</w:t>
            </w: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2,178,397.62</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627,717.11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2,178,397.62</w:t>
            </w:r>
          </w:p>
        </w:tc>
      </w:tr>
      <w:tr>
        <w:trPr>
          <w:trHeight w:val="283"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罚款及滞纳金</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708,846.71</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7,230.47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708,846.71</w:t>
            </w: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公益性捐赠支出</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330,094.54</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319,891.65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330,094.54</w:t>
            </w: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非常损失</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4,577.80</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11,791.20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4,577.80</w:t>
            </w: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385,204.98</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10,690.90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385,204.98</w:t>
            </w:r>
          </w:p>
        </w:tc>
      </w:tr>
      <w:tr>
        <w:trPr>
          <w:trHeight w:val="283"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3,925,245.79</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1,505,955.16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3,925,245.79</w:t>
            </w:r>
          </w:p>
        </w:tc>
      </w:tr>
    </w:tbl>
    <w:p>
      <w:pPr>
        <w:spacing w:before="24"/>
        <w:ind w:left="218" w:right="101" w:firstLine="0"/>
        <w:jc w:val="left"/>
        <w:rPr>
          <w:rFonts w:ascii="宋体" w:hAnsi="宋体" w:cs="宋体" w:eastAsia="宋体" w:hint="default"/>
          <w:sz w:val="21"/>
          <w:szCs w:val="21"/>
        </w:rPr>
      </w:pPr>
      <w:r>
        <w:rPr>
          <w:rFonts w:ascii="宋体" w:hAnsi="宋体" w:cs="宋体" w:eastAsia="宋体" w:hint="default"/>
          <w:sz w:val="21"/>
          <w:szCs w:val="21"/>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0000ff">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080" w:bottom="1380" w:left="1580" w:right="1040"/>
        </w:sectPr>
      </w:pPr>
    </w:p>
    <w:p>
      <w:pPr>
        <w:pStyle w:val="Heading2"/>
        <w:spacing w:line="283" w:lineRule="auto"/>
        <w:ind w:right="-15"/>
        <w:jc w:val="left"/>
        <w:rPr>
          <w:b w:val="0"/>
          <w:bCs w:val="0"/>
        </w:rPr>
      </w:pPr>
      <w:r>
        <w:rPr>
          <w:rFonts w:ascii="宋体" w:hAnsi="宋体" w:cs="宋体" w:eastAsia="宋体" w:hint="default"/>
        </w:rPr>
        <w:t>52</w:t>
      </w:r>
      <w:r>
        <w:rPr/>
        <w:t>、</w:t>
      </w:r>
      <w:r>
        <w:rPr>
          <w:spacing w:val="-101"/>
        </w:rPr>
        <w:t> </w:t>
      </w:r>
      <w:r>
        <w:rPr/>
        <w:t>所得税费用</w:t>
      </w:r>
      <w:r>
        <w:rPr>
          <w:spacing w:val="1"/>
          <w:w w:val="99"/>
        </w:rPr>
        <w:t> </w:t>
      </w:r>
      <w:r>
        <w:rPr>
          <w:rFonts w:ascii="宋体" w:hAnsi="宋体" w:cs="宋体" w:eastAsia="宋体" w:hint="default"/>
        </w:rPr>
        <w:t>(1)</w:t>
      </w:r>
      <w:r>
        <w:rPr>
          <w:rFonts w:ascii="宋体" w:hAnsi="宋体" w:cs="宋体" w:eastAsia="宋体" w:hint="default"/>
          <w:spacing w:val="-66"/>
        </w:rPr>
        <w:t> </w:t>
      </w:r>
      <w:r>
        <w:rPr/>
        <w:t>所得税费用表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tabs>
          <w:tab w:pos="1267" w:val="left" w:leader="none"/>
        </w:tabs>
        <w:spacing w:before="0"/>
        <w:ind w:left="21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580" w:right="1040"/>
          <w:cols w:num="2" w:equalWidth="0">
            <w:col w:w="2087" w:space="4437"/>
            <w:col w:w="276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158"/>
        <w:gridCol w:w="2878"/>
        <w:gridCol w:w="2861"/>
      </w:tblGrid>
      <w:tr>
        <w:trPr>
          <w:trHeight w:val="293"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
              <w:jc w:val="center"/>
              <w:rPr>
                <w:rFonts w:ascii="宋体" w:hAnsi="宋体" w:cs="宋体" w:eastAsia="宋体" w:hint="default"/>
                <w:sz w:val="21"/>
                <w:szCs w:val="21"/>
              </w:rPr>
            </w:pPr>
            <w:r>
              <w:rPr>
                <w:rFonts w:ascii="宋体" w:hAnsi="宋体" w:cs="宋体" w:eastAsia="宋体" w:hint="default"/>
                <w:sz w:val="21"/>
                <w:szCs w:val="21"/>
              </w:rPr>
              <w:t>项目</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9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3" w:lineRule="exact"/>
        <w:jc w:val="left"/>
        <w:rPr>
          <w:rFonts w:ascii="宋体" w:hAnsi="宋体" w:cs="宋体" w:eastAsia="宋体" w:hint="default"/>
          <w:sz w:val="21"/>
          <w:szCs w:val="21"/>
        </w:rPr>
        <w:sectPr>
          <w:type w:val="continuous"/>
          <w:pgSz w:w="11910" w:h="16840"/>
          <w:pgMar w:top="108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3158"/>
        <w:gridCol w:w="2878"/>
        <w:gridCol w:w="2861"/>
      </w:tblGrid>
      <w:tr>
        <w:trPr>
          <w:trHeight w:val="287"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19,936,682.35</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8"/>
              <w:jc w:val="right"/>
              <w:rPr>
                <w:rFonts w:ascii="宋体" w:hAnsi="宋体" w:cs="宋体" w:eastAsia="宋体" w:hint="default"/>
                <w:sz w:val="21"/>
                <w:szCs w:val="21"/>
              </w:rPr>
            </w:pPr>
            <w:r>
              <w:rPr>
                <w:rFonts w:ascii="宋体"/>
                <w:sz w:val="21"/>
              </w:rPr>
              <w:t>23,599,850.27</w:t>
            </w:r>
          </w:p>
        </w:tc>
      </w:tr>
      <w:tr>
        <w:trPr>
          <w:trHeight w:val="288"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-9,278,203.18</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-3,736,576.29</w:t>
            </w:r>
          </w:p>
        </w:tc>
      </w:tr>
      <w:tr>
        <w:trPr>
          <w:trHeight w:val="287"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8"/>
              <w:jc w:val="right"/>
              <w:rPr>
                <w:rFonts w:ascii="宋体" w:hAnsi="宋体" w:cs="宋体" w:eastAsia="宋体" w:hint="default"/>
                <w:sz w:val="21"/>
                <w:szCs w:val="21"/>
              </w:rPr>
            </w:pPr>
            <w:r>
              <w:rPr>
                <w:rFonts w:ascii="宋体"/>
                <w:sz w:val="21"/>
              </w:rPr>
              <w:t>10,658,479.17</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8"/>
              <w:jc w:val="right"/>
              <w:rPr>
                <w:rFonts w:ascii="宋体" w:hAnsi="宋体" w:cs="宋体" w:eastAsia="宋体" w:hint="default"/>
                <w:sz w:val="21"/>
                <w:szCs w:val="21"/>
              </w:rPr>
            </w:pPr>
            <w:r>
              <w:rPr>
                <w:rFonts w:ascii="宋体"/>
                <w:sz w:val="21"/>
              </w:rPr>
              <w:t>19,863,273.98</w:t>
            </w:r>
          </w:p>
        </w:tc>
      </w:tr>
    </w:tbl>
    <w:p>
      <w:pPr>
        <w:spacing w:line="240" w:lineRule="auto" w:before="7"/>
        <w:rPr>
          <w:rFonts w:ascii="宋体" w:hAnsi="宋体" w:cs="宋体" w:eastAsia="宋体" w:hint="default"/>
          <w:sz w:val="20"/>
          <w:szCs w:val="20"/>
        </w:rPr>
      </w:pPr>
    </w:p>
    <w:p>
      <w:pPr>
        <w:pStyle w:val="Heading2"/>
        <w:spacing w:line="240" w:lineRule="auto"/>
        <w:ind w:left="158" w:right="0"/>
        <w:jc w:val="left"/>
        <w:rPr>
          <w:b w:val="0"/>
          <w:bCs w:val="0"/>
        </w:rPr>
      </w:pPr>
      <w:r>
        <w:rPr>
          <w:rFonts w:ascii="宋体" w:hAnsi="宋体" w:cs="宋体" w:eastAsia="宋体" w:hint="default"/>
        </w:rPr>
        <w:t>(2)</w:t>
      </w:r>
      <w:r>
        <w:rPr>
          <w:rFonts w:ascii="宋体" w:hAnsi="宋体" w:cs="宋体" w:eastAsia="宋体" w:hint="default"/>
          <w:spacing w:val="-74"/>
        </w:rPr>
        <w:t> </w:t>
      </w:r>
      <w:r>
        <w:rPr/>
        <w:t>会计利润与所得税费用调整过程：</w:t>
      </w:r>
      <w:r>
        <w:rPr>
          <w:b w:val="0"/>
          <w:bCs w:val="0"/>
        </w:rPr>
      </w:r>
    </w:p>
    <w:p>
      <w:pPr>
        <w:spacing w:line="240" w:lineRule="auto" w:before="4"/>
        <w:rPr>
          <w:rFonts w:ascii="宋体" w:hAnsi="宋体" w:cs="宋体" w:eastAsia="宋体" w:hint="default"/>
          <w:b/>
          <w:bCs/>
          <w:sz w:val="7"/>
          <w:szCs w:val="7"/>
        </w:rPr>
      </w:pPr>
    </w:p>
    <w:tbl>
      <w:tblPr>
        <w:tblW w:w="0" w:type="auto"/>
        <w:jc w:val="left"/>
        <w:tblInd w:w="119" w:type="dxa"/>
        <w:tblLayout w:type="fixed"/>
        <w:tblCellMar>
          <w:top w:w="0" w:type="dxa"/>
          <w:left w:w="0" w:type="dxa"/>
          <w:bottom w:w="0" w:type="dxa"/>
          <w:right w:w="0" w:type="dxa"/>
        </w:tblCellMar>
        <w:tblLook w:val="01E0"/>
      </w:tblPr>
      <w:tblGrid>
        <w:gridCol w:w="4302"/>
        <w:gridCol w:w="4594"/>
      </w:tblGrid>
      <w:tr>
        <w:trPr>
          <w:trHeight w:val="282"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594" w:type="dxa"/>
            <w:tcBorders>
              <w:top w:val="single" w:sz="4" w:space="0" w:color="000000"/>
              <w:left w:val="single" w:sz="4" w:space="0" w:color="000000"/>
              <w:bottom w:val="single" w:sz="4" w:space="0" w:color="000000"/>
              <w:right w:val="single" w:sz="5"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6"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b/>
                <w:bCs/>
                <w:sz w:val="21"/>
                <w:szCs w:val="21"/>
              </w:rPr>
              <w:t>利润总额</w:t>
            </w:r>
            <w:r>
              <w:rPr>
                <w:rFonts w:ascii="宋体" w:hAnsi="宋体" w:cs="宋体" w:eastAsia="宋体" w:hint="default"/>
                <w:sz w:val="21"/>
                <w:szCs w:val="21"/>
              </w:rPr>
            </w:r>
          </w:p>
        </w:tc>
        <w:tc>
          <w:tcPr>
            <w:tcW w:w="459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116,126,814.46</w:t>
            </w:r>
          </w:p>
        </w:tc>
      </w:tr>
      <w:tr>
        <w:trPr>
          <w:trHeight w:val="559"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按法定（或适用）税率计算的所得税费用（本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期为</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z w:val="21"/>
                <w:szCs w:val="21"/>
              </w:rPr>
              <w:t>，上期为</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z w:val="21"/>
                <w:szCs w:val="21"/>
              </w:rPr>
              <w:t>）</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11,612,681.45</w:t>
            </w:r>
          </w:p>
        </w:tc>
      </w:tr>
      <w:tr>
        <w:trPr>
          <w:trHeight w:val="287"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某些子公司适用不同税率的影响</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1,827,350.70</w:t>
            </w:r>
          </w:p>
        </w:tc>
      </w:tr>
      <w:tr>
        <w:trPr>
          <w:trHeight w:val="288"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对以前期间当期所得税的调整</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-520,250.52</w:t>
            </w:r>
          </w:p>
        </w:tc>
      </w:tr>
      <w:tr>
        <w:trPr>
          <w:trHeight w:val="287"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权益法核算的合营企业和联营企业损益</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234,187.41</w:t>
            </w:r>
          </w:p>
        </w:tc>
      </w:tr>
      <w:tr>
        <w:trPr>
          <w:trHeight w:val="288"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无须纳税的收入（以“</w:t>
            </w:r>
            <w:r>
              <w:rPr>
                <w:rFonts w:ascii="宋体" w:hAnsi="宋体" w:cs="宋体" w:eastAsia="宋体" w:hint="default"/>
                <w:sz w:val="21"/>
                <w:szCs w:val="21"/>
              </w:rPr>
              <w:t>-</w:t>
            </w:r>
            <w:r>
              <w:rPr>
                <w:rFonts w:ascii="宋体" w:hAnsi="宋体" w:cs="宋体" w:eastAsia="宋体" w:hint="default"/>
                <w:sz w:val="21"/>
                <w:szCs w:val="21"/>
              </w:rPr>
              <w:t>”填列）</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-6,030,364.28</w:t>
            </w:r>
          </w:p>
        </w:tc>
      </w:tr>
      <w:tr>
        <w:trPr>
          <w:trHeight w:val="287"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-1,357,600.27</w:t>
            </w:r>
          </w:p>
        </w:tc>
      </w:tr>
      <w:tr>
        <w:trPr>
          <w:trHeight w:val="288"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税率变动对期初递延所得税余额的影响</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-67,876.31</w:t>
            </w:r>
          </w:p>
        </w:tc>
      </w:tr>
      <w:tr>
        <w:trPr>
          <w:trHeight w:val="559" w:hRule="exact"/>
        </w:trPr>
        <w:tc>
          <w:tcPr>
            <w:tcW w:w="4302"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利用以前年度未确认可抵扣亏损和可抵扣暂时</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性差异的纳税影响（以“</w:t>
            </w:r>
            <w:r>
              <w:rPr>
                <w:rFonts w:ascii="宋体" w:hAnsi="宋体" w:cs="宋体" w:eastAsia="宋体" w:hint="default"/>
                <w:sz w:val="21"/>
                <w:szCs w:val="21"/>
              </w:rPr>
              <w:t>-</w:t>
            </w:r>
            <w:r>
              <w:rPr>
                <w:rFonts w:ascii="宋体" w:hAnsi="宋体" w:cs="宋体" w:eastAsia="宋体" w:hint="default"/>
                <w:sz w:val="21"/>
                <w:szCs w:val="21"/>
              </w:rPr>
              <w:t>”填列）</w:t>
            </w:r>
          </w:p>
        </w:tc>
        <w:tc>
          <w:tcPr>
            <w:tcW w:w="45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-658,264.29</w:t>
            </w:r>
          </w:p>
        </w:tc>
      </w:tr>
      <w:tr>
        <w:trPr>
          <w:trHeight w:val="560" w:hRule="exact"/>
        </w:trPr>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未确认可抵扣亏损和可抵扣暂时性差异的纳税</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影响</w:t>
            </w:r>
          </w:p>
        </w:tc>
        <w:tc>
          <w:tcPr>
            <w:tcW w:w="45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12,766,561.74</w:t>
            </w:r>
          </w:p>
        </w:tc>
      </w:tr>
      <w:tr>
        <w:trPr>
          <w:trHeight w:val="287" w:hRule="exact"/>
        </w:trPr>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研究开发费加成扣除的纳税影</w:t>
            </w:r>
            <w:r>
              <w:rPr>
                <w:rFonts w:ascii="宋体" w:hAnsi="宋体" w:cs="宋体" w:eastAsia="宋体" w:hint="default"/>
                <w:spacing w:val="-86"/>
                <w:sz w:val="21"/>
                <w:szCs w:val="21"/>
              </w:rPr>
              <w:t>响</w:t>
            </w:r>
            <w:r>
              <w:rPr>
                <w:rFonts w:ascii="宋体" w:hAnsi="宋体" w:cs="宋体" w:eastAsia="宋体" w:hint="default"/>
                <w:sz w:val="21"/>
                <w:szCs w:val="21"/>
              </w:rPr>
              <w:t>（</w:t>
            </w:r>
            <w:r>
              <w:rPr>
                <w:rFonts w:ascii="宋体" w:hAnsi="宋体" w:cs="宋体" w:eastAsia="宋体" w:hint="default"/>
                <w:spacing w:val="-86"/>
                <w:sz w:val="21"/>
                <w:szCs w:val="21"/>
              </w:rPr>
              <w:t>以</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”填列</w:t>
            </w:r>
          </w:p>
        </w:tc>
        <w:tc>
          <w:tcPr>
            <w:tcW w:w="4594" w:type="dxa"/>
            <w:tcBorders>
              <w:top w:val="single" w:sz="6" w:space="0" w:color="000000"/>
              <w:left w:val="single" w:sz="6" w:space="0" w:color="000000"/>
              <w:bottom w:val="single" w:sz="6" w:space="0" w:color="000000"/>
              <w:right w:val="single" w:sz="6" w:space="0" w:color="000000"/>
            </w:tcBorders>
          </w:tcPr>
          <w:p>
            <w:pPr>
              <w:pStyle w:val="TableParagraph"/>
              <w:tabs>
                <w:tab w:pos="3191" w:val="left" w:leader="none"/>
              </w:tabs>
              <w:spacing w:line="240" w:lineRule="exact"/>
              <w:ind w:left="-143" w:right="22"/>
              <w:jc w:val="right"/>
              <w:rPr>
                <w:rFonts w:ascii="宋体" w:hAnsi="宋体" w:cs="宋体" w:eastAsia="宋体" w:hint="default"/>
                <w:sz w:val="21"/>
                <w:szCs w:val="21"/>
              </w:rPr>
            </w:pPr>
            <w:r>
              <w:rPr>
                <w:rFonts w:ascii="宋体" w:hAnsi="宋体" w:cs="宋体" w:eastAsia="宋体" w:hint="default"/>
                <w:sz w:val="21"/>
                <w:szCs w:val="21"/>
              </w:rPr>
              <w:t>）</w:t>
              <w:tab/>
            </w:r>
            <w:r>
              <w:rPr>
                <w:rFonts w:ascii="宋体" w:hAnsi="宋体" w:cs="宋体" w:eastAsia="宋体" w:hint="default"/>
                <w:spacing w:val="-1"/>
                <w:sz w:val="21"/>
                <w:szCs w:val="21"/>
              </w:rPr>
              <w:t>-5,843,856.20</w:t>
            </w:r>
          </w:p>
        </w:tc>
      </w:tr>
      <w:tr>
        <w:trPr>
          <w:trHeight w:val="287" w:hRule="exact"/>
        </w:trPr>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5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-1,304,090.26</w:t>
            </w:r>
          </w:p>
        </w:tc>
      </w:tr>
      <w:tr>
        <w:trPr>
          <w:trHeight w:val="288" w:hRule="exact"/>
        </w:trPr>
        <w:tc>
          <w:tcPr>
            <w:tcW w:w="4302"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10,658,479.17</w:t>
            </w:r>
          </w:p>
        </w:tc>
      </w:tr>
    </w:tbl>
    <w:p>
      <w:pPr>
        <w:spacing w:line="240" w:lineRule="auto" w:before="1"/>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882" w:footer="1194" w:top="1120" w:bottom="1380" w:left="1640" w:right="1120"/>
        </w:sectPr>
      </w:pPr>
    </w:p>
    <w:p>
      <w:pPr>
        <w:pStyle w:val="Heading2"/>
        <w:spacing w:line="240" w:lineRule="auto"/>
        <w:ind w:left="158" w:right="0"/>
        <w:jc w:val="left"/>
        <w:rPr>
          <w:b w:val="0"/>
          <w:bCs w:val="0"/>
        </w:rPr>
      </w:pPr>
      <w:r>
        <w:rPr>
          <w:rFonts w:ascii="宋体" w:hAnsi="宋体" w:cs="宋体" w:eastAsia="宋体" w:hint="default"/>
        </w:rPr>
        <w:t>53</w:t>
      </w:r>
      <w:r>
        <w:rPr/>
        <w:t>、</w:t>
      </w:r>
      <w:r>
        <w:rPr>
          <w:spacing w:val="-108"/>
        </w:rPr>
        <w:t> </w:t>
      </w:r>
      <w:r>
        <w:rPr/>
        <w:t>现金流量表项目</w:t>
      </w:r>
      <w:r>
        <w:rPr>
          <w:b w:val="0"/>
          <w:bCs w:val="0"/>
        </w:rPr>
      </w:r>
    </w:p>
    <w:p>
      <w:pPr>
        <w:pStyle w:val="Heading2"/>
        <w:tabs>
          <w:tab w:pos="857" w:val="left" w:leader="none"/>
        </w:tabs>
        <w:spacing w:line="240" w:lineRule="auto" w:before="58"/>
        <w:ind w:left="158" w:right="0"/>
        <w:jc w:val="left"/>
        <w:rPr>
          <w:b w:val="0"/>
          <w:bCs w:val="0"/>
        </w:rPr>
      </w:pPr>
      <w:r>
        <w:rPr>
          <w:rFonts w:ascii="宋体" w:hAnsi="宋体" w:cs="宋体" w:eastAsia="宋体" w:hint="default"/>
          <w:w w:val="95"/>
        </w:rPr>
        <w:t>(1).</w:t>
        <w:tab/>
      </w:r>
      <w:r>
        <w:rPr>
          <w:w w:val="95"/>
        </w:rPr>
        <w:t>收到的其他与经营活动有关的现金：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tabs>
          <w:tab w:pos="1207" w:val="left" w:leader="none"/>
        </w:tabs>
        <w:spacing w:before="0"/>
        <w:ind w:left="15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640" w:right="1120"/>
          <w:cols w:num="2" w:equalWidth="0">
            <w:col w:w="4710" w:space="1814"/>
            <w:col w:w="2626"/>
          </w:cols>
        </w:sectPr>
      </w:pP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347"/>
        <w:gridCol w:w="2778"/>
        <w:gridCol w:w="2769"/>
      </w:tblGrid>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5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使用受到限制的货币资金</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17,544,503.77</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50,465,135.48</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2,595,542.27</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2,461,145.62</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9,352,999.45</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4,272,364.62</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保证金及押金</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7,585,547.65</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6,188,089.09</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所得税退税</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2,469,755.37</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14,672,140.20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6,368,963.73</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3,438,826.70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45,917,312.24</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81,497,701.71</w:t>
            </w:r>
          </w:p>
        </w:tc>
      </w:tr>
    </w:tbl>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80" w:bottom="1380" w:left="1640" w:right="1120"/>
        </w:sectPr>
      </w:pPr>
    </w:p>
    <w:p>
      <w:pPr>
        <w:pStyle w:val="Heading2"/>
        <w:tabs>
          <w:tab w:pos="857" w:val="left" w:leader="none"/>
        </w:tabs>
        <w:spacing w:line="240" w:lineRule="auto"/>
        <w:ind w:left="158" w:right="0"/>
        <w:jc w:val="left"/>
        <w:rPr>
          <w:b w:val="0"/>
          <w:bCs w:val="0"/>
        </w:rPr>
      </w:pPr>
      <w:r>
        <w:rPr>
          <w:rFonts w:ascii="宋体" w:hAnsi="宋体" w:cs="宋体" w:eastAsia="宋体" w:hint="default"/>
          <w:w w:val="95"/>
        </w:rPr>
        <w:t>(2).</w:t>
        <w:tab/>
      </w:r>
      <w:r>
        <w:rPr>
          <w:w w:val="95"/>
        </w:rPr>
        <w:t>支付的其他与经营活动有关的现金：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tabs>
          <w:tab w:pos="1207" w:val="left" w:leader="none"/>
        </w:tabs>
        <w:spacing w:before="140"/>
        <w:ind w:left="15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640" w:right="1120"/>
          <w:cols w:num="2" w:equalWidth="0">
            <w:col w:w="4710" w:space="1814"/>
            <w:col w:w="2626"/>
          </w:cols>
        </w:sectPr>
      </w:pPr>
    </w:p>
    <w:p>
      <w:pPr>
        <w:spacing w:line="240" w:lineRule="auto" w:before="5"/>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347"/>
        <w:gridCol w:w="2759"/>
        <w:gridCol w:w="2788"/>
      </w:tblGrid>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4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使用受到限制的货币资金</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10,060,450.74</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0</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付现费用</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215,000,168.97</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218,966,310.20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11,564,604.80</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14,785,072.67</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保证金及押金</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7,846,497.09</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12,479,603.77</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953,239.86</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2,811,901.00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245,424,961.46</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249,042,887.64</w:t>
            </w:r>
          </w:p>
        </w:tc>
      </w:tr>
    </w:tbl>
    <w:p>
      <w:pPr>
        <w:spacing w:after="0" w:line="241" w:lineRule="exact"/>
        <w:jc w:val="right"/>
        <w:rPr>
          <w:rFonts w:ascii="宋体" w:hAnsi="宋体" w:cs="宋体" w:eastAsia="宋体" w:hint="default"/>
          <w:sz w:val="21"/>
          <w:szCs w:val="21"/>
        </w:rPr>
        <w:sectPr>
          <w:type w:val="continuous"/>
          <w:pgSz w:w="11910" w:h="16840"/>
          <w:pgMar w:top="1080" w:bottom="1380" w:left="1640" w:right="112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1580" w:right="1040"/>
        </w:sectPr>
      </w:pPr>
    </w:p>
    <w:p>
      <w:pPr>
        <w:pStyle w:val="Heading2"/>
        <w:tabs>
          <w:tab w:pos="946" w:val="left" w:leader="none"/>
        </w:tabs>
        <w:spacing w:line="240" w:lineRule="auto"/>
        <w:ind w:right="0"/>
        <w:jc w:val="left"/>
        <w:rPr>
          <w:b w:val="0"/>
          <w:bCs w:val="0"/>
        </w:rPr>
      </w:pPr>
      <w:r>
        <w:rPr>
          <w:rFonts w:ascii="宋体" w:hAnsi="宋体" w:cs="宋体" w:eastAsia="宋体" w:hint="default"/>
          <w:w w:val="95"/>
        </w:rPr>
        <w:t>(3).</w:t>
        <w:tab/>
      </w:r>
      <w:r>
        <w:rPr>
          <w:w w:val="95"/>
        </w:rPr>
        <w:t>收到的其他与投资活动有关的现金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tabs>
          <w:tab w:pos="1267" w:val="left" w:leader="none"/>
        </w:tabs>
        <w:spacing w:before="139"/>
        <w:ind w:left="21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w:t>
      </w:r>
      <w:r>
        <w:rPr>
          <w:rFonts w:ascii="宋体" w:hAnsi="宋体" w:cs="宋体" w:eastAsia="宋体" w:hint="default"/>
          <w:sz w:val="21"/>
          <w:szCs w:val="21"/>
        </w:rPr>
        <w:t>:</w:t>
      </w:r>
      <w:r>
        <w:rPr>
          <w:rFonts w:ascii="宋体" w:hAnsi="宋体" w:cs="宋体" w:eastAsia="宋体" w:hint="default"/>
          <w:sz w:val="21"/>
          <w:szCs w:val="21"/>
        </w:rPr>
        <w:t>人民币</w:t>
      </w:r>
    </w:p>
    <w:p>
      <w:pPr>
        <w:spacing w:after="0"/>
        <w:jc w:val="left"/>
        <w:rPr>
          <w:rFonts w:ascii="宋体" w:hAnsi="宋体" w:cs="宋体" w:eastAsia="宋体" w:hint="default"/>
          <w:sz w:val="21"/>
          <w:szCs w:val="21"/>
        </w:rPr>
        <w:sectPr>
          <w:type w:val="continuous"/>
          <w:pgSz w:w="11910" w:h="16840"/>
          <w:pgMar w:top="1080" w:bottom="1380" w:left="1580" w:right="1040"/>
          <w:cols w:num="2" w:equalWidth="0">
            <w:col w:w="4558" w:space="2071"/>
            <w:col w:w="2661"/>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347"/>
        <w:gridCol w:w="2862"/>
        <w:gridCol w:w="2685"/>
      </w:tblGrid>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17,397,334.82</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21,976,207.42</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现金折扣</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5,346,092.00</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2,813,026.12</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融资保证金</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29,838,730.60</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29,454,939.61</w:t>
            </w:r>
          </w:p>
        </w:tc>
      </w:tr>
      <w:tr>
        <w:trPr>
          <w:trHeight w:val="559"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非同一控制下取得子公司的期初货</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币资金</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26,552,746.33</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与资产相关的政府补助</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20,349,622.65</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14,140,970.00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使用受到限制的货币资金</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16,500,000.00</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89,431,780.07</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94,937,889.48</w:t>
            </w:r>
          </w:p>
        </w:tc>
      </w:tr>
    </w:tbl>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080" w:bottom="1380" w:left="1580" w:right="1040"/>
        </w:sectPr>
      </w:pPr>
    </w:p>
    <w:p>
      <w:pPr>
        <w:pStyle w:val="Heading2"/>
        <w:tabs>
          <w:tab w:pos="946" w:val="left" w:leader="none"/>
        </w:tabs>
        <w:spacing w:line="240" w:lineRule="auto"/>
        <w:ind w:right="0"/>
        <w:jc w:val="left"/>
        <w:rPr>
          <w:b w:val="0"/>
          <w:bCs w:val="0"/>
        </w:rPr>
      </w:pPr>
      <w:r>
        <w:rPr>
          <w:rFonts w:ascii="宋体" w:hAnsi="宋体" w:cs="宋体" w:eastAsia="宋体" w:hint="default"/>
          <w:w w:val="95"/>
        </w:rPr>
        <w:t>(4).</w:t>
        <w:tab/>
      </w:r>
      <w:r>
        <w:rPr>
          <w:w w:val="95"/>
        </w:rPr>
        <w:t>支付的其他与投资活动有关的现金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tabs>
          <w:tab w:pos="1267" w:val="left" w:leader="none"/>
        </w:tabs>
        <w:spacing w:before="140"/>
        <w:ind w:left="21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580" w:right="1040"/>
          <w:cols w:num="2" w:equalWidth="0">
            <w:col w:w="4558" w:space="1966"/>
            <w:col w:w="2766"/>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347"/>
        <w:gridCol w:w="2864"/>
        <w:gridCol w:w="2682"/>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持有待售的货币资金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847,845.72</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9,173,615.07</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支付借款</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307,265.01</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15,100,000.00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项目保证金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55,516,002.00</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0</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使用受到限制的货币资金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16,500,000.00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56,671,112.73</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40,773,615.07</w:t>
            </w:r>
          </w:p>
        </w:tc>
      </w:tr>
    </w:tbl>
    <w:p>
      <w:pPr>
        <w:spacing w:line="240" w:lineRule="auto" w:before="9"/>
        <w:rPr>
          <w:rFonts w:ascii="宋体" w:hAnsi="宋体" w:cs="宋体" w:eastAsia="宋体" w:hint="default"/>
          <w:sz w:val="24"/>
          <w:szCs w:val="24"/>
        </w:rPr>
      </w:pPr>
    </w:p>
    <w:p>
      <w:pPr>
        <w:tabs>
          <w:tab w:pos="1057" w:val="left" w:leader="none"/>
        </w:tabs>
        <w:spacing w:before="35"/>
        <w:ind w:left="218" w:right="101" w:firstLine="0"/>
        <w:jc w:val="left"/>
        <w:rPr>
          <w:rFonts w:ascii="宋体" w:hAnsi="宋体" w:cs="宋体" w:eastAsia="宋体" w:hint="default"/>
          <w:sz w:val="21"/>
          <w:szCs w:val="21"/>
        </w:rPr>
      </w:pPr>
      <w:r>
        <w:rPr>
          <w:rFonts w:ascii="宋体" w:hAnsi="宋体" w:cs="宋体" w:eastAsia="宋体" w:hint="default"/>
          <w:b/>
          <w:bCs/>
          <w:w w:val="95"/>
          <w:sz w:val="21"/>
          <w:szCs w:val="21"/>
        </w:rPr>
        <w:t>(5).</w:t>
        <w:tab/>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tabs>
          <w:tab w:pos="1049" w:val="left" w:leader="none"/>
        </w:tabs>
        <w:spacing w:before="58"/>
        <w:ind w:left="0" w:right="232"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347"/>
        <w:gridCol w:w="2864"/>
        <w:gridCol w:w="2682"/>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增发款</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1,000,000.00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手续费</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8,659,736.61</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9,716,365.36</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回购款</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32,934,749.30</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14,188,640.16</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支付减资款</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10,500,000.00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使用受到限制的货币资金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31,748,375.00</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10,100,000.00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73,342,860.91</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45,505,005.52</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080" w:bottom="1380" w:left="1580" w:right="1040"/>
        </w:sectPr>
      </w:pPr>
    </w:p>
    <w:p>
      <w:pPr>
        <w:spacing w:line="290" w:lineRule="auto" w:before="35"/>
        <w:ind w:left="218" w:right="-19" w:firstLine="0"/>
        <w:jc w:val="left"/>
        <w:rPr>
          <w:rFonts w:ascii="宋体" w:hAnsi="宋体" w:cs="宋体" w:eastAsia="宋体" w:hint="default"/>
          <w:sz w:val="21"/>
          <w:szCs w:val="21"/>
        </w:rPr>
      </w:pPr>
      <w:r>
        <w:rPr>
          <w:rFonts w:ascii="宋体" w:hAnsi="宋体" w:cs="宋体" w:eastAsia="宋体" w:hint="default"/>
          <w:b/>
          <w:bCs/>
          <w:sz w:val="21"/>
          <w:szCs w:val="21"/>
        </w:rPr>
        <w:t>54</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金流量表补充资料</w:t>
      </w:r>
      <w:r>
        <w:rPr>
          <w:rFonts w:ascii="宋体" w:hAnsi="宋体" w:cs="宋体" w:eastAsia="宋体" w:hint="default"/>
          <w:b/>
          <w:bCs/>
          <w:spacing w:val="1"/>
          <w:w w:val="99"/>
          <w:sz w:val="21"/>
          <w:szCs w:val="21"/>
        </w:rPr>
        <w:t> </w:t>
      </w: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tabs>
          <w:tab w:pos="1267" w:val="left" w:leader="none"/>
        </w:tabs>
        <w:spacing w:before="176"/>
        <w:ind w:left="21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580" w:right="1040"/>
          <w:cols w:num="2" w:equalWidth="0">
            <w:col w:w="2540" w:space="3984"/>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3"/>
        <w:gridCol w:w="2800"/>
        <w:gridCol w:w="2768"/>
      </w:tblGrid>
      <w:tr>
        <w:trPr>
          <w:trHeight w:val="28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0" w:type="dxa"/>
            <w:tcBorders>
              <w:top w:val="single" w:sz="4" w:space="0" w:color="000000"/>
              <w:left w:val="single" w:sz="4" w:space="0" w:color="000000"/>
              <w:bottom w:val="single" w:sz="4" w:space="0" w:color="000000"/>
              <w:right w:val="single" w:sz="5"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8" w:type="dxa"/>
            <w:tcBorders>
              <w:top w:val="single" w:sz="4" w:space="0" w:color="000000"/>
              <w:left w:val="single" w:sz="5" w:space="0" w:color="000000"/>
              <w:bottom w:val="single" w:sz="4" w:space="0" w:color="000000"/>
              <w:right w:val="single" w:sz="5"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0" w:type="dxa"/>
            <w:tcBorders>
              <w:top w:val="single" w:sz="4" w:space="0" w:color="000000"/>
              <w:left w:val="single" w:sz="4" w:space="0" w:color="000000"/>
              <w:bottom w:val="single" w:sz="6" w:space="0" w:color="000000"/>
              <w:right w:val="single" w:sz="6" w:space="0" w:color="000000"/>
            </w:tcBorders>
          </w:tcPr>
          <w:p>
            <w:pPr/>
          </w:p>
        </w:tc>
        <w:tc>
          <w:tcPr>
            <w:tcW w:w="2768" w:type="dxa"/>
            <w:tcBorders>
              <w:top w:val="single" w:sz="4" w:space="0" w:color="000000"/>
              <w:left w:val="single" w:sz="6" w:space="0" w:color="000000"/>
              <w:bottom w:val="single" w:sz="6" w:space="0" w:color="000000"/>
              <w:right w:val="single" w:sz="6" w:space="0" w:color="000000"/>
            </w:tcBorders>
          </w:tcPr>
          <w:p>
            <w:pP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105,468,335.29</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50,611,189.51</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23,135,548.78</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31,221,015.88</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固定资产折旧、油气资产折耗、生产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23,204,771.43</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22,571,596.65</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38,564,681.21</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31,806,663.03</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1,016,989.24</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2,270,799.33</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处置固定资产</w:t>
            </w:r>
            <w:r>
              <w:rPr>
                <w:rFonts w:ascii="宋体" w:hAnsi="宋体" w:cs="宋体" w:eastAsia="宋体" w:hint="default"/>
                <w:spacing w:val="-94"/>
                <w:sz w:val="21"/>
                <w:szCs w:val="21"/>
              </w:rPr>
              <w:t>、</w:t>
            </w:r>
            <w:r>
              <w:rPr>
                <w:rFonts w:ascii="宋体" w:hAnsi="宋体" w:cs="宋体" w:eastAsia="宋体" w:hint="default"/>
                <w:sz w:val="21"/>
                <w:szCs w:val="21"/>
              </w:rPr>
              <w:t>无形资产和其他长期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资产的损失（收益以“－”号填列）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-849,276.43</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241,718.98</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w:t>
            </w:r>
            <w:r>
              <w:rPr>
                <w:rFonts w:ascii="宋体" w:hAnsi="宋体" w:cs="宋体" w:eastAsia="宋体" w:hint="default"/>
                <w:spacing w:val="-94"/>
                <w:sz w:val="21"/>
                <w:szCs w:val="21"/>
              </w:rPr>
              <w:t>失</w:t>
            </w:r>
            <w:r>
              <w:rPr>
                <w:rFonts w:ascii="宋体" w:hAnsi="宋体" w:cs="宋体" w:eastAsia="宋体" w:hint="default"/>
                <w:sz w:val="21"/>
                <w:szCs w:val="21"/>
              </w:rPr>
              <w:t>（收益以“－”号</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bl>
    <w:p>
      <w:pPr>
        <w:spacing w:after="0" w:line="241" w:lineRule="exact"/>
        <w:jc w:val="right"/>
        <w:rPr>
          <w:rFonts w:ascii="宋体" w:hAnsi="宋体" w:cs="宋体" w:eastAsia="宋体" w:hint="default"/>
          <w:sz w:val="21"/>
          <w:szCs w:val="21"/>
        </w:rPr>
        <w:sectPr>
          <w:type w:val="continuous"/>
          <w:pgSz w:w="11910" w:h="16840"/>
          <w:pgMar w:top="108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83"/>
        <w:gridCol w:w="2800"/>
        <w:gridCol w:w="2768"/>
      </w:tblGrid>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w:t>
            </w:r>
            <w:r>
              <w:rPr>
                <w:rFonts w:ascii="宋体" w:hAnsi="宋体" w:cs="宋体" w:eastAsia="宋体" w:hint="default"/>
                <w:spacing w:val="-94"/>
                <w:sz w:val="21"/>
                <w:szCs w:val="21"/>
              </w:rPr>
              <w:t>失</w:t>
            </w:r>
            <w:r>
              <w:rPr>
                <w:rFonts w:ascii="宋体" w:hAnsi="宋体" w:cs="宋体" w:eastAsia="宋体" w:hint="default"/>
                <w:sz w:val="21"/>
                <w:szCs w:val="21"/>
              </w:rPr>
              <w:t>（收益以“－”号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67,023,905.88</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49,370,362.77</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-39,855,871.90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-1,833,487.29</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w:t>
            </w:r>
            <w:r>
              <w:rPr>
                <w:rFonts w:ascii="宋体" w:hAnsi="宋体" w:cs="宋体" w:eastAsia="宋体" w:hint="default"/>
                <w:spacing w:val="-94"/>
                <w:sz w:val="21"/>
                <w:szCs w:val="21"/>
              </w:rPr>
              <w:t>少</w:t>
            </w:r>
            <w:r>
              <w:rPr>
                <w:rFonts w:ascii="宋体" w:hAnsi="宋体" w:cs="宋体" w:eastAsia="宋体" w:hint="default"/>
                <w:sz w:val="21"/>
                <w:szCs w:val="21"/>
              </w:rPr>
              <w:t>（增加以“－”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-8,555,307.71</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-3,413,756.42</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w:t>
            </w:r>
            <w:r>
              <w:rPr>
                <w:rFonts w:ascii="宋体" w:hAnsi="宋体" w:cs="宋体" w:eastAsia="宋体" w:hint="default"/>
                <w:spacing w:val="-94"/>
                <w:sz w:val="21"/>
                <w:szCs w:val="21"/>
              </w:rPr>
              <w:t>加</w:t>
            </w:r>
            <w:r>
              <w:rPr>
                <w:rFonts w:ascii="宋体" w:hAnsi="宋体" w:cs="宋体" w:eastAsia="宋体" w:hint="default"/>
                <w:sz w:val="21"/>
                <w:szCs w:val="21"/>
              </w:rPr>
              <w:t>（减少以“－”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-688,522.86</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-322,819.87</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-148,718,504.92</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-25,410,009.42</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169,541,608.11</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155,754,894.23</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39,715,607.17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-37,627,954.52</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7,484,053.03</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48,695,867.51</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276,488,016.32</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323,936,080.37</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0.00</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0.00</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1,656,283,956.88</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1,274,847,964.37</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1,274,847,964.37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682,031,166.42</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0.00</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381,435,992.51</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592,816,797.95</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before="35"/>
        <w:ind w:left="218" w:right="101"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3"/>
          <w:sz w:val="21"/>
          <w:szCs w:val="21"/>
        </w:rPr>
        <w:t> </w:t>
      </w:r>
      <w:r>
        <w:rPr>
          <w:rFonts w:ascii="宋体" w:hAnsi="宋体" w:cs="宋体" w:eastAsia="宋体" w:hint="default"/>
          <w:b/>
          <w:bCs/>
          <w:sz w:val="21"/>
          <w:szCs w:val="21"/>
        </w:rPr>
        <w:t>本期支付的取得子公司的现金净额</w:t>
      </w:r>
      <w:r>
        <w:rPr>
          <w:rFonts w:ascii="宋体" w:hAnsi="宋体" w:cs="宋体" w:eastAsia="宋体" w:hint="default"/>
          <w:sz w:val="21"/>
          <w:szCs w:val="21"/>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5916"/>
        <w:gridCol w:w="3134"/>
      </w:tblGrid>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9,047,000.00</w:t>
            </w:r>
          </w:p>
        </w:tc>
      </w:tr>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其中：石家庄华胜正明软件技术有限公司</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6,650,000.00</w:t>
            </w: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北京中域绿色智能城市系统研究院（有限合伙）</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2,397,000.00</w:t>
            </w:r>
          </w:p>
        </w:tc>
      </w:tr>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1,801,940.58</w:t>
            </w: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其中：石家庄华胜正明软件技术有限公司</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356,151.21</w:t>
            </w:r>
          </w:p>
        </w:tc>
      </w:tr>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北京中域绿色智能城市系统研究院（有限合伙）</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1,445,789.37</w:t>
            </w: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15,432,690.00</w:t>
            </w:r>
          </w:p>
        </w:tc>
      </w:tr>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其中：广州石竹计算机软件有限公司</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12,720,000.00</w:t>
            </w: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浙江兰德纵横网络技术有限公司</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2,712,690.00</w:t>
            </w:r>
          </w:p>
        </w:tc>
      </w:tr>
      <w:tr>
        <w:trPr>
          <w:trHeight w:val="286" w:hRule="exact"/>
        </w:trPr>
        <w:tc>
          <w:tcPr>
            <w:tcW w:w="5916"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3134"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22,677,749.42</w:t>
            </w:r>
          </w:p>
        </w:tc>
      </w:tr>
    </w:tbl>
    <w:p>
      <w:pPr>
        <w:spacing w:line="240" w:lineRule="auto" w:before="0"/>
        <w:rPr>
          <w:rFonts w:ascii="宋体" w:hAnsi="宋体" w:cs="宋体" w:eastAsia="宋体" w:hint="default"/>
          <w:b/>
          <w:bCs/>
          <w:sz w:val="20"/>
          <w:szCs w:val="20"/>
        </w:rPr>
      </w:pPr>
    </w:p>
    <w:p>
      <w:pPr>
        <w:spacing w:before="35"/>
        <w:ind w:left="218" w:right="101"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3"/>
          <w:sz w:val="21"/>
          <w:szCs w:val="21"/>
        </w:rPr>
        <w:t> </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tabs>
          <w:tab w:pos="1049" w:val="left" w:leader="none"/>
        </w:tabs>
        <w:spacing w:before="58"/>
        <w:ind w:left="0" w:right="232"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5"/>
      </w:tblGrid>
      <w:tr>
        <w:trPr>
          <w:trHeight w:val="29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6"/>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1,656,283,956.88</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1,274,847,964.37</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555,835.95</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452,874.35</w:t>
            </w:r>
          </w:p>
        </w:tc>
      </w:tr>
    </w:tbl>
    <w:p>
      <w:pPr>
        <w:spacing w:after="0" w:line="241" w:lineRule="exact"/>
        <w:jc w:val="right"/>
        <w:rPr>
          <w:rFonts w:ascii="宋体" w:hAnsi="宋体" w:cs="宋体" w:eastAsia="宋体" w:hint="default"/>
          <w:sz w:val="21"/>
          <w:szCs w:val="21"/>
        </w:rPr>
        <w:sectPr>
          <w:footerReference w:type="default" r:id="rId50"/>
          <w:pgSz w:w="11910" w:h="16840"/>
          <w:pgMar w:footer="1194" w:header="882"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5"/>
      </w:tblGrid>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3"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1,655,728,120.93</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1,274,382,796.96</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12,293.06</w:t>
            </w:r>
          </w:p>
        </w:tc>
      </w:tr>
      <w:tr>
        <w:trPr>
          <w:trHeight w:val="55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r>
      <w:tr>
        <w:trPr>
          <w:trHeight w:val="29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1,656,283,956.88</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1,274,847,964.37</w:t>
            </w:r>
          </w:p>
        </w:tc>
      </w:tr>
      <w:tr>
        <w:trPr>
          <w:trHeight w:val="55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51"/>
          <w:pgSz w:w="11910" w:h="16840"/>
          <w:pgMar w:footer="1194" w:header="882" w:top="1120" w:bottom="1380" w:left="1580" w:right="1040"/>
          <w:pgNumType w:start="151"/>
        </w:sectPr>
      </w:pPr>
    </w:p>
    <w:p>
      <w:pPr>
        <w:pStyle w:val="Heading2"/>
        <w:spacing w:line="240" w:lineRule="auto"/>
        <w:ind w:right="-8"/>
        <w:jc w:val="left"/>
        <w:rPr>
          <w:b w:val="0"/>
          <w:bCs w:val="0"/>
        </w:rPr>
      </w:pPr>
      <w:r>
        <w:rPr>
          <w:rFonts w:ascii="宋体" w:hAnsi="宋体" w:cs="宋体" w:eastAsia="宋体" w:hint="default"/>
          <w:w w:val="95"/>
        </w:rPr>
        <w:t>55</w:t>
      </w:r>
      <w:r>
        <w:rPr>
          <w:w w:val="95"/>
        </w:rPr>
        <w:t>、</w:t>
      </w:r>
      <w:r>
        <w:rPr>
          <w:spacing w:val="84"/>
          <w:w w:val="95"/>
        </w:rPr>
        <w:t> </w:t>
      </w:r>
      <w:r>
        <w:rPr>
          <w:w w:val="95"/>
        </w:rPr>
        <w:t>所有权或使用权受到限制的资产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tabs>
          <w:tab w:pos="1267" w:val="left" w:leader="none"/>
        </w:tabs>
        <w:spacing w:before="139"/>
        <w:ind w:left="21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580" w:right="1040"/>
          <w:cols w:num="2" w:equalWidth="0">
            <w:col w:w="4093" w:space="2431"/>
            <w:col w:w="2766"/>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3155"/>
        <w:gridCol w:w="3046"/>
        <w:gridCol w:w="2693"/>
      </w:tblGrid>
      <w:tr>
        <w:trPr>
          <w:trHeight w:val="28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361"/>
              <w:jc w:val="right"/>
              <w:rPr>
                <w:rFonts w:ascii="宋体" w:hAnsi="宋体" w:cs="宋体" w:eastAsia="宋体" w:hint="default"/>
                <w:sz w:val="21"/>
                <w:szCs w:val="21"/>
              </w:rPr>
            </w:pPr>
            <w:r>
              <w:rPr>
                <w:rFonts w:ascii="宋体" w:hAnsi="宋体" w:cs="宋体" w:eastAsia="宋体" w:hint="default"/>
                <w:sz w:val="21"/>
                <w:szCs w:val="21"/>
              </w:rPr>
              <w:t>项目</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8"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82,461,352.25</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r>
      <w:tr>
        <w:trPr>
          <w:trHeight w:val="283"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10,772,181.92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抵押担保</w:t>
            </w:r>
          </w:p>
        </w:tc>
      </w:tr>
      <w:tr>
        <w:trPr>
          <w:trHeight w:val="28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56,935,747.32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抵押担保</w:t>
            </w:r>
          </w:p>
        </w:tc>
      </w:tr>
      <w:tr>
        <w:trPr>
          <w:trHeight w:val="284"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3046" w:type="dxa"/>
            <w:tcBorders>
              <w:top w:val="single" w:sz="4" w:space="0" w:color="000000"/>
              <w:left w:val="single" w:sz="4" w:space="0" w:color="000000"/>
              <w:bottom w:val="single" w:sz="6"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637,753,288.50</w:t>
            </w:r>
          </w:p>
        </w:tc>
        <w:tc>
          <w:tcPr>
            <w:tcW w:w="2693" w:type="dxa"/>
            <w:tcBorders>
              <w:top w:val="single" w:sz="4" w:space="0" w:color="000000"/>
              <w:left w:val="single" w:sz="4" w:space="0" w:color="000000"/>
              <w:bottom w:val="single" w:sz="6"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用于保理业务取得银行借款</w:t>
            </w:r>
          </w:p>
        </w:tc>
      </w:tr>
      <w:tr>
        <w:trPr>
          <w:trHeight w:val="288"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61"/>
              <w:jc w:val="right"/>
              <w:rPr>
                <w:rFonts w:ascii="宋体" w:hAnsi="宋体" w:cs="宋体" w:eastAsia="宋体" w:hint="default"/>
                <w:sz w:val="21"/>
                <w:szCs w:val="21"/>
              </w:rPr>
            </w:pPr>
            <w:r>
              <w:rPr>
                <w:rFonts w:ascii="宋体" w:hAnsi="宋体" w:cs="宋体" w:eastAsia="宋体" w:hint="default"/>
                <w:sz w:val="21"/>
                <w:szCs w:val="21"/>
              </w:rPr>
              <w:t>合计</w:t>
            </w:r>
          </w:p>
        </w:tc>
        <w:tc>
          <w:tcPr>
            <w:tcW w:w="3046"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787,922,569.99</w:t>
            </w:r>
          </w:p>
        </w:tc>
        <w:tc>
          <w:tcPr>
            <w:tcW w:w="2693"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080" w:bottom="1380" w:left="1580" w:right="1040"/>
        </w:sectPr>
      </w:pPr>
    </w:p>
    <w:p>
      <w:pPr>
        <w:pStyle w:val="Heading2"/>
        <w:tabs>
          <w:tab w:pos="917" w:val="left" w:leader="none"/>
        </w:tabs>
        <w:spacing w:line="283" w:lineRule="auto"/>
        <w:ind w:right="0"/>
        <w:jc w:val="left"/>
        <w:rPr>
          <w:rFonts w:ascii="宋体" w:hAnsi="宋体" w:cs="宋体" w:eastAsia="宋体" w:hint="default"/>
          <w:b w:val="0"/>
          <w:bCs w:val="0"/>
        </w:rPr>
      </w:pPr>
      <w:r>
        <w:rPr>
          <w:rFonts w:ascii="宋体" w:hAnsi="宋体" w:cs="宋体" w:eastAsia="宋体" w:hint="default"/>
        </w:rPr>
        <w:t>56</w:t>
      </w:r>
      <w:r>
        <w:rPr/>
        <w:t>、</w:t>
      </w:r>
      <w:r>
        <w:rPr>
          <w:spacing w:val="-101"/>
        </w:rPr>
        <w:t> </w:t>
      </w:r>
      <w:r>
        <w:rPr/>
        <w:t>外币货币性项目</w:t>
      </w:r>
      <w:r>
        <w:rPr>
          <w:w w:val="99"/>
        </w:rPr>
        <w:t> </w:t>
      </w:r>
      <w:r>
        <w:rPr>
          <w:rFonts w:ascii="宋体" w:hAnsi="宋体" w:cs="宋体" w:eastAsia="宋体" w:hint="default"/>
          <w:w w:val="95"/>
        </w:rPr>
        <w:t>(1).</w:t>
        <w:tab/>
      </w:r>
      <w:r>
        <w:rPr>
          <w:w w:val="95"/>
        </w:rPr>
        <w:t>外币货币性项目</w:t>
      </w:r>
      <w:r>
        <w:rPr>
          <w:rFonts w:ascii="宋体" w:hAnsi="宋体" w:cs="宋体" w:eastAsia="宋体" w:hint="default"/>
          <w:b w:val="0"/>
          <w:bCs w:val="0"/>
          <w:w w:val="95"/>
        </w:rPr>
        <w:t>：</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before="0"/>
        <w:ind w:left="217"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80" w:bottom="1380" w:left="1580" w:right="1040"/>
          <w:cols w:num="2" w:equalWidth="0">
            <w:col w:w="2845" w:space="5149"/>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8"/>
        <w:gridCol w:w="2045"/>
      </w:tblGrid>
      <w:tr>
        <w:trPr>
          <w:trHeight w:val="55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9"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02"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144,496,636.57</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7,684,003.29</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6.1190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47,018,416.13</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98,724,292.81</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0.7889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77,883,594.60</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澳门币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869,434.41</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0.7771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675,637.48</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泰铢</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41,561,173.74</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0.1887</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7,842,593.48</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新台币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55,968,573.00</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0.1961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10,975,437.17</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新加坡元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5.53</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4.6396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25.66</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13,537.75</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7.4556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100,932.05</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601,589,783.09</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41,351,136.95</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6.1190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253,027,607.00</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泰铢</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12,801,397.46</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0.1887</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2,415,623.70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397,870,109.83</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0.7889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313,879,729.64</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新台币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64,619,402.00</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0.1961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12,671,864.73</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澳门币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25,215,490.95</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0.7771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19,594,958.02</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15,929,874.17</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2,603,346.00</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6.1190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15,929,874.17</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22,466,069.58</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2,242,929.16</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6.1190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13,724,483.53</w:t>
            </w:r>
          </w:p>
        </w:tc>
      </w:tr>
    </w:tbl>
    <w:p>
      <w:pPr>
        <w:spacing w:after="0" w:line="240" w:lineRule="exact"/>
        <w:jc w:val="right"/>
        <w:rPr>
          <w:rFonts w:ascii="宋体" w:hAnsi="宋体" w:cs="宋体" w:eastAsia="宋体" w:hint="default"/>
          <w:sz w:val="21"/>
          <w:szCs w:val="21"/>
        </w:rPr>
        <w:sectPr>
          <w:type w:val="continuous"/>
          <w:pgSz w:w="11910" w:h="16840"/>
          <w:pgMar w:top="108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425" w:type="dxa"/>
        <w:tblLayout w:type="fixed"/>
        <w:tblCellMar>
          <w:top w:w="0" w:type="dxa"/>
          <w:left w:w="0" w:type="dxa"/>
          <w:bottom w:w="0" w:type="dxa"/>
          <w:right w:w="0" w:type="dxa"/>
        </w:tblCellMar>
        <w:tblLook w:val="01E0"/>
      </w:tblPr>
      <w:tblGrid>
        <w:gridCol w:w="2897"/>
        <w:gridCol w:w="2050"/>
        <w:gridCol w:w="2058"/>
        <w:gridCol w:w="2045"/>
      </w:tblGrid>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6,099,422.77</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0.7889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4,811,834.62</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泰铢</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4,463,292.33</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0.1887</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842,223.26</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新台币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2,658,120.00</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0.1961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521,257.33</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澳门币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1,449,334.23</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0.7771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1,126,277.63</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新加坡元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310,370.12</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4.6396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1,439,993.21</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166,316,550.31</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21,765,443.75</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6.1190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133,182,750.31</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42,000,000.00</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0.7889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33,133,800.00</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265,522,199.13</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19,164,861.62</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6.1190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117,269,788.25</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166,598,596.89</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0.7889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131,429,633.09</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泰铢</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16,268,976.57</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0.1887</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3,069,955.88</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新台币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49,060,823.98</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0.1961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9,620,827.58</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澳门币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1,286,410.41</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0.7771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999,669.53</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新加坡元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675,128.20</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4.6396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3,132,324.80</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15,091,358.93</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1,475,955.45</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6.1190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9,031,371.40</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6,424,031.96</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0.7889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5,067,918.81</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泰铢</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2,984,217.33</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0.1887</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563,121.81</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新台币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1,548,962.00</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0.1961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303,751.45</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澳门币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161,105.99</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0.7771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125,195.46</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29,371,200.00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4,800,000.00</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6.1190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29,371,200.00</w:t>
            </w:r>
          </w:p>
        </w:tc>
      </w:tr>
    </w:tbl>
    <w:p>
      <w:pPr>
        <w:spacing w:line="240" w:lineRule="auto" w:before="6"/>
        <w:rPr>
          <w:rFonts w:ascii="宋体" w:hAnsi="宋体" w:cs="宋体" w:eastAsia="宋体" w:hint="default"/>
          <w:sz w:val="20"/>
          <w:szCs w:val="20"/>
        </w:rPr>
      </w:pPr>
    </w:p>
    <w:p>
      <w:pPr>
        <w:pStyle w:val="Heading2"/>
        <w:tabs>
          <w:tab w:pos="1237" w:val="left" w:leader="none"/>
        </w:tabs>
        <w:spacing w:line="310" w:lineRule="exact" w:before="58"/>
        <w:ind w:left="958" w:right="119" w:hanging="420"/>
        <w:jc w:val="left"/>
        <w:rPr>
          <w:b w:val="0"/>
          <w:bCs w:val="0"/>
        </w:rPr>
      </w:pPr>
      <w:r>
        <w:rPr>
          <w:rFonts w:ascii="宋体" w:hAnsi="宋体" w:cs="宋体" w:eastAsia="宋体" w:hint="default"/>
          <w:w w:val="95"/>
        </w:rPr>
        <w:t>(2).</w:t>
        <w:tab/>
      </w:r>
      <w:r>
        <w:rPr>
          <w:spacing w:val="-6"/>
        </w:rPr>
        <w:t>境外经营实体说明，包括对于重要的境外经营实体，应披露其境外主要经营地、</w:t>
      </w:r>
      <w:r>
        <w:rPr>
          <w:w w:val="99"/>
        </w:rPr>
        <w:t> </w:t>
      </w:r>
      <w:r>
        <w:rPr/>
        <w:t>记账本位币及选择依据，记账本位币发生变化的还应披露原因。</w:t>
      </w:r>
      <w:r>
        <w:rPr>
          <w:b w:val="0"/>
          <w:bCs w:val="0"/>
        </w:rPr>
      </w:r>
    </w:p>
    <w:p>
      <w:pPr>
        <w:spacing w:before="32"/>
        <w:ind w:left="538" w:right="54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p>
    <w:p>
      <w:pPr>
        <w:pStyle w:val="BodyText"/>
        <w:spacing w:line="312" w:lineRule="exact" w:before="144"/>
        <w:ind w:left="538" w:right="722" w:firstLine="420"/>
        <w:jc w:val="left"/>
      </w:pPr>
      <w:r>
        <w:rPr/>
        <w:t>本公司重要境外经营实体</w:t>
      </w:r>
      <w:r>
        <w:rPr>
          <w:spacing w:val="-60"/>
        </w:rPr>
        <w:t> </w:t>
      </w:r>
      <w:r>
        <w:rPr>
          <w:rFonts w:ascii="宋体" w:hAnsi="宋体" w:cs="宋体" w:eastAsia="宋体" w:hint="default"/>
        </w:rPr>
        <w:t>Automated</w:t>
      </w:r>
      <w:r>
        <w:rPr>
          <w:rFonts w:ascii="宋体" w:hAnsi="宋体" w:cs="宋体" w:eastAsia="宋体" w:hint="default"/>
          <w:spacing w:val="-24"/>
        </w:rPr>
        <w:t> </w:t>
      </w:r>
      <w:r>
        <w:rPr>
          <w:rFonts w:ascii="宋体" w:hAnsi="宋体" w:cs="宋体" w:eastAsia="宋体" w:hint="default"/>
        </w:rPr>
        <w:t>Systems</w:t>
      </w:r>
      <w:r>
        <w:rPr>
          <w:rFonts w:ascii="宋体" w:hAnsi="宋体" w:cs="宋体" w:eastAsia="宋体" w:hint="default"/>
          <w:spacing w:val="-24"/>
        </w:rPr>
        <w:t> </w:t>
      </w:r>
      <w:r>
        <w:rPr>
          <w:rFonts w:ascii="宋体" w:hAnsi="宋体" w:cs="宋体" w:eastAsia="宋体" w:hint="default"/>
        </w:rPr>
        <w:t>Holdings</w:t>
      </w:r>
      <w:r>
        <w:rPr>
          <w:rFonts w:ascii="宋体" w:hAnsi="宋体" w:cs="宋体" w:eastAsia="宋体" w:hint="default"/>
          <w:spacing w:val="-26"/>
        </w:rPr>
        <w:t> </w:t>
      </w:r>
      <w:r>
        <w:rPr>
          <w:rFonts w:ascii="宋体" w:hAnsi="宋体" w:cs="宋体" w:eastAsia="宋体" w:hint="default"/>
        </w:rPr>
        <w:t>Limited</w:t>
      </w:r>
      <w:r>
        <w:rPr/>
        <w:t>，主要经营 地为香港，记账本位币为港币，本报告期记账本位币未发生变化。</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260" w:right="1040"/>
        </w:sectPr>
      </w:pPr>
    </w:p>
    <w:p>
      <w:pPr>
        <w:pStyle w:val="Heading2"/>
        <w:tabs>
          <w:tab w:pos="1377" w:val="left" w:leader="none"/>
        </w:tabs>
        <w:spacing w:line="283" w:lineRule="auto" w:before="158"/>
        <w:ind w:left="538" w:right="1439"/>
        <w:jc w:val="left"/>
        <w:rPr>
          <w:b w:val="0"/>
          <w:bCs w:val="0"/>
        </w:rPr>
      </w:pPr>
      <w:r>
        <w:rPr>
          <w:w w:val="95"/>
        </w:rPr>
        <w:t>八、</w:t>
        <w:tab/>
      </w:r>
      <w:r>
        <w:rPr/>
        <w:t>合并范围的变更</w:t>
      </w:r>
      <w:r>
        <w:rPr>
          <w:w w:val="99"/>
        </w:rPr>
        <w:t> </w:t>
      </w:r>
      <w:r>
        <w:rPr>
          <w:rFonts w:ascii="宋体" w:hAnsi="宋体" w:cs="宋体" w:eastAsia="宋体" w:hint="default"/>
        </w:rPr>
        <w:t>1</w:t>
      </w:r>
      <w:r>
        <w:rPr/>
        <w:t>、</w:t>
      </w:r>
      <w:r>
        <w:rPr>
          <w:spacing w:val="-74"/>
        </w:rPr>
        <w:t> </w:t>
      </w:r>
      <w:r>
        <w:rPr/>
        <w:t>非同一控制下企业合并</w:t>
      </w:r>
      <w:r>
        <w:rPr>
          <w:b w:val="0"/>
          <w:bCs w:val="0"/>
        </w:rPr>
      </w:r>
    </w:p>
    <w:p>
      <w:pPr>
        <w:pStyle w:val="Heading2"/>
        <w:spacing w:line="240" w:lineRule="auto" w:before="14"/>
        <w:ind w:left="538" w:right="-8"/>
        <w:jc w:val="left"/>
        <w:rPr>
          <w:b w:val="0"/>
          <w:bCs w:val="0"/>
        </w:rPr>
      </w:pPr>
      <w:r>
        <w:rPr>
          <w:rFonts w:ascii="宋体" w:hAnsi="宋体" w:cs="宋体" w:eastAsia="宋体" w:hint="default"/>
        </w:rPr>
        <w:t>(1).</w:t>
      </w:r>
      <w:r>
        <w:rPr>
          <w:rFonts w:ascii="宋体" w:hAnsi="宋体" w:cs="宋体" w:eastAsia="宋体" w:hint="default"/>
          <w:spacing w:val="38"/>
        </w:rPr>
        <w:t> </w:t>
      </w:r>
      <w:r>
        <w:rPr/>
        <w:t>本期发生的非同一控制下企业合并</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tabs>
          <w:tab w:pos="1587" w:val="left" w:leader="none"/>
        </w:tabs>
        <w:spacing w:before="0"/>
        <w:ind w:left="53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260" w:right="1040"/>
          <w:cols w:num="2" w:equalWidth="0">
            <w:col w:w="4808" w:space="1716"/>
            <w:col w:w="3086"/>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128"/>
        <w:gridCol w:w="854"/>
        <w:gridCol w:w="1297"/>
        <w:gridCol w:w="837"/>
        <w:gridCol w:w="852"/>
        <w:gridCol w:w="814"/>
        <w:gridCol w:w="993"/>
        <w:gridCol w:w="1297"/>
        <w:gridCol w:w="1297"/>
      </w:tblGrid>
      <w:tr>
        <w:trPr>
          <w:trHeight w:val="970" w:hRule="exact"/>
        </w:trPr>
        <w:tc>
          <w:tcPr>
            <w:tcW w:w="112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2" w:lineRule="exact"/>
              <w:ind w:left="468" w:right="106"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2" w:lineRule="exact"/>
              <w:ind w:left="150" w:right="149"/>
              <w:jc w:val="left"/>
              <w:rPr>
                <w:rFonts w:ascii="宋体" w:hAnsi="宋体" w:cs="宋体" w:eastAsia="宋体" w:hint="default"/>
                <w:sz w:val="18"/>
                <w:szCs w:val="18"/>
              </w:rPr>
            </w:pPr>
            <w:r>
              <w:rPr>
                <w:rFonts w:ascii="宋体" w:hAnsi="宋体" w:cs="宋体" w:eastAsia="宋体" w:hint="default"/>
                <w:sz w:val="18"/>
                <w:szCs w:val="18"/>
              </w:rPr>
              <w:t>股权取 得时点</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股权取得成本</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40" w:right="141"/>
              <w:jc w:val="left"/>
              <w:rPr>
                <w:rFonts w:ascii="宋体" w:hAnsi="宋体" w:cs="宋体" w:eastAsia="宋体" w:hint="default"/>
                <w:sz w:val="18"/>
                <w:szCs w:val="18"/>
              </w:rPr>
            </w:pPr>
            <w:r>
              <w:rPr>
                <w:rFonts w:ascii="宋体" w:hAnsi="宋体" w:cs="宋体" w:eastAsia="宋体" w:hint="default"/>
                <w:sz w:val="18"/>
                <w:szCs w:val="18"/>
              </w:rPr>
              <w:t>股权取 得比例</w:t>
            </w:r>
          </w:p>
          <w:p>
            <w:pPr>
              <w:pStyle w:val="TableParagraph"/>
              <w:spacing w:line="233" w:lineRule="exact"/>
              <w:ind w:left="1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2" w:lineRule="exact"/>
              <w:ind w:left="148" w:right="146"/>
              <w:jc w:val="left"/>
              <w:rPr>
                <w:rFonts w:ascii="宋体" w:hAnsi="宋体" w:cs="宋体" w:eastAsia="宋体" w:hint="default"/>
                <w:sz w:val="18"/>
                <w:szCs w:val="18"/>
              </w:rPr>
            </w:pPr>
            <w:r>
              <w:rPr>
                <w:rFonts w:ascii="宋体" w:hAnsi="宋体" w:cs="宋体" w:eastAsia="宋体" w:hint="default"/>
                <w:sz w:val="18"/>
                <w:szCs w:val="18"/>
              </w:rPr>
              <w:t>股权取 得方式</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2" w:lineRule="exact"/>
              <w:ind w:left="128" w:right="129"/>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99"/>
              <w:ind w:left="100" w:right="101"/>
              <w:jc w:val="center"/>
              <w:rPr>
                <w:rFonts w:ascii="宋体" w:hAnsi="宋体" w:cs="宋体" w:eastAsia="宋体" w:hint="default"/>
                <w:sz w:val="18"/>
                <w:szCs w:val="18"/>
              </w:rPr>
            </w:pPr>
            <w:r>
              <w:rPr>
                <w:rFonts w:ascii="宋体" w:hAnsi="宋体" w:cs="宋体" w:eastAsia="宋体" w:hint="default"/>
                <w:sz w:val="18"/>
                <w:szCs w:val="18"/>
              </w:rPr>
              <w:t>购买日至期末 被购买方的收 入</w:t>
            </w:r>
          </w:p>
        </w:tc>
        <w:tc>
          <w:tcPr>
            <w:tcW w:w="1297" w:type="dxa"/>
            <w:tcBorders>
              <w:top w:val="single" w:sz="6" w:space="0" w:color="000000"/>
              <w:left w:val="single" w:sz="6" w:space="0" w:color="000000"/>
              <w:bottom w:val="single" w:sz="6" w:space="0" w:color="000000"/>
              <w:right w:val="single" w:sz="4" w:space="0" w:color="000000"/>
            </w:tcBorders>
          </w:tcPr>
          <w:p>
            <w:pPr>
              <w:pStyle w:val="TableParagraph"/>
              <w:spacing w:line="237" w:lineRule="auto" w:before="99"/>
              <w:ind w:left="99" w:right="103"/>
              <w:jc w:val="center"/>
              <w:rPr>
                <w:rFonts w:ascii="宋体" w:hAnsi="宋体" w:cs="宋体" w:eastAsia="宋体" w:hint="default"/>
                <w:sz w:val="18"/>
                <w:szCs w:val="18"/>
              </w:rPr>
            </w:pPr>
            <w:r>
              <w:rPr>
                <w:rFonts w:ascii="宋体" w:hAnsi="宋体" w:cs="宋体" w:eastAsia="宋体" w:hint="default"/>
                <w:sz w:val="18"/>
                <w:szCs w:val="18"/>
              </w:rPr>
              <w:t>购买日至期末 被购买方的净 利润</w:t>
            </w:r>
          </w:p>
        </w:tc>
      </w:tr>
      <w:tr>
        <w:trPr>
          <w:trHeight w:val="715" w:hRule="exact"/>
        </w:trPr>
        <w:tc>
          <w:tcPr>
            <w:tcW w:w="1128"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石家庄华胜</w:t>
            </w:r>
          </w:p>
          <w:p>
            <w:pPr>
              <w:pStyle w:val="TableParagraph"/>
              <w:spacing w:line="232" w:lineRule="exact" w:before="24"/>
              <w:ind w:left="101" w:right="112"/>
              <w:jc w:val="left"/>
              <w:rPr>
                <w:rFonts w:ascii="宋体" w:hAnsi="宋体" w:cs="宋体" w:eastAsia="宋体" w:hint="default"/>
                <w:sz w:val="18"/>
                <w:szCs w:val="18"/>
              </w:rPr>
            </w:pPr>
            <w:r>
              <w:rPr>
                <w:rFonts w:ascii="宋体" w:hAnsi="宋体" w:cs="宋体" w:eastAsia="宋体" w:hint="default"/>
                <w:sz w:val="18"/>
                <w:szCs w:val="18"/>
              </w:rPr>
              <w:t>正明软件技 术有限公司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6,650,000.00</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70.00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企业合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并</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2" w:lineRule="exact" w:before="24"/>
              <w:ind w:left="100" w:right="247"/>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 </w:t>
            </w:r>
            <w:r>
              <w:rPr>
                <w:rFonts w:ascii="宋体" w:hAnsi="宋体" w:cs="宋体" w:eastAsia="宋体" w:hint="default"/>
                <w:sz w:val="18"/>
                <w:szCs w:val="18"/>
              </w:rPr>
              <w:t>日</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股权变更</w:t>
            </w:r>
          </w:p>
          <w:p>
            <w:pPr>
              <w:pStyle w:val="TableParagraph"/>
              <w:spacing w:line="232" w:lineRule="exact" w:before="24"/>
              <w:ind w:left="99" w:right="156"/>
              <w:jc w:val="left"/>
              <w:rPr>
                <w:rFonts w:ascii="宋体" w:hAnsi="宋体" w:cs="宋体" w:eastAsia="宋体" w:hint="default"/>
                <w:sz w:val="18"/>
                <w:szCs w:val="18"/>
              </w:rPr>
            </w:pPr>
            <w:r>
              <w:rPr>
                <w:rFonts w:ascii="宋体" w:hAnsi="宋体" w:cs="宋体" w:eastAsia="宋体" w:hint="default"/>
                <w:sz w:val="18"/>
                <w:szCs w:val="18"/>
              </w:rPr>
              <w:t>手续办理 完毕</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2,086,911.34</w:t>
            </w:r>
          </w:p>
        </w:tc>
        <w:tc>
          <w:tcPr>
            <w:tcW w:w="129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44,429.89</w:t>
            </w:r>
          </w:p>
        </w:tc>
      </w:tr>
      <w:tr>
        <w:trPr>
          <w:trHeight w:val="1180" w:hRule="exact"/>
        </w:trPr>
        <w:tc>
          <w:tcPr>
            <w:tcW w:w="1128"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北京中域绿</w:t>
            </w:r>
          </w:p>
          <w:p>
            <w:pPr>
              <w:pStyle w:val="TableParagraph"/>
              <w:spacing w:line="234" w:lineRule="exact" w:before="22"/>
              <w:ind w:left="101" w:right="112"/>
              <w:jc w:val="left"/>
              <w:rPr>
                <w:rFonts w:ascii="宋体" w:hAnsi="宋体" w:cs="宋体" w:eastAsia="宋体" w:hint="default"/>
                <w:sz w:val="18"/>
                <w:szCs w:val="18"/>
              </w:rPr>
            </w:pPr>
            <w:r>
              <w:rPr>
                <w:rFonts w:ascii="宋体" w:hAnsi="宋体" w:cs="宋体" w:eastAsia="宋体" w:hint="default"/>
                <w:sz w:val="18"/>
                <w:szCs w:val="18"/>
              </w:rPr>
              <w:t>色智能城市 系统研究院</w:t>
            </w:r>
          </w:p>
          <w:p>
            <w:pPr>
              <w:pStyle w:val="TableParagraph"/>
              <w:spacing w:line="232" w:lineRule="exact" w:before="1"/>
              <w:ind w:left="101" w:right="292"/>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854"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7"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2,397,000.00</w:t>
            </w:r>
          </w:p>
        </w:tc>
        <w:tc>
          <w:tcPr>
            <w:tcW w:w="837"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79.90</w:t>
            </w:r>
          </w:p>
        </w:tc>
        <w:tc>
          <w:tcPr>
            <w:tcW w:w="852"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企业合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并</w:t>
            </w:r>
          </w:p>
        </w:tc>
        <w:tc>
          <w:tcPr>
            <w:tcW w:w="814"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3"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股权变更</w:t>
            </w:r>
          </w:p>
          <w:p>
            <w:pPr>
              <w:pStyle w:val="TableParagraph"/>
              <w:spacing w:line="234" w:lineRule="exact" w:before="22"/>
              <w:ind w:left="99" w:right="156"/>
              <w:jc w:val="left"/>
              <w:rPr>
                <w:rFonts w:ascii="宋体" w:hAnsi="宋体" w:cs="宋体" w:eastAsia="宋体" w:hint="default"/>
                <w:sz w:val="18"/>
                <w:szCs w:val="18"/>
              </w:rPr>
            </w:pPr>
            <w:r>
              <w:rPr>
                <w:rFonts w:ascii="宋体" w:hAnsi="宋体" w:cs="宋体" w:eastAsia="宋体" w:hint="default"/>
                <w:sz w:val="18"/>
                <w:szCs w:val="18"/>
              </w:rPr>
              <w:t>手续办理 完毕</w:t>
            </w:r>
          </w:p>
        </w:tc>
        <w:tc>
          <w:tcPr>
            <w:tcW w:w="1297"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4,684,583.50</w:t>
            </w:r>
          </w:p>
        </w:tc>
        <w:tc>
          <w:tcPr>
            <w:tcW w:w="1297"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3,243,996.76</w:t>
            </w:r>
          </w:p>
        </w:tc>
      </w:tr>
    </w:tbl>
    <w:p>
      <w:pPr>
        <w:pStyle w:val="BodyText"/>
        <w:spacing w:line="240" w:lineRule="auto" w:before="81"/>
        <w:ind w:left="538" w:right="548"/>
        <w:jc w:val="left"/>
      </w:pPr>
      <w:r>
        <w:rPr/>
        <w:t>说明：</w:t>
      </w:r>
    </w:p>
    <w:p>
      <w:pPr>
        <w:spacing w:after="0" w:line="240" w:lineRule="auto"/>
        <w:jc w:val="left"/>
        <w:sectPr>
          <w:type w:val="continuous"/>
          <w:pgSz w:w="11910" w:h="16840"/>
          <w:pgMar w:top="1080" w:bottom="1380" w:left="1260" w:right="1040"/>
        </w:sectPr>
      </w:pPr>
    </w:p>
    <w:p>
      <w:pPr>
        <w:spacing w:line="240" w:lineRule="auto" w:before="9"/>
        <w:rPr>
          <w:rFonts w:ascii="宋体" w:hAnsi="宋体" w:cs="宋体" w:eastAsia="宋体" w:hint="default"/>
          <w:sz w:val="25"/>
          <w:szCs w:val="25"/>
        </w:rPr>
      </w:pPr>
    </w:p>
    <w:p>
      <w:pPr>
        <w:pStyle w:val="BodyText"/>
        <w:spacing w:line="237" w:lineRule="auto" w:before="28"/>
        <w:ind w:left="218" w:right="215" w:firstLine="424"/>
        <w:jc w:val="left"/>
      </w:pPr>
      <w:r>
        <w:rPr>
          <w:rFonts w:ascii="宋体" w:hAnsi="宋体" w:cs="宋体" w:eastAsia="宋体" w:hint="default"/>
        </w:rPr>
        <w:t>A</w:t>
      </w:r>
      <w:r>
        <w:rPr/>
        <w:t>、本公司之间接控制子公司北京华胜天成创业投资管理有限公司</w:t>
      </w:r>
      <w:r>
        <w:rPr>
          <w:spacing w:val="-77"/>
        </w:rPr>
        <w:t> </w:t>
      </w:r>
      <w:r>
        <w:rPr>
          <w:rFonts w:ascii="宋体" w:hAnsi="宋体" w:cs="宋体" w:eastAsia="宋体" w:hint="default"/>
        </w:rPr>
        <w:t>2013</w:t>
      </w:r>
      <w:r>
        <w:rPr>
          <w:rFonts w:ascii="宋体" w:hAnsi="宋体" w:cs="宋体" w:eastAsia="宋体" w:hint="default"/>
          <w:spacing w:val="-77"/>
        </w:rPr>
        <w:t> </w:t>
      </w:r>
      <w:r>
        <w:rPr/>
        <w:t>年投资</w:t>
      </w:r>
      <w:r>
        <w:rPr>
          <w:spacing w:val="-77"/>
        </w:rPr>
        <w:t> </w:t>
      </w:r>
      <w:r>
        <w:rPr>
          <w:rFonts w:ascii="宋体" w:hAnsi="宋体" w:cs="宋体" w:eastAsia="宋体" w:hint="default"/>
        </w:rPr>
        <w:t>60 </w:t>
      </w:r>
      <w:r>
        <w:rPr/>
        <w:t>万元，成立北京中域绿色智能城市系统研究院（有限合伙），持股比例</w:t>
      </w:r>
      <w:r>
        <w:rPr>
          <w:spacing w:val="-84"/>
        </w:rPr>
        <w:t> </w:t>
      </w:r>
      <w:r>
        <w:rPr>
          <w:rFonts w:ascii="宋体" w:hAnsi="宋体" w:cs="宋体" w:eastAsia="宋体" w:hint="default"/>
        </w:rPr>
        <w:t>20%</w:t>
      </w:r>
      <w:r>
        <w:rPr/>
        <w:t>。</w:t>
      </w:r>
      <w:r>
        <w:rPr>
          <w:rFonts w:ascii="宋体" w:hAnsi="宋体" w:cs="宋体" w:eastAsia="宋体" w:hint="default"/>
        </w:rPr>
        <w:t>2014</w:t>
      </w:r>
      <w:r>
        <w:rPr>
          <w:rFonts w:ascii="宋体" w:hAnsi="宋体" w:cs="宋体" w:eastAsia="宋体" w:hint="default"/>
          <w:spacing w:val="-84"/>
        </w:rPr>
        <w:t> </w:t>
      </w:r>
      <w:r>
        <w:rPr/>
        <w:t>年 北京华胜天成创业投资管理有限公司受让其他股东合计</w:t>
      </w:r>
      <w:r>
        <w:rPr>
          <w:spacing w:val="-60"/>
        </w:rPr>
        <w:t> </w:t>
      </w:r>
      <w:r>
        <w:rPr>
          <w:rFonts w:ascii="宋体" w:hAnsi="宋体" w:cs="宋体" w:eastAsia="宋体" w:hint="default"/>
        </w:rPr>
        <w:t>79.90%</w:t>
      </w:r>
      <w:r>
        <w:rPr/>
        <w:t>股份，支付受让对价 </w:t>
      </w:r>
      <w:r>
        <w:rPr>
          <w:rFonts w:ascii="宋体" w:hAnsi="宋体" w:cs="宋体" w:eastAsia="宋体" w:hint="default"/>
        </w:rPr>
        <w:t>2,397,000.00</w:t>
      </w:r>
      <w:r>
        <w:rPr>
          <w:rFonts w:ascii="宋体" w:hAnsi="宋体" w:cs="宋体" w:eastAsia="宋体" w:hint="default"/>
          <w:spacing w:val="-60"/>
        </w:rPr>
        <w:t> </w:t>
      </w:r>
      <w:r>
        <w:rPr>
          <w:spacing w:val="-3"/>
        </w:rPr>
        <w:t>元。相关股权变更手续已于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16</w:t>
      </w:r>
      <w:r>
        <w:rPr>
          <w:rFonts w:ascii="宋体" w:hAnsi="宋体" w:cs="宋体" w:eastAsia="宋体" w:hint="default"/>
          <w:spacing w:val="-60"/>
        </w:rPr>
        <w:t> </w:t>
      </w:r>
      <w:r>
        <w:rPr>
          <w:spacing w:val="-6"/>
        </w:rPr>
        <w:t>日办理完毕。变更后，北京</w:t>
      </w:r>
      <w:r>
        <w:rPr/>
        <w:t> 华胜天成创业投资管理有限公司持股比例增至</w:t>
      </w:r>
      <w:r>
        <w:rPr>
          <w:spacing w:val="-60"/>
        </w:rPr>
        <w:t> </w:t>
      </w:r>
      <w:r>
        <w:rPr>
          <w:rFonts w:ascii="宋体" w:hAnsi="宋体" w:cs="宋体" w:eastAsia="宋体" w:hint="default"/>
        </w:rPr>
        <w:t>99.90%</w:t>
      </w:r>
      <w:r>
        <w:rPr/>
        <w:t>。</w:t>
      </w:r>
    </w:p>
    <w:p>
      <w:pPr>
        <w:pStyle w:val="BodyText"/>
        <w:spacing w:line="237" w:lineRule="auto" w:before="121"/>
        <w:ind w:left="218" w:right="231" w:firstLine="424"/>
        <w:jc w:val="both"/>
      </w:pPr>
      <w:r>
        <w:rPr>
          <w:rFonts w:ascii="宋体" w:hAnsi="宋体" w:cs="宋体" w:eastAsia="宋体" w:hint="default"/>
          <w:spacing w:val="-4"/>
        </w:rPr>
        <w:t>B</w:t>
      </w:r>
      <w:r>
        <w:rPr>
          <w:spacing w:val="-4"/>
        </w:rPr>
        <w:t>、本公司间接控制子公司北京华胜天成创业投资管理有限公司原持股北京中域绿</w:t>
      </w:r>
      <w:r>
        <w:rPr/>
        <w:t> </w:t>
      </w:r>
      <w:r>
        <w:rPr>
          <w:spacing w:val="-3"/>
        </w:rPr>
        <w:t>色智能城市系统研究院（有限合伙）股权</w:t>
      </w:r>
      <w:r>
        <w:rPr>
          <w:spacing w:val="-50"/>
        </w:rPr>
        <w:t> </w:t>
      </w:r>
      <w:r>
        <w:rPr>
          <w:rFonts w:ascii="宋体" w:hAnsi="宋体" w:cs="宋体" w:eastAsia="宋体" w:hint="default"/>
          <w:spacing w:val="-3"/>
        </w:rPr>
        <w:t>99.90%</w:t>
      </w:r>
      <w:r>
        <w:rPr>
          <w:spacing w:val="-3"/>
        </w:rPr>
        <w:t>，根据协议，北京华胜天成创业投资</w:t>
      </w:r>
      <w:r>
        <w:rPr/>
        <w:t> </w:t>
      </w:r>
      <w:r>
        <w:rPr>
          <w:spacing w:val="7"/>
        </w:rPr>
        <w:t>管理有限公司将</w:t>
      </w:r>
      <w:r>
        <w:rPr>
          <w:spacing w:val="26"/>
        </w:rPr>
        <w:t> </w:t>
      </w:r>
      <w:r>
        <w:rPr>
          <w:rFonts w:ascii="宋体" w:hAnsi="宋体" w:cs="宋体" w:eastAsia="宋体" w:hint="default"/>
          <w:spacing w:val="7"/>
        </w:rPr>
        <w:t>20.35%</w:t>
      </w:r>
      <w:r>
        <w:rPr>
          <w:spacing w:val="7"/>
        </w:rPr>
        <w:t>转让给新股东北京川雨山亭商贸服务有限公司，转让价款</w:t>
      </w:r>
      <w:r>
        <w:rPr>
          <w:spacing w:val="-117"/>
        </w:rPr>
        <w:t> </w:t>
      </w:r>
      <w:r>
        <w:rPr>
          <w:spacing w:val="-117"/>
        </w:rPr>
      </w:r>
      <w:r>
        <w:rPr>
          <w:rFonts w:ascii="宋体" w:hAnsi="宋体" w:cs="宋体" w:eastAsia="宋体" w:hint="default"/>
        </w:rPr>
        <w:t>2,985,330.00</w:t>
      </w:r>
      <w:r>
        <w:rPr>
          <w:rFonts w:ascii="宋体" w:hAnsi="宋体" w:cs="宋体" w:eastAsia="宋体" w:hint="default"/>
          <w:spacing w:val="-44"/>
        </w:rPr>
        <w:t> </w:t>
      </w:r>
      <w:r>
        <w:rPr>
          <w:spacing w:val="-4"/>
        </w:rPr>
        <w:t>元，同时与北京川雨山亭商贸服务有限公司签订增资协议，北京川雨山</w:t>
      </w:r>
    </w:p>
    <w:p>
      <w:pPr>
        <w:pStyle w:val="BodyText"/>
        <w:spacing w:line="310" w:lineRule="exact"/>
        <w:ind w:left="218" w:right="0"/>
        <w:jc w:val="both"/>
      </w:pPr>
      <w:r>
        <w:rPr/>
        <w:t>亭商贸服务有限公司新增投资</w:t>
      </w:r>
      <w:r>
        <w:rPr>
          <w:spacing w:val="-51"/>
        </w:rPr>
        <w:t> </w:t>
      </w:r>
      <w:r>
        <w:rPr>
          <w:rFonts w:ascii="宋体" w:hAnsi="宋体" w:cs="宋体" w:eastAsia="宋体" w:hint="default"/>
        </w:rPr>
        <w:t>2,000,000.00</w:t>
      </w:r>
      <w:r>
        <w:rPr>
          <w:rFonts w:ascii="宋体" w:hAnsi="宋体" w:cs="宋体" w:eastAsia="宋体" w:hint="default"/>
          <w:spacing w:val="-52"/>
        </w:rPr>
        <w:t> </w:t>
      </w:r>
      <w:r>
        <w:rPr/>
        <w:t>元，并于</w:t>
      </w:r>
      <w:r>
        <w:rPr>
          <w:spacing w:val="-52"/>
        </w:rPr>
        <w:t> </w:t>
      </w:r>
      <w:r>
        <w:rPr>
          <w:rFonts w:ascii="宋体" w:hAnsi="宋体" w:cs="宋体" w:eastAsia="宋体" w:hint="default"/>
        </w:rPr>
        <w:t>2014</w:t>
      </w:r>
      <w:r>
        <w:rPr>
          <w:rFonts w:ascii="宋体" w:hAnsi="宋体" w:cs="宋体" w:eastAsia="宋体" w:hint="default"/>
          <w:spacing w:val="-52"/>
        </w:rPr>
        <w:t> </w:t>
      </w:r>
      <w:r>
        <w:rPr/>
        <w:t>年</w:t>
      </w:r>
      <w:r>
        <w:rPr>
          <w:spacing w:val="-51"/>
        </w:rPr>
        <w:t> </w:t>
      </w:r>
      <w:r>
        <w:rPr>
          <w:rFonts w:ascii="宋体" w:hAnsi="宋体" w:cs="宋体" w:eastAsia="宋体" w:hint="default"/>
        </w:rPr>
        <w:t>4</w:t>
      </w:r>
      <w:r>
        <w:rPr>
          <w:rFonts w:ascii="宋体" w:hAnsi="宋体" w:cs="宋体" w:eastAsia="宋体" w:hint="default"/>
          <w:spacing w:val="-53"/>
        </w:rPr>
        <w:t> </w:t>
      </w:r>
      <w:r>
        <w:rPr/>
        <w:t>月</w:t>
      </w:r>
      <w:r>
        <w:rPr>
          <w:spacing w:val="-52"/>
        </w:rPr>
        <w:t> </w:t>
      </w:r>
      <w:r>
        <w:rPr>
          <w:rFonts w:ascii="宋体" w:hAnsi="宋体" w:cs="宋体" w:eastAsia="宋体" w:hint="default"/>
        </w:rPr>
        <w:t>30</w:t>
      </w:r>
      <w:r>
        <w:rPr>
          <w:rFonts w:ascii="宋体" w:hAnsi="宋体" w:cs="宋体" w:eastAsia="宋体" w:hint="default"/>
          <w:spacing w:val="-52"/>
        </w:rPr>
        <w:t> </w:t>
      </w:r>
      <w:r>
        <w:rPr/>
        <w:t>日出资完毕。</w:t>
      </w:r>
    </w:p>
    <w:p>
      <w:pPr>
        <w:pStyle w:val="BodyText"/>
        <w:spacing w:line="310" w:lineRule="exact" w:before="31"/>
        <w:ind w:left="218" w:right="231"/>
        <w:jc w:val="both"/>
      </w:pPr>
      <w:r>
        <w:rPr/>
        <w:t>相关股权变更手续已于</w:t>
      </w:r>
      <w:r>
        <w:rPr>
          <w:spacing w:val="-59"/>
        </w:rPr>
        <w:t> </w:t>
      </w:r>
      <w:r>
        <w:rPr>
          <w:rFonts w:ascii="宋体" w:hAnsi="宋体" w:cs="宋体" w:eastAsia="宋体" w:hint="default"/>
        </w:rPr>
        <w:t>2014</w:t>
      </w:r>
      <w:r>
        <w:rPr>
          <w:rFonts w:ascii="宋体" w:hAnsi="宋体" w:cs="宋体" w:eastAsia="宋体" w:hint="default"/>
          <w:spacing w:val="-59"/>
        </w:rPr>
        <w:t> </w:t>
      </w:r>
      <w:r>
        <w:rPr/>
        <w:t>年</w:t>
      </w:r>
      <w:r>
        <w:rPr>
          <w:spacing w:val="-59"/>
        </w:rPr>
        <w:t> </w:t>
      </w:r>
      <w:r>
        <w:rPr>
          <w:rFonts w:ascii="宋体" w:hAnsi="宋体" w:cs="宋体" w:eastAsia="宋体" w:hint="default"/>
        </w:rPr>
        <w:t>5</w:t>
      </w:r>
      <w:r>
        <w:rPr>
          <w:rFonts w:ascii="宋体" w:hAnsi="宋体" w:cs="宋体" w:eastAsia="宋体" w:hint="default"/>
          <w:spacing w:val="-59"/>
        </w:rPr>
        <w:t> </w:t>
      </w:r>
      <w:r>
        <w:rPr/>
        <w:t>月</w:t>
      </w:r>
      <w:r>
        <w:rPr>
          <w:spacing w:val="-59"/>
        </w:rPr>
        <w:t> </w:t>
      </w:r>
      <w:r>
        <w:rPr>
          <w:rFonts w:ascii="宋体" w:hAnsi="宋体" w:cs="宋体" w:eastAsia="宋体" w:hint="default"/>
        </w:rPr>
        <w:t>21</w:t>
      </w:r>
      <w:r>
        <w:rPr>
          <w:rFonts w:ascii="宋体" w:hAnsi="宋体" w:cs="宋体" w:eastAsia="宋体" w:hint="default"/>
          <w:spacing w:val="-59"/>
        </w:rPr>
        <w:t> </w:t>
      </w:r>
      <w:r>
        <w:rPr>
          <w:spacing w:val="-3"/>
        </w:rPr>
        <w:t>日办理完毕，本次变更后，北京华胜天成创业</w:t>
      </w:r>
      <w:r>
        <w:rPr/>
        <w:t> </w:t>
      </w:r>
      <w:r>
        <w:rPr>
          <w:spacing w:val="12"/>
        </w:rPr>
        <w:t>投资管理有限公司持股比例减至</w:t>
      </w:r>
      <w:r>
        <w:rPr>
          <w:spacing w:val="17"/>
        </w:rPr>
        <w:t> </w:t>
      </w:r>
      <w:r>
        <w:rPr>
          <w:rFonts w:ascii="宋体" w:hAnsi="宋体" w:cs="宋体" w:eastAsia="宋体" w:hint="default"/>
          <w:spacing w:val="11"/>
        </w:rPr>
        <w:t>70%</w:t>
      </w:r>
      <w:r>
        <w:rPr>
          <w:spacing w:val="11"/>
        </w:rPr>
        <w:t>。此次变更产生未丧失控制权的权益性交易</w:t>
      </w:r>
      <w:r>
        <w:rPr/>
        <w:t> </w:t>
      </w:r>
      <w:r>
        <w:rPr>
          <w:rFonts w:ascii="宋体" w:hAnsi="宋体" w:cs="宋体" w:eastAsia="宋体" w:hint="default"/>
        </w:rPr>
        <w:t>3,730,861.83</w:t>
      </w:r>
      <w:r>
        <w:rPr>
          <w:rFonts w:ascii="宋体" w:hAnsi="宋体" w:cs="宋体" w:eastAsia="宋体" w:hint="default"/>
          <w:spacing w:val="61"/>
        </w:rPr>
        <w:t> </w:t>
      </w:r>
      <w:r>
        <w:rPr/>
        <w:t>元，计入资本公积。扣除少数股东的影响，相应减少本集团股本溢价</w:t>
      </w:r>
    </w:p>
    <w:p>
      <w:pPr>
        <w:pStyle w:val="BodyText"/>
        <w:spacing w:line="284" w:lineRule="exact"/>
        <w:ind w:left="218" w:right="0"/>
        <w:jc w:val="both"/>
      </w:pPr>
      <w:r>
        <w:rPr>
          <w:rFonts w:ascii="宋体" w:hAnsi="宋体" w:cs="宋体" w:eastAsia="宋体" w:hint="default"/>
        </w:rPr>
        <w:t>2,051,974.01</w:t>
      </w:r>
      <w:r>
        <w:rPr>
          <w:rFonts w:ascii="宋体" w:hAnsi="宋体" w:cs="宋体" w:eastAsia="宋体" w:hint="default"/>
          <w:spacing w:val="-60"/>
        </w:rPr>
        <w:t> </w:t>
      </w:r>
      <w:r>
        <w:rPr/>
        <w:t>元。</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2"/>
        <w:spacing w:line="240" w:lineRule="auto" w:before="187"/>
        <w:ind w:right="-14"/>
        <w:jc w:val="left"/>
        <w:rPr>
          <w:b w:val="0"/>
          <w:bCs w:val="0"/>
        </w:rPr>
      </w:pPr>
      <w:r>
        <w:rPr>
          <w:rFonts w:ascii="宋体" w:hAnsi="宋体" w:cs="宋体" w:eastAsia="宋体" w:hint="default"/>
        </w:rPr>
        <w:t>(2).</w:t>
      </w:r>
      <w:r>
        <w:rPr>
          <w:rFonts w:ascii="宋体" w:hAnsi="宋体" w:cs="宋体" w:eastAsia="宋体" w:hint="default"/>
          <w:spacing w:val="45"/>
        </w:rPr>
        <w:t> </w:t>
      </w:r>
      <w:r>
        <w:rPr/>
        <w:t>合并成本及商誉</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2"/>
        <w:rPr>
          <w:rFonts w:ascii="宋体" w:hAnsi="宋体" w:cs="宋体" w:eastAsia="宋体" w:hint="default"/>
          <w:b/>
          <w:bCs/>
          <w:sz w:val="22"/>
          <w:szCs w:val="22"/>
        </w:rPr>
      </w:pPr>
    </w:p>
    <w:p>
      <w:pPr>
        <w:tabs>
          <w:tab w:pos="1267" w:val="left" w:leader="none"/>
        </w:tabs>
        <w:spacing w:before="0"/>
        <w:ind w:left="21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580" w:right="1040"/>
          <w:cols w:num="2" w:equalWidth="0">
            <w:col w:w="2561" w:space="3963"/>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00"/>
        <w:gridCol w:w="3441"/>
        <w:gridCol w:w="2009"/>
      </w:tblGrid>
      <w:tr>
        <w:trPr>
          <w:trHeight w:val="833" w:hRule="exact"/>
        </w:trPr>
        <w:tc>
          <w:tcPr>
            <w:tcW w:w="36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34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石家庄华胜正明软件技术有限公司</w:t>
            </w:r>
          </w:p>
        </w:tc>
        <w:tc>
          <w:tcPr>
            <w:tcW w:w="2009"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北京中域绿色智能</w:t>
            </w:r>
          </w:p>
          <w:p>
            <w:pPr>
              <w:pStyle w:val="TableParagraph"/>
              <w:spacing w:line="272" w:lineRule="exact" w:before="26"/>
              <w:ind w:left="99" w:right="102"/>
              <w:jc w:val="left"/>
              <w:rPr>
                <w:rFonts w:ascii="宋体" w:hAnsi="宋体" w:cs="宋体" w:eastAsia="宋体" w:hint="default"/>
                <w:sz w:val="21"/>
                <w:szCs w:val="21"/>
              </w:rPr>
            </w:pPr>
            <w:r>
              <w:rPr>
                <w:rFonts w:ascii="宋体" w:hAnsi="宋体" w:cs="宋体" w:eastAsia="宋体" w:hint="default"/>
                <w:spacing w:val="-11"/>
                <w:sz w:val="21"/>
                <w:szCs w:val="21"/>
              </w:rPr>
              <w:t>城市系统研究院（有</w:t>
            </w:r>
            <w:r>
              <w:rPr>
                <w:rFonts w:ascii="宋体" w:hAnsi="宋体" w:cs="宋体" w:eastAsia="宋体" w:hint="default"/>
                <w:sz w:val="21"/>
                <w:szCs w:val="21"/>
              </w:rPr>
              <w:t> 限合伙）</w:t>
            </w:r>
          </w:p>
        </w:tc>
      </w:tr>
      <w:tr>
        <w:trPr>
          <w:trHeight w:val="287" w:hRule="exact"/>
        </w:trPr>
        <w:tc>
          <w:tcPr>
            <w:tcW w:w="36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34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6,650,000.00</w:t>
            </w:r>
          </w:p>
        </w:tc>
        <w:tc>
          <w:tcPr>
            <w:tcW w:w="2009"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2,397,000.00</w:t>
            </w:r>
          </w:p>
        </w:tc>
      </w:tr>
      <w:tr>
        <w:trPr>
          <w:trHeight w:val="288" w:hRule="exact"/>
        </w:trPr>
        <w:tc>
          <w:tcPr>
            <w:tcW w:w="36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344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36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发行或承担的债务的公允价值</w:t>
            </w:r>
          </w:p>
        </w:tc>
        <w:tc>
          <w:tcPr>
            <w:tcW w:w="344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6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发行的权益性证券的公允价值</w:t>
            </w:r>
          </w:p>
        </w:tc>
        <w:tc>
          <w:tcPr>
            <w:tcW w:w="344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36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或有对价的公允价值</w:t>
            </w:r>
          </w:p>
        </w:tc>
        <w:tc>
          <w:tcPr>
            <w:tcW w:w="344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3600"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购买日之前持有的股权于购买日的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34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0.00</w:t>
            </w:r>
          </w:p>
        </w:tc>
        <w:tc>
          <w:tcPr>
            <w:tcW w:w="2009"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600,000.00</w:t>
            </w:r>
          </w:p>
        </w:tc>
      </w:tr>
      <w:tr>
        <w:trPr>
          <w:trHeight w:val="288" w:hRule="exact"/>
        </w:trPr>
        <w:tc>
          <w:tcPr>
            <w:tcW w:w="36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34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2009"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0.00</w:t>
            </w:r>
          </w:p>
        </w:tc>
      </w:tr>
      <w:tr>
        <w:trPr>
          <w:trHeight w:val="287" w:hRule="exact"/>
        </w:trPr>
        <w:tc>
          <w:tcPr>
            <w:tcW w:w="36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34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6,650,000.00</w:t>
            </w:r>
          </w:p>
        </w:tc>
        <w:tc>
          <w:tcPr>
            <w:tcW w:w="2009"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2,997,000.00</w:t>
            </w:r>
          </w:p>
        </w:tc>
      </w:tr>
      <w:tr>
        <w:trPr>
          <w:trHeight w:val="560" w:hRule="exact"/>
        </w:trPr>
        <w:tc>
          <w:tcPr>
            <w:tcW w:w="36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34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2,616,869.46</w:t>
            </w:r>
          </w:p>
        </w:tc>
        <w:tc>
          <w:tcPr>
            <w:tcW w:w="2009"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2,186,667.88</w:t>
            </w:r>
          </w:p>
        </w:tc>
      </w:tr>
      <w:tr>
        <w:trPr>
          <w:trHeight w:val="559" w:hRule="exact"/>
        </w:trPr>
        <w:tc>
          <w:tcPr>
            <w:tcW w:w="3600"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w:t>
            </w:r>
            <w:r>
              <w:rPr>
                <w:rFonts w:ascii="宋体" w:hAnsi="宋体" w:cs="宋体" w:eastAsia="宋体" w:hint="default"/>
                <w:sz w:val="21"/>
                <w:szCs w:val="21"/>
              </w:rPr>
              <w:t>合并成本小于取得的可辨认净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资产公允价值份额的金额</w:t>
            </w:r>
          </w:p>
        </w:tc>
        <w:tc>
          <w:tcPr>
            <w:tcW w:w="34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4,033,130.54</w:t>
            </w:r>
          </w:p>
        </w:tc>
        <w:tc>
          <w:tcPr>
            <w:tcW w:w="2009"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810,332.12</w:t>
            </w:r>
          </w:p>
        </w:tc>
      </w:tr>
    </w:tbl>
    <w:p>
      <w:pPr>
        <w:pStyle w:val="BodyText"/>
        <w:spacing w:line="240" w:lineRule="auto" w:before="82"/>
        <w:ind w:left="218" w:right="101"/>
        <w:jc w:val="left"/>
      </w:pPr>
      <w:r>
        <w:rPr/>
        <w:t>说明：</w:t>
      </w:r>
    </w:p>
    <w:p>
      <w:pPr>
        <w:pStyle w:val="BodyText"/>
        <w:spacing w:line="237" w:lineRule="auto" w:before="119"/>
        <w:ind w:left="218" w:right="101" w:firstLine="424"/>
        <w:jc w:val="left"/>
      </w:pPr>
      <w:r>
        <w:rPr>
          <w:rFonts w:ascii="宋体" w:hAnsi="宋体" w:cs="宋体" w:eastAsia="宋体" w:hint="default"/>
          <w:spacing w:val="-7"/>
        </w:rPr>
        <w:t>A</w:t>
      </w:r>
      <w:r>
        <w:rPr>
          <w:spacing w:val="-7"/>
        </w:rPr>
        <w:t>、收购石家庄华胜正明软件技术有限公司，业经中和资产评估有限公司进行评估，</w:t>
      </w:r>
      <w:r>
        <w:rPr/>
        <w:t> 并于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spacing w:val="-3"/>
        </w:rPr>
        <w:t>日出具了中和评报字（</w:t>
      </w:r>
      <w:r>
        <w:rPr>
          <w:rFonts w:ascii="宋体" w:hAnsi="宋体" w:cs="宋体" w:eastAsia="宋体" w:hint="default"/>
          <w:spacing w:val="-3"/>
        </w:rPr>
        <w:t>2014</w:t>
      </w:r>
      <w:r>
        <w:rPr>
          <w:spacing w:val="-3"/>
        </w:rPr>
        <w:t>）第</w:t>
      </w:r>
      <w:r>
        <w:rPr>
          <w:spacing w:val="-60"/>
        </w:rPr>
        <w:t> </w:t>
      </w:r>
      <w:r>
        <w:rPr>
          <w:rFonts w:ascii="宋体" w:hAnsi="宋体" w:cs="宋体" w:eastAsia="宋体" w:hint="default"/>
        </w:rPr>
        <w:t>BJV2051</w:t>
      </w:r>
      <w:r>
        <w:rPr>
          <w:rFonts w:ascii="宋体" w:hAnsi="宋体" w:cs="宋体" w:eastAsia="宋体" w:hint="default"/>
          <w:spacing w:val="-60"/>
        </w:rPr>
        <w:t> </w:t>
      </w:r>
      <w:r>
        <w:rPr/>
        <w:t>号可辨认资产公允价值 资产评估报告书。根据该评估报告确定本次收购股权的可辨认净资产的公允价值为人 民币</w:t>
      </w:r>
      <w:r>
        <w:rPr>
          <w:spacing w:val="-60"/>
        </w:rPr>
        <w:t> </w:t>
      </w:r>
      <w:r>
        <w:rPr>
          <w:rFonts w:ascii="宋体" w:hAnsi="宋体" w:cs="宋体" w:eastAsia="宋体" w:hint="default"/>
        </w:rPr>
        <w:t>4,984,209.95</w:t>
      </w:r>
      <w:r>
        <w:rPr>
          <w:rFonts w:ascii="宋体" w:hAnsi="宋体" w:cs="宋体" w:eastAsia="宋体" w:hint="default"/>
          <w:spacing w:val="-60"/>
        </w:rPr>
        <w:t> </w:t>
      </w:r>
      <w:r>
        <w:rPr/>
        <w:t>元，考虑递延所得税的影响，本次收购股权的可辨认净资产的公</w:t>
      </w:r>
    </w:p>
    <w:p>
      <w:pPr>
        <w:pStyle w:val="BodyText"/>
        <w:spacing w:line="331" w:lineRule="auto"/>
        <w:ind w:left="642" w:right="101" w:hanging="425"/>
        <w:jc w:val="left"/>
      </w:pPr>
      <w:r>
        <w:rPr/>
        <w:t>允价值为人民币</w:t>
      </w:r>
      <w:r>
        <w:rPr>
          <w:spacing w:val="-60"/>
        </w:rPr>
        <w:t> </w:t>
      </w:r>
      <w:r>
        <w:rPr>
          <w:rFonts w:ascii="宋体" w:hAnsi="宋体" w:cs="宋体" w:eastAsia="宋体" w:hint="default"/>
        </w:rPr>
        <w:t>3,738,384.95</w:t>
      </w:r>
      <w:r>
        <w:rPr>
          <w:rFonts w:ascii="宋体" w:hAnsi="宋体" w:cs="宋体" w:eastAsia="宋体" w:hint="default"/>
          <w:spacing w:val="-60"/>
        </w:rPr>
        <w:t> </w:t>
      </w:r>
      <w:r>
        <w:rPr/>
        <w:t>元。 </w:t>
      </w:r>
      <w:r>
        <w:rPr>
          <w:rFonts w:ascii="宋体" w:hAnsi="宋体" w:cs="宋体" w:eastAsia="宋体" w:hint="default"/>
          <w:spacing w:val="-4"/>
        </w:rPr>
        <w:t>B</w:t>
      </w:r>
      <w:r>
        <w:rPr>
          <w:spacing w:val="-4"/>
        </w:rPr>
        <w:t>、收购北京中域绿色智能城市系统研究院（有限合伙），业经开元资产评估有限</w:t>
      </w:r>
    </w:p>
    <w:p>
      <w:pPr>
        <w:pStyle w:val="BodyText"/>
        <w:spacing w:line="219" w:lineRule="exact"/>
        <w:ind w:left="218" w:right="101"/>
        <w:jc w:val="left"/>
      </w:pPr>
      <w:r>
        <w:rPr/>
        <w:t>公司进行评估，并于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9</w:t>
      </w:r>
      <w:r>
        <w:rPr>
          <w:rFonts w:ascii="宋体" w:hAnsi="宋体" w:cs="宋体" w:eastAsia="宋体" w:hint="default"/>
          <w:spacing w:val="-60"/>
        </w:rPr>
        <w:t> </w:t>
      </w:r>
      <w:r>
        <w:rPr/>
        <w:t>日出具了开元评报字</w:t>
      </w:r>
      <w:r>
        <w:rPr>
          <w:rFonts w:ascii="宋体" w:hAnsi="宋体" w:cs="宋体" w:eastAsia="宋体" w:hint="default"/>
        </w:rPr>
        <w:t>[2014]245</w:t>
      </w:r>
      <w:r>
        <w:rPr>
          <w:rFonts w:ascii="宋体" w:hAnsi="宋体" w:cs="宋体" w:eastAsia="宋体" w:hint="default"/>
          <w:spacing w:val="-60"/>
        </w:rPr>
        <w:t> </w:t>
      </w:r>
      <w:r>
        <w:rPr/>
        <w:t>号以合并对价分</w:t>
      </w:r>
    </w:p>
    <w:p>
      <w:pPr>
        <w:pStyle w:val="BodyText"/>
        <w:spacing w:line="310" w:lineRule="exact" w:before="31"/>
        <w:ind w:left="218" w:right="101"/>
        <w:jc w:val="left"/>
      </w:pPr>
      <w:r>
        <w:rPr>
          <w:spacing w:val="-2"/>
        </w:rPr>
        <w:t>摊为目的之可辨认净资产公允价值评估报告。根据该评估报告确定本次收购股权的可</w:t>
      </w:r>
      <w:r>
        <w:rPr>
          <w:spacing w:val="-93"/>
        </w:rPr>
        <w:t> </w:t>
      </w:r>
      <w:r>
        <w:rPr>
          <w:spacing w:val="-93"/>
        </w:rPr>
      </w:r>
      <w:r>
        <w:rPr/>
        <w:t>辨认净资产的公允价值为人民币</w:t>
      </w:r>
      <w:r>
        <w:rPr>
          <w:spacing w:val="-60"/>
        </w:rPr>
        <w:t> </w:t>
      </w:r>
      <w:r>
        <w:rPr>
          <w:rFonts w:ascii="宋体" w:hAnsi="宋体" w:cs="宋体" w:eastAsia="宋体" w:hint="default"/>
        </w:rPr>
        <w:t>2,188,856.74</w:t>
      </w:r>
      <w:r>
        <w:rPr>
          <w:rFonts w:ascii="宋体" w:hAnsi="宋体" w:cs="宋体" w:eastAsia="宋体" w:hint="default"/>
          <w:spacing w:val="-60"/>
        </w:rPr>
        <w:t> </w:t>
      </w:r>
      <w:r>
        <w:rPr/>
        <w:t>元。</w:t>
      </w:r>
    </w:p>
    <w:p>
      <w:pPr>
        <w:spacing w:after="0" w:line="310" w:lineRule="exact"/>
        <w:jc w:val="left"/>
        <w:sectPr>
          <w:type w:val="continuous"/>
          <w:pgSz w:w="11910" w:h="16840"/>
          <w:pgMar w:top="108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60" w:right="980"/>
        </w:sectPr>
      </w:pPr>
    </w:p>
    <w:p>
      <w:pPr>
        <w:pStyle w:val="Heading2"/>
        <w:spacing w:line="240" w:lineRule="auto" w:before="181"/>
        <w:ind w:left="238" w:right="-13"/>
        <w:jc w:val="left"/>
        <w:rPr>
          <w:b w:val="0"/>
          <w:bCs w:val="0"/>
        </w:rPr>
      </w:pPr>
      <w:r>
        <w:rPr>
          <w:rFonts w:ascii="宋体" w:hAnsi="宋体" w:cs="宋体" w:eastAsia="宋体" w:hint="default"/>
        </w:rPr>
        <w:t>(3).</w:t>
      </w:r>
      <w:r>
        <w:rPr>
          <w:rFonts w:ascii="宋体" w:hAnsi="宋体" w:cs="宋体" w:eastAsia="宋体" w:hint="default"/>
          <w:spacing w:val="43"/>
        </w:rPr>
        <w:t> </w:t>
      </w:r>
      <w:r>
        <w:rPr/>
        <w:t>被购买方于购买日可辨认资产、负债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6"/>
        <w:rPr>
          <w:rFonts w:ascii="宋体" w:hAnsi="宋体" w:cs="宋体" w:eastAsia="宋体" w:hint="default"/>
          <w:b/>
          <w:bCs/>
          <w:sz w:val="22"/>
          <w:szCs w:val="22"/>
        </w:rPr>
      </w:pPr>
    </w:p>
    <w:p>
      <w:pPr>
        <w:tabs>
          <w:tab w:pos="1287" w:val="left" w:leader="none"/>
        </w:tabs>
        <w:spacing w:before="0"/>
        <w:ind w:left="23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560" w:right="980"/>
          <w:cols w:num="2" w:equalWidth="0">
            <w:col w:w="4749" w:space="1775"/>
            <w:col w:w="2846"/>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10"/>
        <w:gridCol w:w="1986"/>
        <w:gridCol w:w="1700"/>
        <w:gridCol w:w="1752"/>
        <w:gridCol w:w="1801"/>
      </w:tblGrid>
      <w:tr>
        <w:trPr>
          <w:trHeight w:val="560" w:hRule="exact"/>
        </w:trPr>
        <w:tc>
          <w:tcPr>
            <w:tcW w:w="1810" w:type="dxa"/>
            <w:vMerge w:val="restart"/>
            <w:tcBorders>
              <w:top w:val="single" w:sz="6" w:space="0" w:color="000000"/>
              <w:left w:val="single" w:sz="4" w:space="0" w:color="000000"/>
              <w:right w:val="single" w:sz="6" w:space="0" w:color="000000"/>
            </w:tcBorders>
          </w:tcPr>
          <w:p>
            <w:pPr/>
          </w:p>
        </w:tc>
        <w:tc>
          <w:tcPr>
            <w:tcW w:w="3687" w:type="dxa"/>
            <w:gridSpan w:val="2"/>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left="260" w:right="0"/>
              <w:jc w:val="left"/>
              <w:rPr>
                <w:rFonts w:ascii="宋体" w:hAnsi="宋体" w:cs="宋体" w:eastAsia="宋体" w:hint="default"/>
                <w:sz w:val="21"/>
                <w:szCs w:val="21"/>
              </w:rPr>
            </w:pPr>
            <w:r>
              <w:rPr>
                <w:rFonts w:ascii="宋体" w:hAnsi="宋体" w:cs="宋体" w:eastAsia="宋体" w:hint="default"/>
                <w:sz w:val="21"/>
                <w:szCs w:val="21"/>
              </w:rPr>
              <w:t>石家庄华胜正明软件技术有限公司</w:t>
            </w:r>
          </w:p>
        </w:tc>
        <w:tc>
          <w:tcPr>
            <w:tcW w:w="3554" w:type="dxa"/>
            <w:gridSpan w:val="2"/>
            <w:tcBorders>
              <w:top w:val="single" w:sz="6" w:space="0" w:color="000000"/>
              <w:left w:val="single" w:sz="4" w:space="0" w:color="000000"/>
              <w:bottom w:val="single" w:sz="6"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北京中域绿色智能城市系统研究院</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（有限合伙）</w:t>
            </w:r>
          </w:p>
        </w:tc>
      </w:tr>
      <w:tr>
        <w:trPr>
          <w:trHeight w:val="292" w:hRule="exact"/>
        </w:trPr>
        <w:tc>
          <w:tcPr>
            <w:tcW w:w="1810" w:type="dxa"/>
            <w:vMerge/>
            <w:tcBorders>
              <w:left w:val="single" w:sz="4"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49"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7"/>
              <w:jc w:val="right"/>
              <w:rPr>
                <w:rFonts w:ascii="宋体" w:hAnsi="宋体" w:cs="宋体" w:eastAsia="宋体" w:hint="default"/>
                <w:sz w:val="21"/>
                <w:szCs w:val="21"/>
              </w:rPr>
            </w:pPr>
            <w:r>
              <w:rPr>
                <w:rFonts w:ascii="宋体" w:hAnsi="宋体" w:cs="宋体" w:eastAsia="宋体" w:hint="default"/>
                <w:sz w:val="21"/>
                <w:szCs w:val="21"/>
              </w:rPr>
              <w:t>购买日公允价值</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32"/>
              <w:jc w:val="right"/>
              <w:rPr>
                <w:rFonts w:ascii="宋体" w:hAnsi="宋体" w:cs="宋体" w:eastAsia="宋体" w:hint="default"/>
                <w:sz w:val="21"/>
                <w:szCs w:val="21"/>
              </w:rPr>
            </w:pPr>
            <w:r>
              <w:rPr>
                <w:rFonts w:ascii="宋体" w:hAnsi="宋体" w:cs="宋体" w:eastAsia="宋体" w:hint="default"/>
                <w:sz w:val="21"/>
                <w:szCs w:val="21"/>
              </w:rPr>
              <w:t>购买日账面价值</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56"/>
              <w:jc w:val="right"/>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287"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1,499,627.91</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1,499,627.91</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2,110,442.72</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2,110,442.72</w:t>
            </w:r>
          </w:p>
        </w:tc>
      </w:tr>
      <w:tr>
        <w:trPr>
          <w:trHeight w:val="329"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4,990,838.32</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7,538.32</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78,414.02</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78,414.02</w:t>
            </w:r>
          </w:p>
        </w:tc>
      </w:tr>
      <w:tr>
        <w:trPr>
          <w:trHeight w:val="328"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其中：无形资产</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4,983,300.00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0.00</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0.00</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0.00</w:t>
            </w:r>
          </w:p>
        </w:tc>
      </w:tr>
      <w:tr>
        <w:trPr>
          <w:trHeight w:val="329"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78,414.02</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78,414.02</w:t>
            </w:r>
          </w:p>
        </w:tc>
      </w:tr>
      <w:tr>
        <w:trPr>
          <w:trHeight w:val="559"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87"/>
                <w:sz w:val="21"/>
                <w:szCs w:val="21"/>
              </w:rPr>
              <w:t>：</w:t>
            </w:r>
            <w:r>
              <w:rPr>
                <w:rFonts w:ascii="宋体" w:hAnsi="宋体" w:cs="宋体" w:eastAsia="宋体" w:hint="default"/>
                <w:sz w:val="21"/>
                <w:szCs w:val="21"/>
              </w:rPr>
              <w:t>递延所得税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7,538.32</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7,538.32</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0.00</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0.00</w:t>
            </w:r>
          </w:p>
        </w:tc>
      </w:tr>
      <w:tr>
        <w:trPr>
          <w:trHeight w:val="288"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1,506,256.28</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1,506,256.28</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r>
        <w:trPr>
          <w:trHeight w:val="328"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1,245,825.00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0.00</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0.00</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0.00</w:t>
            </w:r>
          </w:p>
        </w:tc>
      </w:tr>
      <w:tr>
        <w:trPr>
          <w:trHeight w:val="329"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3,738,384.95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909.95</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2,188,856.74</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2,188,856.74</w:t>
            </w:r>
          </w:p>
        </w:tc>
      </w:tr>
      <w:tr>
        <w:trPr>
          <w:trHeight w:val="328"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pacing w:val="-87"/>
                <w:sz w:val="21"/>
                <w:szCs w:val="21"/>
              </w:rPr>
              <w:t>：</w:t>
            </w:r>
            <w:r>
              <w:rPr>
                <w:rFonts w:ascii="宋体" w:hAnsi="宋体" w:cs="宋体" w:eastAsia="宋体" w:hint="default"/>
                <w:sz w:val="21"/>
                <w:szCs w:val="21"/>
              </w:rPr>
              <w:t>少数股东权益</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1,121,515.49</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0.00</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2,188.86</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0.00</w:t>
            </w:r>
          </w:p>
        </w:tc>
      </w:tr>
      <w:tr>
        <w:trPr>
          <w:trHeight w:val="286" w:hRule="exact"/>
        </w:trPr>
        <w:tc>
          <w:tcPr>
            <w:tcW w:w="1810"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198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2,616,869.46</w:t>
            </w:r>
          </w:p>
        </w:tc>
        <w:tc>
          <w:tcPr>
            <w:tcW w:w="170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75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2,186,667.88</w:t>
            </w:r>
          </w:p>
        </w:tc>
        <w:tc>
          <w:tcPr>
            <w:tcW w:w="1801"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tabs>
          <w:tab w:pos="895" w:val="left" w:leader="none"/>
        </w:tabs>
        <w:spacing w:line="290" w:lineRule="auto" w:before="35"/>
        <w:ind w:left="238" w:right="2406"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w w:val="99"/>
          <w:sz w:val="21"/>
          <w:szCs w:val="21"/>
        </w:rPr>
        <w:t> </w:t>
      </w:r>
      <w:r>
        <w:rPr>
          <w:rFonts w:ascii="宋体" w:hAnsi="宋体" w:cs="宋体" w:eastAsia="宋体" w:hint="default"/>
          <w:sz w:val="21"/>
          <w:szCs w:val="21"/>
        </w:rPr>
        <w:t>是否存在通过多次交易分步实现企业合并且在报告期内取得控制权的交易</w:t>
      </w:r>
    </w:p>
    <w:p>
      <w:pPr>
        <w:spacing w:line="229" w:lineRule="exact" w:before="0"/>
        <w:ind w:left="238" w:right="311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130"/>
        <w:gridCol w:w="1457"/>
        <w:gridCol w:w="1499"/>
        <w:gridCol w:w="1452"/>
        <w:gridCol w:w="1750"/>
        <w:gridCol w:w="1762"/>
      </w:tblGrid>
      <w:tr>
        <w:trPr>
          <w:trHeight w:val="1649" w:hRule="exact"/>
        </w:trPr>
        <w:tc>
          <w:tcPr>
            <w:tcW w:w="113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350" w:right="137" w:hanging="210"/>
              <w:jc w:val="left"/>
              <w:rPr>
                <w:rFonts w:ascii="宋体" w:hAnsi="宋体" w:cs="宋体" w:eastAsia="宋体" w:hint="default"/>
                <w:sz w:val="21"/>
                <w:szCs w:val="21"/>
              </w:rPr>
            </w:pPr>
            <w:r>
              <w:rPr>
                <w:rFonts w:ascii="宋体" w:hAnsi="宋体" w:cs="宋体" w:eastAsia="宋体" w:hint="default"/>
                <w:sz w:val="21"/>
                <w:szCs w:val="21"/>
              </w:rPr>
              <w:t>被购买方 名称</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94" w:right="197"/>
              <w:jc w:val="both"/>
              <w:rPr>
                <w:rFonts w:ascii="宋体" w:hAnsi="宋体" w:cs="宋体" w:eastAsia="宋体" w:hint="default"/>
                <w:sz w:val="21"/>
                <w:szCs w:val="21"/>
              </w:rPr>
            </w:pPr>
            <w:r>
              <w:rPr>
                <w:rFonts w:ascii="宋体" w:hAnsi="宋体" w:cs="宋体" w:eastAsia="宋体" w:hint="default"/>
                <w:sz w:val="21"/>
                <w:szCs w:val="21"/>
              </w:rPr>
              <w:t>购买日之前 原持有股权 在购买日的 账面价值</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10" w:right="112"/>
              <w:jc w:val="center"/>
              <w:rPr>
                <w:rFonts w:ascii="宋体" w:hAnsi="宋体" w:cs="宋体" w:eastAsia="宋体" w:hint="default"/>
                <w:sz w:val="21"/>
                <w:szCs w:val="21"/>
              </w:rPr>
            </w:pPr>
            <w:r>
              <w:rPr>
                <w:rFonts w:ascii="宋体" w:hAnsi="宋体" w:cs="宋体" w:eastAsia="宋体" w:hint="default"/>
                <w:sz w:val="21"/>
                <w:szCs w:val="21"/>
              </w:rPr>
              <w:t>购买日之前原 持有股权在购 买日的公允价 值</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购买日之前</w:t>
            </w:r>
          </w:p>
          <w:p>
            <w:pPr>
              <w:pStyle w:val="TableParagraph"/>
              <w:spacing w:line="272" w:lineRule="exact" w:before="26"/>
              <w:ind w:left="193" w:right="192"/>
              <w:jc w:val="center"/>
              <w:rPr>
                <w:rFonts w:ascii="宋体" w:hAnsi="宋体" w:cs="宋体" w:eastAsia="宋体" w:hint="default"/>
                <w:sz w:val="21"/>
                <w:szCs w:val="21"/>
              </w:rPr>
            </w:pPr>
            <w:r>
              <w:rPr>
                <w:rFonts w:ascii="宋体" w:hAnsi="宋体" w:cs="宋体" w:eastAsia="宋体" w:hint="default"/>
                <w:sz w:val="21"/>
                <w:szCs w:val="21"/>
              </w:rPr>
              <w:t>原持有股权 按照公允价 值重新计量 产生的利得 或损失</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31" w:right="131"/>
              <w:jc w:val="center"/>
              <w:rPr>
                <w:rFonts w:ascii="宋体" w:hAnsi="宋体" w:cs="宋体" w:eastAsia="宋体" w:hint="default"/>
                <w:sz w:val="21"/>
                <w:szCs w:val="21"/>
              </w:rPr>
            </w:pPr>
            <w:r>
              <w:rPr>
                <w:rFonts w:ascii="宋体" w:hAnsi="宋体" w:cs="宋体" w:eastAsia="宋体" w:hint="default"/>
                <w:sz w:val="21"/>
                <w:szCs w:val="21"/>
              </w:rPr>
              <w:t>购买日之前原持 有股权在购买日 的公允价值的确 定方法及主要假 设</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36" w:right="138"/>
              <w:jc w:val="center"/>
              <w:rPr>
                <w:rFonts w:ascii="宋体" w:hAnsi="宋体" w:cs="宋体" w:eastAsia="宋体" w:hint="default"/>
                <w:sz w:val="21"/>
                <w:szCs w:val="21"/>
              </w:rPr>
            </w:pPr>
            <w:r>
              <w:rPr>
                <w:rFonts w:ascii="宋体" w:hAnsi="宋体" w:cs="宋体" w:eastAsia="宋体" w:hint="default"/>
                <w:sz w:val="21"/>
                <w:szCs w:val="21"/>
              </w:rPr>
              <w:t>购买日之前与原 持有股权相关的 其他综合收益转 入投资收益的金 额</w:t>
            </w:r>
          </w:p>
        </w:tc>
      </w:tr>
      <w:tr>
        <w:trPr>
          <w:trHeight w:val="1649" w:hRule="exact"/>
        </w:trPr>
        <w:tc>
          <w:tcPr>
            <w:tcW w:w="1130"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北京中域</w:t>
            </w:r>
          </w:p>
          <w:p>
            <w:pPr>
              <w:pStyle w:val="TableParagraph"/>
              <w:spacing w:line="272" w:lineRule="exact" w:before="26"/>
              <w:ind w:left="103" w:right="173"/>
              <w:jc w:val="both"/>
              <w:rPr>
                <w:rFonts w:ascii="宋体" w:hAnsi="宋体" w:cs="宋体" w:eastAsia="宋体" w:hint="default"/>
                <w:sz w:val="21"/>
                <w:szCs w:val="21"/>
              </w:rPr>
            </w:pPr>
            <w:r>
              <w:rPr>
                <w:rFonts w:ascii="宋体" w:hAnsi="宋体" w:cs="宋体" w:eastAsia="宋体" w:hint="default"/>
                <w:sz w:val="21"/>
                <w:szCs w:val="21"/>
              </w:rPr>
              <w:t>绿色智能 城市系统 研究院</w:t>
            </w:r>
          </w:p>
          <w:p>
            <w:pPr>
              <w:pStyle w:val="TableParagraph"/>
              <w:spacing w:line="272" w:lineRule="exact"/>
              <w:ind w:left="103" w:right="173"/>
              <w:jc w:val="both"/>
              <w:rPr>
                <w:rFonts w:ascii="宋体" w:hAnsi="宋体" w:cs="宋体" w:eastAsia="宋体" w:hint="default"/>
                <w:sz w:val="21"/>
                <w:szCs w:val="21"/>
              </w:rPr>
            </w:pPr>
            <w:r>
              <w:rPr>
                <w:rFonts w:ascii="宋体" w:hAnsi="宋体" w:cs="宋体" w:eastAsia="宋体" w:hint="default"/>
                <w:sz w:val="21"/>
                <w:szCs w:val="21"/>
              </w:rPr>
              <w:t>（有限合 伙）</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sz w:val="21"/>
              </w:rPr>
              <w:t>437,771.34</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sz w:val="21"/>
              </w:rPr>
              <w:t>600,000.00</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6" w:right="0"/>
              <w:jc w:val="left"/>
              <w:rPr>
                <w:rFonts w:ascii="宋体" w:hAnsi="宋体" w:cs="宋体" w:eastAsia="宋体" w:hint="default"/>
                <w:sz w:val="21"/>
                <w:szCs w:val="21"/>
              </w:rPr>
            </w:pPr>
            <w:r>
              <w:rPr>
                <w:rFonts w:ascii="宋体"/>
                <w:sz w:val="21"/>
              </w:rPr>
              <w:t>162,228.66</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依据本次购买协</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议价</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r>
      <w:tr>
        <w:trPr>
          <w:trHeight w:val="314" w:hRule="exact"/>
        </w:trPr>
        <w:tc>
          <w:tcPr>
            <w:tcW w:w="1130" w:type="dxa"/>
            <w:tcBorders>
              <w:top w:val="single" w:sz="6" w:space="0" w:color="000000"/>
              <w:left w:val="single" w:sz="4" w:space="0" w:color="000000"/>
              <w:bottom w:val="single" w:sz="4" w:space="0" w:color="000000"/>
              <w:right w:val="single" w:sz="6" w:space="0" w:color="000000"/>
            </w:tcBorders>
          </w:tcPr>
          <w:p>
            <w:pPr/>
          </w:p>
        </w:tc>
        <w:tc>
          <w:tcPr>
            <w:tcW w:w="1457" w:type="dxa"/>
            <w:tcBorders>
              <w:top w:val="single" w:sz="6" w:space="0" w:color="000000"/>
              <w:left w:val="single" w:sz="6" w:space="0" w:color="000000"/>
              <w:bottom w:val="single" w:sz="4" w:space="0" w:color="000000"/>
              <w:right w:val="single" w:sz="6" w:space="0" w:color="000000"/>
            </w:tcBorders>
          </w:tcPr>
          <w:p>
            <w:pPr/>
          </w:p>
        </w:tc>
        <w:tc>
          <w:tcPr>
            <w:tcW w:w="1499" w:type="dxa"/>
            <w:tcBorders>
              <w:top w:val="single" w:sz="6" w:space="0" w:color="000000"/>
              <w:left w:val="single" w:sz="6" w:space="0" w:color="000000"/>
              <w:bottom w:val="single" w:sz="4" w:space="0" w:color="000000"/>
              <w:right w:val="single" w:sz="6" w:space="0" w:color="000000"/>
            </w:tcBorders>
          </w:tcPr>
          <w:p>
            <w:pPr/>
          </w:p>
        </w:tc>
        <w:tc>
          <w:tcPr>
            <w:tcW w:w="1452" w:type="dxa"/>
            <w:tcBorders>
              <w:top w:val="single" w:sz="6" w:space="0" w:color="000000"/>
              <w:left w:val="single" w:sz="6" w:space="0" w:color="000000"/>
              <w:bottom w:val="single" w:sz="4" w:space="0" w:color="000000"/>
              <w:right w:val="single" w:sz="6" w:space="0" w:color="000000"/>
            </w:tcBorders>
          </w:tcPr>
          <w:p>
            <w:pPr/>
          </w:p>
        </w:tc>
        <w:tc>
          <w:tcPr>
            <w:tcW w:w="1750" w:type="dxa"/>
            <w:tcBorders>
              <w:top w:val="single" w:sz="6" w:space="0" w:color="000000"/>
              <w:left w:val="single" w:sz="6" w:space="0" w:color="000000"/>
              <w:bottom w:val="single" w:sz="4" w:space="0" w:color="000000"/>
              <w:right w:val="single" w:sz="6" w:space="0" w:color="000000"/>
            </w:tcBorders>
          </w:tcPr>
          <w:p>
            <w:pPr/>
          </w:p>
        </w:tc>
        <w:tc>
          <w:tcPr>
            <w:tcW w:w="1762" w:type="dxa"/>
            <w:tcBorders>
              <w:top w:val="single" w:sz="6" w:space="0" w:color="000000"/>
              <w:left w:val="single" w:sz="6" w:space="0" w:color="000000"/>
              <w:bottom w:val="single" w:sz="4" w:space="0" w:color="000000"/>
              <w:right w:val="single" w:sz="6" w:space="0" w:color="000000"/>
            </w:tcBorders>
          </w:tcPr>
          <w:p>
            <w:pPr/>
          </w:p>
        </w:tc>
      </w:tr>
    </w:tbl>
    <w:p>
      <w:pPr>
        <w:spacing w:after="0"/>
        <w:sectPr>
          <w:type w:val="continuous"/>
          <w:pgSz w:w="11910" w:h="16840"/>
          <w:pgMar w:top="1080" w:bottom="1380" w:left="1560" w:right="980"/>
        </w:sectPr>
      </w:pPr>
    </w:p>
    <w:p>
      <w:pPr>
        <w:spacing w:line="187" w:lineRule="exact" w:before="0"/>
        <w:ind w:left="238" w:right="-20" w:firstLine="0"/>
        <w:jc w:val="left"/>
        <w:rPr>
          <w:rFonts w:ascii="宋体" w:hAnsi="宋体" w:cs="宋体" w:eastAsia="宋体" w:hint="default"/>
          <w:sz w:val="21"/>
          <w:szCs w:val="21"/>
        </w:rPr>
      </w:pPr>
      <w:r>
        <w:rPr>
          <w:rFonts w:ascii="宋体" w:hAnsi="宋体" w:cs="宋体" w:eastAsia="宋体" w:hint="default"/>
          <w:sz w:val="21"/>
          <w:szCs w:val="21"/>
        </w:rPr>
        <w:t>北京中域绿色智能城</w:t>
      </w:r>
    </w:p>
    <w:p>
      <w:pPr>
        <w:tabs>
          <w:tab w:pos="2541" w:val="left" w:leader="none"/>
          <w:tab w:pos="5106" w:val="left" w:leader="none"/>
        </w:tabs>
        <w:spacing w:line="323" w:lineRule="exact" w:before="0"/>
        <w:ind w:left="238" w:right="-20" w:firstLine="0"/>
        <w:jc w:val="left"/>
        <w:rPr>
          <w:rFonts w:ascii="宋体" w:hAnsi="宋体" w:cs="宋体" w:eastAsia="宋体" w:hint="default"/>
          <w:sz w:val="21"/>
          <w:szCs w:val="21"/>
        </w:rPr>
      </w:pPr>
      <w:r>
        <w:rPr>
          <w:rFonts w:ascii="宋体" w:hAnsi="宋体" w:cs="宋体" w:eastAsia="宋体" w:hint="default"/>
          <w:spacing w:val="-2"/>
          <w:position w:val="-9"/>
          <w:sz w:val="21"/>
          <w:szCs w:val="21"/>
        </w:rPr>
        <w:t>市系统研究院（有限合</w:t>
        <w:tab/>
      </w:r>
      <w:r>
        <w:rPr>
          <w:rFonts w:ascii="宋体" w:hAnsi="宋体" w:cs="宋体" w:eastAsia="宋体" w:hint="default"/>
          <w:sz w:val="21"/>
          <w:szCs w:val="21"/>
        </w:rPr>
        <w:t>437,771.34</w:t>
      </w:r>
      <w:r>
        <w:rPr>
          <w:rFonts w:ascii="宋体" w:hAnsi="宋体" w:cs="宋体" w:eastAsia="宋体" w:hint="default"/>
          <w:spacing w:val="74"/>
          <w:sz w:val="21"/>
          <w:szCs w:val="21"/>
        </w:rPr>
        <w:t> </w:t>
      </w:r>
      <w:r>
        <w:rPr>
          <w:rFonts w:ascii="宋体" w:hAnsi="宋体" w:cs="宋体" w:eastAsia="宋体" w:hint="default"/>
          <w:sz w:val="21"/>
          <w:szCs w:val="21"/>
        </w:rPr>
        <w:t>600,000.00</w:t>
        <w:tab/>
        <w:t>162,228.66</w:t>
      </w:r>
    </w:p>
    <w:p>
      <w:pPr>
        <w:spacing w:line="203" w:lineRule="exact" w:before="0"/>
        <w:ind w:left="208"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依据本次购买</w:t>
      </w:r>
    </w:p>
    <w:p>
      <w:pPr>
        <w:tabs>
          <w:tab w:pos="2875" w:val="left" w:leader="none"/>
        </w:tabs>
        <w:spacing w:line="344" w:lineRule="exact" w:before="0"/>
        <w:ind w:left="838" w:right="0" w:firstLine="0"/>
        <w:jc w:val="left"/>
        <w:rPr>
          <w:rFonts w:ascii="宋体" w:hAnsi="宋体" w:cs="宋体" w:eastAsia="宋体" w:hint="default"/>
          <w:sz w:val="21"/>
          <w:szCs w:val="21"/>
        </w:rPr>
      </w:pPr>
      <w:r>
        <w:rPr>
          <w:rFonts w:ascii="宋体" w:hAnsi="宋体" w:cs="宋体" w:eastAsia="宋体" w:hint="default"/>
          <w:sz w:val="21"/>
          <w:szCs w:val="21"/>
        </w:rPr>
        <w:t>协议价</w:t>
        <w:tab/>
      </w:r>
      <w:r>
        <w:rPr>
          <w:rFonts w:ascii="宋体" w:hAnsi="宋体" w:cs="宋体" w:eastAsia="宋体" w:hint="default"/>
          <w:position w:val="14"/>
          <w:sz w:val="21"/>
          <w:szCs w:val="21"/>
        </w:rPr>
        <w:t>-</w:t>
      </w:r>
      <w:r>
        <w:rPr>
          <w:rFonts w:ascii="宋体" w:hAnsi="宋体" w:cs="宋体" w:eastAsia="宋体" w:hint="default"/>
          <w:sz w:val="21"/>
          <w:szCs w:val="21"/>
        </w:rPr>
      </w:r>
    </w:p>
    <w:p>
      <w:pPr>
        <w:spacing w:after="0" w:line="344" w:lineRule="exact"/>
        <w:jc w:val="left"/>
        <w:rPr>
          <w:rFonts w:ascii="宋体" w:hAnsi="宋体" w:cs="宋体" w:eastAsia="宋体" w:hint="default"/>
          <w:sz w:val="21"/>
          <w:szCs w:val="21"/>
        </w:rPr>
        <w:sectPr>
          <w:type w:val="continuous"/>
          <w:pgSz w:w="11910" w:h="16840"/>
          <w:pgMar w:top="1080" w:bottom="1380" w:left="1560" w:right="980"/>
          <w:cols w:num="2" w:equalWidth="0">
            <w:col w:w="6157" w:space="40"/>
            <w:col w:w="3173"/>
          </w:cols>
        </w:sectPr>
      </w:pPr>
    </w:p>
    <w:p>
      <w:pPr>
        <w:spacing w:line="240" w:lineRule="auto" w:before="2"/>
        <w:rPr>
          <w:rFonts w:ascii="宋体" w:hAnsi="宋体" w:cs="宋体" w:eastAsia="宋体" w:hint="default"/>
          <w:sz w:val="5"/>
          <w:szCs w:val="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54.2pt;height:1pt;mso-position-horizontal-relative:char;mso-position-vertical-relative:line" coordorigin="0,0" coordsize="9084,20">
            <v:group style="position:absolute;left:10;top:10;width:2318;height:2" coordorigin="10,10" coordsize="2318,2">
              <v:shape style="position:absolute;left:10;top:10;width:2318;height:2" coordorigin="10,10" coordsize="2318,0" path="m10,10l2327,10e" filled="false" stroked="true" strokeweight=".96002pt" strokecolor="#000000">
                <v:path arrowok="t"/>
              </v:shape>
            </v:group>
            <v:group style="position:absolute;left:2312;top:10;width:20;height:2" coordorigin="2312,10" coordsize="20,2">
              <v:shape style="position:absolute;left:2312;top:10;width:20;height:2" coordorigin="2312,10" coordsize="20,0" path="m2312,10l2332,10e" filled="false" stroked="true" strokeweight=".96002pt" strokecolor="#000000">
                <v:path arrowok="t"/>
              </v:shape>
            </v:group>
            <v:group style="position:absolute;left:2332;top:10;width:1159;height:2" coordorigin="2332,10" coordsize="1159,2">
              <v:shape style="position:absolute;left:2332;top:10;width:1159;height:2" coordorigin="2332,10" coordsize="1159,0" path="m2332,10l3490,10e" filled="false" stroked="true" strokeweight=".96002pt" strokecolor="#000000">
                <v:path arrowok="t"/>
              </v:shape>
            </v:group>
            <v:group style="position:absolute;left:3476;top:10;width:20;height:2" coordorigin="3476,10" coordsize="20,2">
              <v:shape style="position:absolute;left:3476;top:10;width:20;height:2" coordorigin="3476,10" coordsize="20,0" path="m3476,10l3495,10e" filled="false" stroked="true" strokeweight=".96002pt" strokecolor="#000000">
                <v:path arrowok="t"/>
              </v:shape>
            </v:group>
            <v:group style="position:absolute;left:3495;top:10;width:1226;height:2" coordorigin="3495,10" coordsize="1226,2">
              <v:shape style="position:absolute;left:3495;top:10;width:1226;height:2" coordorigin="3495,10" coordsize="1226,0" path="m3495,10l4720,10e" filled="false" stroked="true" strokeweight=".96002pt" strokecolor="#000000">
                <v:path arrowok="t"/>
              </v:shape>
            </v:group>
            <v:group style="position:absolute;left:4706;top:10;width:20;height:2" coordorigin="4706,10" coordsize="20,2">
              <v:shape style="position:absolute;left:4706;top:10;width:20;height:2" coordorigin="4706,10" coordsize="20,0" path="m4706,10l4725,10e" filled="false" stroked="true" strokeweight=".96002pt" strokecolor="#000000">
                <v:path arrowok="t"/>
              </v:shape>
            </v:group>
            <v:group style="position:absolute;left:4725;top:10;width:1330;height:2" coordorigin="4725,10" coordsize="1330,2">
              <v:shape style="position:absolute;left:4725;top:10;width:1330;height:2" coordorigin="4725,10" coordsize="1330,0" path="m4725,10l6054,10e" filled="false" stroked="true" strokeweight=".96002pt" strokecolor="#000000">
                <v:path arrowok="t"/>
              </v:shape>
            </v:group>
            <v:group style="position:absolute;left:6040;top:10;width:20;height:2" coordorigin="6040,10" coordsize="20,2">
              <v:shape style="position:absolute;left:6040;top:10;width:20;height:2" coordorigin="6040,10" coordsize="20,0" path="m6040,10l6059,10e" filled="false" stroked="true" strokeweight=".96002pt" strokecolor="#000000">
                <v:path arrowok="t"/>
              </v:shape>
            </v:group>
            <v:group style="position:absolute;left:6059;top:10;width:1504;height:2" coordorigin="6059,10" coordsize="1504,2">
              <v:shape style="position:absolute;left:6059;top:10;width:1504;height:2" coordorigin="6059,10" coordsize="1504,0" path="m6059,10l7563,10e" filled="false" stroked="true" strokeweight=".96002pt" strokecolor="#000000">
                <v:path arrowok="t"/>
              </v:shape>
            </v:group>
            <v:group style="position:absolute;left:7549;top:10;width:20;height:2" coordorigin="7549,10" coordsize="20,2">
              <v:shape style="position:absolute;left:7549;top:10;width:20;height:2" coordorigin="7549,10" coordsize="20,0" path="m7549,10l7568,10e" filled="false" stroked="true" strokeweight=".96002pt" strokecolor="#000000">
                <v:path arrowok="t"/>
              </v:shape>
            </v:group>
            <v:group style="position:absolute;left:7568;top:10;width:1506;height:2" coordorigin="7568,10" coordsize="1506,2">
              <v:shape style="position:absolute;left:7568;top:10;width:1506;height:2" coordorigin="7568,10" coordsize="1506,0" path="m7568,10l9074,10e" filled="false" stroked="true" strokeweight=".96002pt" strokecolor="#000000">
                <v:path arrowok="t"/>
              </v:shape>
            </v:group>
          </v:group>
        </w:pict>
      </w:r>
      <w:r>
        <w:rPr>
          <w:rFonts w:ascii="宋体" w:hAnsi="宋体" w:cs="宋体" w:eastAsia="宋体" w:hint="default"/>
          <w:sz w:val="2"/>
          <w:szCs w:val="2"/>
        </w:rPr>
      </w:r>
    </w:p>
    <w:p>
      <w:pPr>
        <w:pStyle w:val="BodyText"/>
        <w:spacing w:line="331" w:lineRule="auto" w:before="80"/>
        <w:ind w:left="715" w:right="3111" w:hanging="418"/>
        <w:jc w:val="left"/>
      </w:pPr>
      <w:r>
        <w:rPr>
          <w:rFonts w:ascii="宋体" w:hAnsi="宋体" w:cs="宋体" w:eastAsia="宋体" w:hint="default"/>
        </w:rPr>
        <w:t>2</w:t>
      </w:r>
      <w:r>
        <w:rPr/>
        <w:t>、处置子公司 多次交易分步处置股权至丧失控制权而减少的子公司</w:t>
      </w:r>
    </w:p>
    <w:p>
      <w:pPr>
        <w:pStyle w:val="BodyText"/>
        <w:spacing w:line="237" w:lineRule="auto" w:before="28"/>
        <w:ind w:left="239" w:right="86" w:firstLine="480"/>
        <w:jc w:val="left"/>
        <w:rPr>
          <w:rFonts w:ascii="宋体" w:hAnsi="宋体" w:cs="宋体" w:eastAsia="宋体" w:hint="default"/>
        </w:rPr>
      </w:pPr>
      <w:r>
        <w:rPr/>
        <w:t>本公司间接控制子公司</w:t>
      </w:r>
      <w:r>
        <w:rPr>
          <w:spacing w:val="-60"/>
        </w:rPr>
        <w:t> </w:t>
      </w:r>
      <w:r>
        <w:rPr>
          <w:rFonts w:ascii="宋体" w:hAnsi="宋体" w:cs="宋体" w:eastAsia="宋体" w:hint="default"/>
        </w:rPr>
        <w:t>ASL</w:t>
      </w:r>
      <w:r>
        <w:rPr>
          <w:rFonts w:ascii="宋体" w:hAnsi="宋体" w:cs="宋体" w:eastAsia="宋体" w:hint="default"/>
          <w:spacing w:val="-60"/>
        </w:rPr>
        <w:t> </w:t>
      </w:r>
      <w:r>
        <w:rPr/>
        <w:t>公司之全资子公司</w:t>
      </w:r>
      <w:r>
        <w:rPr>
          <w:spacing w:val="-60"/>
        </w:rPr>
        <w:t> </w:t>
      </w:r>
      <w:r>
        <w:rPr>
          <w:rFonts w:ascii="宋体" w:hAnsi="宋体" w:cs="宋体" w:eastAsia="宋体" w:hint="default"/>
        </w:rPr>
        <w:t>ASL</w:t>
      </w:r>
      <w:r>
        <w:rPr>
          <w:rFonts w:ascii="宋体" w:hAnsi="宋体" w:cs="宋体" w:eastAsia="宋体" w:hint="default"/>
          <w:spacing w:val="-53"/>
        </w:rPr>
        <w:t> </w:t>
      </w:r>
      <w:r>
        <w:rPr>
          <w:rFonts w:ascii="宋体" w:hAnsi="宋体" w:cs="宋体" w:eastAsia="宋体" w:hint="default"/>
        </w:rPr>
        <w:t>Security</w:t>
      </w:r>
      <w:r>
        <w:rPr>
          <w:rFonts w:ascii="宋体" w:hAnsi="宋体" w:cs="宋体" w:eastAsia="宋体" w:hint="default"/>
          <w:spacing w:val="-53"/>
        </w:rPr>
        <w:t> </w:t>
      </w:r>
      <w:r>
        <w:rPr>
          <w:rFonts w:ascii="宋体" w:hAnsi="宋体" w:cs="宋体" w:eastAsia="宋体" w:hint="default"/>
        </w:rPr>
        <w:t>Solutions</w:t>
      </w:r>
      <w:r>
        <w:rPr>
          <w:rFonts w:ascii="宋体" w:hAnsi="宋体" w:cs="宋体" w:eastAsia="宋体" w:hint="default"/>
          <w:spacing w:val="-53"/>
        </w:rPr>
        <w:t> </w:t>
      </w:r>
      <w:r>
        <w:rPr>
          <w:rFonts w:ascii="宋体" w:hAnsi="宋体" w:cs="宋体" w:eastAsia="宋体" w:hint="default"/>
        </w:rPr>
        <w:t>Limited</w:t>
      </w:r>
      <w:r>
        <w:rPr/>
        <w:t>， 持有</w:t>
      </w:r>
      <w:r>
        <w:rPr>
          <w:spacing w:val="-50"/>
        </w:rPr>
        <w:t> </w:t>
      </w:r>
      <w:r>
        <w:rPr>
          <w:rFonts w:ascii="宋体" w:hAnsi="宋体" w:cs="宋体" w:eastAsia="宋体" w:hint="default"/>
        </w:rPr>
        <w:t>I-Sprint Innovations Pte Ltd.</w:t>
      </w:r>
      <w:r>
        <w:rPr/>
        <w:t>（简称</w:t>
      </w:r>
      <w:r>
        <w:rPr>
          <w:spacing w:val="-50"/>
        </w:rPr>
        <w:t> </w:t>
      </w:r>
      <w:r>
        <w:rPr>
          <w:rFonts w:ascii="宋体" w:hAnsi="宋体" w:cs="宋体" w:eastAsia="宋体" w:hint="default"/>
        </w:rPr>
        <w:t>I-Sprint</w:t>
      </w:r>
      <w:r>
        <w:rPr/>
        <w:t>）</w:t>
      </w:r>
      <w:r>
        <w:rPr>
          <w:rFonts w:ascii="宋体" w:hAnsi="宋体" w:cs="宋体" w:eastAsia="宋体" w:hint="default"/>
        </w:rPr>
        <w:t>100%</w:t>
      </w:r>
      <w:r>
        <w:rPr/>
        <w:t>的股权，以零对价分别 转让</w:t>
      </w:r>
      <w:r>
        <w:rPr>
          <w:spacing w:val="-56"/>
        </w:rPr>
        <w:t> </w:t>
      </w:r>
      <w:r>
        <w:rPr>
          <w:rFonts w:ascii="宋体" w:hAnsi="宋体" w:cs="宋体" w:eastAsia="宋体" w:hint="default"/>
        </w:rPr>
        <w:t>I-Sprint</w:t>
      </w:r>
      <w:r>
        <w:rPr>
          <w:rFonts w:ascii="宋体" w:hAnsi="宋体" w:cs="宋体" w:eastAsia="宋体" w:hint="default"/>
          <w:spacing w:val="-56"/>
        </w:rPr>
        <w:t> </w:t>
      </w:r>
      <w:r>
        <w:rPr/>
        <w:t>已发行股本的</w:t>
      </w:r>
      <w:r>
        <w:rPr>
          <w:spacing w:val="-55"/>
        </w:rPr>
        <w:t> </w:t>
      </w:r>
      <w:r>
        <w:rPr>
          <w:rFonts w:ascii="宋体" w:hAnsi="宋体" w:cs="宋体" w:eastAsia="宋体" w:hint="default"/>
        </w:rPr>
        <w:t>9.44%</w:t>
      </w:r>
      <w:r>
        <w:rPr/>
        <w:t>及</w:t>
      </w:r>
      <w:r>
        <w:rPr>
          <w:spacing w:val="-56"/>
        </w:rPr>
        <w:t> </w:t>
      </w:r>
      <w:r>
        <w:rPr>
          <w:rFonts w:ascii="宋体" w:hAnsi="宋体" w:cs="宋体" w:eastAsia="宋体" w:hint="default"/>
        </w:rPr>
        <w:t>7.90%</w:t>
      </w:r>
      <w:r>
        <w:rPr/>
        <w:t>给冠邦及佳卫，该公司均为以信托形式实 施新的员工激励计划所设立的特殊目的公司。此交易于</w:t>
      </w:r>
      <w:r>
        <w:rPr>
          <w:spacing w:val="-56"/>
        </w:rPr>
        <w:t> </w:t>
      </w:r>
      <w:r>
        <w:rPr>
          <w:rFonts w:ascii="宋体" w:hAnsi="宋体" w:cs="宋体" w:eastAsia="宋体" w:hint="default"/>
        </w:rPr>
        <w:t>2014</w:t>
      </w:r>
      <w:r>
        <w:rPr>
          <w:rFonts w:ascii="宋体" w:hAnsi="宋体" w:cs="宋体" w:eastAsia="宋体" w:hint="default"/>
          <w:spacing w:val="-56"/>
        </w:rPr>
        <w:t> </w:t>
      </w:r>
      <w:r>
        <w:rPr/>
        <w:t>年</w:t>
      </w:r>
      <w:r>
        <w:rPr>
          <w:spacing w:val="-57"/>
        </w:rPr>
        <w:t> </w:t>
      </w:r>
      <w:r>
        <w:rPr>
          <w:rFonts w:ascii="宋体" w:hAnsi="宋体" w:cs="宋体" w:eastAsia="宋体" w:hint="default"/>
        </w:rPr>
        <w:t>2</w:t>
      </w:r>
      <w:r>
        <w:rPr>
          <w:rFonts w:ascii="宋体" w:hAnsi="宋体" w:cs="宋体" w:eastAsia="宋体" w:hint="default"/>
          <w:spacing w:val="-57"/>
        </w:rPr>
        <w:t> </w:t>
      </w:r>
      <w:r>
        <w:rPr/>
        <w:t>月</w:t>
      </w:r>
      <w:r>
        <w:rPr>
          <w:spacing w:val="-57"/>
        </w:rPr>
        <w:t> </w:t>
      </w:r>
      <w:r>
        <w:rPr>
          <w:rFonts w:ascii="宋体" w:hAnsi="宋体" w:cs="宋体" w:eastAsia="宋体" w:hint="default"/>
        </w:rPr>
        <w:t>10</w:t>
      </w:r>
      <w:r>
        <w:rPr>
          <w:rFonts w:ascii="宋体" w:hAnsi="宋体" w:cs="宋体" w:eastAsia="宋体" w:hint="default"/>
          <w:spacing w:val="-57"/>
        </w:rPr>
        <w:t> </w:t>
      </w:r>
      <w:r>
        <w:rPr/>
        <w:t>日完成，并确 </w:t>
      </w:r>
      <w:r>
        <w:rPr>
          <w:spacing w:val="11"/>
        </w:rPr>
        <w:t>认未丧失控制权的权益交易 </w:t>
      </w:r>
      <w:r>
        <w:rPr>
          <w:rFonts w:ascii="宋体" w:hAnsi="宋体" w:cs="宋体" w:eastAsia="宋体" w:hint="default"/>
        </w:rPr>
        <w:t>9,004,911.43</w:t>
      </w:r>
      <w:r>
        <w:rPr>
          <w:rFonts w:ascii="宋体" w:hAnsi="宋体" w:cs="宋体" w:eastAsia="宋体" w:hint="default"/>
          <w:spacing w:val="37"/>
        </w:rPr>
        <w:t> </w:t>
      </w:r>
      <w:r>
        <w:rPr>
          <w:spacing w:val="10"/>
        </w:rPr>
        <w:t>元港币，减少资本公积。变更后，</w:t>
      </w:r>
      <w:r>
        <w:rPr>
          <w:rFonts w:ascii="宋体" w:hAnsi="宋体" w:cs="宋体" w:eastAsia="宋体" w:hint="default"/>
          <w:spacing w:val="10"/>
        </w:rPr>
        <w:t>ASL</w:t>
      </w:r>
      <w:r>
        <w:rPr>
          <w:rFonts w:ascii="宋体" w:hAnsi="宋体" w:cs="宋体" w:eastAsia="宋体" w:hint="default"/>
        </w:rPr>
      </w:r>
    </w:p>
    <w:p>
      <w:pPr>
        <w:spacing w:after="0" w:line="237" w:lineRule="auto"/>
        <w:jc w:val="left"/>
        <w:rPr>
          <w:rFonts w:ascii="宋体" w:hAnsi="宋体" w:cs="宋体" w:eastAsia="宋体" w:hint="default"/>
        </w:rPr>
        <w:sectPr>
          <w:type w:val="continuous"/>
          <w:pgSz w:w="11910" w:h="16840"/>
          <w:pgMar w:top="1080" w:bottom="1380" w:left="1560" w:right="980"/>
        </w:sectPr>
      </w:pPr>
    </w:p>
    <w:p>
      <w:pPr>
        <w:spacing w:line="240" w:lineRule="auto" w:before="9"/>
        <w:rPr>
          <w:rFonts w:ascii="宋体" w:hAnsi="宋体" w:cs="宋体" w:eastAsia="宋体" w:hint="default"/>
          <w:sz w:val="25"/>
          <w:szCs w:val="25"/>
        </w:rPr>
      </w:pPr>
    </w:p>
    <w:p>
      <w:pPr>
        <w:pStyle w:val="BodyText"/>
        <w:spacing w:line="240" w:lineRule="auto" w:before="26"/>
        <w:ind w:left="219" w:right="127"/>
        <w:jc w:val="left"/>
      </w:pPr>
      <w:r>
        <w:rPr>
          <w:rFonts w:ascii="宋体" w:hAnsi="宋体" w:cs="宋体" w:eastAsia="宋体" w:hint="default"/>
        </w:rPr>
        <w:t>Security Solutions Limited</w:t>
      </w:r>
      <w:r>
        <w:rPr>
          <w:rFonts w:ascii="宋体" w:hAnsi="宋体" w:cs="宋体" w:eastAsia="宋体" w:hint="default"/>
          <w:spacing w:val="-60"/>
        </w:rPr>
        <w:t> </w:t>
      </w:r>
      <w:r>
        <w:rPr/>
        <w:t>持股比例降至</w:t>
      </w:r>
      <w:r>
        <w:rPr>
          <w:spacing w:val="-60"/>
        </w:rPr>
        <w:t> </w:t>
      </w:r>
      <w:r>
        <w:rPr>
          <w:rFonts w:ascii="宋体" w:hAnsi="宋体" w:cs="宋体" w:eastAsia="宋体" w:hint="default"/>
        </w:rPr>
        <w:t>82.66%</w:t>
      </w:r>
      <w:r>
        <w:rPr/>
        <w:t>。</w:t>
      </w:r>
    </w:p>
    <w:p>
      <w:pPr>
        <w:pStyle w:val="BodyText"/>
        <w:spacing w:line="237" w:lineRule="auto" w:before="119"/>
        <w:ind w:left="219" w:right="127" w:firstLine="480"/>
        <w:jc w:val="left"/>
      </w:pPr>
      <w:r>
        <w:rPr>
          <w:rFonts w:ascii="宋体" w:hAnsi="宋体" w:cs="宋体" w:eastAsia="宋体" w:hint="default"/>
        </w:rPr>
        <w:t>2014</w:t>
      </w:r>
      <w:r>
        <w:rPr>
          <w:rFonts w:ascii="宋体" w:hAnsi="宋体" w:cs="宋体" w:eastAsia="宋体" w:hint="default"/>
          <w:spacing w:val="-59"/>
        </w:rPr>
        <w:t> </w:t>
      </w:r>
      <w:r>
        <w:rPr/>
        <w:t>年</w:t>
      </w:r>
      <w:r>
        <w:rPr>
          <w:spacing w:val="-59"/>
        </w:rPr>
        <w:t> </w:t>
      </w:r>
      <w:r>
        <w:rPr>
          <w:rFonts w:ascii="宋体" w:hAnsi="宋体" w:cs="宋体" w:eastAsia="宋体" w:hint="default"/>
        </w:rPr>
        <w:t>2</w:t>
      </w:r>
      <w:r>
        <w:rPr>
          <w:rFonts w:ascii="宋体" w:hAnsi="宋体" w:cs="宋体" w:eastAsia="宋体" w:hint="default"/>
          <w:spacing w:val="-59"/>
        </w:rPr>
        <w:t> </w:t>
      </w:r>
      <w:r>
        <w:rPr/>
        <w:t>月</w:t>
      </w:r>
      <w:r>
        <w:rPr>
          <w:spacing w:val="-59"/>
        </w:rPr>
        <w:t> </w:t>
      </w:r>
      <w:r>
        <w:rPr>
          <w:rFonts w:ascii="宋体" w:hAnsi="宋体" w:cs="宋体" w:eastAsia="宋体" w:hint="default"/>
        </w:rPr>
        <w:t>12</w:t>
      </w:r>
      <w:r>
        <w:rPr>
          <w:rFonts w:ascii="宋体" w:hAnsi="宋体" w:cs="宋体" w:eastAsia="宋体" w:hint="default"/>
          <w:spacing w:val="-59"/>
        </w:rPr>
        <w:t> </w:t>
      </w:r>
      <w:r>
        <w:rPr>
          <w:spacing w:val="-14"/>
        </w:rPr>
        <w:t>日，</w:t>
      </w:r>
      <w:r>
        <w:rPr>
          <w:rFonts w:ascii="宋体" w:hAnsi="宋体" w:cs="宋体" w:eastAsia="宋体" w:hint="default"/>
          <w:spacing w:val="-14"/>
        </w:rPr>
        <w:t>ASL</w:t>
      </w:r>
      <w:r>
        <w:rPr>
          <w:rFonts w:ascii="宋体" w:hAnsi="宋体" w:cs="宋体" w:eastAsia="宋体" w:hint="default"/>
          <w:spacing w:val="-59"/>
        </w:rPr>
        <w:t> </w:t>
      </w:r>
      <w:r>
        <w:rPr>
          <w:spacing w:val="-12"/>
        </w:rPr>
        <w:t>公司、</w:t>
      </w:r>
      <w:r>
        <w:rPr>
          <w:rFonts w:ascii="宋体" w:hAnsi="宋体" w:cs="宋体" w:eastAsia="宋体" w:hint="default"/>
          <w:spacing w:val="-12"/>
        </w:rPr>
        <w:t>ASL</w:t>
      </w:r>
      <w:r>
        <w:rPr>
          <w:rFonts w:ascii="宋体" w:hAnsi="宋体" w:cs="宋体" w:eastAsia="宋体" w:hint="default"/>
          <w:spacing w:val="-59"/>
        </w:rPr>
        <w:t> </w:t>
      </w:r>
      <w:r>
        <w:rPr>
          <w:rFonts w:ascii="宋体" w:hAnsi="宋体" w:cs="宋体" w:eastAsia="宋体" w:hint="default"/>
        </w:rPr>
        <w:t>Security</w:t>
      </w:r>
      <w:r>
        <w:rPr>
          <w:rFonts w:ascii="宋体" w:hAnsi="宋体" w:cs="宋体" w:eastAsia="宋体" w:hint="default"/>
          <w:spacing w:val="-59"/>
        </w:rPr>
        <w:t> </w:t>
      </w:r>
      <w:r>
        <w:rPr>
          <w:rFonts w:ascii="宋体" w:hAnsi="宋体" w:cs="宋体" w:eastAsia="宋体" w:hint="default"/>
        </w:rPr>
        <w:t>Solutions</w:t>
      </w:r>
      <w:r>
        <w:rPr>
          <w:rFonts w:ascii="宋体" w:hAnsi="宋体" w:cs="宋体" w:eastAsia="宋体" w:hint="default"/>
          <w:spacing w:val="-59"/>
        </w:rPr>
        <w:t> </w:t>
      </w:r>
      <w:r>
        <w:rPr>
          <w:rFonts w:ascii="宋体" w:hAnsi="宋体" w:cs="宋体" w:eastAsia="宋体" w:hint="default"/>
          <w:spacing w:val="-7"/>
        </w:rPr>
        <w:t>Limited</w:t>
      </w:r>
      <w:r>
        <w:rPr>
          <w:spacing w:val="-7"/>
        </w:rPr>
        <w:t>、</w:t>
      </w:r>
      <w:r>
        <w:rPr>
          <w:rFonts w:ascii="宋体" w:hAnsi="宋体" w:cs="宋体" w:eastAsia="宋体" w:hint="default"/>
          <w:spacing w:val="-7"/>
        </w:rPr>
        <w:t>I-Sprint</w:t>
      </w:r>
      <w:r>
        <w:rPr>
          <w:spacing w:val="-7"/>
        </w:rPr>
        <w:t>、</w:t>
      </w:r>
      <w:r>
        <w:rPr>
          <w:rFonts w:ascii="宋体" w:hAnsi="宋体" w:cs="宋体" w:eastAsia="宋体" w:hint="default"/>
          <w:spacing w:val="-7"/>
        </w:rPr>
        <w:t>Great</w:t>
      </w:r>
      <w:r>
        <w:rPr>
          <w:rFonts w:ascii="宋体" w:hAnsi="宋体" w:cs="宋体" w:eastAsia="宋体" w:hint="default"/>
        </w:rPr>
        <w:t> Ally</w:t>
      </w:r>
      <w:r>
        <w:rPr>
          <w:rFonts w:ascii="宋体" w:hAnsi="宋体" w:cs="宋体" w:eastAsia="宋体" w:hint="default"/>
          <w:spacing w:val="-44"/>
        </w:rPr>
        <w:t> </w:t>
      </w:r>
      <w:r>
        <w:rPr>
          <w:rFonts w:ascii="宋体" w:hAnsi="宋体" w:cs="宋体" w:eastAsia="宋体" w:hint="default"/>
        </w:rPr>
        <w:t>Investments</w:t>
      </w:r>
      <w:r>
        <w:rPr>
          <w:rFonts w:ascii="宋体" w:hAnsi="宋体" w:cs="宋体" w:eastAsia="宋体" w:hint="default"/>
          <w:spacing w:val="-44"/>
        </w:rPr>
        <w:t> </w:t>
      </w:r>
      <w:r>
        <w:rPr>
          <w:rFonts w:ascii="宋体" w:hAnsi="宋体" w:cs="宋体" w:eastAsia="宋体" w:hint="default"/>
          <w:spacing w:val="-10"/>
        </w:rPr>
        <w:t>Limited</w:t>
      </w:r>
      <w:r>
        <w:rPr>
          <w:spacing w:val="-10"/>
        </w:rPr>
        <w:t>（投资者）、冠邦及佳卫签订股权认购协议，据此，</w:t>
      </w:r>
      <w:r>
        <w:rPr>
          <w:rFonts w:ascii="宋体" w:hAnsi="宋体" w:cs="宋体" w:eastAsia="宋体" w:hint="default"/>
          <w:spacing w:val="-10"/>
        </w:rPr>
        <w:t>I-Sprint</w:t>
      </w:r>
      <w:r>
        <w:rPr>
          <w:rFonts w:ascii="宋体" w:hAnsi="宋体" w:cs="宋体" w:eastAsia="宋体" w:hint="default"/>
          <w:spacing w:val="-117"/>
        </w:rPr>
        <w:t> </w:t>
      </w:r>
      <w:r>
        <w:rPr>
          <w:rFonts w:ascii="宋体" w:hAnsi="宋体" w:cs="宋体" w:eastAsia="宋体" w:hint="default"/>
          <w:spacing w:val="-117"/>
        </w:rPr>
      </w:r>
      <w:r>
        <w:rPr/>
        <w:t>发行及配发，而投资者认购</w:t>
      </w:r>
      <w:r>
        <w:rPr>
          <w:spacing w:val="-57"/>
        </w:rPr>
        <w:t> </w:t>
      </w:r>
      <w:r>
        <w:rPr>
          <w:rFonts w:ascii="宋体" w:hAnsi="宋体" w:cs="宋体" w:eastAsia="宋体" w:hint="default"/>
        </w:rPr>
        <w:t>118,973,914</w:t>
      </w:r>
      <w:r>
        <w:rPr>
          <w:rFonts w:ascii="宋体" w:hAnsi="宋体" w:cs="宋体" w:eastAsia="宋体" w:hint="default"/>
          <w:spacing w:val="-56"/>
        </w:rPr>
        <w:t> </w:t>
      </w:r>
      <w:r>
        <w:rPr/>
        <w:t>股</w:t>
      </w:r>
      <w:r>
        <w:rPr>
          <w:spacing w:val="-57"/>
        </w:rPr>
        <w:t> </w:t>
      </w:r>
      <w:r>
        <w:rPr>
          <w:rFonts w:ascii="宋体" w:hAnsi="宋体" w:cs="宋体" w:eastAsia="宋体" w:hint="default"/>
        </w:rPr>
        <w:t>I-Sprint</w:t>
      </w:r>
      <w:r>
        <w:rPr>
          <w:rFonts w:ascii="宋体" w:hAnsi="宋体" w:cs="宋体" w:eastAsia="宋体" w:hint="default"/>
          <w:spacing w:val="-57"/>
        </w:rPr>
        <w:t> </w:t>
      </w:r>
      <w:r>
        <w:rPr/>
        <w:t>新股份（相当于</w:t>
      </w:r>
      <w:r>
        <w:rPr>
          <w:spacing w:val="-56"/>
        </w:rPr>
        <w:t> </w:t>
      </w:r>
      <w:r>
        <w:rPr>
          <w:rFonts w:ascii="宋体" w:hAnsi="宋体" w:cs="宋体" w:eastAsia="宋体" w:hint="default"/>
        </w:rPr>
        <w:t>I-Sprint</w:t>
      </w:r>
      <w:r>
        <w:rPr>
          <w:rFonts w:ascii="宋体" w:hAnsi="宋体" w:cs="宋体" w:eastAsia="宋体" w:hint="default"/>
          <w:spacing w:val="-57"/>
        </w:rPr>
        <w:t> </w:t>
      </w:r>
      <w:r>
        <w:rPr/>
        <w:t>完成 发行后新股本的</w:t>
      </w:r>
      <w:r>
        <w:rPr>
          <w:spacing w:val="-59"/>
        </w:rPr>
        <w:t> </w:t>
      </w:r>
      <w:r>
        <w:rPr>
          <w:rFonts w:ascii="宋体" w:hAnsi="宋体" w:cs="宋体" w:eastAsia="宋体" w:hint="default"/>
          <w:spacing w:val="-16"/>
        </w:rPr>
        <w:t>41.67%</w:t>
      </w:r>
      <w:r>
        <w:rPr>
          <w:spacing w:val="-16"/>
        </w:rPr>
        <w:t>），认购价格为</w:t>
      </w:r>
      <w:r>
        <w:rPr>
          <w:spacing w:val="-59"/>
        </w:rPr>
        <w:t> </w:t>
      </w:r>
      <w:r>
        <w:rPr>
          <w:rFonts w:ascii="宋体" w:hAnsi="宋体" w:cs="宋体" w:eastAsia="宋体" w:hint="default"/>
        </w:rPr>
        <w:t>9,850,000</w:t>
      </w:r>
      <w:r>
        <w:rPr>
          <w:rFonts w:ascii="宋体" w:hAnsi="宋体" w:cs="宋体" w:eastAsia="宋体" w:hint="default"/>
          <w:spacing w:val="-59"/>
        </w:rPr>
        <w:t> </w:t>
      </w:r>
      <w:r>
        <w:rPr>
          <w:spacing w:val="-15"/>
        </w:rPr>
        <w:t>美元（相当于约</w:t>
      </w:r>
      <w:r>
        <w:rPr>
          <w:spacing w:val="-59"/>
        </w:rPr>
        <w:t> </w:t>
      </w:r>
      <w:r>
        <w:rPr>
          <w:rFonts w:ascii="宋体" w:hAnsi="宋体" w:cs="宋体" w:eastAsia="宋体" w:hint="default"/>
        </w:rPr>
        <w:t>76,833,000</w:t>
      </w:r>
      <w:r>
        <w:rPr>
          <w:rFonts w:ascii="宋体" w:hAnsi="宋体" w:cs="宋体" w:eastAsia="宋体" w:hint="default"/>
          <w:spacing w:val="-59"/>
        </w:rPr>
        <w:t> </w:t>
      </w:r>
      <w:r>
        <w:rPr>
          <w:spacing w:val="-50"/>
        </w:rPr>
        <w:t>港币）。</w:t>
      </w:r>
      <w:r>
        <w:rPr>
          <w:spacing w:val="-117"/>
        </w:rPr>
        <w:t> </w:t>
      </w:r>
      <w:r>
        <w:rPr>
          <w:spacing w:val="-117"/>
        </w:rPr>
      </w:r>
      <w:r>
        <w:rPr/>
        <w:t>此交易于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12</w:t>
      </w:r>
      <w:r>
        <w:rPr>
          <w:rFonts w:ascii="宋体" w:hAnsi="宋体" w:cs="宋体" w:eastAsia="宋体" w:hint="default"/>
          <w:spacing w:val="-60"/>
        </w:rPr>
        <w:t> </w:t>
      </w:r>
      <w:r>
        <w:rPr/>
        <w:t>日完成，变更后，</w:t>
      </w:r>
      <w:r>
        <w:rPr>
          <w:rFonts w:ascii="宋体" w:hAnsi="宋体" w:cs="宋体" w:eastAsia="宋体" w:hint="default"/>
        </w:rPr>
        <w:t>ASL</w:t>
      </w:r>
      <w:r>
        <w:rPr>
          <w:rFonts w:ascii="宋体" w:hAnsi="宋体" w:cs="宋体" w:eastAsia="宋体" w:hint="default"/>
          <w:spacing w:val="-14"/>
        </w:rPr>
        <w:t> </w:t>
      </w:r>
      <w:r>
        <w:rPr>
          <w:rFonts w:ascii="宋体" w:hAnsi="宋体" w:cs="宋体" w:eastAsia="宋体" w:hint="default"/>
        </w:rPr>
        <w:t>Security</w:t>
      </w:r>
      <w:r>
        <w:rPr>
          <w:rFonts w:ascii="宋体" w:hAnsi="宋体" w:cs="宋体" w:eastAsia="宋体" w:hint="default"/>
          <w:spacing w:val="-14"/>
        </w:rPr>
        <w:t> </w:t>
      </w:r>
      <w:r>
        <w:rPr>
          <w:rFonts w:ascii="宋体" w:hAnsi="宋体" w:cs="宋体" w:eastAsia="宋体" w:hint="default"/>
        </w:rPr>
        <w:t>Solutions</w:t>
      </w:r>
      <w:r>
        <w:rPr>
          <w:rFonts w:ascii="宋体" w:hAnsi="宋体" w:cs="宋体" w:eastAsia="宋体" w:hint="default"/>
          <w:spacing w:val="-14"/>
        </w:rPr>
        <w:t> </w:t>
      </w:r>
      <w:r>
        <w:rPr>
          <w:rFonts w:ascii="宋体" w:hAnsi="宋体" w:cs="宋体" w:eastAsia="宋体" w:hint="default"/>
        </w:rPr>
        <w:t>Limited</w:t>
      </w:r>
      <w:r>
        <w:rPr>
          <w:rFonts w:ascii="宋体" w:hAnsi="宋体" w:cs="宋体" w:eastAsia="宋体" w:hint="default"/>
          <w:spacing w:val="-60"/>
        </w:rPr>
        <w:t> </w:t>
      </w:r>
      <w:r>
        <w:rPr/>
        <w:t>持股比 例降至</w:t>
      </w:r>
      <w:r>
        <w:rPr>
          <w:spacing w:val="-60"/>
        </w:rPr>
        <w:t> </w:t>
      </w:r>
      <w:r>
        <w:rPr>
          <w:rFonts w:ascii="宋体" w:hAnsi="宋体" w:cs="宋体" w:eastAsia="宋体" w:hint="default"/>
        </w:rPr>
        <w:t>48.22%</w:t>
      </w:r>
      <w:r>
        <w:rPr/>
        <w:t>。</w:t>
      </w:r>
    </w:p>
    <w:p>
      <w:pPr>
        <w:pStyle w:val="BodyText"/>
        <w:spacing w:line="237" w:lineRule="auto" w:before="120"/>
        <w:ind w:left="215" w:right="168" w:firstLine="480"/>
        <w:jc w:val="both"/>
      </w:pPr>
      <w:r>
        <w:rPr>
          <w:rFonts w:ascii="宋体" w:hAnsi="宋体" w:cs="宋体" w:eastAsia="宋体" w:hint="default"/>
        </w:rPr>
        <w:t>ASL Security Solutions Limited</w:t>
      </w:r>
      <w:r>
        <w:rPr>
          <w:rFonts w:ascii="宋体" w:hAnsi="宋体" w:cs="宋体" w:eastAsia="宋体" w:hint="default"/>
          <w:spacing w:val="-60"/>
        </w:rPr>
        <w:t> </w:t>
      </w:r>
      <w:r>
        <w:rPr/>
        <w:t>处置</w:t>
      </w:r>
      <w:r>
        <w:rPr>
          <w:spacing w:val="-60"/>
        </w:rPr>
        <w:t> </w:t>
      </w:r>
      <w:r>
        <w:rPr>
          <w:rFonts w:ascii="宋体" w:hAnsi="宋体" w:cs="宋体" w:eastAsia="宋体" w:hint="default"/>
        </w:rPr>
        <w:t>I-Sprint</w:t>
      </w:r>
      <w:r>
        <w:rPr>
          <w:rFonts w:ascii="宋体" w:hAnsi="宋体" w:cs="宋体" w:eastAsia="宋体" w:hint="default"/>
          <w:spacing w:val="-60"/>
        </w:rPr>
        <w:t> </w:t>
      </w:r>
      <w:r>
        <w:rPr/>
        <w:t>公司股权至丧失控制权的两次 交易不属于“一揽子交易”，原因为：第一次处置是与投资者协商确定的实施新的员 工激励计划而进行的无偿转让；第二次处置系引进新的投资者入资。</w:t>
      </w:r>
    </w:p>
    <w:p>
      <w:pPr>
        <w:pStyle w:val="BodyText"/>
        <w:spacing w:line="240" w:lineRule="auto" w:before="118"/>
        <w:ind w:left="218" w:right="127"/>
        <w:jc w:val="left"/>
      </w:pPr>
      <w:r>
        <w:rPr/>
        <w:t>非一揽子交易</w:t>
      </w:r>
    </w:p>
    <w:p>
      <w:pPr>
        <w:pStyle w:val="BodyText"/>
        <w:spacing w:line="240" w:lineRule="auto" w:before="116"/>
        <w:ind w:left="0" w:right="144"/>
        <w:jc w:val="right"/>
      </w:pPr>
      <w:r>
        <w:rPr/>
        <w:t>单位：港币</w:t>
      </w:r>
    </w:p>
    <w:p>
      <w:pPr>
        <w:spacing w:line="240" w:lineRule="auto" w:before="12"/>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1077"/>
        <w:gridCol w:w="1378"/>
        <w:gridCol w:w="836"/>
        <w:gridCol w:w="1058"/>
        <w:gridCol w:w="994"/>
        <w:gridCol w:w="1689"/>
        <w:gridCol w:w="1015"/>
        <w:gridCol w:w="1002"/>
      </w:tblGrid>
      <w:tr>
        <w:trPr>
          <w:trHeight w:val="1183" w:hRule="exact"/>
        </w:trPr>
        <w:tc>
          <w:tcPr>
            <w:tcW w:w="1077" w:type="dxa"/>
            <w:tcBorders>
              <w:top w:val="single" w:sz="8"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32" w:lineRule="exact"/>
              <w:ind w:left="108" w:right="106"/>
              <w:jc w:val="left"/>
              <w:rPr>
                <w:rFonts w:ascii="宋体" w:hAnsi="宋体" w:cs="宋体" w:eastAsia="宋体" w:hint="default"/>
                <w:sz w:val="18"/>
                <w:szCs w:val="18"/>
              </w:rPr>
            </w:pPr>
            <w:r>
              <w:rPr>
                <w:rFonts w:ascii="宋体" w:hAnsi="宋体" w:cs="宋体" w:eastAsia="宋体" w:hint="default"/>
                <w:b/>
                <w:bCs/>
                <w:sz w:val="18"/>
                <w:szCs w:val="18"/>
              </w:rPr>
              <w:t>子</w:t>
            </w:r>
            <w:r>
              <w:rPr>
                <w:rFonts w:ascii="宋体" w:hAnsi="宋体" w:cs="宋体" w:eastAsia="宋体" w:hint="default"/>
                <w:b/>
                <w:bCs/>
                <w:spacing w:val="-46"/>
                <w:sz w:val="18"/>
                <w:szCs w:val="18"/>
              </w:rPr>
              <w:t> </w:t>
            </w:r>
            <w:r>
              <w:rPr>
                <w:rFonts w:ascii="宋体" w:hAnsi="宋体" w:cs="宋体" w:eastAsia="宋体" w:hint="default"/>
                <w:b/>
                <w:bCs/>
                <w:sz w:val="18"/>
                <w:szCs w:val="18"/>
              </w:rPr>
              <w:t>公</w:t>
            </w:r>
            <w:r>
              <w:rPr>
                <w:rFonts w:ascii="宋体" w:hAnsi="宋体" w:cs="宋体" w:eastAsia="宋体" w:hint="default"/>
                <w:b/>
                <w:bCs/>
                <w:spacing w:val="-44"/>
                <w:sz w:val="18"/>
                <w:szCs w:val="18"/>
              </w:rPr>
              <w:t> </w:t>
            </w:r>
            <w:r>
              <w:rPr>
                <w:rFonts w:ascii="宋体" w:hAnsi="宋体" w:cs="宋体" w:eastAsia="宋体" w:hint="default"/>
                <w:b/>
                <w:bCs/>
                <w:sz w:val="18"/>
                <w:szCs w:val="18"/>
              </w:rPr>
              <w:t>司</w:t>
            </w:r>
            <w:r>
              <w:rPr>
                <w:rFonts w:ascii="宋体" w:hAnsi="宋体" w:cs="宋体" w:eastAsia="宋体" w:hint="default"/>
                <w:b/>
                <w:bCs/>
                <w:spacing w:val="-46"/>
                <w:sz w:val="18"/>
                <w:szCs w:val="18"/>
              </w:rPr>
              <w:t> </w:t>
            </w:r>
            <w:r>
              <w:rPr>
                <w:rFonts w:ascii="宋体" w:hAnsi="宋体" w:cs="宋体" w:eastAsia="宋体" w:hint="default"/>
                <w:b/>
                <w:bCs/>
                <w:sz w:val="18"/>
                <w:szCs w:val="18"/>
              </w:rPr>
              <w:t>名</w:t>
            </w:r>
            <w:r>
              <w:rPr>
                <w:rFonts w:ascii="宋体" w:hAnsi="宋体" w:cs="宋体" w:eastAsia="宋体" w:hint="default"/>
                <w:b/>
                <w:bCs/>
                <w:w w:val="99"/>
                <w:sz w:val="18"/>
                <w:szCs w:val="18"/>
              </w:rPr>
              <w:t> </w:t>
            </w:r>
            <w:r>
              <w:rPr>
                <w:rFonts w:ascii="宋体" w:hAnsi="宋体" w:cs="宋体" w:eastAsia="宋体" w:hint="default"/>
                <w:b/>
                <w:bCs/>
                <w:sz w:val="18"/>
                <w:szCs w:val="18"/>
              </w:rPr>
              <w:t>称</w:t>
            </w:r>
            <w:r>
              <w:rPr>
                <w:rFonts w:ascii="宋体" w:hAnsi="宋体" w:cs="宋体" w:eastAsia="宋体" w:hint="default"/>
                <w:sz w:val="18"/>
                <w:szCs w:val="18"/>
              </w:rPr>
            </w:r>
          </w:p>
        </w:tc>
        <w:tc>
          <w:tcPr>
            <w:tcW w:w="1378"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b/>
                <w:bCs/>
                <w:sz w:val="18"/>
                <w:szCs w:val="18"/>
              </w:rPr>
              <w:t>股权处置时点</w:t>
            </w:r>
            <w:r>
              <w:rPr>
                <w:rFonts w:ascii="宋体" w:hAnsi="宋体" w:cs="宋体" w:eastAsia="宋体" w:hint="default"/>
                <w:sz w:val="18"/>
                <w:szCs w:val="18"/>
              </w:rPr>
            </w:r>
          </w:p>
        </w:tc>
        <w:tc>
          <w:tcPr>
            <w:tcW w:w="836" w:type="dxa"/>
            <w:tcBorders>
              <w:top w:val="single" w:sz="8"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32" w:lineRule="exact"/>
              <w:ind w:left="105" w:right="184"/>
              <w:jc w:val="left"/>
              <w:rPr>
                <w:rFonts w:ascii="宋体" w:hAnsi="宋体" w:cs="宋体" w:eastAsia="宋体" w:hint="default"/>
                <w:sz w:val="18"/>
                <w:szCs w:val="18"/>
              </w:rPr>
            </w:pPr>
            <w:r>
              <w:rPr>
                <w:rFonts w:ascii="宋体" w:hAnsi="宋体" w:cs="宋体" w:eastAsia="宋体" w:hint="default"/>
                <w:b/>
                <w:bCs/>
                <w:sz w:val="18"/>
                <w:szCs w:val="18"/>
              </w:rPr>
              <w:t>股权处</w:t>
            </w:r>
            <w:r>
              <w:rPr>
                <w:rFonts w:ascii="宋体" w:hAnsi="宋体" w:cs="宋体" w:eastAsia="宋体" w:hint="default"/>
                <w:b/>
                <w:bCs/>
                <w:spacing w:val="1"/>
                <w:w w:val="99"/>
                <w:sz w:val="18"/>
                <w:szCs w:val="18"/>
              </w:rPr>
              <w:t> </w:t>
            </w:r>
            <w:r>
              <w:rPr>
                <w:rFonts w:ascii="宋体" w:hAnsi="宋体" w:cs="宋体" w:eastAsia="宋体" w:hint="default"/>
                <w:b/>
                <w:bCs/>
                <w:sz w:val="18"/>
                <w:szCs w:val="18"/>
              </w:rPr>
              <w:t>置价款</w:t>
            </w:r>
            <w:r>
              <w:rPr>
                <w:rFonts w:ascii="宋体" w:hAnsi="宋体" w:cs="宋体" w:eastAsia="宋体" w:hint="default"/>
                <w:sz w:val="18"/>
                <w:szCs w:val="18"/>
              </w:rPr>
            </w:r>
          </w:p>
        </w:tc>
        <w:tc>
          <w:tcPr>
            <w:tcW w:w="1058" w:type="dxa"/>
            <w:tcBorders>
              <w:top w:val="single" w:sz="8"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32" w:lineRule="exact"/>
              <w:ind w:left="321" w:right="147" w:hanging="135"/>
              <w:jc w:val="left"/>
              <w:rPr>
                <w:rFonts w:ascii="宋体" w:hAnsi="宋体" w:cs="宋体" w:eastAsia="宋体" w:hint="default"/>
                <w:sz w:val="18"/>
                <w:szCs w:val="18"/>
              </w:rPr>
            </w:pPr>
            <w:r>
              <w:rPr>
                <w:rFonts w:ascii="宋体" w:hAnsi="宋体" w:cs="宋体" w:eastAsia="宋体" w:hint="default"/>
                <w:b/>
                <w:bCs/>
                <w:sz w:val="18"/>
                <w:szCs w:val="18"/>
              </w:rPr>
              <w:t>股权处置</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994" w:type="dxa"/>
            <w:tcBorders>
              <w:top w:val="single" w:sz="8"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34" w:lineRule="exact"/>
              <w:ind w:left="149" w:right="0"/>
              <w:jc w:val="left"/>
              <w:rPr>
                <w:rFonts w:ascii="宋体" w:hAnsi="宋体" w:cs="宋体" w:eastAsia="宋体" w:hint="default"/>
                <w:sz w:val="18"/>
                <w:szCs w:val="18"/>
              </w:rPr>
            </w:pPr>
            <w:r>
              <w:rPr>
                <w:rFonts w:ascii="宋体" w:hAnsi="宋体" w:cs="宋体" w:eastAsia="宋体" w:hint="default"/>
                <w:b/>
                <w:bCs/>
                <w:sz w:val="18"/>
                <w:szCs w:val="18"/>
              </w:rPr>
              <w:t>股权处置</w:t>
            </w:r>
            <w:r>
              <w:rPr>
                <w:rFonts w:ascii="宋体" w:hAnsi="宋体" w:cs="宋体" w:eastAsia="宋体" w:hint="default"/>
                <w:sz w:val="18"/>
                <w:szCs w:val="18"/>
              </w:rPr>
            </w:r>
          </w:p>
          <w:p>
            <w:pPr>
              <w:pStyle w:val="TableParagraph"/>
              <w:spacing w:line="234" w:lineRule="exact"/>
              <w:ind w:left="510" w:right="0"/>
              <w:jc w:val="left"/>
              <w:rPr>
                <w:rFonts w:ascii="宋体" w:hAnsi="宋体" w:cs="宋体" w:eastAsia="宋体" w:hint="default"/>
                <w:sz w:val="18"/>
                <w:szCs w:val="18"/>
              </w:rPr>
            </w:pPr>
            <w:r>
              <w:rPr>
                <w:rFonts w:ascii="宋体" w:hAnsi="宋体" w:cs="宋体" w:eastAsia="宋体" w:hint="default"/>
                <w:b/>
                <w:bCs/>
                <w:sz w:val="18"/>
                <w:szCs w:val="18"/>
              </w:rPr>
              <w:t>方式</w:t>
            </w:r>
            <w:r>
              <w:rPr>
                <w:rFonts w:ascii="宋体" w:hAnsi="宋体" w:cs="宋体" w:eastAsia="宋体" w:hint="default"/>
                <w:sz w:val="18"/>
                <w:szCs w:val="18"/>
              </w:rPr>
            </w:r>
          </w:p>
        </w:tc>
        <w:tc>
          <w:tcPr>
            <w:tcW w:w="1689" w:type="dxa"/>
            <w:tcBorders>
              <w:top w:val="single" w:sz="8" w:space="0" w:color="000000"/>
              <w:left w:val="nil" w:sz="6" w:space="0" w:color="auto"/>
              <w:bottom w:val="single" w:sz="4" w:space="0" w:color="000000"/>
              <w:right w:val="nil" w:sz="6" w:space="0" w:color="auto"/>
            </w:tcBorders>
          </w:tcPr>
          <w:p>
            <w:pPr>
              <w:pStyle w:val="TableParagraph"/>
              <w:spacing w:line="206" w:lineRule="exact"/>
              <w:ind w:left="121" w:right="0"/>
              <w:jc w:val="both"/>
              <w:rPr>
                <w:rFonts w:ascii="宋体" w:hAnsi="宋体" w:cs="宋体" w:eastAsia="宋体" w:hint="default"/>
                <w:sz w:val="18"/>
                <w:szCs w:val="18"/>
              </w:rPr>
            </w:pPr>
            <w:r>
              <w:rPr>
                <w:rFonts w:ascii="宋体" w:hAnsi="宋体" w:cs="宋体" w:eastAsia="宋体" w:hint="default"/>
                <w:b/>
                <w:bCs/>
                <w:sz w:val="18"/>
                <w:szCs w:val="18"/>
              </w:rPr>
              <w:t>处置价款与处置投</w:t>
            </w:r>
            <w:r>
              <w:rPr>
                <w:rFonts w:ascii="宋体" w:hAnsi="宋体" w:cs="宋体" w:eastAsia="宋体" w:hint="default"/>
                <w:sz w:val="18"/>
                <w:szCs w:val="18"/>
              </w:rPr>
            </w:r>
          </w:p>
          <w:p>
            <w:pPr>
              <w:pStyle w:val="TableParagraph"/>
              <w:spacing w:line="237" w:lineRule="auto" w:before="1"/>
              <w:ind w:left="121" w:right="121"/>
              <w:jc w:val="both"/>
              <w:rPr>
                <w:rFonts w:ascii="宋体" w:hAnsi="宋体" w:cs="宋体" w:eastAsia="宋体" w:hint="default"/>
                <w:sz w:val="18"/>
                <w:szCs w:val="18"/>
              </w:rPr>
            </w:pPr>
            <w:r>
              <w:rPr>
                <w:rFonts w:ascii="宋体" w:hAnsi="宋体" w:cs="宋体" w:eastAsia="宋体" w:hint="default"/>
                <w:b/>
                <w:bCs/>
                <w:sz w:val="18"/>
                <w:szCs w:val="18"/>
              </w:rPr>
              <w:t>资对应的合并财务</w:t>
            </w:r>
            <w:r>
              <w:rPr>
                <w:rFonts w:ascii="宋体" w:hAnsi="宋体" w:cs="宋体" w:eastAsia="宋体" w:hint="default"/>
                <w:b/>
                <w:bCs/>
                <w:w w:val="99"/>
                <w:sz w:val="18"/>
                <w:szCs w:val="18"/>
              </w:rPr>
              <w:t> </w:t>
            </w:r>
            <w:r>
              <w:rPr>
                <w:rFonts w:ascii="宋体" w:hAnsi="宋体" w:cs="宋体" w:eastAsia="宋体" w:hint="default"/>
                <w:b/>
                <w:bCs/>
                <w:sz w:val="18"/>
                <w:szCs w:val="18"/>
              </w:rPr>
              <w:t>报表层面享有该子</w:t>
            </w:r>
            <w:r>
              <w:rPr>
                <w:rFonts w:ascii="宋体" w:hAnsi="宋体" w:cs="宋体" w:eastAsia="宋体" w:hint="default"/>
                <w:b/>
                <w:bCs/>
                <w:w w:val="99"/>
                <w:sz w:val="18"/>
                <w:szCs w:val="18"/>
              </w:rPr>
              <w:t> </w:t>
            </w:r>
            <w:r>
              <w:rPr>
                <w:rFonts w:ascii="宋体" w:hAnsi="宋体" w:cs="宋体" w:eastAsia="宋体" w:hint="default"/>
                <w:b/>
                <w:bCs/>
                <w:sz w:val="18"/>
                <w:szCs w:val="18"/>
              </w:rPr>
              <w:t>公司净资产份额的</w:t>
            </w:r>
            <w:r>
              <w:rPr>
                <w:rFonts w:ascii="宋体" w:hAnsi="宋体" w:cs="宋体" w:eastAsia="宋体" w:hint="default"/>
                <w:sz w:val="18"/>
                <w:szCs w:val="18"/>
              </w:rPr>
            </w:r>
          </w:p>
          <w:p>
            <w:pPr>
              <w:pStyle w:val="TableParagraph"/>
              <w:spacing w:line="233" w:lineRule="exact"/>
              <w:ind w:right="119"/>
              <w:jc w:val="right"/>
              <w:rPr>
                <w:rFonts w:ascii="宋体" w:hAnsi="宋体" w:cs="宋体" w:eastAsia="宋体" w:hint="default"/>
                <w:sz w:val="18"/>
                <w:szCs w:val="18"/>
              </w:rPr>
            </w:pPr>
            <w:r>
              <w:rPr>
                <w:rFonts w:ascii="宋体" w:hAnsi="宋体" w:cs="宋体" w:eastAsia="宋体" w:hint="default"/>
                <w:b/>
                <w:bCs/>
                <w:sz w:val="18"/>
                <w:szCs w:val="18"/>
              </w:rPr>
              <w:t>差额</w:t>
            </w:r>
            <w:r>
              <w:rPr>
                <w:rFonts w:ascii="宋体" w:hAnsi="宋体" w:cs="宋体" w:eastAsia="宋体" w:hint="default"/>
                <w:sz w:val="18"/>
                <w:szCs w:val="18"/>
              </w:rPr>
            </w:r>
          </w:p>
        </w:tc>
        <w:tc>
          <w:tcPr>
            <w:tcW w:w="1015" w:type="dxa"/>
            <w:tcBorders>
              <w:top w:val="single" w:sz="8"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32" w:lineRule="exact"/>
              <w:ind w:left="121" w:right="169"/>
              <w:jc w:val="left"/>
              <w:rPr>
                <w:rFonts w:ascii="宋体" w:hAnsi="宋体" w:cs="宋体" w:eastAsia="宋体" w:hint="default"/>
                <w:sz w:val="18"/>
                <w:szCs w:val="18"/>
              </w:rPr>
            </w:pPr>
            <w:r>
              <w:rPr>
                <w:rFonts w:ascii="宋体" w:hAnsi="宋体" w:cs="宋体" w:eastAsia="宋体" w:hint="default"/>
                <w:b/>
                <w:bCs/>
                <w:sz w:val="18"/>
                <w:szCs w:val="18"/>
              </w:rPr>
              <w:t>丧失控制</w:t>
            </w:r>
            <w:r>
              <w:rPr>
                <w:rFonts w:ascii="宋体" w:hAnsi="宋体" w:cs="宋体" w:eastAsia="宋体" w:hint="default"/>
                <w:b/>
                <w:bCs/>
                <w:w w:val="99"/>
                <w:sz w:val="18"/>
                <w:szCs w:val="18"/>
              </w:rPr>
              <w:t> </w:t>
            </w:r>
            <w:r>
              <w:rPr>
                <w:rFonts w:ascii="宋体" w:hAnsi="宋体" w:cs="宋体" w:eastAsia="宋体" w:hint="default"/>
                <w:b/>
                <w:bCs/>
                <w:sz w:val="18"/>
                <w:szCs w:val="18"/>
              </w:rPr>
              <w:t>权的时点</w:t>
            </w:r>
            <w:r>
              <w:rPr>
                <w:rFonts w:ascii="宋体" w:hAnsi="宋体" w:cs="宋体" w:eastAsia="宋体" w:hint="default"/>
                <w:sz w:val="18"/>
                <w:szCs w:val="18"/>
              </w:rPr>
            </w:r>
          </w:p>
        </w:tc>
        <w:tc>
          <w:tcPr>
            <w:tcW w:w="1002" w:type="dxa"/>
            <w:tcBorders>
              <w:top w:val="single" w:sz="8"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171" w:right="106"/>
              <w:jc w:val="both"/>
              <w:rPr>
                <w:rFonts w:ascii="宋体" w:hAnsi="宋体" w:cs="宋体" w:eastAsia="宋体" w:hint="default"/>
                <w:sz w:val="18"/>
                <w:szCs w:val="18"/>
              </w:rPr>
            </w:pPr>
            <w:r>
              <w:rPr>
                <w:rFonts w:ascii="宋体" w:hAnsi="宋体" w:cs="宋体" w:eastAsia="宋体" w:hint="default"/>
                <w:b/>
                <w:bCs/>
                <w:sz w:val="18"/>
                <w:szCs w:val="18"/>
              </w:rPr>
              <w:t>丧失控制</w:t>
            </w:r>
            <w:r>
              <w:rPr>
                <w:rFonts w:ascii="宋体" w:hAnsi="宋体" w:cs="宋体" w:eastAsia="宋体" w:hint="default"/>
                <w:b/>
                <w:bCs/>
                <w:w w:val="99"/>
                <w:sz w:val="18"/>
                <w:szCs w:val="18"/>
              </w:rPr>
              <w:t> </w:t>
            </w:r>
            <w:r>
              <w:rPr>
                <w:rFonts w:ascii="宋体" w:hAnsi="宋体" w:cs="宋体" w:eastAsia="宋体" w:hint="default"/>
                <w:b/>
                <w:bCs/>
                <w:sz w:val="18"/>
                <w:szCs w:val="18"/>
              </w:rPr>
              <w:t>权时点的</w:t>
            </w:r>
            <w:r>
              <w:rPr>
                <w:rFonts w:ascii="宋体" w:hAnsi="宋体" w:cs="宋体" w:eastAsia="宋体" w:hint="default"/>
                <w:b/>
                <w:bCs/>
                <w:w w:val="99"/>
                <w:sz w:val="18"/>
                <w:szCs w:val="18"/>
              </w:rPr>
              <w:t> </w:t>
            </w:r>
            <w:r>
              <w:rPr>
                <w:rFonts w:ascii="宋体" w:hAnsi="宋体" w:cs="宋体" w:eastAsia="宋体" w:hint="default"/>
                <w:b/>
                <w:bCs/>
                <w:sz w:val="18"/>
                <w:szCs w:val="18"/>
              </w:rPr>
              <w:t>确定依据</w:t>
            </w:r>
            <w:r>
              <w:rPr>
                <w:rFonts w:ascii="宋体" w:hAnsi="宋体" w:cs="宋体" w:eastAsia="宋体" w:hint="default"/>
                <w:sz w:val="18"/>
                <w:szCs w:val="18"/>
              </w:rPr>
            </w:r>
          </w:p>
        </w:tc>
      </w:tr>
      <w:tr>
        <w:trPr>
          <w:trHeight w:val="482" w:hRule="exact"/>
        </w:trPr>
        <w:tc>
          <w:tcPr>
            <w:tcW w:w="1077" w:type="dxa"/>
            <w:tcBorders>
              <w:top w:val="single" w:sz="4" w:space="0" w:color="000000"/>
              <w:left w:val="nil" w:sz="6" w:space="0" w:color="auto"/>
              <w:bottom w:val="single" w:sz="8" w:space="0" w:color="000000"/>
              <w:right w:val="nil" w:sz="6" w:space="0" w:color="auto"/>
            </w:tcBorders>
          </w:tcPr>
          <w:p>
            <w:pPr>
              <w:pStyle w:val="TableParagraph"/>
              <w:spacing w:line="240" w:lineRule="auto" w:before="86"/>
              <w:ind w:left="108" w:right="0"/>
              <w:jc w:val="left"/>
              <w:rPr>
                <w:rFonts w:ascii="宋体" w:hAnsi="宋体" w:cs="宋体" w:eastAsia="宋体" w:hint="default"/>
                <w:sz w:val="18"/>
                <w:szCs w:val="18"/>
              </w:rPr>
            </w:pPr>
            <w:r>
              <w:rPr>
                <w:rFonts w:ascii="宋体"/>
                <w:sz w:val="18"/>
              </w:rPr>
              <w:t>I-Sprint</w:t>
            </w:r>
          </w:p>
        </w:tc>
        <w:tc>
          <w:tcPr>
            <w:tcW w:w="1378" w:type="dxa"/>
            <w:tcBorders>
              <w:top w:val="single" w:sz="4" w:space="0" w:color="000000"/>
              <w:left w:val="nil" w:sz="6" w:space="0" w:color="auto"/>
              <w:bottom w:val="single" w:sz="8" w:space="0" w:color="000000"/>
              <w:right w:val="nil" w:sz="6" w:space="0" w:color="auto"/>
            </w:tcBorders>
          </w:tcPr>
          <w:p>
            <w:pPr>
              <w:pStyle w:val="TableParagraph"/>
              <w:spacing w:line="205" w:lineRule="exact"/>
              <w:ind w:right="104"/>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35" w:lineRule="exact"/>
              <w:ind w:right="103"/>
              <w:jc w:val="right"/>
              <w:rPr>
                <w:rFonts w:ascii="宋体" w:hAnsi="宋体" w:cs="宋体" w:eastAsia="宋体" w:hint="default"/>
                <w:sz w:val="18"/>
                <w:szCs w:val="18"/>
              </w:rPr>
            </w:pPr>
            <w:r>
              <w:rPr>
                <w:rFonts w:ascii="宋体" w:hAnsi="宋体" w:cs="宋体" w:eastAsia="宋体" w:hint="default"/>
                <w:sz w:val="18"/>
                <w:szCs w:val="18"/>
              </w:rPr>
              <w:t>日</w:t>
            </w:r>
          </w:p>
        </w:tc>
        <w:tc>
          <w:tcPr>
            <w:tcW w:w="836" w:type="dxa"/>
            <w:tcBorders>
              <w:top w:val="single" w:sz="4" w:space="0" w:color="000000"/>
              <w:left w:val="nil" w:sz="6" w:space="0" w:color="auto"/>
              <w:bottom w:val="single" w:sz="8" w:space="0" w:color="000000"/>
              <w:right w:val="nil" w:sz="6" w:space="0" w:color="auto"/>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w:t>
            </w:r>
          </w:p>
        </w:tc>
        <w:tc>
          <w:tcPr>
            <w:tcW w:w="1058" w:type="dxa"/>
            <w:tcBorders>
              <w:top w:val="single" w:sz="4" w:space="0" w:color="000000"/>
              <w:left w:val="nil" w:sz="6" w:space="0" w:color="auto"/>
              <w:bottom w:val="single" w:sz="8" w:space="0" w:color="000000"/>
              <w:right w:val="nil" w:sz="6" w:space="0" w:color="auto"/>
            </w:tcBorders>
          </w:tcPr>
          <w:p>
            <w:pPr>
              <w:pStyle w:val="TableParagraph"/>
              <w:spacing w:line="240" w:lineRule="auto" w:before="86"/>
              <w:ind w:left="277" w:right="0"/>
              <w:jc w:val="left"/>
              <w:rPr>
                <w:rFonts w:ascii="宋体" w:hAnsi="宋体" w:cs="宋体" w:eastAsia="宋体" w:hint="default"/>
                <w:sz w:val="18"/>
                <w:szCs w:val="18"/>
              </w:rPr>
            </w:pPr>
            <w:r>
              <w:rPr>
                <w:rFonts w:ascii="宋体"/>
                <w:sz w:val="18"/>
              </w:rPr>
              <w:t>34.44%</w:t>
            </w:r>
          </w:p>
        </w:tc>
        <w:tc>
          <w:tcPr>
            <w:tcW w:w="994" w:type="dxa"/>
            <w:tcBorders>
              <w:top w:val="single" w:sz="4" w:space="0" w:color="000000"/>
              <w:left w:val="nil" w:sz="6" w:space="0" w:color="auto"/>
              <w:bottom w:val="single" w:sz="8" w:space="0" w:color="000000"/>
              <w:right w:val="nil" w:sz="6" w:space="0" w:color="auto"/>
            </w:tcBorders>
          </w:tcPr>
          <w:p>
            <w:pPr>
              <w:pStyle w:val="TableParagraph"/>
              <w:spacing w:line="205" w:lineRule="exact"/>
              <w:ind w:left="331" w:right="0" w:hanging="180"/>
              <w:jc w:val="left"/>
              <w:rPr>
                <w:rFonts w:ascii="宋体" w:hAnsi="宋体" w:cs="宋体" w:eastAsia="宋体" w:hint="default"/>
                <w:sz w:val="18"/>
                <w:szCs w:val="18"/>
              </w:rPr>
            </w:pPr>
            <w:r>
              <w:rPr>
                <w:rFonts w:ascii="宋体" w:hAnsi="宋体" w:cs="宋体" w:eastAsia="宋体" w:hint="default"/>
                <w:sz w:val="18"/>
                <w:szCs w:val="18"/>
              </w:rPr>
              <w:t>视作出售</w:t>
            </w:r>
          </w:p>
          <w:p>
            <w:pPr>
              <w:pStyle w:val="TableParagraph"/>
              <w:spacing w:line="235" w:lineRule="exact"/>
              <w:ind w:left="33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689" w:type="dxa"/>
            <w:tcBorders>
              <w:top w:val="single" w:sz="4" w:space="0" w:color="000000"/>
              <w:left w:val="nil" w:sz="6" w:space="0" w:color="auto"/>
              <w:bottom w:val="single" w:sz="8" w:space="0" w:color="000000"/>
              <w:right w:val="nil" w:sz="6" w:space="0" w:color="auto"/>
            </w:tcBorders>
          </w:tcPr>
          <w:p>
            <w:pPr>
              <w:pStyle w:val="TableParagraph"/>
              <w:spacing w:line="240" w:lineRule="auto" w:before="86"/>
              <w:ind w:right="122"/>
              <w:jc w:val="right"/>
              <w:rPr>
                <w:rFonts w:ascii="宋体" w:hAnsi="宋体" w:cs="宋体" w:eastAsia="宋体" w:hint="default"/>
                <w:sz w:val="18"/>
                <w:szCs w:val="18"/>
              </w:rPr>
            </w:pPr>
            <w:r>
              <w:rPr>
                <w:rFonts w:ascii="宋体"/>
                <w:sz w:val="18"/>
              </w:rPr>
              <w:t>-</w:t>
            </w:r>
          </w:p>
        </w:tc>
        <w:tc>
          <w:tcPr>
            <w:tcW w:w="1015" w:type="dxa"/>
            <w:tcBorders>
              <w:top w:val="single" w:sz="4" w:space="0" w:color="000000"/>
              <w:left w:val="nil" w:sz="6" w:space="0" w:color="auto"/>
              <w:bottom w:val="single" w:sz="8" w:space="0" w:color="000000"/>
              <w:right w:val="nil" w:sz="6" w:space="0" w:color="auto"/>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p>
          <w:p>
            <w:pPr>
              <w:pStyle w:val="TableParagraph"/>
              <w:spacing w:line="235" w:lineRule="exact"/>
              <w:ind w:left="2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2" w:type="dxa"/>
            <w:tcBorders>
              <w:top w:val="single" w:sz="4" w:space="0" w:color="000000"/>
              <w:left w:val="nil" w:sz="6" w:space="0" w:color="auto"/>
              <w:bottom w:val="single" w:sz="8" w:space="0" w:color="000000"/>
              <w:right w:val="nil" w:sz="6" w:space="0" w:color="auto"/>
            </w:tcBorders>
          </w:tcPr>
          <w:p>
            <w:pPr>
              <w:pStyle w:val="TableParagraph"/>
              <w:spacing w:line="205" w:lineRule="exact"/>
              <w:ind w:left="173" w:right="0"/>
              <w:jc w:val="left"/>
              <w:rPr>
                <w:rFonts w:ascii="宋体" w:hAnsi="宋体" w:cs="宋体" w:eastAsia="宋体" w:hint="default"/>
                <w:sz w:val="18"/>
                <w:szCs w:val="18"/>
              </w:rPr>
            </w:pPr>
            <w:r>
              <w:rPr>
                <w:rFonts w:ascii="宋体" w:hAnsi="宋体" w:cs="宋体" w:eastAsia="宋体" w:hint="default"/>
                <w:sz w:val="18"/>
                <w:szCs w:val="18"/>
              </w:rPr>
              <w:t>股权交割</w:t>
            </w:r>
          </w:p>
          <w:p>
            <w:pPr>
              <w:pStyle w:val="TableParagraph"/>
              <w:spacing w:line="235" w:lineRule="exact"/>
              <w:ind w:left="173" w:right="0"/>
              <w:jc w:val="left"/>
              <w:rPr>
                <w:rFonts w:ascii="宋体" w:hAnsi="宋体" w:cs="宋体" w:eastAsia="宋体" w:hint="default"/>
                <w:sz w:val="18"/>
                <w:szCs w:val="18"/>
              </w:rPr>
            </w:pPr>
            <w:r>
              <w:rPr>
                <w:rFonts w:ascii="宋体" w:hAnsi="宋体" w:cs="宋体" w:eastAsia="宋体" w:hint="default"/>
                <w:sz w:val="18"/>
                <w:szCs w:val="18"/>
              </w:rPr>
              <w:t>办理完毕</w:t>
            </w:r>
          </w:p>
        </w:tc>
      </w:tr>
    </w:tbl>
    <w:p>
      <w:pPr>
        <w:pStyle w:val="BodyText"/>
        <w:spacing w:line="240" w:lineRule="auto" w:before="81"/>
        <w:ind w:left="218" w:right="127"/>
        <w:jc w:val="left"/>
      </w:pPr>
      <w:r>
        <w:rPr/>
        <w:t>续（</w:t>
      </w:r>
      <w:r>
        <w:rPr>
          <w:rFonts w:ascii="宋体" w:hAnsi="宋体" w:cs="宋体" w:eastAsia="宋体" w:hint="default"/>
        </w:rPr>
        <w:t>1</w:t>
      </w:r>
      <w:r>
        <w:rPr/>
        <w:t>）：</w:t>
      </w:r>
    </w:p>
    <w:p>
      <w:pPr>
        <w:spacing w:line="240" w:lineRule="auto" w:before="12"/>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1672"/>
        <w:gridCol w:w="1911"/>
        <w:gridCol w:w="1111"/>
        <w:gridCol w:w="1325"/>
        <w:gridCol w:w="1382"/>
        <w:gridCol w:w="1650"/>
      </w:tblGrid>
      <w:tr>
        <w:trPr>
          <w:trHeight w:val="716" w:hRule="exact"/>
        </w:trPr>
        <w:tc>
          <w:tcPr>
            <w:tcW w:w="1672" w:type="dxa"/>
            <w:tcBorders>
              <w:top w:val="single" w:sz="8"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911" w:type="dxa"/>
            <w:tcBorders>
              <w:top w:val="single" w:sz="8" w:space="0" w:color="000000"/>
              <w:left w:val="nil" w:sz="6" w:space="0" w:color="auto"/>
              <w:bottom w:val="single" w:sz="4" w:space="0" w:color="000000"/>
              <w:right w:val="nil" w:sz="6" w:space="0" w:color="auto"/>
            </w:tcBorders>
          </w:tcPr>
          <w:p>
            <w:pPr>
              <w:pStyle w:val="TableParagraph"/>
              <w:spacing w:line="205" w:lineRule="exact"/>
              <w:ind w:left="747" w:right="0"/>
              <w:jc w:val="left"/>
              <w:rPr>
                <w:rFonts w:ascii="宋体" w:hAnsi="宋体" w:cs="宋体" w:eastAsia="宋体" w:hint="default"/>
                <w:sz w:val="18"/>
                <w:szCs w:val="18"/>
              </w:rPr>
            </w:pPr>
            <w:r>
              <w:rPr>
                <w:rFonts w:ascii="宋体" w:hAnsi="宋体" w:cs="宋体" w:eastAsia="宋体" w:hint="default"/>
                <w:b/>
                <w:bCs/>
                <w:sz w:val="18"/>
                <w:szCs w:val="18"/>
              </w:rPr>
              <w:t>合并财务报表</w:t>
            </w:r>
            <w:r>
              <w:rPr>
                <w:rFonts w:ascii="宋体" w:hAnsi="宋体" w:cs="宋体" w:eastAsia="宋体" w:hint="default"/>
                <w:sz w:val="18"/>
                <w:szCs w:val="18"/>
              </w:rPr>
            </w:r>
          </w:p>
          <w:p>
            <w:pPr>
              <w:pStyle w:val="TableParagraph"/>
              <w:spacing w:line="240" w:lineRule="auto"/>
              <w:ind w:left="927" w:right="78" w:hanging="180"/>
              <w:jc w:val="left"/>
              <w:rPr>
                <w:rFonts w:ascii="宋体" w:hAnsi="宋体" w:cs="宋体" w:eastAsia="宋体" w:hint="default"/>
                <w:sz w:val="18"/>
                <w:szCs w:val="18"/>
              </w:rPr>
            </w:pPr>
            <w:r>
              <w:rPr>
                <w:rFonts w:ascii="宋体" w:hAnsi="宋体" w:cs="宋体" w:eastAsia="宋体" w:hint="default"/>
                <w:b/>
                <w:bCs/>
                <w:sz w:val="18"/>
                <w:szCs w:val="18"/>
              </w:rPr>
              <w:t>中与该子公司</w:t>
            </w:r>
            <w:r>
              <w:rPr>
                <w:rFonts w:ascii="宋体" w:hAnsi="宋体" w:cs="宋体" w:eastAsia="宋体" w:hint="default"/>
                <w:b/>
                <w:bCs/>
                <w:w w:val="99"/>
                <w:sz w:val="18"/>
                <w:szCs w:val="18"/>
              </w:rPr>
              <w:t> </w:t>
            </w:r>
            <w:r>
              <w:rPr>
                <w:rFonts w:ascii="宋体" w:hAnsi="宋体" w:cs="宋体" w:eastAsia="宋体" w:hint="default"/>
                <w:b/>
                <w:bCs/>
                <w:sz w:val="18"/>
                <w:szCs w:val="18"/>
              </w:rPr>
              <w:t>相关的商誉</w:t>
            </w:r>
            <w:r>
              <w:rPr>
                <w:rFonts w:ascii="宋体" w:hAnsi="宋体" w:cs="宋体" w:eastAsia="宋体" w:hint="default"/>
                <w:sz w:val="18"/>
                <w:szCs w:val="18"/>
              </w:rPr>
            </w:r>
          </w:p>
        </w:tc>
        <w:tc>
          <w:tcPr>
            <w:tcW w:w="1111" w:type="dxa"/>
            <w:tcBorders>
              <w:top w:val="single" w:sz="8" w:space="0" w:color="000000"/>
              <w:left w:val="nil" w:sz="6" w:space="0" w:color="auto"/>
              <w:bottom w:val="single" w:sz="4" w:space="0" w:color="000000"/>
              <w:right w:val="nil" w:sz="6" w:space="0" w:color="auto"/>
            </w:tcBorders>
          </w:tcPr>
          <w:p>
            <w:pPr>
              <w:pStyle w:val="TableParagraph"/>
              <w:spacing w:line="205" w:lineRule="exact"/>
              <w:ind w:left="79" w:right="0" w:firstLine="1"/>
              <w:jc w:val="left"/>
              <w:rPr>
                <w:rFonts w:ascii="宋体" w:hAnsi="宋体" w:cs="宋体" w:eastAsia="宋体" w:hint="default"/>
                <w:sz w:val="18"/>
                <w:szCs w:val="18"/>
              </w:rPr>
            </w:pPr>
            <w:r>
              <w:rPr>
                <w:rFonts w:ascii="宋体" w:hAnsi="宋体" w:cs="宋体" w:eastAsia="宋体" w:hint="default"/>
                <w:b/>
                <w:bCs/>
                <w:sz w:val="18"/>
                <w:szCs w:val="18"/>
              </w:rPr>
              <w:t>丧失控制权</w:t>
            </w:r>
            <w:r>
              <w:rPr>
                <w:rFonts w:ascii="宋体" w:hAnsi="宋体" w:cs="宋体" w:eastAsia="宋体" w:hint="default"/>
                <w:sz w:val="18"/>
                <w:szCs w:val="18"/>
              </w:rPr>
            </w:r>
          </w:p>
          <w:p>
            <w:pPr>
              <w:pStyle w:val="TableParagraph"/>
              <w:spacing w:line="240" w:lineRule="auto"/>
              <w:ind w:left="171" w:right="125" w:hanging="92"/>
              <w:jc w:val="left"/>
              <w:rPr>
                <w:rFonts w:ascii="宋体" w:hAnsi="宋体" w:cs="宋体" w:eastAsia="宋体" w:hint="default"/>
                <w:sz w:val="18"/>
                <w:szCs w:val="18"/>
              </w:rPr>
            </w:pPr>
            <w:r>
              <w:rPr>
                <w:rFonts w:ascii="宋体" w:hAnsi="宋体" w:cs="宋体" w:eastAsia="宋体" w:hint="default"/>
                <w:b/>
                <w:bCs/>
                <w:sz w:val="18"/>
                <w:szCs w:val="18"/>
              </w:rPr>
              <w:t>之日剩余股</w:t>
            </w:r>
            <w:r>
              <w:rPr>
                <w:rFonts w:ascii="宋体" w:hAnsi="宋体" w:cs="宋体" w:eastAsia="宋体" w:hint="default"/>
                <w:b/>
                <w:bCs/>
                <w:w w:val="99"/>
                <w:sz w:val="18"/>
                <w:szCs w:val="18"/>
              </w:rPr>
              <w:t> </w:t>
            </w:r>
            <w:r>
              <w:rPr>
                <w:rFonts w:ascii="宋体" w:hAnsi="宋体" w:cs="宋体" w:eastAsia="宋体" w:hint="default"/>
                <w:b/>
                <w:bCs/>
                <w:sz w:val="18"/>
                <w:szCs w:val="18"/>
              </w:rPr>
              <w:t>权的比例</w:t>
            </w:r>
            <w:r>
              <w:rPr>
                <w:rFonts w:ascii="宋体" w:hAnsi="宋体" w:cs="宋体" w:eastAsia="宋体" w:hint="default"/>
                <w:sz w:val="18"/>
                <w:szCs w:val="18"/>
              </w:rPr>
            </w:r>
          </w:p>
        </w:tc>
        <w:tc>
          <w:tcPr>
            <w:tcW w:w="1325" w:type="dxa"/>
            <w:tcBorders>
              <w:top w:val="single" w:sz="8" w:space="0" w:color="000000"/>
              <w:left w:val="nil" w:sz="6" w:space="0" w:color="auto"/>
              <w:bottom w:val="single" w:sz="4" w:space="0" w:color="000000"/>
              <w:right w:val="nil" w:sz="6" w:space="0" w:color="auto"/>
            </w:tcBorders>
          </w:tcPr>
          <w:p>
            <w:pPr>
              <w:pStyle w:val="TableParagraph"/>
              <w:spacing w:line="205" w:lineRule="exact"/>
              <w:ind w:left="126" w:right="0"/>
              <w:jc w:val="left"/>
              <w:rPr>
                <w:rFonts w:ascii="宋体" w:hAnsi="宋体" w:cs="宋体" w:eastAsia="宋体" w:hint="default"/>
                <w:sz w:val="18"/>
                <w:szCs w:val="18"/>
              </w:rPr>
            </w:pPr>
            <w:r>
              <w:rPr>
                <w:rFonts w:ascii="宋体" w:hAnsi="宋体" w:cs="宋体" w:eastAsia="宋体" w:hint="default"/>
                <w:b/>
                <w:bCs/>
                <w:sz w:val="18"/>
                <w:szCs w:val="18"/>
              </w:rPr>
              <w:t>丧失控制权之</w:t>
            </w:r>
            <w:r>
              <w:rPr>
                <w:rFonts w:ascii="宋体" w:hAnsi="宋体" w:cs="宋体" w:eastAsia="宋体" w:hint="default"/>
                <w:sz w:val="18"/>
                <w:szCs w:val="18"/>
              </w:rPr>
            </w:r>
          </w:p>
          <w:p>
            <w:pPr>
              <w:pStyle w:val="TableParagraph"/>
              <w:spacing w:line="240" w:lineRule="auto"/>
              <w:ind w:left="307" w:right="113" w:hanging="182"/>
              <w:jc w:val="left"/>
              <w:rPr>
                <w:rFonts w:ascii="宋体" w:hAnsi="宋体" w:cs="宋体" w:eastAsia="宋体" w:hint="default"/>
                <w:sz w:val="18"/>
                <w:szCs w:val="18"/>
              </w:rPr>
            </w:pPr>
            <w:r>
              <w:rPr>
                <w:rFonts w:ascii="宋体" w:hAnsi="宋体" w:cs="宋体" w:eastAsia="宋体" w:hint="default"/>
                <w:b/>
                <w:bCs/>
                <w:sz w:val="18"/>
                <w:szCs w:val="18"/>
              </w:rPr>
              <w:t>日剩余股权的</w:t>
            </w:r>
            <w:r>
              <w:rPr>
                <w:rFonts w:ascii="宋体" w:hAnsi="宋体" w:cs="宋体" w:eastAsia="宋体" w:hint="default"/>
                <w:b/>
                <w:bCs/>
                <w:w w:val="99"/>
                <w:sz w:val="18"/>
                <w:szCs w:val="18"/>
              </w:rPr>
              <w:t> </w:t>
            </w:r>
            <w:r>
              <w:rPr>
                <w:rFonts w:ascii="宋体" w:hAnsi="宋体" w:cs="宋体" w:eastAsia="宋体" w:hint="default"/>
                <w:b/>
                <w:bCs/>
                <w:sz w:val="18"/>
                <w:szCs w:val="18"/>
              </w:rPr>
              <w:t>账面价值</w:t>
            </w:r>
            <w:r>
              <w:rPr>
                <w:rFonts w:ascii="宋体" w:hAnsi="宋体" w:cs="宋体" w:eastAsia="宋体" w:hint="default"/>
                <w:sz w:val="18"/>
                <w:szCs w:val="18"/>
              </w:rPr>
            </w:r>
          </w:p>
        </w:tc>
        <w:tc>
          <w:tcPr>
            <w:tcW w:w="1382" w:type="dxa"/>
            <w:tcBorders>
              <w:top w:val="single" w:sz="8" w:space="0" w:color="000000"/>
              <w:left w:val="nil" w:sz="6" w:space="0" w:color="auto"/>
              <w:bottom w:val="single" w:sz="4" w:space="0" w:color="000000"/>
              <w:right w:val="nil" w:sz="6" w:space="0" w:color="auto"/>
            </w:tcBorders>
          </w:tcPr>
          <w:p>
            <w:pPr>
              <w:pStyle w:val="TableParagraph"/>
              <w:spacing w:line="205" w:lineRule="exact"/>
              <w:ind w:left="201" w:right="0"/>
              <w:jc w:val="left"/>
              <w:rPr>
                <w:rFonts w:ascii="宋体" w:hAnsi="宋体" w:cs="宋体" w:eastAsia="宋体" w:hint="default"/>
                <w:sz w:val="18"/>
                <w:szCs w:val="18"/>
              </w:rPr>
            </w:pPr>
            <w:r>
              <w:rPr>
                <w:rFonts w:ascii="宋体" w:hAnsi="宋体" w:cs="宋体" w:eastAsia="宋体" w:hint="default"/>
                <w:b/>
                <w:bCs/>
                <w:sz w:val="18"/>
                <w:szCs w:val="18"/>
              </w:rPr>
              <w:t>丧失控制权之</w:t>
            </w:r>
            <w:r>
              <w:rPr>
                <w:rFonts w:ascii="宋体" w:hAnsi="宋体" w:cs="宋体" w:eastAsia="宋体" w:hint="default"/>
                <w:sz w:val="18"/>
                <w:szCs w:val="18"/>
              </w:rPr>
            </w:r>
          </w:p>
          <w:p>
            <w:pPr>
              <w:pStyle w:val="TableParagraph"/>
              <w:spacing w:line="234" w:lineRule="exact"/>
              <w:ind w:left="201" w:right="0"/>
              <w:jc w:val="left"/>
              <w:rPr>
                <w:rFonts w:ascii="宋体" w:hAnsi="宋体" w:cs="宋体" w:eastAsia="宋体" w:hint="default"/>
                <w:sz w:val="18"/>
                <w:szCs w:val="18"/>
              </w:rPr>
            </w:pPr>
            <w:r>
              <w:rPr>
                <w:rFonts w:ascii="宋体" w:hAnsi="宋体" w:cs="宋体" w:eastAsia="宋体" w:hint="default"/>
                <w:b/>
                <w:bCs/>
                <w:sz w:val="18"/>
                <w:szCs w:val="18"/>
              </w:rPr>
              <w:t>日剩余股权的</w:t>
            </w:r>
            <w:r>
              <w:rPr>
                <w:rFonts w:ascii="宋体" w:hAnsi="宋体" w:cs="宋体" w:eastAsia="宋体" w:hint="default"/>
                <w:sz w:val="18"/>
                <w:szCs w:val="18"/>
              </w:rPr>
            </w:r>
          </w:p>
          <w:p>
            <w:pPr>
              <w:pStyle w:val="TableParagraph"/>
              <w:spacing w:line="235" w:lineRule="exact"/>
              <w:ind w:left="563" w:right="0"/>
              <w:jc w:val="left"/>
              <w:rPr>
                <w:rFonts w:ascii="宋体" w:hAnsi="宋体" w:cs="宋体" w:eastAsia="宋体" w:hint="default"/>
                <w:sz w:val="18"/>
                <w:szCs w:val="18"/>
              </w:rPr>
            </w:pPr>
            <w:r>
              <w:rPr>
                <w:rFonts w:ascii="宋体" w:hAnsi="宋体" w:cs="宋体" w:eastAsia="宋体" w:hint="default"/>
                <w:b/>
                <w:bCs/>
                <w:sz w:val="18"/>
                <w:szCs w:val="18"/>
              </w:rPr>
              <w:t>公允价值</w:t>
            </w:r>
            <w:r>
              <w:rPr>
                <w:rFonts w:ascii="宋体" w:hAnsi="宋体" w:cs="宋体" w:eastAsia="宋体" w:hint="default"/>
                <w:sz w:val="18"/>
                <w:szCs w:val="18"/>
              </w:rPr>
            </w:r>
          </w:p>
        </w:tc>
        <w:tc>
          <w:tcPr>
            <w:tcW w:w="1650" w:type="dxa"/>
            <w:tcBorders>
              <w:top w:val="single" w:sz="8" w:space="0" w:color="000000"/>
              <w:left w:val="nil" w:sz="6" w:space="0" w:color="auto"/>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hAnsi="宋体" w:cs="宋体" w:eastAsia="宋体" w:hint="default"/>
                <w:b/>
                <w:bCs/>
                <w:w w:val="95"/>
                <w:sz w:val="18"/>
                <w:szCs w:val="18"/>
              </w:rPr>
              <w:t>按公允价值重新计</w:t>
            </w:r>
            <w:r>
              <w:rPr>
                <w:rFonts w:ascii="宋体" w:hAnsi="宋体" w:cs="宋体" w:eastAsia="宋体" w:hint="default"/>
                <w:sz w:val="18"/>
                <w:szCs w:val="18"/>
              </w:rPr>
            </w:r>
          </w:p>
          <w:p>
            <w:pPr>
              <w:pStyle w:val="TableParagraph"/>
              <w:spacing w:line="234" w:lineRule="exact"/>
              <w:ind w:right="108"/>
              <w:jc w:val="right"/>
              <w:rPr>
                <w:rFonts w:ascii="宋体" w:hAnsi="宋体" w:cs="宋体" w:eastAsia="宋体" w:hint="default"/>
                <w:sz w:val="18"/>
                <w:szCs w:val="18"/>
              </w:rPr>
            </w:pPr>
            <w:r>
              <w:rPr>
                <w:rFonts w:ascii="宋体" w:hAnsi="宋体" w:cs="宋体" w:eastAsia="宋体" w:hint="default"/>
                <w:b/>
                <w:bCs/>
                <w:w w:val="95"/>
                <w:sz w:val="18"/>
                <w:szCs w:val="18"/>
              </w:rPr>
              <w:t>量产生的利得</w:t>
            </w:r>
            <w:r>
              <w:rPr>
                <w:rFonts w:ascii="宋体" w:hAnsi="宋体" w:cs="宋体" w:eastAsia="宋体" w:hint="default"/>
                <w:b/>
                <w:bCs/>
                <w:w w:val="95"/>
                <w:sz w:val="18"/>
                <w:szCs w:val="18"/>
              </w:rPr>
              <w:t>/</w:t>
            </w:r>
            <w:r>
              <w:rPr>
                <w:rFonts w:ascii="宋体" w:hAnsi="宋体" w:cs="宋体" w:eastAsia="宋体" w:hint="default"/>
                <w:b/>
                <w:bCs/>
                <w:w w:val="95"/>
                <w:sz w:val="18"/>
                <w:szCs w:val="18"/>
              </w:rPr>
              <w:t>损</w:t>
            </w:r>
            <w:r>
              <w:rPr>
                <w:rFonts w:ascii="宋体" w:hAnsi="宋体" w:cs="宋体" w:eastAsia="宋体" w:hint="default"/>
                <w:sz w:val="18"/>
                <w:szCs w:val="18"/>
              </w:rPr>
            </w:r>
          </w:p>
          <w:p>
            <w:pPr>
              <w:pStyle w:val="TableParagraph"/>
              <w:spacing w:line="235" w:lineRule="exact"/>
              <w:ind w:right="108"/>
              <w:jc w:val="right"/>
              <w:rPr>
                <w:rFonts w:ascii="宋体" w:hAnsi="宋体" w:cs="宋体" w:eastAsia="宋体" w:hint="default"/>
                <w:sz w:val="18"/>
                <w:szCs w:val="18"/>
              </w:rPr>
            </w:pPr>
            <w:r>
              <w:rPr>
                <w:rFonts w:ascii="宋体" w:hAnsi="宋体" w:cs="宋体" w:eastAsia="宋体" w:hint="default"/>
                <w:b/>
                <w:bCs/>
                <w:w w:val="99"/>
                <w:sz w:val="18"/>
                <w:szCs w:val="18"/>
              </w:rPr>
              <w:t>失</w:t>
            </w:r>
            <w:r>
              <w:rPr>
                <w:rFonts w:ascii="宋体" w:hAnsi="宋体" w:cs="宋体" w:eastAsia="宋体" w:hint="default"/>
                <w:sz w:val="18"/>
                <w:szCs w:val="18"/>
              </w:rPr>
            </w:r>
          </w:p>
        </w:tc>
      </w:tr>
      <w:tr>
        <w:trPr>
          <w:trHeight w:val="413" w:hRule="exact"/>
        </w:trPr>
        <w:tc>
          <w:tcPr>
            <w:tcW w:w="1672"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sz w:val="18"/>
              </w:rPr>
              <w:t>I-Sprint</w:t>
            </w:r>
          </w:p>
        </w:tc>
        <w:tc>
          <w:tcPr>
            <w:tcW w:w="1911"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left="660" w:right="0"/>
              <w:jc w:val="left"/>
              <w:rPr>
                <w:rFonts w:ascii="宋体" w:hAnsi="宋体" w:cs="宋体" w:eastAsia="宋体" w:hint="default"/>
                <w:sz w:val="18"/>
                <w:szCs w:val="18"/>
              </w:rPr>
            </w:pPr>
            <w:r>
              <w:rPr>
                <w:rFonts w:ascii="宋体"/>
                <w:sz w:val="18"/>
              </w:rPr>
              <w:t>35,111,159.52</w:t>
            </w:r>
          </w:p>
        </w:tc>
        <w:tc>
          <w:tcPr>
            <w:tcW w:w="1111"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left="301" w:right="0"/>
              <w:jc w:val="left"/>
              <w:rPr>
                <w:rFonts w:ascii="宋体" w:hAnsi="宋体" w:cs="宋体" w:eastAsia="宋体" w:hint="default"/>
                <w:sz w:val="18"/>
                <w:szCs w:val="18"/>
              </w:rPr>
            </w:pPr>
            <w:r>
              <w:rPr>
                <w:rFonts w:ascii="宋体"/>
                <w:sz w:val="18"/>
              </w:rPr>
              <w:t>48.22%</w:t>
            </w:r>
          </w:p>
        </w:tc>
        <w:tc>
          <w:tcPr>
            <w:tcW w:w="1325"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left="128" w:right="0"/>
              <w:jc w:val="left"/>
              <w:rPr>
                <w:rFonts w:ascii="宋体" w:hAnsi="宋体" w:cs="宋体" w:eastAsia="宋体" w:hint="default"/>
                <w:sz w:val="18"/>
                <w:szCs w:val="18"/>
              </w:rPr>
            </w:pPr>
            <w:r>
              <w:rPr>
                <w:rFonts w:ascii="宋体"/>
                <w:sz w:val="18"/>
              </w:rPr>
              <w:t>8,095,493.95</w:t>
            </w:r>
          </w:p>
        </w:tc>
        <w:tc>
          <w:tcPr>
            <w:tcW w:w="1382"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left="115" w:right="0"/>
              <w:jc w:val="left"/>
              <w:rPr>
                <w:rFonts w:ascii="宋体" w:hAnsi="宋体" w:cs="宋体" w:eastAsia="宋体" w:hint="default"/>
                <w:sz w:val="18"/>
                <w:szCs w:val="18"/>
              </w:rPr>
            </w:pPr>
            <w:r>
              <w:rPr>
                <w:rFonts w:ascii="宋体"/>
                <w:sz w:val="18"/>
              </w:rPr>
              <w:t>88,459,326.74</w:t>
            </w:r>
          </w:p>
        </w:tc>
        <w:tc>
          <w:tcPr>
            <w:tcW w:w="1650"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left="370" w:right="0"/>
              <w:jc w:val="left"/>
              <w:rPr>
                <w:rFonts w:ascii="宋体" w:hAnsi="宋体" w:cs="宋体" w:eastAsia="宋体" w:hint="default"/>
                <w:sz w:val="18"/>
                <w:szCs w:val="18"/>
              </w:rPr>
            </w:pPr>
            <w:r>
              <w:rPr>
                <w:rFonts w:ascii="宋体"/>
                <w:sz w:val="18"/>
              </w:rPr>
              <w:t>45,252,673.27</w:t>
            </w:r>
          </w:p>
        </w:tc>
      </w:tr>
    </w:tbl>
    <w:p>
      <w:pPr>
        <w:pStyle w:val="BodyText"/>
        <w:spacing w:line="240" w:lineRule="auto" w:before="81"/>
        <w:ind w:left="218" w:right="127"/>
        <w:jc w:val="left"/>
      </w:pPr>
      <w:r>
        <w:rPr/>
        <w:t>续（</w:t>
      </w:r>
      <w:r>
        <w:rPr>
          <w:rFonts w:ascii="宋体" w:hAnsi="宋体" w:cs="宋体" w:eastAsia="宋体" w:hint="default"/>
        </w:rPr>
        <w:t>2</w:t>
      </w:r>
      <w:r>
        <w:rPr/>
        <w:t>）：</w:t>
      </w:r>
    </w:p>
    <w:p>
      <w:pPr>
        <w:spacing w:line="240" w:lineRule="auto" w:before="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2351"/>
        <w:gridCol w:w="4237"/>
        <w:gridCol w:w="2462"/>
      </w:tblGrid>
      <w:tr>
        <w:trPr>
          <w:trHeight w:val="924" w:hRule="exact"/>
        </w:trPr>
        <w:tc>
          <w:tcPr>
            <w:tcW w:w="2351" w:type="dxa"/>
            <w:tcBorders>
              <w:top w:val="single" w:sz="8"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4237" w:type="dxa"/>
            <w:tcBorders>
              <w:top w:val="single" w:sz="8"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62" w:right="185" w:hanging="723"/>
              <w:jc w:val="left"/>
              <w:rPr>
                <w:rFonts w:ascii="宋体" w:hAnsi="宋体" w:cs="宋体" w:eastAsia="宋体" w:hint="default"/>
                <w:sz w:val="18"/>
                <w:szCs w:val="18"/>
              </w:rPr>
            </w:pPr>
            <w:r>
              <w:rPr>
                <w:rFonts w:ascii="宋体" w:hAnsi="宋体" w:cs="宋体" w:eastAsia="宋体" w:hint="default"/>
                <w:b/>
                <w:bCs/>
                <w:sz w:val="18"/>
                <w:szCs w:val="18"/>
              </w:rPr>
              <w:t>丧失控制权之日剩余股权的公允价</w:t>
            </w:r>
            <w:r>
              <w:rPr>
                <w:rFonts w:ascii="宋体" w:hAnsi="宋体" w:cs="宋体" w:eastAsia="宋体" w:hint="default"/>
                <w:b/>
                <w:bCs/>
                <w:w w:val="99"/>
                <w:sz w:val="18"/>
                <w:szCs w:val="18"/>
              </w:rPr>
              <w:t> </w:t>
            </w:r>
            <w:r>
              <w:rPr>
                <w:rFonts w:ascii="宋体" w:hAnsi="宋体" w:cs="宋体" w:eastAsia="宋体" w:hint="default"/>
                <w:b/>
                <w:bCs/>
                <w:sz w:val="18"/>
                <w:szCs w:val="18"/>
              </w:rPr>
              <w:t>值的确定方法及主要假设</w:t>
            </w:r>
            <w:r>
              <w:rPr>
                <w:rFonts w:ascii="宋体" w:hAnsi="宋体" w:cs="宋体" w:eastAsia="宋体" w:hint="default"/>
                <w:sz w:val="18"/>
                <w:szCs w:val="18"/>
              </w:rPr>
            </w:r>
          </w:p>
        </w:tc>
        <w:tc>
          <w:tcPr>
            <w:tcW w:w="2462" w:type="dxa"/>
            <w:tcBorders>
              <w:top w:val="single" w:sz="8" w:space="0" w:color="000000"/>
              <w:left w:val="nil" w:sz="6" w:space="0" w:color="auto"/>
              <w:bottom w:val="single" w:sz="4" w:space="0" w:color="000000"/>
              <w:right w:val="nil" w:sz="6" w:space="0" w:color="auto"/>
            </w:tcBorders>
          </w:tcPr>
          <w:p>
            <w:pPr>
              <w:pStyle w:val="TableParagraph"/>
              <w:spacing w:line="240" w:lineRule="auto" w:before="74"/>
              <w:ind w:left="186" w:right="106"/>
              <w:jc w:val="right"/>
              <w:rPr>
                <w:rFonts w:ascii="宋体" w:hAnsi="宋体" w:cs="宋体" w:eastAsia="宋体" w:hint="default"/>
                <w:sz w:val="18"/>
                <w:szCs w:val="18"/>
              </w:rPr>
            </w:pPr>
            <w:r>
              <w:rPr>
                <w:rFonts w:ascii="宋体" w:hAnsi="宋体" w:cs="宋体" w:eastAsia="宋体" w:hint="default"/>
                <w:b/>
                <w:bCs/>
                <w:w w:val="95"/>
                <w:sz w:val="18"/>
                <w:szCs w:val="18"/>
              </w:rPr>
              <w:t>与原子公司股权投资相关的</w:t>
            </w:r>
            <w:r>
              <w:rPr>
                <w:rFonts w:ascii="宋体" w:hAnsi="宋体" w:cs="宋体" w:eastAsia="宋体" w:hint="default"/>
                <w:b/>
                <w:bCs/>
                <w:spacing w:val="15"/>
                <w:w w:val="95"/>
                <w:sz w:val="18"/>
                <w:szCs w:val="18"/>
              </w:rPr>
              <w:t> </w:t>
            </w:r>
            <w:r>
              <w:rPr>
                <w:rFonts w:ascii="宋体" w:hAnsi="宋体" w:cs="宋体" w:eastAsia="宋体" w:hint="default"/>
                <w:b/>
                <w:bCs/>
                <w:spacing w:val="15"/>
                <w:w w:val="95"/>
                <w:sz w:val="18"/>
                <w:szCs w:val="18"/>
              </w:rPr>
            </w:r>
            <w:r>
              <w:rPr>
                <w:rFonts w:ascii="宋体" w:hAnsi="宋体" w:cs="宋体" w:eastAsia="宋体" w:hint="default"/>
                <w:b/>
                <w:bCs/>
                <w:w w:val="95"/>
                <w:sz w:val="18"/>
                <w:szCs w:val="18"/>
              </w:rPr>
              <w:t>其他综合收益转入投资损益</w:t>
            </w:r>
            <w:r>
              <w:rPr>
                <w:rFonts w:ascii="宋体" w:hAnsi="宋体" w:cs="宋体" w:eastAsia="宋体" w:hint="default"/>
                <w:sz w:val="18"/>
                <w:szCs w:val="18"/>
              </w:rPr>
            </w:r>
          </w:p>
          <w:p>
            <w:pPr>
              <w:pStyle w:val="TableParagraph"/>
              <w:spacing w:line="233" w:lineRule="exact"/>
              <w:ind w:right="104"/>
              <w:jc w:val="right"/>
              <w:rPr>
                <w:rFonts w:ascii="宋体" w:hAnsi="宋体" w:cs="宋体" w:eastAsia="宋体" w:hint="default"/>
                <w:sz w:val="18"/>
                <w:szCs w:val="18"/>
              </w:rPr>
            </w:pPr>
            <w:r>
              <w:rPr>
                <w:rFonts w:ascii="宋体" w:hAnsi="宋体" w:cs="宋体" w:eastAsia="宋体" w:hint="default"/>
                <w:b/>
                <w:bCs/>
                <w:sz w:val="18"/>
                <w:szCs w:val="18"/>
              </w:rPr>
              <w:t>的金额</w:t>
            </w:r>
            <w:r>
              <w:rPr>
                <w:rFonts w:ascii="宋体" w:hAnsi="宋体" w:cs="宋体" w:eastAsia="宋体" w:hint="default"/>
                <w:sz w:val="18"/>
                <w:szCs w:val="18"/>
              </w:rPr>
            </w:r>
          </w:p>
        </w:tc>
      </w:tr>
      <w:tr>
        <w:trPr>
          <w:trHeight w:val="402" w:hRule="exact"/>
        </w:trPr>
        <w:tc>
          <w:tcPr>
            <w:tcW w:w="2351" w:type="dxa"/>
            <w:tcBorders>
              <w:top w:val="single" w:sz="4" w:space="0" w:color="000000"/>
              <w:left w:val="nil" w:sz="6" w:space="0" w:color="auto"/>
              <w:bottom w:val="single" w:sz="8" w:space="0" w:color="000000"/>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宋体"/>
                <w:sz w:val="18"/>
              </w:rPr>
              <w:t>I-Sprint</w:t>
            </w:r>
          </w:p>
        </w:tc>
        <w:tc>
          <w:tcPr>
            <w:tcW w:w="4237" w:type="dxa"/>
            <w:tcBorders>
              <w:top w:val="single" w:sz="4" w:space="0" w:color="000000"/>
              <w:left w:val="nil" w:sz="6" w:space="0" w:color="auto"/>
              <w:bottom w:val="single" w:sz="8" w:space="0" w:color="000000"/>
              <w:right w:val="nil" w:sz="6" w:space="0" w:color="auto"/>
            </w:tcBorders>
          </w:tcPr>
          <w:p>
            <w:pPr>
              <w:pStyle w:val="TableParagraph"/>
              <w:spacing w:line="240" w:lineRule="auto" w:before="46"/>
              <w:ind w:left="2609" w:right="0"/>
              <w:jc w:val="left"/>
              <w:rPr>
                <w:rFonts w:ascii="宋体" w:hAnsi="宋体" w:cs="宋体" w:eastAsia="宋体" w:hint="default"/>
                <w:sz w:val="18"/>
                <w:szCs w:val="18"/>
              </w:rPr>
            </w:pPr>
            <w:r>
              <w:rPr>
                <w:rFonts w:ascii="宋体" w:hAnsi="宋体" w:cs="宋体" w:eastAsia="宋体" w:hint="default"/>
                <w:sz w:val="18"/>
                <w:szCs w:val="18"/>
              </w:rPr>
              <w:t>参考股权购买协议</w:t>
            </w:r>
          </w:p>
        </w:tc>
        <w:tc>
          <w:tcPr>
            <w:tcW w:w="2462" w:type="dxa"/>
            <w:tcBorders>
              <w:top w:val="single" w:sz="4" w:space="0" w:color="000000"/>
              <w:left w:val="nil" w:sz="6" w:space="0" w:color="auto"/>
              <w:bottom w:val="single" w:sz="8" w:space="0" w:color="000000"/>
              <w:right w:val="nil" w:sz="6" w:space="0" w:color="auto"/>
            </w:tcBorders>
          </w:tcPr>
          <w:p>
            <w:pPr>
              <w:pStyle w:val="TableParagraph"/>
              <w:spacing w:line="240" w:lineRule="auto" w:before="46"/>
              <w:ind w:left="1363" w:right="0"/>
              <w:jc w:val="left"/>
              <w:rPr>
                <w:rFonts w:ascii="宋体" w:hAnsi="宋体" w:cs="宋体" w:eastAsia="宋体" w:hint="default"/>
                <w:sz w:val="18"/>
                <w:szCs w:val="18"/>
              </w:rPr>
            </w:pPr>
            <w:r>
              <w:rPr>
                <w:rFonts w:ascii="宋体"/>
                <w:sz w:val="18"/>
              </w:rPr>
              <w:t>450,766.72</w:t>
            </w:r>
          </w:p>
        </w:tc>
      </w:tr>
    </w:tbl>
    <w:p>
      <w:pPr>
        <w:pStyle w:val="BodyText"/>
        <w:spacing w:line="240" w:lineRule="auto" w:before="81"/>
        <w:ind w:left="218" w:right="127"/>
        <w:jc w:val="left"/>
      </w:pPr>
      <w:r>
        <w:rPr>
          <w:rFonts w:ascii="宋体" w:hAnsi="宋体" w:cs="宋体" w:eastAsia="宋体" w:hint="default"/>
        </w:rPr>
        <w:t>3</w:t>
      </w:r>
      <w:r>
        <w:rPr/>
        <w:t>、其他</w:t>
      </w:r>
    </w:p>
    <w:p>
      <w:pPr>
        <w:pStyle w:val="BodyText"/>
        <w:spacing w:line="240" w:lineRule="auto" w:before="118"/>
        <w:ind w:left="218" w:right="127"/>
        <w:jc w:val="left"/>
      </w:pPr>
      <w:r>
        <w:rPr>
          <w:rFonts w:ascii="宋体" w:hAnsi="宋体" w:cs="宋体" w:eastAsia="宋体" w:hint="default"/>
        </w:rPr>
        <w:t>2014</w:t>
      </w:r>
      <w:r>
        <w:rPr>
          <w:rFonts w:ascii="宋体" w:hAnsi="宋体" w:cs="宋体" w:eastAsia="宋体" w:hint="default"/>
          <w:spacing w:val="-60"/>
        </w:rPr>
        <w:t> </w:t>
      </w:r>
      <w:r>
        <w:rPr/>
        <w:t>年度因新设子公司合并范围变动情况如下：</w:t>
      </w:r>
    </w:p>
    <w:p>
      <w:pPr>
        <w:spacing w:line="240" w:lineRule="auto" w:before="12"/>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9050"/>
      </w:tblGrid>
      <w:tr>
        <w:trPr>
          <w:trHeight w:val="392" w:hRule="exact"/>
        </w:trPr>
        <w:tc>
          <w:tcPr>
            <w:tcW w:w="9050"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108" w:right="0"/>
              <w:jc w:val="left"/>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sz w:val="21"/>
                <w:szCs w:val="21"/>
              </w:rPr>
            </w:r>
          </w:p>
        </w:tc>
      </w:tr>
      <w:tr>
        <w:trPr>
          <w:trHeight w:val="393" w:hRule="exact"/>
        </w:trPr>
        <w:tc>
          <w:tcPr>
            <w:tcW w:w="905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21"/>
                <w:szCs w:val="21"/>
              </w:rPr>
            </w:pPr>
            <w:r>
              <w:rPr>
                <w:rFonts w:ascii="宋体" w:hAnsi="宋体" w:cs="宋体" w:eastAsia="宋体" w:hint="default"/>
                <w:sz w:val="21"/>
                <w:szCs w:val="21"/>
              </w:rPr>
              <w:t>华胜蓝泰科技（天津）有限责任公司</w:t>
            </w:r>
          </w:p>
        </w:tc>
      </w:tr>
      <w:tr>
        <w:trPr>
          <w:trHeight w:val="394" w:hRule="exact"/>
        </w:trPr>
        <w:tc>
          <w:tcPr>
            <w:tcW w:w="905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8" w:right="0"/>
              <w:jc w:val="left"/>
              <w:rPr>
                <w:rFonts w:ascii="宋体" w:hAnsi="宋体" w:cs="宋体" w:eastAsia="宋体" w:hint="default"/>
                <w:sz w:val="21"/>
                <w:szCs w:val="21"/>
              </w:rPr>
            </w:pPr>
            <w:r>
              <w:rPr>
                <w:rFonts w:ascii="宋体" w:hAnsi="宋体" w:cs="宋体" w:eastAsia="宋体" w:hint="default"/>
                <w:sz w:val="21"/>
                <w:szCs w:val="21"/>
              </w:rPr>
              <w:t>北京新云东方系统科技有限责任公司</w:t>
            </w:r>
          </w:p>
        </w:tc>
      </w:tr>
      <w:tr>
        <w:trPr>
          <w:trHeight w:val="397" w:hRule="exact"/>
        </w:trPr>
        <w:tc>
          <w:tcPr>
            <w:tcW w:w="905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北京华胜天成低碳产业创业投资中心（有限合伙）</w:t>
            </w:r>
          </w:p>
        </w:tc>
      </w:tr>
      <w:tr>
        <w:trPr>
          <w:trHeight w:val="397" w:hRule="exact"/>
        </w:trPr>
        <w:tc>
          <w:tcPr>
            <w:tcW w:w="905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天津兰德纵横网络技术有限公司</w:t>
            </w:r>
          </w:p>
        </w:tc>
      </w:tr>
      <w:tr>
        <w:trPr>
          <w:trHeight w:val="410" w:hRule="exact"/>
        </w:trPr>
        <w:tc>
          <w:tcPr>
            <w:tcW w:w="9050" w:type="dxa"/>
            <w:tcBorders>
              <w:top w:val="nil" w:sz="6" w:space="0" w:color="auto"/>
              <w:left w:val="nil" w:sz="6" w:space="0" w:color="auto"/>
              <w:bottom w:val="single" w:sz="8" w:space="0" w:color="000000"/>
              <w:right w:val="nil" w:sz="6" w:space="0" w:color="auto"/>
            </w:tcBorders>
          </w:tcPr>
          <w:p>
            <w:pPr>
              <w:pStyle w:val="TableParagraph"/>
              <w:spacing w:line="240" w:lineRule="auto" w:before="29"/>
              <w:ind w:left="108" w:right="0"/>
              <w:jc w:val="left"/>
              <w:rPr>
                <w:rFonts w:ascii="宋体" w:hAnsi="宋体" w:cs="宋体" w:eastAsia="宋体" w:hint="default"/>
                <w:sz w:val="21"/>
                <w:szCs w:val="21"/>
              </w:rPr>
            </w:pPr>
            <w:r>
              <w:rPr>
                <w:rFonts w:ascii="宋体" w:hAnsi="宋体" w:cs="宋体" w:eastAsia="宋体" w:hint="default"/>
                <w:sz w:val="21"/>
                <w:szCs w:val="21"/>
              </w:rPr>
              <w:t>华胜信泰科技有限公司</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20" w:bottom="1380" w:left="1580" w:right="10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spacing w:before="35"/>
        <w:ind w:left="818" w:right="6198" w:firstLine="0"/>
        <w:jc w:val="left"/>
        <w:rPr>
          <w:rFonts w:ascii="宋体" w:hAnsi="宋体" w:cs="宋体" w:eastAsia="宋体" w:hint="default"/>
          <w:sz w:val="21"/>
          <w:szCs w:val="21"/>
        </w:rPr>
      </w:pPr>
      <w:r>
        <w:rPr>
          <w:rFonts w:ascii="宋体" w:hAnsi="宋体" w:cs="宋体" w:eastAsia="宋体" w:hint="default"/>
          <w:sz w:val="21"/>
          <w:szCs w:val="21"/>
        </w:rPr>
        <w:t>非一揽子交易</w:t>
      </w:r>
    </w:p>
    <w:p>
      <w:pPr>
        <w:spacing w:line="240" w:lineRule="auto" w:before="12"/>
        <w:rPr>
          <w:rFonts w:ascii="宋体" w:hAnsi="宋体" w:cs="宋体" w:eastAsia="宋体" w:hint="default"/>
          <w:sz w:val="24"/>
          <w:szCs w:val="24"/>
        </w:rPr>
      </w:pPr>
    </w:p>
    <w:p>
      <w:pPr>
        <w:pStyle w:val="Heading2"/>
        <w:tabs>
          <w:tab w:pos="1657" w:val="left" w:leader="none"/>
        </w:tabs>
        <w:spacing w:line="283" w:lineRule="auto" w:before="0"/>
        <w:ind w:left="818" w:right="6198"/>
        <w:jc w:val="left"/>
        <w:rPr>
          <w:b w:val="0"/>
          <w:bCs w:val="0"/>
        </w:rPr>
      </w:pPr>
      <w:r>
        <w:rPr>
          <w:w w:val="95"/>
        </w:rPr>
        <w:t>九、</w:t>
        <w:tab/>
      </w:r>
      <w:r>
        <w:rPr/>
        <w:t>在其他主体中的权益</w:t>
      </w:r>
      <w:r>
        <w:rPr>
          <w:w w:val="99"/>
        </w:rPr>
        <w:t> </w:t>
      </w:r>
      <w:r>
        <w:rPr>
          <w:rFonts w:ascii="宋体" w:hAnsi="宋体" w:cs="宋体" w:eastAsia="宋体" w:hint="default"/>
        </w:rPr>
        <w:t>1</w:t>
      </w:r>
      <w:r>
        <w:rPr/>
        <w:t>、</w:t>
      </w:r>
      <w:r>
        <w:rPr>
          <w:spacing w:val="-72"/>
        </w:rPr>
        <w:t> </w:t>
      </w:r>
      <w:r>
        <w:rPr/>
        <w:t>在子公司中的权益</w:t>
      </w:r>
      <w:r>
        <w:rPr>
          <w:b w:val="0"/>
          <w:bCs w:val="0"/>
        </w:rPr>
      </w:r>
    </w:p>
    <w:p>
      <w:pPr>
        <w:pStyle w:val="Heading2"/>
        <w:spacing w:line="240" w:lineRule="auto" w:before="14"/>
        <w:ind w:left="818" w:right="6198"/>
        <w:jc w:val="left"/>
        <w:rPr>
          <w:b w:val="0"/>
          <w:bCs w:val="0"/>
        </w:rPr>
      </w:pPr>
      <w:r>
        <w:rPr>
          <w:rFonts w:ascii="宋体" w:hAnsi="宋体" w:cs="宋体" w:eastAsia="宋体" w:hint="default"/>
        </w:rPr>
        <w:t>(1).</w:t>
      </w:r>
      <w:r>
        <w:rPr>
          <w:rFonts w:ascii="宋体" w:hAnsi="宋体" w:cs="宋体" w:eastAsia="宋体" w:hint="default"/>
          <w:spacing w:val="31"/>
        </w:rPr>
        <w:t> </w:t>
      </w:r>
      <w:r>
        <w:rPr/>
        <w:t>企业集团的构成</w:t>
      </w:r>
      <w:r>
        <w:rPr>
          <w:b w:val="0"/>
          <w:bCs w:val="0"/>
        </w:rPr>
      </w:r>
    </w:p>
    <w:p>
      <w:pPr>
        <w:spacing w:line="240" w:lineRule="auto" w:before="4"/>
        <w:rPr>
          <w:rFonts w:ascii="宋体" w:hAnsi="宋体" w:cs="宋体" w:eastAsia="宋体" w:hint="default"/>
          <w:b/>
          <w:bCs/>
          <w:sz w:val="7"/>
          <w:szCs w:val="7"/>
        </w:rPr>
      </w:pPr>
    </w:p>
    <w:tbl>
      <w:tblPr>
        <w:tblW w:w="0" w:type="auto"/>
        <w:jc w:val="left"/>
        <w:tblInd w:w="103" w:type="dxa"/>
        <w:tblLayout w:type="fixed"/>
        <w:tblCellMar>
          <w:top w:w="0" w:type="dxa"/>
          <w:left w:w="0" w:type="dxa"/>
          <w:bottom w:w="0" w:type="dxa"/>
          <w:right w:w="0" w:type="dxa"/>
        </w:tblCellMar>
        <w:tblLook w:val="01E0"/>
      </w:tblPr>
      <w:tblGrid>
        <w:gridCol w:w="1941"/>
        <w:gridCol w:w="1289"/>
        <w:gridCol w:w="1270"/>
        <w:gridCol w:w="1301"/>
        <w:gridCol w:w="1289"/>
        <w:gridCol w:w="1289"/>
        <w:gridCol w:w="1416"/>
      </w:tblGrid>
      <w:tr>
        <w:trPr>
          <w:trHeight w:val="284" w:hRule="exact"/>
        </w:trPr>
        <w:tc>
          <w:tcPr>
            <w:tcW w:w="1941" w:type="dxa"/>
            <w:vMerge w:val="restart"/>
            <w:tcBorders>
              <w:top w:val="single" w:sz="4" w:space="0" w:color="000000"/>
              <w:left w:val="single" w:sz="4" w:space="0" w:color="000000"/>
              <w:right w:val="single" w:sz="6" w:space="0" w:color="000000"/>
            </w:tcBorders>
          </w:tcPr>
          <w:p>
            <w:pPr>
              <w:pStyle w:val="TableParagraph"/>
              <w:spacing w:line="272" w:lineRule="exact" w:before="3"/>
              <w:ind w:left="650" w:right="647"/>
              <w:jc w:val="center"/>
              <w:rPr>
                <w:rFonts w:ascii="宋体" w:hAnsi="宋体" w:cs="宋体" w:eastAsia="宋体" w:hint="default"/>
                <w:sz w:val="21"/>
                <w:szCs w:val="21"/>
              </w:rPr>
            </w:pPr>
            <w:r>
              <w:rPr>
                <w:rFonts w:ascii="宋体" w:hAnsi="宋体" w:cs="宋体" w:eastAsia="宋体" w:hint="default"/>
                <w:sz w:val="21"/>
                <w:szCs w:val="21"/>
              </w:rPr>
              <w:t>子公司 名称</w:t>
            </w:r>
          </w:p>
        </w:tc>
        <w:tc>
          <w:tcPr>
            <w:tcW w:w="1289" w:type="dxa"/>
            <w:vMerge w:val="restart"/>
            <w:tcBorders>
              <w:top w:val="single" w:sz="4" w:space="0" w:color="000000"/>
              <w:left w:val="single" w:sz="6" w:space="0" w:color="000000"/>
              <w:right w:val="single" w:sz="6" w:space="0" w:color="000000"/>
            </w:tcBorders>
          </w:tcPr>
          <w:p>
            <w:pPr>
              <w:pStyle w:val="TableParagraph"/>
              <w:spacing w:line="240" w:lineRule="auto" w:before="112"/>
              <w:ind w:left="110"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70" w:type="dxa"/>
            <w:vMerge w:val="restart"/>
            <w:tcBorders>
              <w:top w:val="single" w:sz="4" w:space="0" w:color="000000"/>
              <w:left w:val="single" w:sz="6" w:space="0" w:color="000000"/>
              <w:right w:val="single" w:sz="6" w:space="0" w:color="000000"/>
            </w:tcBorders>
          </w:tcPr>
          <w:p>
            <w:pPr>
              <w:pStyle w:val="TableParagraph"/>
              <w:spacing w:line="240" w:lineRule="auto" w:before="112"/>
              <w:ind w:left="312"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01" w:type="dxa"/>
            <w:vMerge w:val="restart"/>
            <w:tcBorders>
              <w:top w:val="single" w:sz="4" w:space="0" w:color="000000"/>
              <w:left w:val="single" w:sz="6" w:space="0" w:color="000000"/>
              <w:right w:val="single" w:sz="6" w:space="0" w:color="000000"/>
            </w:tcBorders>
          </w:tcPr>
          <w:p>
            <w:pPr>
              <w:pStyle w:val="TableParagraph"/>
              <w:spacing w:line="240" w:lineRule="auto" w:before="112"/>
              <w:ind w:left="22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578"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703"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416" w:type="dxa"/>
            <w:vMerge w:val="restart"/>
            <w:tcBorders>
              <w:top w:val="single" w:sz="4" w:space="0" w:color="000000"/>
              <w:left w:val="single" w:sz="6" w:space="0" w:color="000000"/>
              <w:right w:val="single" w:sz="4" w:space="0" w:color="000000"/>
            </w:tcBorders>
          </w:tcPr>
          <w:p>
            <w:pPr>
              <w:pStyle w:val="TableParagraph"/>
              <w:spacing w:line="272" w:lineRule="exact" w:before="3"/>
              <w:ind w:left="490" w:right="491"/>
              <w:jc w:val="center"/>
              <w:rPr>
                <w:rFonts w:ascii="宋体" w:hAnsi="宋体" w:cs="宋体" w:eastAsia="宋体" w:hint="default"/>
                <w:sz w:val="21"/>
                <w:szCs w:val="21"/>
              </w:rPr>
            </w:pPr>
            <w:r>
              <w:rPr>
                <w:rFonts w:ascii="宋体" w:hAnsi="宋体" w:cs="宋体" w:eastAsia="宋体" w:hint="default"/>
                <w:sz w:val="21"/>
                <w:szCs w:val="21"/>
              </w:rPr>
              <w:t>取得 方式</w:t>
            </w:r>
          </w:p>
        </w:tc>
      </w:tr>
      <w:tr>
        <w:trPr>
          <w:trHeight w:val="294" w:hRule="exact"/>
        </w:trPr>
        <w:tc>
          <w:tcPr>
            <w:tcW w:w="1941" w:type="dxa"/>
            <w:vMerge/>
            <w:tcBorders>
              <w:left w:val="single" w:sz="4" w:space="0" w:color="000000"/>
              <w:bottom w:val="single" w:sz="6" w:space="0" w:color="000000"/>
              <w:right w:val="single" w:sz="6" w:space="0" w:color="000000"/>
            </w:tcBorders>
          </w:tcPr>
          <w:p>
            <w:pPr/>
          </w:p>
        </w:tc>
        <w:tc>
          <w:tcPr>
            <w:tcW w:w="1289" w:type="dxa"/>
            <w:vMerge/>
            <w:tcBorders>
              <w:left w:val="single" w:sz="6" w:space="0" w:color="000000"/>
              <w:bottom w:val="single" w:sz="6" w:space="0" w:color="000000"/>
              <w:right w:val="single" w:sz="6" w:space="0" w:color="000000"/>
            </w:tcBorders>
          </w:tcPr>
          <w:p>
            <w:pPr/>
          </w:p>
        </w:tc>
        <w:tc>
          <w:tcPr>
            <w:tcW w:w="1270" w:type="dxa"/>
            <w:vMerge/>
            <w:tcBorders>
              <w:left w:val="single" w:sz="6" w:space="0" w:color="000000"/>
              <w:bottom w:val="single" w:sz="6" w:space="0" w:color="000000"/>
              <w:right w:val="single" w:sz="6" w:space="0" w:color="000000"/>
            </w:tcBorders>
          </w:tcPr>
          <w:p>
            <w:pPr/>
          </w:p>
        </w:tc>
        <w:tc>
          <w:tcPr>
            <w:tcW w:w="1301" w:type="dxa"/>
            <w:vMerge/>
            <w:tcBorders>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416" w:type="dxa"/>
            <w:vMerge/>
            <w:tcBorders>
              <w:left w:val="single" w:sz="6" w:space="0" w:color="000000"/>
              <w:bottom w:val="single" w:sz="6" w:space="0" w:color="000000"/>
              <w:right w:val="single" w:sz="4" w:space="0" w:color="000000"/>
            </w:tcBorders>
          </w:tcPr>
          <w:p>
            <w:pPr/>
          </w:p>
        </w:tc>
      </w:tr>
      <w:tr>
        <w:trPr>
          <w:trHeight w:val="559" w:hRule="exact"/>
        </w:trPr>
        <w:tc>
          <w:tcPr>
            <w:tcW w:w="1941"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华胜天成科技（香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港）有限公司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系统集成及</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专业服务</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w:t>
            </w:r>
          </w:p>
        </w:tc>
        <w:tc>
          <w:tcPr>
            <w:tcW w:w="1289"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1941"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华胜天成科技（美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国）有限公司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美国</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美国</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系统集成及</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专业服务</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w:t>
            </w:r>
          </w:p>
        </w:tc>
        <w:tc>
          <w:tcPr>
            <w:tcW w:w="1289"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60" w:hRule="exact"/>
        </w:trPr>
        <w:tc>
          <w:tcPr>
            <w:tcW w:w="194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深圳华胜天成信息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系统集成及</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专业服务</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w:t>
            </w:r>
          </w:p>
        </w:tc>
        <w:tc>
          <w:tcPr>
            <w:tcW w:w="1289"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1941"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北京华胜天成软件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系统集成及</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专业服务</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98.96</w:t>
            </w:r>
          </w:p>
        </w:tc>
        <w:tc>
          <w:tcPr>
            <w:tcW w:w="1289"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60" w:hRule="exact"/>
        </w:trPr>
        <w:tc>
          <w:tcPr>
            <w:tcW w:w="194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成都华胜天成信息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系统集成及</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专业服务</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w:t>
            </w:r>
          </w:p>
        </w:tc>
        <w:tc>
          <w:tcPr>
            <w:tcW w:w="1289"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1941"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南京华胜天成信息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南京</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南京</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系统集成及</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专业服务</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w:t>
            </w:r>
          </w:p>
        </w:tc>
        <w:tc>
          <w:tcPr>
            <w:tcW w:w="1289"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1941"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北京交大思源科技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软件开发及</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专业服务</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60</w:t>
            </w:r>
          </w:p>
        </w:tc>
        <w:tc>
          <w:tcPr>
            <w:tcW w:w="1289"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561" w:hRule="exact"/>
        </w:trPr>
        <w:tc>
          <w:tcPr>
            <w:tcW w:w="194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北京飞杰信息技术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51</w:t>
            </w:r>
          </w:p>
        </w:tc>
        <w:tc>
          <w:tcPr>
            <w:tcW w:w="1289"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9" w:hRule="exact"/>
        </w:trPr>
        <w:tc>
          <w:tcPr>
            <w:tcW w:w="1941"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广州石竹计算机软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件有限公司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广州</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广州</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系统集成及</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专业服务</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90</w:t>
            </w:r>
          </w:p>
        </w:tc>
        <w:tc>
          <w:tcPr>
            <w:tcW w:w="1289"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833" w:hRule="exact"/>
        </w:trPr>
        <w:tc>
          <w:tcPr>
            <w:tcW w:w="194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北京华胜天成股权</w:t>
            </w:r>
          </w:p>
          <w:p>
            <w:pPr>
              <w:pStyle w:val="TableParagraph"/>
              <w:spacing w:line="272" w:lineRule="exact" w:before="26"/>
              <w:ind w:left="103" w:right="143"/>
              <w:jc w:val="left"/>
              <w:rPr>
                <w:rFonts w:ascii="宋体" w:hAnsi="宋体" w:cs="宋体" w:eastAsia="宋体" w:hint="default"/>
                <w:sz w:val="21"/>
                <w:szCs w:val="21"/>
              </w:rPr>
            </w:pPr>
            <w:r>
              <w:rPr>
                <w:rFonts w:ascii="宋体" w:hAnsi="宋体" w:cs="宋体" w:eastAsia="宋体" w:hint="default"/>
                <w:sz w:val="21"/>
                <w:szCs w:val="21"/>
              </w:rPr>
              <w:t>投资中心（有限合 伙）</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70</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32" w:hRule="exact"/>
        </w:trPr>
        <w:tc>
          <w:tcPr>
            <w:tcW w:w="1941"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北京新云东方系统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科技有限责任公司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系统集成及</w:t>
            </w:r>
          </w:p>
          <w:p>
            <w:pPr>
              <w:pStyle w:val="TableParagraph"/>
              <w:spacing w:line="272" w:lineRule="exact" w:before="26"/>
              <w:ind w:left="99" w:right="134"/>
              <w:jc w:val="left"/>
              <w:rPr>
                <w:rFonts w:ascii="宋体" w:hAnsi="宋体" w:cs="宋体" w:eastAsia="宋体" w:hint="default"/>
                <w:sz w:val="21"/>
                <w:szCs w:val="21"/>
              </w:rPr>
            </w:pPr>
            <w:r>
              <w:rPr>
                <w:rFonts w:ascii="宋体" w:hAnsi="宋体" w:cs="宋体" w:eastAsia="宋体" w:hint="default"/>
                <w:sz w:val="21"/>
                <w:szCs w:val="21"/>
              </w:rPr>
              <w:t>计算机整机 制造</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56.45</w:t>
            </w:r>
          </w:p>
        </w:tc>
        <w:tc>
          <w:tcPr>
            <w:tcW w:w="1289"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1941"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华胜信泰科技有限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技术开发及</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销售设备</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w:t>
            </w:r>
          </w:p>
        </w:tc>
        <w:tc>
          <w:tcPr>
            <w:tcW w:w="1289"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33" w:hRule="exact"/>
        </w:trPr>
        <w:tc>
          <w:tcPr>
            <w:tcW w:w="194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北京华胜天成低碳</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产业创业投资中心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（有限合伙）</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17.86</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1.79</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1941"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开曼</w:t>
            </w:r>
            <w:r>
              <w:rPr>
                <w:rFonts w:ascii="宋体" w:hAnsi="宋体" w:cs="宋体" w:eastAsia="宋体" w:hint="default"/>
                <w:spacing w:val="-53"/>
                <w:sz w:val="21"/>
                <w:szCs w:val="21"/>
              </w:rPr>
              <w:t> </w:t>
            </w:r>
            <w:r>
              <w:rPr>
                <w:rFonts w:ascii="宋体" w:hAnsi="宋体" w:cs="宋体" w:eastAsia="宋体" w:hint="default"/>
                <w:sz w:val="21"/>
                <w:szCs w:val="21"/>
              </w:rPr>
              <w:t>ITMS</w:t>
            </w:r>
            <w:r>
              <w:rPr>
                <w:rFonts w:ascii="宋体" w:hAnsi="宋体" w:cs="宋体" w:eastAsia="宋体" w:hint="default"/>
                <w:spacing w:val="-54"/>
                <w:sz w:val="21"/>
                <w:szCs w:val="21"/>
              </w:rPr>
              <w:t> </w:t>
            </w:r>
            <w:r>
              <w:rPr>
                <w:rFonts w:ascii="宋体" w:hAnsi="宋体" w:cs="宋体" w:eastAsia="宋体" w:hint="default"/>
                <w:sz w:val="21"/>
                <w:szCs w:val="21"/>
              </w:rPr>
              <w:t>国际有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开曼群岛</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专业服务</w:t>
            </w:r>
          </w:p>
        </w:tc>
        <w:tc>
          <w:tcPr>
            <w:tcW w:w="1289"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8" w:hRule="exact"/>
        </w:trPr>
        <w:tc>
          <w:tcPr>
            <w:tcW w:w="194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富昇控股有限公司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开曼群岛</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融资租赁</w:t>
            </w:r>
          </w:p>
        </w:tc>
        <w:tc>
          <w:tcPr>
            <w:tcW w:w="1289"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1941"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现代前锋软件有限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系统集成及</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专业服务</w:t>
            </w:r>
          </w:p>
        </w:tc>
        <w:tc>
          <w:tcPr>
            <w:tcW w:w="1289"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560" w:hRule="exact"/>
        </w:trPr>
        <w:tc>
          <w:tcPr>
            <w:tcW w:w="194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中国磐天集团公司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英属维尔京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群岛</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系统集成及</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专业服务</w:t>
            </w:r>
          </w:p>
        </w:tc>
        <w:tc>
          <w:tcPr>
            <w:tcW w:w="1289"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833" w:hRule="exact"/>
        </w:trPr>
        <w:tc>
          <w:tcPr>
            <w:tcW w:w="194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Automated</w:t>
            </w:r>
          </w:p>
          <w:p>
            <w:pPr>
              <w:pStyle w:val="TableParagraph"/>
              <w:spacing w:line="272" w:lineRule="exact"/>
              <w:ind w:left="103" w:right="0"/>
              <w:jc w:val="left"/>
              <w:rPr>
                <w:rFonts w:ascii="宋体" w:hAnsi="宋体" w:cs="宋体" w:eastAsia="宋体" w:hint="default"/>
                <w:sz w:val="21"/>
                <w:szCs w:val="21"/>
              </w:rPr>
            </w:pPr>
            <w:r>
              <w:rPr>
                <w:rFonts w:ascii="宋体"/>
                <w:sz w:val="21"/>
              </w:rPr>
              <w:t>Systems</w:t>
            </w:r>
          </w:p>
          <w:p>
            <w:pPr>
              <w:pStyle w:val="TableParagraph"/>
              <w:spacing w:line="274" w:lineRule="exact"/>
              <w:ind w:left="103" w:right="0"/>
              <w:jc w:val="left"/>
              <w:rPr>
                <w:rFonts w:ascii="宋体" w:hAnsi="宋体" w:cs="宋体" w:eastAsia="宋体" w:hint="default"/>
                <w:sz w:val="21"/>
                <w:szCs w:val="21"/>
              </w:rPr>
            </w:pPr>
            <w:r>
              <w:rPr>
                <w:rFonts w:ascii="宋体"/>
                <w:sz w:val="21"/>
              </w:rPr>
              <w:t>Holdings Limited</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百慕达</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1289"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66.95</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286" w:hRule="exact"/>
        </w:trPr>
        <w:tc>
          <w:tcPr>
            <w:tcW w:w="1941"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天津华胜天成软件</w:t>
            </w:r>
          </w:p>
        </w:tc>
        <w:tc>
          <w:tcPr>
            <w:tcW w:w="1289"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70"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1301"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软件开发和</w:t>
            </w:r>
          </w:p>
        </w:tc>
        <w:tc>
          <w:tcPr>
            <w:tcW w:w="1289" w:type="dxa"/>
            <w:tcBorders>
              <w:top w:val="single" w:sz="6" w:space="0" w:color="000000"/>
              <w:left w:val="single" w:sz="6" w:space="0" w:color="000000"/>
              <w:bottom w:val="single" w:sz="4" w:space="0" w:color="000000"/>
              <w:right w:val="single" w:sz="6" w:space="0" w:color="000000"/>
            </w:tcBorders>
          </w:tcPr>
          <w:p>
            <w:pPr/>
          </w:p>
        </w:tc>
        <w:tc>
          <w:tcPr>
            <w:tcW w:w="1289"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95</w:t>
            </w:r>
          </w:p>
        </w:tc>
        <w:tc>
          <w:tcPr>
            <w:tcW w:w="1416"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bl>
    <w:p>
      <w:pPr>
        <w:spacing w:after="0" w:line="240" w:lineRule="exact"/>
        <w:jc w:val="left"/>
        <w:rPr>
          <w:rFonts w:ascii="宋体" w:hAnsi="宋体" w:cs="宋体" w:eastAsia="宋体" w:hint="default"/>
          <w:sz w:val="21"/>
          <w:szCs w:val="21"/>
        </w:rPr>
        <w:sectPr>
          <w:pgSz w:w="11910" w:h="16840"/>
          <w:pgMar w:header="882" w:footer="1194" w:top="1120" w:bottom="1380" w:left="980" w:right="90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83" w:type="dxa"/>
        <w:tblLayout w:type="fixed"/>
        <w:tblCellMar>
          <w:top w:w="0" w:type="dxa"/>
          <w:left w:w="0" w:type="dxa"/>
          <w:bottom w:w="0" w:type="dxa"/>
          <w:right w:w="0" w:type="dxa"/>
        </w:tblCellMar>
        <w:tblLook w:val="01E0"/>
      </w:tblPr>
      <w:tblGrid>
        <w:gridCol w:w="1941"/>
        <w:gridCol w:w="1289"/>
        <w:gridCol w:w="1270"/>
        <w:gridCol w:w="1301"/>
        <w:gridCol w:w="1289"/>
        <w:gridCol w:w="1289"/>
        <w:gridCol w:w="1416"/>
      </w:tblGrid>
      <w:tr>
        <w:trPr>
          <w:trHeight w:val="287" w:hRule="exact"/>
        </w:trPr>
        <w:tc>
          <w:tcPr>
            <w:tcW w:w="194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289"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专业服务</w:t>
            </w:r>
          </w:p>
        </w:tc>
        <w:tc>
          <w:tcPr>
            <w:tcW w:w="1289"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
        </w:tc>
      </w:tr>
      <w:tr>
        <w:trPr>
          <w:trHeight w:val="560" w:hRule="exact"/>
        </w:trPr>
        <w:tc>
          <w:tcPr>
            <w:tcW w:w="194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浙江兰德纵横网络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软件开发和</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专业服务</w:t>
            </w:r>
          </w:p>
        </w:tc>
        <w:tc>
          <w:tcPr>
            <w:tcW w:w="1289"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560" w:hRule="exact"/>
        </w:trPr>
        <w:tc>
          <w:tcPr>
            <w:tcW w:w="1941"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天津华胜天成信息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软件开发和</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专业服务</w:t>
            </w:r>
          </w:p>
        </w:tc>
        <w:tc>
          <w:tcPr>
            <w:tcW w:w="1289"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60" w:hRule="exact"/>
        </w:trPr>
        <w:tc>
          <w:tcPr>
            <w:tcW w:w="194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北京中科通图信息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软件开发和</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专业服务</w:t>
            </w:r>
          </w:p>
        </w:tc>
        <w:tc>
          <w:tcPr>
            <w:tcW w:w="1289"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1941"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华胜蓝泰科技（天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津）有限责任公司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数据中心和</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解决方案</w:t>
            </w:r>
          </w:p>
        </w:tc>
        <w:tc>
          <w:tcPr>
            <w:tcW w:w="1289"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51</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1941"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石家庄华胜正明软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件技术有限公司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河北</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河北</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软件开发及</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专业服务</w:t>
            </w:r>
          </w:p>
        </w:tc>
        <w:tc>
          <w:tcPr>
            <w:tcW w:w="1289"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70</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560" w:hRule="exact"/>
        </w:trPr>
        <w:tc>
          <w:tcPr>
            <w:tcW w:w="194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北京永亚网安科技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软件开发及</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专业服务</w:t>
            </w:r>
          </w:p>
        </w:tc>
        <w:tc>
          <w:tcPr>
            <w:tcW w:w="1289"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1941"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北京华胜天成投资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基金管理有限公司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1289"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60" w:hRule="exact"/>
        </w:trPr>
        <w:tc>
          <w:tcPr>
            <w:tcW w:w="194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南京华胜天成计算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机技术有限公司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南京</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软件开发及</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专业服务</w:t>
            </w:r>
          </w:p>
        </w:tc>
        <w:tc>
          <w:tcPr>
            <w:tcW w:w="1289"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1941"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杭州飞杰青云信息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289"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9" w:hRule="exact"/>
        </w:trPr>
        <w:tc>
          <w:tcPr>
            <w:tcW w:w="1941"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广州皓竹软件有限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广州</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广州</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软件开发及</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专业服务</w:t>
            </w:r>
          </w:p>
        </w:tc>
        <w:tc>
          <w:tcPr>
            <w:tcW w:w="1289"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8" w:hRule="exact"/>
        </w:trPr>
        <w:tc>
          <w:tcPr>
            <w:tcW w:w="1941"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天津石竹软件有限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89"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广州</w:t>
            </w:r>
          </w:p>
        </w:tc>
        <w:tc>
          <w:tcPr>
            <w:tcW w:w="127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1301"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软件开发及</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专业服务</w:t>
            </w:r>
          </w:p>
        </w:tc>
        <w:tc>
          <w:tcPr>
            <w:tcW w:w="1289" w:type="dxa"/>
            <w:tcBorders>
              <w:top w:val="single" w:sz="6" w:space="0" w:color="000000"/>
              <w:left w:val="single" w:sz="6" w:space="0" w:color="000000"/>
              <w:bottom w:val="single" w:sz="4" w:space="0" w:color="000000"/>
              <w:right w:val="single" w:sz="6" w:space="0" w:color="000000"/>
            </w:tcBorders>
          </w:tcPr>
          <w:p>
            <w:pPr/>
          </w:p>
        </w:tc>
        <w:tc>
          <w:tcPr>
            <w:tcW w:w="1289"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w:t>
            </w:r>
          </w:p>
        </w:tc>
        <w:tc>
          <w:tcPr>
            <w:tcW w:w="1416"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企业合并</w:t>
            </w:r>
          </w:p>
        </w:tc>
      </w:tr>
    </w:tbl>
    <w:p>
      <w:pPr>
        <w:pStyle w:val="BodyText"/>
        <w:spacing w:line="274" w:lineRule="exact"/>
        <w:ind w:left="1798" w:right="0"/>
        <w:jc w:val="left"/>
      </w:pPr>
      <w:r>
        <w:rPr/>
        <w:t>说明：本公司对北京华胜天成低碳产业创业投资中心（有限合伙）直接持股</w:t>
      </w:r>
      <w:r>
        <w:rPr>
          <w:spacing w:val="-50"/>
        </w:rPr>
        <w:t> </w:t>
      </w:r>
      <w:r>
        <w:rPr>
          <w:rFonts w:ascii="宋体" w:hAnsi="宋体" w:cs="宋体" w:eastAsia="宋体" w:hint="default"/>
        </w:rPr>
        <w:t>17.86%</w:t>
      </w:r>
      <w:r>
        <w:rPr/>
        <w:t>，</w:t>
      </w:r>
    </w:p>
    <w:p>
      <w:pPr>
        <w:pStyle w:val="BodyText"/>
        <w:spacing w:line="237" w:lineRule="auto" w:before="1"/>
        <w:ind w:left="1798" w:right="0"/>
        <w:jc w:val="left"/>
      </w:pPr>
      <w:r>
        <w:rPr/>
        <w:t>本公司通过间接控制的全资子公司北京华胜天成能源投资发展有限公司间接持股 </w:t>
      </w:r>
      <w:r>
        <w:rPr>
          <w:rFonts w:ascii="宋体" w:hAnsi="宋体" w:cs="宋体" w:eastAsia="宋体" w:hint="default"/>
        </w:rPr>
        <w:t>1.79%</w:t>
      </w:r>
      <w:r>
        <w:rPr/>
        <w:t>，本集团拥有对北京华胜天成低碳产业创业投资中心（有限合伙）的权力，通 </w:t>
      </w:r>
      <w:r>
        <w:rPr>
          <w:spacing w:val="-2"/>
        </w:rPr>
        <w:t>过参与其相关活动而享有可变回报，并且有能力运用对被投资方的权力影响其回报金</w:t>
      </w:r>
      <w:r>
        <w:rPr>
          <w:spacing w:val="-93"/>
        </w:rPr>
        <w:t> </w:t>
      </w:r>
      <w:r>
        <w:rPr>
          <w:spacing w:val="-93"/>
        </w:rPr>
      </w:r>
      <w:r>
        <w:rPr/>
        <w:t>额，故本集团可以控制该被投资单位，将其纳入财务报表合并范围。</w:t>
      </w:r>
    </w:p>
    <w:p>
      <w:pPr>
        <w:pStyle w:val="Heading2"/>
        <w:spacing w:line="240" w:lineRule="auto" w:before="57"/>
        <w:ind w:left="1798" w:right="0"/>
        <w:jc w:val="left"/>
        <w:rPr>
          <w:b w:val="0"/>
          <w:bCs w:val="0"/>
        </w:rPr>
      </w:pPr>
      <w:r>
        <w:rPr>
          <w:rFonts w:ascii="宋体" w:hAnsi="宋体" w:cs="宋体" w:eastAsia="宋体" w:hint="default"/>
        </w:rPr>
        <w:t>(2).</w:t>
      </w:r>
      <w:r>
        <w:rPr>
          <w:rFonts w:ascii="宋体" w:hAnsi="宋体" w:cs="宋体" w:eastAsia="宋体" w:hint="default"/>
          <w:spacing w:val="29"/>
        </w:rPr>
        <w:t> </w:t>
      </w:r>
      <w:r>
        <w:rPr/>
        <w:t>重要的非全资子公司</w:t>
      </w:r>
      <w:r>
        <w:rPr>
          <w:b w:val="0"/>
          <w:bCs w:val="0"/>
        </w:rPr>
      </w:r>
    </w:p>
    <w:p>
      <w:pPr>
        <w:tabs>
          <w:tab w:pos="945" w:val="left" w:leader="none"/>
        </w:tabs>
        <w:spacing w:before="60"/>
        <w:ind w:left="0" w:right="1271"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w:t>
        <w:tab/>
      </w:r>
      <w:r>
        <w:rPr>
          <w:rFonts w:ascii="宋体" w:hAnsi="宋体" w:cs="宋体" w:eastAsia="宋体" w:hint="default"/>
          <w:spacing w:val="-1"/>
          <w:sz w:val="21"/>
          <w:szCs w:val="21"/>
        </w:rPr>
        <w:t>币种</w:t>
      </w:r>
      <w:r>
        <w:rPr>
          <w:rFonts w:ascii="宋体" w:hAnsi="宋体" w:cs="宋体" w:eastAsia="宋体" w:hint="default"/>
          <w:spacing w:val="-1"/>
          <w:sz w:val="21"/>
          <w:szCs w:val="21"/>
        </w:rPr>
        <w:t>:</w:t>
      </w:r>
      <w:r>
        <w:rPr>
          <w:rFonts w:ascii="宋体" w:hAnsi="宋体" w:cs="宋体" w:eastAsia="宋体" w:hint="default"/>
          <w:spacing w:val="-1"/>
          <w:sz w:val="21"/>
          <w:szCs w:val="21"/>
        </w:rPr>
        <w:t>人民币</w:t>
      </w:r>
    </w:p>
    <w:p>
      <w:pPr>
        <w:spacing w:line="240" w:lineRule="auto" w:before="7"/>
        <w:rPr>
          <w:rFonts w:ascii="宋体" w:hAnsi="宋体" w:cs="宋体" w:eastAsia="宋体" w:hint="default"/>
          <w:sz w:val="2"/>
          <w:szCs w:val="2"/>
        </w:rPr>
      </w:pPr>
    </w:p>
    <w:tbl>
      <w:tblPr>
        <w:tblW w:w="0" w:type="auto"/>
        <w:jc w:val="left"/>
        <w:tblInd w:w="1225" w:type="dxa"/>
        <w:tblLayout w:type="fixed"/>
        <w:tblCellMar>
          <w:top w:w="0" w:type="dxa"/>
          <w:left w:w="0" w:type="dxa"/>
          <w:bottom w:w="0" w:type="dxa"/>
          <w:right w:w="0" w:type="dxa"/>
        </w:tblCellMar>
        <w:tblLook w:val="01E0"/>
      </w:tblPr>
      <w:tblGrid>
        <w:gridCol w:w="2976"/>
        <w:gridCol w:w="1419"/>
        <w:gridCol w:w="1700"/>
        <w:gridCol w:w="1844"/>
        <w:gridCol w:w="1699"/>
      </w:tblGrid>
      <w:tr>
        <w:trPr>
          <w:trHeight w:val="558" w:hRule="exact"/>
        </w:trPr>
        <w:tc>
          <w:tcPr>
            <w:tcW w:w="2976"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1"/>
              <w:ind w:left="958"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419"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少数股东持</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股比例</w:t>
            </w:r>
          </w:p>
        </w:tc>
        <w:tc>
          <w:tcPr>
            <w:tcW w:w="1700"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本期归属于少数</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股东的损益</w:t>
            </w:r>
          </w:p>
        </w:tc>
        <w:tc>
          <w:tcPr>
            <w:tcW w:w="1844"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hAnsi="宋体" w:cs="宋体" w:eastAsia="宋体" w:hint="default"/>
                <w:sz w:val="21"/>
                <w:szCs w:val="21"/>
              </w:rPr>
              <w:t>本期向少数股东</w:t>
            </w:r>
          </w:p>
          <w:p>
            <w:pPr>
              <w:pStyle w:val="TableParagraph"/>
              <w:spacing w:line="274" w:lineRule="exact"/>
              <w:ind w:left="177" w:right="0"/>
              <w:jc w:val="left"/>
              <w:rPr>
                <w:rFonts w:ascii="宋体" w:hAnsi="宋体" w:cs="宋体" w:eastAsia="宋体" w:hint="default"/>
                <w:sz w:val="21"/>
                <w:szCs w:val="21"/>
              </w:rPr>
            </w:pPr>
            <w:r>
              <w:rPr>
                <w:rFonts w:ascii="宋体" w:hAnsi="宋体" w:cs="宋体" w:eastAsia="宋体" w:hint="default"/>
                <w:sz w:val="21"/>
                <w:szCs w:val="21"/>
              </w:rPr>
              <w:t>宣告分派的股利</w:t>
            </w:r>
          </w:p>
        </w:tc>
        <w:tc>
          <w:tcPr>
            <w:tcW w:w="1699" w:type="dxa"/>
            <w:tcBorders>
              <w:top w:val="single" w:sz="4" w:space="0" w:color="000000"/>
              <w:left w:val="single" w:sz="6" w:space="0" w:color="000000"/>
              <w:bottom w:val="single" w:sz="6" w:space="0" w:color="000000"/>
              <w:right w:val="single" w:sz="4" w:space="0" w:color="000000"/>
            </w:tcBorders>
          </w:tcPr>
          <w:p>
            <w:pPr>
              <w:pStyle w:val="TableParagraph"/>
              <w:spacing w:line="240" w:lineRule="exact"/>
              <w:ind w:left="10"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4" w:lineRule="exact"/>
              <w:ind w:left="10"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559" w:hRule="exact"/>
        </w:trPr>
        <w:tc>
          <w:tcPr>
            <w:tcW w:w="2976"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Automated Systems</w:t>
            </w:r>
            <w:r>
              <w:rPr>
                <w:rFonts w:ascii="宋体"/>
                <w:spacing w:val="-2"/>
                <w:sz w:val="21"/>
              </w:rPr>
              <w:t> </w:t>
            </w:r>
            <w:r>
              <w:rPr>
                <w:rFonts w:ascii="宋体"/>
                <w:sz w:val="21"/>
              </w:rPr>
              <w:t>Holdings</w:t>
            </w:r>
          </w:p>
          <w:p>
            <w:pPr>
              <w:pStyle w:val="TableParagraph"/>
              <w:spacing w:line="274" w:lineRule="exact"/>
              <w:ind w:left="103" w:right="0"/>
              <w:jc w:val="left"/>
              <w:rPr>
                <w:rFonts w:ascii="宋体" w:hAnsi="宋体" w:cs="宋体" w:eastAsia="宋体" w:hint="default"/>
                <w:sz w:val="21"/>
                <w:szCs w:val="21"/>
              </w:rPr>
            </w:pPr>
            <w:r>
              <w:rPr>
                <w:rFonts w:ascii="宋体"/>
                <w:sz w:val="21"/>
              </w:rPr>
              <w:t>Limited</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78" w:right="0"/>
              <w:jc w:val="left"/>
              <w:rPr>
                <w:rFonts w:ascii="宋体" w:hAnsi="宋体" w:cs="宋体" w:eastAsia="宋体" w:hint="default"/>
                <w:sz w:val="21"/>
                <w:szCs w:val="21"/>
              </w:rPr>
            </w:pPr>
            <w:r>
              <w:rPr>
                <w:rFonts w:ascii="宋体"/>
                <w:sz w:val="21"/>
              </w:rPr>
              <w:t>33.05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05" w:right="0"/>
              <w:jc w:val="left"/>
              <w:rPr>
                <w:rFonts w:ascii="宋体" w:hAnsi="宋体" w:cs="宋体" w:eastAsia="宋体" w:hint="default"/>
                <w:sz w:val="18"/>
                <w:szCs w:val="18"/>
              </w:rPr>
            </w:pPr>
            <w:r>
              <w:rPr>
                <w:rFonts w:ascii="宋体"/>
                <w:sz w:val="18"/>
              </w:rPr>
              <w:t>6,948,695.04</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123,234,887.39</w:t>
            </w:r>
          </w:p>
        </w:tc>
      </w:tr>
      <w:tr>
        <w:trPr>
          <w:trHeight w:val="286" w:hRule="exact"/>
        </w:trPr>
        <w:tc>
          <w:tcPr>
            <w:tcW w:w="2976" w:type="dxa"/>
            <w:tcBorders>
              <w:top w:val="single" w:sz="6" w:space="0" w:color="000000"/>
              <w:left w:val="single" w:sz="4" w:space="0" w:color="000000"/>
              <w:bottom w:val="single" w:sz="4" w:space="0" w:color="000000"/>
              <w:right w:val="single" w:sz="6" w:space="0" w:color="000000"/>
            </w:tcBorders>
          </w:tcPr>
          <w:p>
            <w:pPr/>
          </w:p>
        </w:tc>
        <w:tc>
          <w:tcPr>
            <w:tcW w:w="1419" w:type="dxa"/>
            <w:tcBorders>
              <w:top w:val="single" w:sz="6" w:space="0" w:color="000000"/>
              <w:left w:val="single" w:sz="6" w:space="0" w:color="000000"/>
              <w:bottom w:val="single" w:sz="4" w:space="0" w:color="000000"/>
              <w:right w:val="single" w:sz="6" w:space="0" w:color="000000"/>
            </w:tcBorders>
          </w:tcPr>
          <w:p>
            <w:pPr/>
          </w:p>
        </w:tc>
        <w:tc>
          <w:tcPr>
            <w:tcW w:w="1700" w:type="dxa"/>
            <w:tcBorders>
              <w:top w:val="single" w:sz="6" w:space="0" w:color="000000"/>
              <w:left w:val="single" w:sz="6" w:space="0" w:color="000000"/>
              <w:bottom w:val="single" w:sz="4" w:space="0" w:color="000000"/>
              <w:right w:val="single" w:sz="6" w:space="0" w:color="000000"/>
            </w:tcBorders>
          </w:tcPr>
          <w:p>
            <w:pPr/>
          </w:p>
        </w:tc>
        <w:tc>
          <w:tcPr>
            <w:tcW w:w="1844" w:type="dxa"/>
            <w:tcBorders>
              <w:top w:val="single" w:sz="6" w:space="0" w:color="000000"/>
              <w:left w:val="single" w:sz="6" w:space="0" w:color="000000"/>
              <w:bottom w:val="single" w:sz="4" w:space="0" w:color="000000"/>
              <w:right w:val="single" w:sz="6" w:space="0" w:color="000000"/>
            </w:tcBorders>
          </w:tcPr>
          <w:p>
            <w:pPr/>
          </w:p>
        </w:tc>
        <w:tc>
          <w:tcPr>
            <w:tcW w:w="1699"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4" w:top="1120" w:bottom="1380" w:left="0" w:right="0"/>
        </w:sectPr>
      </w:pPr>
    </w:p>
    <w:p>
      <w:pPr>
        <w:pStyle w:val="Heading2"/>
        <w:spacing w:line="240" w:lineRule="auto"/>
        <w:ind w:left="1798" w:right="-7"/>
        <w:jc w:val="left"/>
        <w:rPr>
          <w:b w:val="0"/>
          <w:bCs w:val="0"/>
        </w:rPr>
      </w:pPr>
      <w:r>
        <w:rPr>
          <w:rFonts w:ascii="宋体" w:hAnsi="宋体" w:cs="宋体" w:eastAsia="宋体" w:hint="default"/>
        </w:rPr>
        <w:t>(3).</w:t>
      </w:r>
      <w:r>
        <w:rPr>
          <w:rFonts w:ascii="宋体" w:hAnsi="宋体" w:cs="宋体" w:eastAsia="宋体" w:hint="default"/>
          <w:spacing w:val="24"/>
        </w:rPr>
        <w:t> </w:t>
      </w:r>
      <w:r>
        <w:rPr/>
        <w:t>重要非全资子公司的主要财务信息</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tabs>
          <w:tab w:pos="2743" w:val="left" w:leader="none"/>
        </w:tabs>
        <w:spacing w:before="139"/>
        <w:ind w:left="1798" w:right="0" w:firstLine="0"/>
        <w:jc w:val="left"/>
        <w:rPr>
          <w:rFonts w:ascii="宋体" w:hAnsi="宋体" w:cs="宋体" w:eastAsia="宋体" w:hint="default"/>
          <w:sz w:val="21"/>
          <w:szCs w:val="21"/>
        </w:rPr>
      </w:pPr>
      <w:r>
        <w:rPr/>
        <w:pict>
          <v:shape style="position:absolute;margin-left:4.560pt;margin-top:22.333689pt;width:591.25pt;height:74.75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4"/>
                    <w:gridCol w:w="307"/>
                    <w:gridCol w:w="1126"/>
                    <w:gridCol w:w="1127"/>
                    <w:gridCol w:w="1126"/>
                    <w:gridCol w:w="1126"/>
                    <w:gridCol w:w="996"/>
                    <w:gridCol w:w="1127"/>
                    <w:gridCol w:w="1126"/>
                    <w:gridCol w:w="1061"/>
                    <w:gridCol w:w="1127"/>
                    <w:gridCol w:w="693"/>
                    <w:gridCol w:w="375"/>
                  </w:tblGrid>
                  <w:tr>
                    <w:trPr>
                      <w:trHeight w:val="253" w:hRule="exact"/>
                    </w:trPr>
                    <w:tc>
                      <w:tcPr>
                        <w:tcW w:w="802" w:type="dxa"/>
                        <w:gridSpan w:val="2"/>
                        <w:vMerge w:val="restart"/>
                        <w:tcBorders>
                          <w:top w:val="single" w:sz="4" w:space="0" w:color="000000"/>
                          <w:left w:val="single" w:sz="4" w:space="0" w:color="000000"/>
                          <w:right w:val="single" w:sz="6" w:space="0" w:color="000000"/>
                        </w:tcBorders>
                      </w:tcPr>
                      <w:p>
                        <w:pPr>
                          <w:pStyle w:val="TableParagraph"/>
                          <w:spacing w:line="168" w:lineRule="exact" w:before="74"/>
                          <w:ind w:left="338" w:right="125" w:hanging="195"/>
                          <w:jc w:val="left"/>
                          <w:rPr>
                            <w:rFonts w:ascii="宋体" w:hAnsi="宋体" w:cs="宋体" w:eastAsia="宋体" w:hint="default"/>
                            <w:sz w:val="13"/>
                            <w:szCs w:val="13"/>
                          </w:rPr>
                        </w:pPr>
                        <w:r>
                          <w:rPr>
                            <w:rFonts w:ascii="宋体" w:hAnsi="宋体" w:cs="宋体" w:eastAsia="宋体" w:hint="default"/>
                            <w:sz w:val="13"/>
                            <w:szCs w:val="13"/>
                          </w:rPr>
                          <w:t>子公司名</w:t>
                        </w:r>
                        <w:r>
                          <w:rPr>
                            <w:rFonts w:ascii="宋体" w:hAnsi="宋体" w:cs="宋体" w:eastAsia="宋体" w:hint="default"/>
                            <w:w w:val="99"/>
                            <w:sz w:val="13"/>
                            <w:szCs w:val="13"/>
                          </w:rPr>
                          <w:t> </w:t>
                        </w:r>
                        <w:r>
                          <w:rPr>
                            <w:rFonts w:ascii="宋体" w:hAnsi="宋体" w:cs="宋体" w:eastAsia="宋体" w:hint="default"/>
                            <w:sz w:val="13"/>
                            <w:szCs w:val="13"/>
                          </w:rPr>
                          <w:t>称</w:t>
                        </w:r>
                      </w:p>
                    </w:tc>
                    <w:tc>
                      <w:tcPr>
                        <w:tcW w:w="6627" w:type="dxa"/>
                        <w:gridSpan w:val="6"/>
                        <w:tcBorders>
                          <w:top w:val="single" w:sz="4" w:space="0" w:color="000000"/>
                          <w:left w:val="single" w:sz="6" w:space="0" w:color="000000"/>
                          <w:bottom w:val="single" w:sz="6" w:space="0" w:color="000000"/>
                          <w:right w:val="single" w:sz="6" w:space="0" w:color="000000"/>
                        </w:tcBorders>
                      </w:tcPr>
                      <w:p>
                        <w:pPr>
                          <w:pStyle w:val="TableParagraph"/>
                          <w:spacing w:line="240" w:lineRule="auto" w:before="12"/>
                          <w:ind w:left="14" w:right="0"/>
                          <w:jc w:val="center"/>
                          <w:rPr>
                            <w:rFonts w:ascii="宋体" w:hAnsi="宋体" w:cs="宋体" w:eastAsia="宋体" w:hint="default"/>
                            <w:sz w:val="13"/>
                            <w:szCs w:val="13"/>
                          </w:rPr>
                        </w:pPr>
                        <w:r>
                          <w:rPr>
                            <w:rFonts w:ascii="宋体" w:hAnsi="宋体" w:cs="宋体" w:eastAsia="宋体" w:hint="default"/>
                            <w:sz w:val="13"/>
                            <w:szCs w:val="13"/>
                          </w:rPr>
                          <w:t>期末余额</w:t>
                        </w:r>
                      </w:p>
                    </w:tc>
                    <w:tc>
                      <w:tcPr>
                        <w:tcW w:w="4006" w:type="dxa"/>
                        <w:gridSpan w:val="4"/>
                        <w:tcBorders>
                          <w:top w:val="single" w:sz="4" w:space="0" w:color="000000"/>
                          <w:left w:val="single" w:sz="6" w:space="0" w:color="000000"/>
                          <w:bottom w:val="single" w:sz="6" w:space="0" w:color="000000"/>
                          <w:right w:val="single" w:sz="4" w:space="0" w:color="000000"/>
                        </w:tcBorders>
                      </w:tcPr>
                      <w:p>
                        <w:pPr>
                          <w:pStyle w:val="TableParagraph"/>
                          <w:spacing w:line="240" w:lineRule="auto" w:before="12"/>
                          <w:ind w:left="9" w:right="0"/>
                          <w:jc w:val="center"/>
                          <w:rPr>
                            <w:rFonts w:ascii="宋体" w:hAnsi="宋体" w:cs="宋体" w:eastAsia="宋体" w:hint="default"/>
                            <w:sz w:val="13"/>
                            <w:szCs w:val="13"/>
                          </w:rPr>
                        </w:pPr>
                        <w:r>
                          <w:rPr>
                            <w:rFonts w:ascii="宋体" w:hAnsi="宋体" w:cs="宋体" w:eastAsia="宋体" w:hint="default"/>
                            <w:sz w:val="13"/>
                            <w:szCs w:val="13"/>
                          </w:rPr>
                          <w:t>期初余额</w:t>
                        </w:r>
                      </w:p>
                    </w:tc>
                    <w:tc>
                      <w:tcPr>
                        <w:tcW w:w="375" w:type="dxa"/>
                        <w:tcBorders>
                          <w:top w:val="nil" w:sz="6" w:space="0" w:color="auto"/>
                          <w:left w:val="single" w:sz="4" w:space="0" w:color="000000"/>
                          <w:bottom w:val="single" w:sz="6" w:space="0" w:color="000000"/>
                          <w:right w:val="nil" w:sz="6" w:space="0" w:color="auto"/>
                        </w:tcBorders>
                      </w:tcPr>
                      <w:p>
                        <w:pPr/>
                      </w:p>
                    </w:tc>
                  </w:tr>
                  <w:tr>
                    <w:trPr>
                      <w:trHeight w:val="256" w:hRule="exact"/>
                    </w:trPr>
                    <w:tc>
                      <w:tcPr>
                        <w:tcW w:w="802" w:type="dxa"/>
                        <w:gridSpan w:val="2"/>
                        <w:vMerge/>
                        <w:tcBorders>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3"/>
                            <w:szCs w:val="13"/>
                          </w:rPr>
                        </w:pPr>
                        <w:r>
                          <w:rPr>
                            <w:rFonts w:ascii="宋体" w:hAnsi="宋体" w:cs="宋体" w:eastAsia="宋体" w:hint="default"/>
                            <w:sz w:val="13"/>
                            <w:szCs w:val="13"/>
                          </w:rPr>
                          <w:t>流动资产</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55" w:right="0"/>
                          <w:jc w:val="center"/>
                          <w:rPr>
                            <w:rFonts w:ascii="宋体" w:hAnsi="宋体" w:cs="宋体" w:eastAsia="宋体" w:hint="default"/>
                            <w:sz w:val="13"/>
                            <w:szCs w:val="13"/>
                          </w:rPr>
                        </w:pPr>
                        <w:r>
                          <w:rPr>
                            <w:rFonts w:ascii="宋体" w:hAnsi="宋体" w:cs="宋体" w:eastAsia="宋体" w:hint="default"/>
                            <w:sz w:val="13"/>
                            <w:szCs w:val="13"/>
                          </w:rPr>
                          <w:t>非流动资产</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2"/>
                          <w:jc w:val="center"/>
                          <w:rPr>
                            <w:rFonts w:ascii="宋体" w:hAnsi="宋体" w:cs="宋体" w:eastAsia="宋体" w:hint="default"/>
                            <w:sz w:val="13"/>
                            <w:szCs w:val="13"/>
                          </w:rPr>
                        </w:pPr>
                        <w:r>
                          <w:rPr>
                            <w:rFonts w:ascii="宋体" w:hAnsi="宋体" w:cs="宋体" w:eastAsia="宋体" w:hint="default"/>
                            <w:sz w:val="13"/>
                            <w:szCs w:val="13"/>
                          </w:rPr>
                          <w:t>资产合计</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3"/>
                            <w:szCs w:val="13"/>
                          </w:rPr>
                        </w:pPr>
                        <w:r>
                          <w:rPr>
                            <w:rFonts w:ascii="宋体" w:hAnsi="宋体" w:cs="宋体" w:eastAsia="宋体" w:hint="default"/>
                            <w:sz w:val="13"/>
                            <w:szCs w:val="13"/>
                          </w:rPr>
                          <w:t>流动负债</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36"/>
                          <w:jc w:val="right"/>
                          <w:rPr>
                            <w:rFonts w:ascii="宋体" w:hAnsi="宋体" w:cs="宋体" w:eastAsia="宋体" w:hint="default"/>
                            <w:sz w:val="13"/>
                            <w:szCs w:val="13"/>
                          </w:rPr>
                        </w:pPr>
                        <w:r>
                          <w:rPr>
                            <w:rFonts w:ascii="宋体" w:hAnsi="宋体" w:cs="宋体" w:eastAsia="宋体" w:hint="default"/>
                            <w:w w:val="95"/>
                            <w:sz w:val="13"/>
                            <w:szCs w:val="13"/>
                          </w:rPr>
                          <w:t>非流动负债</w:t>
                        </w:r>
                        <w:r>
                          <w:rPr>
                            <w:rFonts w:ascii="宋体" w:hAnsi="宋体" w:cs="宋体" w:eastAsia="宋体" w:hint="default"/>
                            <w:sz w:val="13"/>
                            <w:szCs w:val="13"/>
                          </w:rPr>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center"/>
                          <w:rPr>
                            <w:rFonts w:ascii="宋体" w:hAnsi="宋体" w:cs="宋体" w:eastAsia="宋体" w:hint="default"/>
                            <w:sz w:val="13"/>
                            <w:szCs w:val="13"/>
                          </w:rPr>
                        </w:pPr>
                        <w:r>
                          <w:rPr>
                            <w:rFonts w:ascii="宋体" w:hAnsi="宋体" w:cs="宋体" w:eastAsia="宋体" w:hint="default"/>
                            <w:sz w:val="13"/>
                            <w:szCs w:val="13"/>
                          </w:rPr>
                          <w:t>负债合计</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3"/>
                          <w:jc w:val="center"/>
                          <w:rPr>
                            <w:rFonts w:ascii="宋体" w:hAnsi="宋体" w:cs="宋体" w:eastAsia="宋体" w:hint="default"/>
                            <w:sz w:val="13"/>
                            <w:szCs w:val="13"/>
                          </w:rPr>
                        </w:pPr>
                        <w:r>
                          <w:rPr>
                            <w:rFonts w:ascii="宋体" w:hAnsi="宋体" w:cs="宋体" w:eastAsia="宋体" w:hint="default"/>
                            <w:sz w:val="13"/>
                            <w:szCs w:val="13"/>
                          </w:rPr>
                          <w:t>流动资产</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56" w:right="0"/>
                          <w:jc w:val="center"/>
                          <w:rPr>
                            <w:rFonts w:ascii="宋体" w:hAnsi="宋体" w:cs="宋体" w:eastAsia="宋体" w:hint="default"/>
                            <w:sz w:val="13"/>
                            <w:szCs w:val="13"/>
                          </w:rPr>
                        </w:pPr>
                        <w:r>
                          <w:rPr>
                            <w:rFonts w:ascii="宋体" w:hAnsi="宋体" w:cs="宋体" w:eastAsia="宋体" w:hint="default"/>
                            <w:sz w:val="13"/>
                            <w:szCs w:val="13"/>
                          </w:rPr>
                          <w:t>非流动资产</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center"/>
                          <w:rPr>
                            <w:rFonts w:ascii="宋体" w:hAnsi="宋体" w:cs="宋体" w:eastAsia="宋体" w:hint="default"/>
                            <w:sz w:val="13"/>
                            <w:szCs w:val="13"/>
                          </w:rPr>
                        </w:pPr>
                        <w:r>
                          <w:rPr>
                            <w:rFonts w:ascii="宋体" w:hAnsi="宋体" w:cs="宋体" w:eastAsia="宋体" w:hint="default"/>
                            <w:sz w:val="13"/>
                            <w:szCs w:val="13"/>
                          </w:rPr>
                          <w:t>资产合计</w:t>
                        </w:r>
                      </w:p>
                    </w:tc>
                    <w:tc>
                      <w:tcPr>
                        <w:tcW w:w="1068"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left="294" w:right="0"/>
                          <w:jc w:val="left"/>
                          <w:rPr>
                            <w:rFonts w:ascii="宋体" w:hAnsi="宋体" w:cs="宋体" w:eastAsia="宋体" w:hint="default"/>
                            <w:sz w:val="13"/>
                            <w:szCs w:val="13"/>
                          </w:rPr>
                        </w:pPr>
                        <w:r>
                          <w:rPr>
                            <w:rFonts w:ascii="宋体" w:hAnsi="宋体" w:cs="宋体" w:eastAsia="宋体" w:hint="default"/>
                            <w:sz w:val="13"/>
                            <w:szCs w:val="13"/>
                          </w:rPr>
                          <w:t>流动负债</w:t>
                        </w:r>
                      </w:p>
                    </w:tc>
                  </w:tr>
                  <w:tr>
                    <w:trPr>
                      <w:trHeight w:val="690" w:hRule="exact"/>
                    </w:trPr>
                    <w:tc>
                      <w:tcPr>
                        <w:tcW w:w="802" w:type="dxa"/>
                        <w:gridSpan w:val="2"/>
                        <w:tcBorders>
                          <w:top w:val="single" w:sz="6" w:space="0" w:color="000000"/>
                          <w:left w:val="single" w:sz="4" w:space="0" w:color="000000"/>
                          <w:bottom w:val="single" w:sz="6" w:space="0" w:color="000000"/>
                          <w:right w:val="single" w:sz="6"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sz w:val="13"/>
                          </w:rPr>
                          <w:t>Automated</w:t>
                        </w:r>
                      </w:p>
                      <w:p>
                        <w:pPr>
                          <w:pStyle w:val="TableParagraph"/>
                          <w:spacing w:line="240" w:lineRule="auto"/>
                          <w:ind w:left="103" w:right="166"/>
                          <w:jc w:val="left"/>
                          <w:rPr>
                            <w:rFonts w:ascii="宋体" w:hAnsi="宋体" w:cs="宋体" w:eastAsia="宋体" w:hint="default"/>
                            <w:sz w:val="13"/>
                            <w:szCs w:val="13"/>
                          </w:rPr>
                        </w:pPr>
                        <w:r>
                          <w:rPr>
                            <w:rFonts w:ascii="宋体"/>
                            <w:sz w:val="13"/>
                          </w:rPr>
                          <w:t>Systems</w:t>
                        </w:r>
                        <w:r>
                          <w:rPr>
                            <w:rFonts w:ascii="宋体"/>
                            <w:w w:val="99"/>
                            <w:sz w:val="13"/>
                          </w:rPr>
                          <w:t> </w:t>
                        </w:r>
                        <w:r>
                          <w:rPr>
                            <w:rFonts w:ascii="宋体"/>
                            <w:sz w:val="13"/>
                          </w:rPr>
                          <w:t>Holdings</w:t>
                        </w:r>
                        <w:r>
                          <w:rPr>
                            <w:rFonts w:ascii="宋体"/>
                            <w:w w:val="99"/>
                            <w:sz w:val="13"/>
                          </w:rPr>
                          <w:t> </w:t>
                        </w:r>
                        <w:r>
                          <w:rPr>
                            <w:rFonts w:ascii="宋体"/>
                            <w:sz w:val="13"/>
                          </w:rPr>
                          <w:t>Limited</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
                          <w:jc w:val="center"/>
                          <w:rPr>
                            <w:rFonts w:ascii="宋体" w:hAnsi="宋体" w:cs="宋体" w:eastAsia="宋体" w:hint="default"/>
                            <w:sz w:val="13"/>
                            <w:szCs w:val="13"/>
                          </w:rPr>
                        </w:pPr>
                        <w:r>
                          <w:rPr>
                            <w:rFonts w:ascii="宋体"/>
                            <w:sz w:val="13"/>
                          </w:rPr>
                          <w:t>590,176,395.28</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0"/>
                          <w:jc w:val="center"/>
                          <w:rPr>
                            <w:rFonts w:ascii="宋体" w:hAnsi="宋体" w:cs="宋体" w:eastAsia="宋体" w:hint="default"/>
                            <w:sz w:val="13"/>
                            <w:szCs w:val="13"/>
                          </w:rPr>
                        </w:pPr>
                        <w:r>
                          <w:rPr>
                            <w:rFonts w:ascii="宋体"/>
                            <w:sz w:val="13"/>
                          </w:rPr>
                          <w:t>142,645,315.95</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
                          <w:jc w:val="center"/>
                          <w:rPr>
                            <w:rFonts w:ascii="宋体" w:hAnsi="宋体" w:cs="宋体" w:eastAsia="宋体" w:hint="default"/>
                            <w:sz w:val="13"/>
                            <w:szCs w:val="13"/>
                          </w:rPr>
                        </w:pPr>
                        <w:r>
                          <w:rPr>
                            <w:rFonts w:ascii="宋体"/>
                            <w:sz w:val="13"/>
                          </w:rPr>
                          <w:t>732,821,711.23</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
                          <w:jc w:val="center"/>
                          <w:rPr>
                            <w:rFonts w:ascii="宋体" w:hAnsi="宋体" w:cs="宋体" w:eastAsia="宋体" w:hint="default"/>
                            <w:sz w:val="13"/>
                            <w:szCs w:val="13"/>
                          </w:rPr>
                        </w:pPr>
                        <w:r>
                          <w:rPr>
                            <w:rFonts w:ascii="宋体"/>
                            <w:sz w:val="13"/>
                          </w:rPr>
                          <w:t>350,587,671.84</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9,359,947.50</w:t>
                        </w:r>
                        <w:r>
                          <w:rPr>
                            <w:rFonts w:ascii="宋体"/>
                            <w:sz w:val="13"/>
                          </w:rPr>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0"/>
                          <w:jc w:val="center"/>
                          <w:rPr>
                            <w:rFonts w:ascii="宋体" w:hAnsi="宋体" w:cs="宋体" w:eastAsia="宋体" w:hint="default"/>
                            <w:sz w:val="13"/>
                            <w:szCs w:val="13"/>
                          </w:rPr>
                        </w:pPr>
                        <w:r>
                          <w:rPr>
                            <w:rFonts w:ascii="宋体"/>
                            <w:sz w:val="13"/>
                          </w:rPr>
                          <w:t>359,947,619.34</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
                          <w:jc w:val="center"/>
                          <w:rPr>
                            <w:rFonts w:ascii="宋体" w:hAnsi="宋体" w:cs="宋体" w:eastAsia="宋体" w:hint="default"/>
                            <w:sz w:val="13"/>
                            <w:szCs w:val="13"/>
                          </w:rPr>
                        </w:pPr>
                        <w:r>
                          <w:rPr>
                            <w:rFonts w:ascii="宋体"/>
                            <w:sz w:val="13"/>
                          </w:rPr>
                          <w:t>640,902,382.91</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
                          <w:jc w:val="center"/>
                          <w:rPr>
                            <w:rFonts w:ascii="宋体" w:hAnsi="宋体" w:cs="宋体" w:eastAsia="宋体" w:hint="default"/>
                            <w:sz w:val="13"/>
                            <w:szCs w:val="13"/>
                          </w:rPr>
                        </w:pPr>
                        <w:r>
                          <w:rPr>
                            <w:rFonts w:ascii="宋体"/>
                            <w:sz w:val="13"/>
                          </w:rPr>
                          <w:t>94,797,047.43</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0"/>
                          <w:jc w:val="center"/>
                          <w:rPr>
                            <w:rFonts w:ascii="宋体" w:hAnsi="宋体" w:cs="宋体" w:eastAsia="宋体" w:hint="default"/>
                            <w:sz w:val="13"/>
                            <w:szCs w:val="13"/>
                          </w:rPr>
                        </w:pPr>
                        <w:r>
                          <w:rPr>
                            <w:rFonts w:ascii="宋体"/>
                            <w:sz w:val="13"/>
                          </w:rPr>
                          <w:t>735,699,430.34</w:t>
                        </w:r>
                      </w:p>
                    </w:tc>
                    <w:tc>
                      <w:tcPr>
                        <w:tcW w:w="1068" w:type="dxa"/>
                        <w:gridSpan w:val="2"/>
                        <w:tcBorders>
                          <w:top w:val="single" w:sz="6" w:space="0" w:color="000000"/>
                          <w:left w:val="single" w:sz="6" w:space="0" w:color="000000"/>
                          <w:bottom w:val="single" w:sz="6" w:space="0" w:color="000000"/>
                          <w:right w:val="nil" w:sz="6" w:space="0" w:color="auto"/>
                        </w:tcBorders>
                      </w:tcPr>
                      <w:p>
                        <w:pPr>
                          <w:pStyle w:val="TableParagraph"/>
                          <w:spacing w:line="148" w:lineRule="exact"/>
                          <w:ind w:left="99" w:right="0"/>
                          <w:jc w:val="left"/>
                          <w:rPr>
                            <w:rFonts w:ascii="宋体" w:hAnsi="宋体" w:cs="宋体" w:eastAsia="宋体" w:hint="default"/>
                            <w:sz w:val="13"/>
                            <w:szCs w:val="13"/>
                          </w:rPr>
                        </w:pPr>
                        <w:r>
                          <w:rPr>
                            <w:rFonts w:ascii="宋体"/>
                            <w:sz w:val="13"/>
                          </w:rPr>
                          <w:t>369,972,172.23</w:t>
                        </w:r>
                      </w:p>
                    </w:tc>
                  </w:tr>
                  <w:tr>
                    <w:trPr>
                      <w:trHeight w:val="286" w:hRule="exact"/>
                    </w:trPr>
                    <w:tc>
                      <w:tcPr>
                        <w:tcW w:w="494" w:type="dxa"/>
                        <w:tcBorders>
                          <w:top w:val="single" w:sz="4" w:space="0" w:color="000000"/>
                          <w:left w:val="nil" w:sz="6" w:space="0" w:color="auto"/>
                          <w:bottom w:val="nil" w:sz="6" w:space="0" w:color="auto"/>
                          <w:right w:val="single" w:sz="4" w:space="0" w:color="000000"/>
                        </w:tcBorders>
                      </w:tcPr>
                      <w:p>
                        <w:pPr/>
                      </w:p>
                    </w:tc>
                    <w:tc>
                      <w:tcPr>
                        <w:tcW w:w="307" w:type="dxa"/>
                        <w:tcBorders>
                          <w:top w:val="single" w:sz="6" w:space="0" w:color="000000"/>
                          <w:left w:val="single" w:sz="4" w:space="0" w:color="000000"/>
                          <w:bottom w:val="single" w:sz="4" w:space="0" w:color="000000"/>
                          <w:right w:val="single" w:sz="6" w:space="0" w:color="000000"/>
                        </w:tcBorders>
                      </w:tcPr>
                      <w:p>
                        <w:pPr/>
                      </w:p>
                    </w:tc>
                    <w:tc>
                      <w:tcPr>
                        <w:tcW w:w="1126" w:type="dxa"/>
                        <w:tcBorders>
                          <w:top w:val="single" w:sz="6" w:space="0" w:color="000000"/>
                          <w:left w:val="single" w:sz="6" w:space="0" w:color="000000"/>
                          <w:bottom w:val="single" w:sz="4" w:space="0" w:color="000000"/>
                          <w:right w:val="single" w:sz="6" w:space="0" w:color="000000"/>
                        </w:tcBorders>
                      </w:tcPr>
                      <w:p>
                        <w:pPr/>
                      </w:p>
                    </w:tc>
                    <w:tc>
                      <w:tcPr>
                        <w:tcW w:w="1127" w:type="dxa"/>
                        <w:tcBorders>
                          <w:top w:val="single" w:sz="6" w:space="0" w:color="000000"/>
                          <w:left w:val="single" w:sz="6" w:space="0" w:color="000000"/>
                          <w:bottom w:val="single" w:sz="4" w:space="0" w:color="000000"/>
                          <w:right w:val="single" w:sz="6" w:space="0" w:color="000000"/>
                        </w:tcBorders>
                      </w:tcPr>
                      <w:p>
                        <w:pPr/>
                      </w:p>
                    </w:tc>
                    <w:tc>
                      <w:tcPr>
                        <w:tcW w:w="1126" w:type="dxa"/>
                        <w:tcBorders>
                          <w:top w:val="single" w:sz="6" w:space="0" w:color="000000"/>
                          <w:left w:val="single" w:sz="6" w:space="0" w:color="000000"/>
                          <w:bottom w:val="single" w:sz="4" w:space="0" w:color="000000"/>
                          <w:right w:val="single" w:sz="6" w:space="0" w:color="000000"/>
                        </w:tcBorders>
                      </w:tcPr>
                      <w:p>
                        <w:pPr/>
                      </w:p>
                    </w:tc>
                    <w:tc>
                      <w:tcPr>
                        <w:tcW w:w="1126" w:type="dxa"/>
                        <w:tcBorders>
                          <w:top w:val="single" w:sz="6" w:space="0" w:color="000000"/>
                          <w:left w:val="single" w:sz="6" w:space="0" w:color="000000"/>
                          <w:bottom w:val="single" w:sz="4" w:space="0" w:color="000000"/>
                          <w:right w:val="single" w:sz="6" w:space="0" w:color="000000"/>
                        </w:tcBorders>
                      </w:tcPr>
                      <w:p>
                        <w:pPr/>
                      </w:p>
                    </w:tc>
                    <w:tc>
                      <w:tcPr>
                        <w:tcW w:w="996" w:type="dxa"/>
                        <w:tcBorders>
                          <w:top w:val="single" w:sz="6" w:space="0" w:color="000000"/>
                          <w:left w:val="single" w:sz="6" w:space="0" w:color="000000"/>
                          <w:bottom w:val="single" w:sz="4" w:space="0" w:color="000000"/>
                          <w:right w:val="single" w:sz="6" w:space="0" w:color="000000"/>
                        </w:tcBorders>
                      </w:tcPr>
                      <w:p>
                        <w:pPr/>
                      </w:p>
                    </w:tc>
                    <w:tc>
                      <w:tcPr>
                        <w:tcW w:w="1127" w:type="dxa"/>
                        <w:tcBorders>
                          <w:top w:val="single" w:sz="6" w:space="0" w:color="000000"/>
                          <w:left w:val="single" w:sz="6" w:space="0" w:color="000000"/>
                          <w:bottom w:val="single" w:sz="4" w:space="0" w:color="000000"/>
                          <w:right w:val="single" w:sz="6" w:space="0" w:color="000000"/>
                        </w:tcBorders>
                      </w:tcPr>
                      <w:p>
                        <w:pPr/>
                      </w:p>
                    </w:tc>
                    <w:tc>
                      <w:tcPr>
                        <w:tcW w:w="1126" w:type="dxa"/>
                        <w:tcBorders>
                          <w:top w:val="single" w:sz="6" w:space="0" w:color="000000"/>
                          <w:left w:val="single" w:sz="6" w:space="0" w:color="000000"/>
                          <w:bottom w:val="single" w:sz="4" w:space="0" w:color="000000"/>
                          <w:right w:val="single" w:sz="6" w:space="0" w:color="000000"/>
                        </w:tcBorders>
                      </w:tcPr>
                      <w:p>
                        <w:pPr/>
                      </w:p>
                    </w:tc>
                    <w:tc>
                      <w:tcPr>
                        <w:tcW w:w="1061" w:type="dxa"/>
                        <w:tcBorders>
                          <w:top w:val="single" w:sz="6" w:space="0" w:color="000000"/>
                          <w:left w:val="single" w:sz="6" w:space="0" w:color="000000"/>
                          <w:bottom w:val="single" w:sz="4" w:space="0" w:color="000000"/>
                          <w:right w:val="single" w:sz="6" w:space="0" w:color="000000"/>
                        </w:tcBorders>
                      </w:tcPr>
                      <w:p>
                        <w:pPr/>
                      </w:p>
                    </w:tc>
                    <w:tc>
                      <w:tcPr>
                        <w:tcW w:w="1127" w:type="dxa"/>
                        <w:tcBorders>
                          <w:top w:val="single" w:sz="6" w:space="0" w:color="000000"/>
                          <w:left w:val="single" w:sz="6" w:space="0" w:color="000000"/>
                          <w:bottom w:val="single" w:sz="4" w:space="0" w:color="000000"/>
                          <w:right w:val="single" w:sz="6" w:space="0" w:color="000000"/>
                        </w:tcBorders>
                      </w:tcPr>
                      <w:p>
                        <w:pPr/>
                      </w:p>
                    </w:tc>
                    <w:tc>
                      <w:tcPr>
                        <w:tcW w:w="1068" w:type="dxa"/>
                        <w:gridSpan w:val="2"/>
                        <w:tcBorders>
                          <w:top w:val="single" w:sz="6" w:space="0" w:color="000000"/>
                          <w:left w:val="single" w:sz="6" w:space="0" w:color="000000"/>
                          <w:bottom w:val="single" w:sz="4" w:space="0" w:color="000000"/>
                          <w:right w:val="nil" w:sz="6" w:space="0" w:color="auto"/>
                        </w:tcBorders>
                      </w:tcPr>
                      <w:p>
                        <w:pPr/>
                      </w:p>
                    </w:tc>
                  </w:tr>
                </w:tbl>
                <w:p>
                  <w:pPr/>
                </w:p>
              </w:txbxContent>
            </v:textbox>
            <w10:wrap type="none"/>
          </v:shape>
        </w:pict>
      </w: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w:t>
        <w:tab/>
        <w:t>币种</w:t>
      </w:r>
      <w:r>
        <w:rPr>
          <w:rFonts w:ascii="宋体" w:hAnsi="宋体" w:cs="宋体" w:eastAsia="宋体" w:hint="default"/>
          <w:sz w:val="21"/>
          <w:szCs w:val="21"/>
        </w:rPr>
        <w:t>:</w:t>
      </w:r>
      <w:r>
        <w:rPr>
          <w:rFonts w:ascii="宋体" w:hAnsi="宋体" w:cs="宋体" w:eastAsia="宋体" w:hint="default"/>
          <w:sz w:val="21"/>
          <w:szCs w:val="21"/>
        </w:rPr>
        <w:t>人民币</w:t>
      </w:r>
    </w:p>
    <w:p>
      <w:pPr>
        <w:spacing w:after="0"/>
        <w:jc w:val="left"/>
        <w:rPr>
          <w:rFonts w:ascii="宋体" w:hAnsi="宋体" w:cs="宋体" w:eastAsia="宋体" w:hint="default"/>
          <w:sz w:val="21"/>
          <w:szCs w:val="21"/>
        </w:rPr>
        <w:sectPr>
          <w:type w:val="continuous"/>
          <w:pgSz w:w="11910" w:h="16840"/>
          <w:pgMar w:top="1080" w:bottom="1380" w:left="0" w:right="0"/>
          <w:cols w:num="2" w:equalWidth="0">
            <w:col w:w="6054" w:space="681"/>
            <w:col w:w="5175"/>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spacing w:line="240" w:lineRule="auto" w:before="26"/>
        <w:ind w:left="1798" w:right="0"/>
        <w:jc w:val="left"/>
      </w:pPr>
      <w:r>
        <w:rPr/>
        <w:t>（</w:t>
      </w:r>
      <w:r>
        <w:rPr>
          <w:rFonts w:ascii="宋体" w:hAnsi="宋体" w:cs="宋体" w:eastAsia="宋体" w:hint="default"/>
        </w:rPr>
        <w:t>4</w:t>
      </w:r>
      <w:r>
        <w:rPr/>
        <w:t>）在子公司的所有者权益份额发生变化且仍控制子公司的交易</w:t>
      </w:r>
    </w:p>
    <w:p>
      <w:pPr>
        <w:spacing w:after="0" w:line="240" w:lineRule="auto"/>
        <w:jc w:val="left"/>
        <w:sectPr>
          <w:type w:val="continuous"/>
          <w:pgSz w:w="11910" w:h="16840"/>
          <w:pgMar w:top="1080" w:bottom="1380" w:left="0" w:right="0"/>
        </w:sectPr>
      </w:pPr>
    </w:p>
    <w:p>
      <w:pPr>
        <w:spacing w:line="240" w:lineRule="auto" w:before="9"/>
        <w:rPr>
          <w:rFonts w:ascii="宋体" w:hAnsi="宋体" w:cs="宋体" w:eastAsia="宋体" w:hint="default"/>
          <w:sz w:val="25"/>
          <w:szCs w:val="25"/>
        </w:rPr>
      </w:pPr>
    </w:p>
    <w:p>
      <w:pPr>
        <w:pStyle w:val="BodyText"/>
        <w:spacing w:line="240" w:lineRule="auto" w:before="26"/>
        <w:ind w:left="258" w:right="476"/>
        <w:jc w:val="left"/>
      </w:pPr>
      <w:r>
        <w:rPr/>
        <w:t>①在子公司所有者权益份额发生变化的情况说明：</w:t>
      </w:r>
    </w:p>
    <w:p>
      <w:pPr>
        <w:pStyle w:val="BodyText"/>
        <w:spacing w:line="237" w:lineRule="auto" w:before="215"/>
        <w:ind w:left="258" w:right="492" w:firstLine="424"/>
        <w:jc w:val="both"/>
      </w:pPr>
      <w:r>
        <w:rPr>
          <w:rFonts w:ascii="宋体" w:hAnsi="宋体" w:cs="宋体" w:eastAsia="宋体" w:hint="default"/>
          <w:spacing w:val="-10"/>
        </w:rPr>
        <w:t>A</w:t>
      </w:r>
      <w:r>
        <w:rPr>
          <w:spacing w:val="-10"/>
        </w:rPr>
        <w:t>、本公司间接控制子公司</w:t>
      </w:r>
      <w:r>
        <w:rPr>
          <w:spacing w:val="-57"/>
        </w:rPr>
        <w:t> </w:t>
      </w:r>
      <w:r>
        <w:rPr>
          <w:rFonts w:ascii="宋体" w:hAnsi="宋体" w:cs="宋体" w:eastAsia="宋体" w:hint="default"/>
        </w:rPr>
        <w:t>ASL</w:t>
      </w:r>
      <w:r>
        <w:rPr>
          <w:rFonts w:ascii="宋体" w:hAnsi="宋体" w:cs="宋体" w:eastAsia="宋体" w:hint="default"/>
          <w:spacing w:val="-57"/>
        </w:rPr>
        <w:t> </w:t>
      </w:r>
      <w:r>
        <w:rPr/>
        <w:t>公司激励对象已满足行权条件本期行权相应增加股 本变动</w:t>
      </w:r>
      <w:r>
        <w:rPr>
          <w:spacing w:val="-68"/>
        </w:rPr>
        <w:t> </w:t>
      </w:r>
      <w:r>
        <w:rPr>
          <w:rFonts w:ascii="宋体" w:hAnsi="宋体" w:cs="宋体" w:eastAsia="宋体" w:hint="default"/>
        </w:rPr>
        <w:t>4.6</w:t>
      </w:r>
      <w:r>
        <w:rPr>
          <w:rFonts w:ascii="宋体" w:hAnsi="宋体" w:cs="宋体" w:eastAsia="宋体" w:hint="default"/>
          <w:spacing w:val="-68"/>
        </w:rPr>
        <w:t> </w:t>
      </w:r>
      <w:r>
        <w:rPr/>
        <w:t>万港币，本公司持股比例由</w:t>
      </w:r>
      <w:r>
        <w:rPr>
          <w:spacing w:val="-68"/>
        </w:rPr>
        <w:t> </w:t>
      </w:r>
      <w:r>
        <w:rPr>
          <w:rFonts w:ascii="宋体" w:hAnsi="宋体" w:cs="宋体" w:eastAsia="宋体" w:hint="default"/>
        </w:rPr>
        <w:t>67.05%</w:t>
      </w:r>
      <w:r>
        <w:rPr/>
        <w:t>变更为</w:t>
      </w:r>
      <w:r>
        <w:rPr>
          <w:spacing w:val="-68"/>
        </w:rPr>
        <w:t> </w:t>
      </w:r>
      <w:r>
        <w:rPr>
          <w:rFonts w:ascii="宋体" w:hAnsi="宋体" w:cs="宋体" w:eastAsia="宋体" w:hint="default"/>
        </w:rPr>
        <w:t>66.95%</w:t>
      </w:r>
      <w:r>
        <w:rPr/>
        <w:t>，股权交割已于</w:t>
      </w:r>
      <w:r>
        <w:rPr>
          <w:spacing w:val="-68"/>
        </w:rPr>
        <w:t> </w:t>
      </w:r>
      <w:r>
        <w:rPr>
          <w:rFonts w:ascii="宋体" w:hAnsi="宋体" w:cs="宋体" w:eastAsia="宋体" w:hint="default"/>
        </w:rPr>
        <w:t>2014</w:t>
      </w:r>
      <w:r>
        <w:rPr>
          <w:rFonts w:ascii="宋体" w:hAnsi="宋体" w:cs="宋体" w:eastAsia="宋体" w:hint="default"/>
          <w:spacing w:val="-68"/>
        </w:rPr>
        <w:t> </w:t>
      </w:r>
      <w:r>
        <w:rPr/>
        <w:t>年 </w:t>
      </w:r>
      <w:r>
        <w:rPr>
          <w:rFonts w:ascii="宋体" w:hAnsi="宋体" w:cs="宋体" w:eastAsia="宋体" w:hint="default"/>
        </w:rPr>
        <w:t>12</w:t>
      </w:r>
      <w:r>
        <w:rPr>
          <w:rFonts w:ascii="宋体" w:hAnsi="宋体" w:cs="宋体" w:eastAsia="宋体" w:hint="default"/>
          <w:spacing w:val="-72"/>
        </w:rPr>
        <w:t> </w:t>
      </w:r>
      <w:r>
        <w:rPr/>
        <w:t>月</w:t>
      </w:r>
      <w:r>
        <w:rPr>
          <w:spacing w:val="-72"/>
        </w:rPr>
        <w:t> </w:t>
      </w:r>
      <w:r>
        <w:rPr>
          <w:rFonts w:ascii="宋体" w:hAnsi="宋体" w:cs="宋体" w:eastAsia="宋体" w:hint="default"/>
        </w:rPr>
        <w:t>31</w:t>
      </w:r>
      <w:r>
        <w:rPr>
          <w:rFonts w:ascii="宋体" w:hAnsi="宋体" w:cs="宋体" w:eastAsia="宋体" w:hint="default"/>
          <w:spacing w:val="-72"/>
        </w:rPr>
        <w:t> </w:t>
      </w:r>
      <w:r>
        <w:rPr/>
        <w:t>日办理完毕，此项交易导致少数股东权益增加</w:t>
      </w:r>
      <w:r>
        <w:rPr>
          <w:spacing w:val="-72"/>
        </w:rPr>
        <w:t> </w:t>
      </w:r>
      <w:r>
        <w:rPr>
          <w:rFonts w:ascii="宋体" w:hAnsi="宋体" w:cs="宋体" w:eastAsia="宋体" w:hint="default"/>
        </w:rPr>
        <w:t>374,476.76</w:t>
      </w:r>
      <w:r>
        <w:rPr/>
        <w:t>，相应减少股本溢</w:t>
      </w:r>
    </w:p>
    <w:p>
      <w:pPr>
        <w:pStyle w:val="BodyText"/>
        <w:spacing w:line="311" w:lineRule="exact"/>
        <w:ind w:left="258" w:right="476"/>
        <w:jc w:val="left"/>
      </w:pPr>
      <w:r>
        <w:rPr/>
        <w:t>价</w:t>
      </w:r>
      <w:r>
        <w:rPr>
          <w:spacing w:val="-60"/>
        </w:rPr>
        <w:t> </w:t>
      </w:r>
      <w:r>
        <w:rPr>
          <w:rFonts w:ascii="宋体" w:hAnsi="宋体" w:cs="宋体" w:eastAsia="宋体" w:hint="default"/>
        </w:rPr>
        <w:t>374,476.76</w:t>
      </w:r>
      <w:r>
        <w:rPr>
          <w:rFonts w:ascii="宋体" w:hAnsi="宋体" w:cs="宋体" w:eastAsia="宋体" w:hint="default"/>
          <w:spacing w:val="-60"/>
        </w:rPr>
        <w:t> </w:t>
      </w:r>
      <w:r>
        <w:rPr/>
        <w:t>元。</w:t>
      </w:r>
    </w:p>
    <w:p>
      <w:pPr>
        <w:spacing w:line="240" w:lineRule="auto" w:before="7"/>
        <w:rPr>
          <w:rFonts w:ascii="宋体" w:hAnsi="宋体" w:cs="宋体" w:eastAsia="宋体" w:hint="default"/>
          <w:sz w:val="16"/>
          <w:szCs w:val="16"/>
        </w:rPr>
      </w:pPr>
    </w:p>
    <w:p>
      <w:pPr>
        <w:pStyle w:val="BodyText"/>
        <w:spacing w:line="237" w:lineRule="auto"/>
        <w:ind w:left="258" w:right="476" w:firstLine="424"/>
        <w:jc w:val="left"/>
      </w:pPr>
      <w:r>
        <w:rPr>
          <w:rFonts w:ascii="宋体" w:hAnsi="宋体" w:cs="宋体" w:eastAsia="宋体" w:hint="default"/>
          <w:spacing w:val="-4"/>
        </w:rPr>
        <w:t>B</w:t>
      </w:r>
      <w:r>
        <w:rPr>
          <w:spacing w:val="-4"/>
        </w:rPr>
        <w:t>、本公司间接控制子公司北京华胜天成创业投资管理有限公司原持股北京中域绿</w:t>
      </w:r>
      <w:r>
        <w:rPr/>
        <w:t> </w:t>
      </w:r>
      <w:r>
        <w:rPr>
          <w:spacing w:val="-3"/>
        </w:rPr>
        <w:t>色智能城市系统研究院（有限合伙）股权</w:t>
      </w:r>
      <w:r>
        <w:rPr>
          <w:spacing w:val="-50"/>
        </w:rPr>
        <w:t> </w:t>
      </w:r>
      <w:r>
        <w:rPr>
          <w:rFonts w:ascii="宋体" w:hAnsi="宋体" w:cs="宋体" w:eastAsia="宋体" w:hint="default"/>
          <w:spacing w:val="-3"/>
        </w:rPr>
        <w:t>99.90%</w:t>
      </w:r>
      <w:r>
        <w:rPr>
          <w:spacing w:val="-3"/>
        </w:rPr>
        <w:t>，根据协议，北京华胜天成创业投资</w:t>
      </w:r>
      <w:r>
        <w:rPr/>
        <w:t> 管理有限公司将</w:t>
      </w:r>
      <w:r>
        <w:rPr>
          <w:spacing w:val="-60"/>
        </w:rPr>
        <w:t> </w:t>
      </w:r>
      <w:r>
        <w:rPr>
          <w:rFonts w:ascii="宋体" w:hAnsi="宋体" w:cs="宋体" w:eastAsia="宋体" w:hint="default"/>
        </w:rPr>
        <w:t>20.35%</w:t>
      </w:r>
      <w:r>
        <w:rPr/>
        <w:t>转让给新股东北京川雨山亭商贸服务有限公司，转让价款 </w:t>
      </w:r>
      <w:r>
        <w:rPr>
          <w:rFonts w:ascii="宋体" w:hAnsi="宋体" w:cs="宋体" w:eastAsia="宋体" w:hint="default"/>
        </w:rPr>
        <w:t>2,985,330.00</w:t>
      </w:r>
      <w:r>
        <w:rPr>
          <w:rFonts w:ascii="宋体" w:hAnsi="宋体" w:cs="宋体" w:eastAsia="宋体" w:hint="default"/>
          <w:spacing w:val="-44"/>
        </w:rPr>
        <w:t> </w:t>
      </w:r>
      <w:r>
        <w:rPr>
          <w:spacing w:val="-4"/>
        </w:rPr>
        <w:t>元，同时与北京川雨山亭商贸服务有限公司签订增资协议，北京川雨山</w:t>
      </w:r>
    </w:p>
    <w:p>
      <w:pPr>
        <w:pStyle w:val="BodyText"/>
        <w:spacing w:line="310" w:lineRule="exact"/>
        <w:ind w:left="258" w:right="476"/>
        <w:jc w:val="left"/>
      </w:pPr>
      <w:r>
        <w:rPr/>
        <w:t>亭商贸服务有限公司新增投资</w:t>
      </w:r>
      <w:r>
        <w:rPr>
          <w:spacing w:val="-60"/>
        </w:rPr>
        <w:t> </w:t>
      </w:r>
      <w:r>
        <w:rPr>
          <w:rFonts w:ascii="宋体" w:hAnsi="宋体" w:cs="宋体" w:eastAsia="宋体" w:hint="default"/>
        </w:rPr>
        <w:t>2,000,000.00</w:t>
      </w:r>
      <w:r>
        <w:rPr>
          <w:rFonts w:ascii="宋体" w:hAnsi="宋体" w:cs="宋体" w:eastAsia="宋体" w:hint="default"/>
          <w:spacing w:val="-60"/>
        </w:rPr>
        <w:t> </w:t>
      </w:r>
      <w:r>
        <w:rPr/>
        <w:t>元，并于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t>日出资完毕。</w:t>
      </w:r>
    </w:p>
    <w:p>
      <w:pPr>
        <w:pStyle w:val="BodyText"/>
        <w:spacing w:line="310" w:lineRule="exact" w:before="31"/>
        <w:ind w:left="258" w:right="482"/>
        <w:jc w:val="left"/>
      </w:pPr>
      <w:r>
        <w:rPr/>
        <w:t>相关股权变更手续已于</w:t>
      </w:r>
      <w:r>
        <w:rPr>
          <w:spacing w:val="-59"/>
        </w:rPr>
        <w:t> </w:t>
      </w:r>
      <w:r>
        <w:rPr>
          <w:rFonts w:ascii="宋体" w:hAnsi="宋体" w:cs="宋体" w:eastAsia="宋体" w:hint="default"/>
        </w:rPr>
        <w:t>2014</w:t>
      </w:r>
      <w:r>
        <w:rPr>
          <w:rFonts w:ascii="宋体" w:hAnsi="宋体" w:cs="宋体" w:eastAsia="宋体" w:hint="default"/>
          <w:spacing w:val="-59"/>
        </w:rPr>
        <w:t> </w:t>
      </w:r>
      <w:r>
        <w:rPr/>
        <w:t>年</w:t>
      </w:r>
      <w:r>
        <w:rPr>
          <w:spacing w:val="-59"/>
        </w:rPr>
        <w:t> </w:t>
      </w:r>
      <w:r>
        <w:rPr>
          <w:rFonts w:ascii="宋体" w:hAnsi="宋体" w:cs="宋体" w:eastAsia="宋体" w:hint="default"/>
        </w:rPr>
        <w:t>5</w:t>
      </w:r>
      <w:r>
        <w:rPr>
          <w:rFonts w:ascii="宋体" w:hAnsi="宋体" w:cs="宋体" w:eastAsia="宋体" w:hint="default"/>
          <w:spacing w:val="-59"/>
        </w:rPr>
        <w:t> </w:t>
      </w:r>
      <w:r>
        <w:rPr/>
        <w:t>月</w:t>
      </w:r>
      <w:r>
        <w:rPr>
          <w:spacing w:val="-59"/>
        </w:rPr>
        <w:t> </w:t>
      </w:r>
      <w:r>
        <w:rPr>
          <w:rFonts w:ascii="宋体" w:hAnsi="宋体" w:cs="宋体" w:eastAsia="宋体" w:hint="default"/>
        </w:rPr>
        <w:t>21</w:t>
      </w:r>
      <w:r>
        <w:rPr>
          <w:rFonts w:ascii="宋体" w:hAnsi="宋体" w:cs="宋体" w:eastAsia="宋体" w:hint="default"/>
          <w:spacing w:val="-59"/>
        </w:rPr>
        <w:t> </w:t>
      </w:r>
      <w:r>
        <w:rPr>
          <w:spacing w:val="-3"/>
        </w:rPr>
        <w:t>日办理完毕，本次变更后，北京华胜天成创业</w:t>
      </w:r>
      <w:r>
        <w:rPr/>
        <w:t> 投资管理有限公司持股比例减至</w:t>
      </w:r>
      <w:r>
        <w:rPr>
          <w:spacing w:val="-60"/>
        </w:rPr>
        <w:t> </w:t>
      </w:r>
      <w:r>
        <w:rPr>
          <w:rFonts w:ascii="宋体" w:hAnsi="宋体" w:cs="宋体" w:eastAsia="宋体" w:hint="default"/>
        </w:rPr>
        <w:t>70%</w:t>
      </w:r>
      <w:r>
        <w:rPr/>
        <w:t>。此次变更产生未丧失控制权的权益性交易 </w:t>
      </w:r>
      <w:r>
        <w:rPr>
          <w:rFonts w:ascii="宋体" w:hAnsi="宋体" w:cs="宋体" w:eastAsia="宋体" w:hint="default"/>
        </w:rPr>
        <w:t>3,730,861.83</w:t>
      </w:r>
      <w:r>
        <w:rPr>
          <w:rFonts w:ascii="宋体" w:hAnsi="宋体" w:cs="宋体" w:eastAsia="宋体" w:hint="default"/>
          <w:spacing w:val="-60"/>
        </w:rPr>
        <w:t> </w:t>
      </w:r>
      <w:r>
        <w:rPr/>
        <w:t>元，计入资本公积。扣除少数股东的影响，相应减少本集团股本溢价</w:t>
      </w:r>
    </w:p>
    <w:p>
      <w:pPr>
        <w:pStyle w:val="BodyText"/>
        <w:spacing w:line="284" w:lineRule="exact"/>
        <w:ind w:left="258" w:right="476"/>
        <w:jc w:val="left"/>
      </w:pPr>
      <w:r>
        <w:rPr>
          <w:rFonts w:ascii="宋体" w:hAnsi="宋体" w:cs="宋体" w:eastAsia="宋体" w:hint="default"/>
        </w:rPr>
        <w:t>2,051,974.01</w:t>
      </w:r>
      <w:r>
        <w:rPr>
          <w:rFonts w:ascii="宋体" w:hAnsi="宋体" w:cs="宋体" w:eastAsia="宋体" w:hint="default"/>
          <w:spacing w:val="-60"/>
        </w:rPr>
        <w:t> </w:t>
      </w:r>
      <w:r>
        <w:rPr/>
        <w:t>元。</w:t>
      </w:r>
    </w:p>
    <w:p>
      <w:pPr>
        <w:pStyle w:val="BodyText"/>
        <w:spacing w:line="237" w:lineRule="auto" w:before="215"/>
        <w:ind w:left="258" w:right="492" w:firstLine="424"/>
        <w:jc w:val="both"/>
      </w:pPr>
      <w:r>
        <w:rPr>
          <w:rFonts w:ascii="宋体" w:hAnsi="宋体" w:cs="宋体" w:eastAsia="宋体" w:hint="default"/>
        </w:rPr>
        <w:t>C</w:t>
      </w:r>
      <w:r>
        <w:rPr/>
        <w:t>、本公司间接控制</w:t>
      </w:r>
      <w:r>
        <w:rPr>
          <w:spacing w:val="-60"/>
        </w:rPr>
        <w:t> </w:t>
      </w:r>
      <w:r>
        <w:rPr>
          <w:rFonts w:ascii="宋体" w:hAnsi="宋体" w:cs="宋体" w:eastAsia="宋体" w:hint="default"/>
        </w:rPr>
        <w:t>ASL</w:t>
      </w:r>
      <w:r>
        <w:rPr>
          <w:rFonts w:ascii="宋体" w:hAnsi="宋体" w:cs="宋体" w:eastAsia="宋体" w:hint="default"/>
          <w:spacing w:val="-60"/>
        </w:rPr>
        <w:t> </w:t>
      </w:r>
      <w:r>
        <w:rPr/>
        <w:t>公司之全资子公司</w:t>
      </w:r>
      <w:r>
        <w:rPr>
          <w:spacing w:val="-60"/>
        </w:rPr>
        <w:t> </w:t>
      </w:r>
      <w:r>
        <w:rPr>
          <w:rFonts w:ascii="宋体" w:hAnsi="宋体" w:cs="宋体" w:eastAsia="宋体" w:hint="default"/>
        </w:rPr>
        <w:t>ASL Security Solutions Limited</w:t>
      </w:r>
      <w:r>
        <w:rPr/>
        <w:t>， 持有</w:t>
      </w:r>
      <w:r>
        <w:rPr>
          <w:spacing w:val="-60"/>
        </w:rPr>
        <w:t> </w:t>
      </w:r>
      <w:r>
        <w:rPr>
          <w:rFonts w:ascii="宋体" w:hAnsi="宋体" w:cs="宋体" w:eastAsia="宋体" w:hint="default"/>
        </w:rPr>
        <w:t>I-Sprint</w:t>
      </w:r>
      <w:r>
        <w:rPr>
          <w:rFonts w:ascii="宋体" w:hAnsi="宋体" w:cs="宋体" w:eastAsia="宋体" w:hint="default"/>
          <w:spacing w:val="-16"/>
        </w:rPr>
        <w:t> </w:t>
      </w:r>
      <w:r>
        <w:rPr>
          <w:rFonts w:ascii="宋体" w:hAnsi="宋体" w:cs="宋体" w:eastAsia="宋体" w:hint="default"/>
        </w:rPr>
        <w:t>Innovations</w:t>
      </w:r>
      <w:r>
        <w:rPr>
          <w:rFonts w:ascii="宋体" w:hAnsi="宋体" w:cs="宋体" w:eastAsia="宋体" w:hint="default"/>
          <w:spacing w:val="-16"/>
        </w:rPr>
        <w:t> </w:t>
      </w:r>
      <w:r>
        <w:rPr>
          <w:rFonts w:ascii="宋体" w:hAnsi="宋体" w:cs="宋体" w:eastAsia="宋体" w:hint="default"/>
        </w:rPr>
        <w:t>Pte</w:t>
      </w:r>
      <w:r>
        <w:rPr>
          <w:rFonts w:ascii="宋体" w:hAnsi="宋体" w:cs="宋体" w:eastAsia="宋体" w:hint="default"/>
          <w:spacing w:val="-16"/>
        </w:rPr>
        <w:t> </w:t>
      </w:r>
      <w:r>
        <w:rPr>
          <w:rFonts w:ascii="宋体" w:hAnsi="宋体" w:cs="宋体" w:eastAsia="宋体" w:hint="default"/>
        </w:rPr>
        <w:t>Ltd.</w:t>
      </w:r>
      <w:r>
        <w:rPr/>
        <w:t>（简称</w:t>
      </w:r>
      <w:r>
        <w:rPr>
          <w:spacing w:val="-60"/>
        </w:rPr>
        <w:t> </w:t>
      </w:r>
      <w:r>
        <w:rPr>
          <w:rFonts w:ascii="宋体" w:hAnsi="宋体" w:cs="宋体" w:eastAsia="宋体" w:hint="default"/>
        </w:rPr>
        <w:t>I-Sprint</w:t>
      </w:r>
      <w:r>
        <w:rPr/>
        <w:t>）</w:t>
      </w:r>
      <w:r>
        <w:rPr>
          <w:rFonts w:ascii="宋体" w:hAnsi="宋体" w:cs="宋体" w:eastAsia="宋体" w:hint="default"/>
        </w:rPr>
        <w:t>100%</w:t>
      </w:r>
      <w:r>
        <w:rPr/>
        <w:t>的股权，以零对价分别 转让</w:t>
      </w:r>
      <w:r>
        <w:rPr>
          <w:spacing w:val="-55"/>
        </w:rPr>
        <w:t> </w:t>
      </w:r>
      <w:r>
        <w:rPr>
          <w:rFonts w:ascii="宋体" w:hAnsi="宋体" w:cs="宋体" w:eastAsia="宋体" w:hint="default"/>
        </w:rPr>
        <w:t>I-Sprint</w:t>
      </w:r>
      <w:r>
        <w:rPr>
          <w:rFonts w:ascii="宋体" w:hAnsi="宋体" w:cs="宋体" w:eastAsia="宋体" w:hint="default"/>
          <w:spacing w:val="-55"/>
        </w:rPr>
        <w:t> </w:t>
      </w:r>
      <w:r>
        <w:rPr/>
        <w:t>已发行股本的</w:t>
      </w:r>
      <w:r>
        <w:rPr>
          <w:spacing w:val="-55"/>
        </w:rPr>
        <w:t> </w:t>
      </w:r>
      <w:r>
        <w:rPr>
          <w:rFonts w:ascii="宋体" w:hAnsi="宋体" w:cs="宋体" w:eastAsia="宋体" w:hint="default"/>
        </w:rPr>
        <w:t>9.44%</w:t>
      </w:r>
      <w:r>
        <w:rPr/>
        <w:t>及</w:t>
      </w:r>
      <w:r>
        <w:rPr>
          <w:spacing w:val="-55"/>
        </w:rPr>
        <w:t> </w:t>
      </w:r>
      <w:r>
        <w:rPr>
          <w:rFonts w:ascii="宋体" w:hAnsi="宋体" w:cs="宋体" w:eastAsia="宋体" w:hint="default"/>
          <w:spacing w:val="-3"/>
        </w:rPr>
        <w:t>7.90%</w:t>
      </w:r>
      <w:r>
        <w:rPr>
          <w:spacing w:val="-3"/>
        </w:rPr>
        <w:t>给冠邦及佳卫，该公司均为以信托形式实</w:t>
      </w:r>
      <w:r>
        <w:rPr/>
        <w:t> 施新的员工激励计划所设立的特殊目的公司。此交易于</w:t>
      </w:r>
      <w:r>
        <w:rPr>
          <w:spacing w:val="-64"/>
        </w:rPr>
        <w:t> </w:t>
      </w:r>
      <w:r>
        <w:rPr>
          <w:rFonts w:ascii="宋体" w:hAnsi="宋体" w:cs="宋体" w:eastAsia="宋体" w:hint="default"/>
        </w:rPr>
        <w:t>2014</w:t>
      </w:r>
      <w:r>
        <w:rPr>
          <w:rFonts w:ascii="宋体" w:hAnsi="宋体" w:cs="宋体" w:eastAsia="宋体" w:hint="default"/>
          <w:spacing w:val="-64"/>
        </w:rPr>
        <w:t> </w:t>
      </w:r>
      <w:r>
        <w:rPr/>
        <w:t>年</w:t>
      </w:r>
      <w:r>
        <w:rPr>
          <w:spacing w:val="-64"/>
        </w:rPr>
        <w:t> </w:t>
      </w:r>
      <w:r>
        <w:rPr>
          <w:rFonts w:ascii="宋体" w:hAnsi="宋体" w:cs="宋体" w:eastAsia="宋体" w:hint="default"/>
        </w:rPr>
        <w:t>2</w:t>
      </w:r>
      <w:r>
        <w:rPr>
          <w:rFonts w:ascii="宋体" w:hAnsi="宋体" w:cs="宋体" w:eastAsia="宋体" w:hint="default"/>
          <w:spacing w:val="-64"/>
        </w:rPr>
        <w:t> </w:t>
      </w:r>
      <w:r>
        <w:rPr/>
        <w:t>月</w:t>
      </w:r>
      <w:r>
        <w:rPr>
          <w:spacing w:val="-64"/>
        </w:rPr>
        <w:t> </w:t>
      </w:r>
      <w:r>
        <w:rPr>
          <w:rFonts w:ascii="宋体" w:hAnsi="宋体" w:cs="宋体" w:eastAsia="宋体" w:hint="default"/>
        </w:rPr>
        <w:t>10</w:t>
      </w:r>
      <w:r>
        <w:rPr>
          <w:rFonts w:ascii="宋体" w:hAnsi="宋体" w:cs="宋体" w:eastAsia="宋体" w:hint="default"/>
          <w:spacing w:val="-64"/>
        </w:rPr>
        <w:t> </w:t>
      </w:r>
      <w:r>
        <w:rPr>
          <w:spacing w:val="-4"/>
        </w:rPr>
        <w:t>日完成，并确</w:t>
      </w:r>
    </w:p>
    <w:p>
      <w:pPr>
        <w:pStyle w:val="BodyText"/>
        <w:spacing w:line="312" w:lineRule="exact" w:before="29"/>
        <w:ind w:left="258" w:right="548"/>
        <w:jc w:val="left"/>
      </w:pPr>
      <w:r>
        <w:rPr/>
        <w:t>认未丧失控制权的权益交易</w:t>
      </w:r>
      <w:r>
        <w:rPr>
          <w:spacing w:val="-60"/>
        </w:rPr>
        <w:t> </w:t>
      </w:r>
      <w:r>
        <w:rPr>
          <w:rFonts w:ascii="宋体" w:hAnsi="宋体" w:cs="宋体" w:eastAsia="宋体" w:hint="default"/>
        </w:rPr>
        <w:t>9,004,911.43</w:t>
      </w:r>
      <w:r>
        <w:rPr>
          <w:rFonts w:ascii="宋体" w:hAnsi="宋体" w:cs="宋体" w:eastAsia="宋体" w:hint="default"/>
          <w:spacing w:val="-60"/>
        </w:rPr>
        <w:t> </w:t>
      </w:r>
      <w:r>
        <w:rPr/>
        <w:t>元港币，减少资本公积。变更后，</w:t>
      </w:r>
      <w:r>
        <w:rPr>
          <w:rFonts w:ascii="宋体" w:hAnsi="宋体" w:cs="宋体" w:eastAsia="宋体" w:hint="default"/>
        </w:rPr>
        <w:t>ASL Security Solutions Limited</w:t>
      </w:r>
      <w:r>
        <w:rPr>
          <w:rFonts w:ascii="宋体" w:hAnsi="宋体" w:cs="宋体" w:eastAsia="宋体" w:hint="default"/>
          <w:spacing w:val="-60"/>
        </w:rPr>
        <w:t> </w:t>
      </w:r>
      <w:r>
        <w:rPr/>
        <w:t>持股比例降至</w:t>
      </w:r>
      <w:r>
        <w:rPr>
          <w:spacing w:val="-60"/>
        </w:rPr>
        <w:t> </w:t>
      </w:r>
      <w:r>
        <w:rPr>
          <w:rFonts w:ascii="宋体" w:hAnsi="宋体" w:cs="宋体" w:eastAsia="宋体" w:hint="default"/>
        </w:rPr>
        <w:t>82.66%</w:t>
      </w:r>
      <w:r>
        <w:rPr/>
        <w:t>。此处变更产生未丧失控制权的 权益性交易</w:t>
      </w:r>
      <w:r>
        <w:rPr>
          <w:spacing w:val="-60"/>
        </w:rPr>
        <w:t> </w:t>
      </w:r>
      <w:r>
        <w:rPr>
          <w:rFonts w:ascii="宋体" w:hAnsi="宋体" w:cs="宋体" w:eastAsia="宋体" w:hint="default"/>
        </w:rPr>
        <w:t>9,004,911.43</w:t>
      </w:r>
      <w:r>
        <w:rPr>
          <w:rFonts w:ascii="宋体" w:hAnsi="宋体" w:cs="宋体" w:eastAsia="宋体" w:hint="default"/>
          <w:spacing w:val="-60"/>
        </w:rPr>
        <w:t> </w:t>
      </w:r>
      <w:r>
        <w:rPr/>
        <w:t>元港币，扣除少数股东权益影响，相应减少股本溢价</w:t>
      </w:r>
    </w:p>
    <w:p>
      <w:pPr>
        <w:pStyle w:val="BodyText"/>
        <w:spacing w:line="283" w:lineRule="exact"/>
        <w:ind w:left="258" w:right="476"/>
        <w:jc w:val="left"/>
      </w:pPr>
      <w:r>
        <w:rPr>
          <w:rFonts w:ascii="宋体" w:hAnsi="宋体" w:cs="宋体" w:eastAsia="宋体" w:hint="default"/>
        </w:rPr>
        <w:t>4,784,224.09</w:t>
      </w:r>
      <w:r>
        <w:rPr>
          <w:rFonts w:ascii="宋体" w:hAnsi="宋体" w:cs="宋体" w:eastAsia="宋体" w:hint="default"/>
          <w:spacing w:val="-60"/>
        </w:rPr>
        <w:t> </w:t>
      </w:r>
      <w:r>
        <w:rPr/>
        <w:t>元人民币。</w:t>
      </w:r>
    </w:p>
    <w:p>
      <w:pPr>
        <w:pStyle w:val="BodyText"/>
        <w:spacing w:line="240" w:lineRule="auto" w:before="212"/>
        <w:ind w:left="258" w:right="476"/>
        <w:jc w:val="left"/>
      </w:pPr>
      <w:r>
        <w:rPr/>
        <w:t>②交易对于少数股东权益及归属于母公司所有者权益的影响：</w:t>
      </w:r>
    </w:p>
    <w:p>
      <w:pPr>
        <w:spacing w:line="240" w:lineRule="auto" w:before="3"/>
        <w:rPr>
          <w:rFonts w:ascii="宋体" w:hAnsi="宋体" w:cs="宋体" w:eastAsia="宋体"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3652"/>
        <w:gridCol w:w="1749"/>
        <w:gridCol w:w="2208"/>
        <w:gridCol w:w="1766"/>
      </w:tblGrid>
      <w:tr>
        <w:trPr>
          <w:trHeight w:val="976" w:hRule="exact"/>
        </w:trPr>
        <w:tc>
          <w:tcPr>
            <w:tcW w:w="3652" w:type="dxa"/>
            <w:tcBorders>
              <w:top w:val="single" w:sz="8"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tabs>
                <w:tab w:pos="543" w:val="left" w:leader="none"/>
              </w:tabs>
              <w:spacing w:line="240" w:lineRule="auto"/>
              <w:ind w:left="121" w:right="0"/>
              <w:jc w:val="left"/>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749" w:type="dxa"/>
            <w:tcBorders>
              <w:top w:val="single" w:sz="8"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4"/>
              <w:jc w:val="right"/>
              <w:rPr>
                <w:rFonts w:ascii="宋体" w:hAnsi="宋体" w:cs="宋体" w:eastAsia="宋体" w:hint="default"/>
                <w:sz w:val="21"/>
                <w:szCs w:val="21"/>
              </w:rPr>
            </w:pPr>
            <w:r>
              <w:rPr>
                <w:rFonts w:ascii="宋体" w:hAnsi="宋体" w:cs="宋体" w:eastAsia="宋体" w:hint="default"/>
                <w:b/>
                <w:bCs/>
                <w:sz w:val="21"/>
                <w:szCs w:val="21"/>
              </w:rPr>
              <w:t>ASL</w:t>
            </w:r>
            <w:r>
              <w:rPr>
                <w:rFonts w:ascii="宋体" w:hAnsi="宋体" w:cs="宋体" w:eastAsia="宋体" w:hint="default"/>
                <w:b/>
                <w:bCs/>
                <w:spacing w:val="-55"/>
                <w:sz w:val="21"/>
                <w:szCs w:val="21"/>
              </w:rPr>
              <w:t> </w:t>
            </w:r>
            <w:r>
              <w:rPr>
                <w:rFonts w:ascii="宋体" w:hAnsi="宋体" w:cs="宋体" w:eastAsia="宋体" w:hint="default"/>
                <w:b/>
                <w:bCs/>
                <w:sz w:val="21"/>
                <w:szCs w:val="21"/>
              </w:rPr>
              <w:t>公司</w:t>
            </w:r>
            <w:r>
              <w:rPr>
                <w:rFonts w:ascii="宋体" w:hAnsi="宋体" w:cs="宋体" w:eastAsia="宋体" w:hint="default"/>
                <w:sz w:val="21"/>
                <w:szCs w:val="21"/>
              </w:rPr>
            </w:r>
          </w:p>
        </w:tc>
        <w:tc>
          <w:tcPr>
            <w:tcW w:w="2208" w:type="dxa"/>
            <w:tcBorders>
              <w:top w:val="single" w:sz="8" w:space="0" w:color="000000"/>
              <w:left w:val="nil" w:sz="6" w:space="0" w:color="auto"/>
              <w:bottom w:val="single" w:sz="4" w:space="0" w:color="000000"/>
              <w:right w:val="nil" w:sz="6" w:space="0" w:color="auto"/>
            </w:tcBorders>
          </w:tcPr>
          <w:p>
            <w:pPr>
              <w:pStyle w:val="TableParagraph"/>
              <w:spacing w:line="272" w:lineRule="exact" w:before="65"/>
              <w:ind w:left="106" w:right="282" w:firstLine="132"/>
              <w:jc w:val="left"/>
              <w:rPr>
                <w:rFonts w:ascii="宋体" w:hAnsi="宋体" w:cs="宋体" w:eastAsia="宋体" w:hint="default"/>
                <w:sz w:val="21"/>
                <w:szCs w:val="21"/>
              </w:rPr>
            </w:pPr>
            <w:r>
              <w:rPr>
                <w:rFonts w:ascii="宋体" w:hAnsi="宋体" w:cs="宋体" w:eastAsia="宋体" w:hint="default"/>
                <w:b/>
                <w:bCs/>
                <w:sz w:val="21"/>
                <w:szCs w:val="21"/>
              </w:rPr>
              <w:t>北京中域绿色智能</w:t>
            </w:r>
            <w:r>
              <w:rPr>
                <w:rFonts w:ascii="宋体" w:hAnsi="宋体" w:cs="宋体" w:eastAsia="宋体" w:hint="default"/>
                <w:b/>
                <w:bCs/>
                <w:w w:val="99"/>
                <w:sz w:val="21"/>
                <w:szCs w:val="21"/>
              </w:rPr>
              <w:t> </w:t>
            </w:r>
            <w:r>
              <w:rPr>
                <w:rFonts w:ascii="宋体" w:hAnsi="宋体" w:cs="宋体" w:eastAsia="宋体" w:hint="default"/>
                <w:b/>
                <w:bCs/>
                <w:spacing w:val="-9"/>
                <w:sz w:val="21"/>
                <w:szCs w:val="21"/>
              </w:rPr>
              <w:t>城市系统研究院（有</w:t>
            </w:r>
            <w:r>
              <w:rPr>
                <w:rFonts w:ascii="宋体" w:hAnsi="宋体" w:cs="宋体" w:eastAsia="宋体" w:hint="default"/>
                <w:spacing w:val="-9"/>
                <w:sz w:val="21"/>
                <w:szCs w:val="21"/>
              </w:rPr>
            </w:r>
          </w:p>
          <w:p>
            <w:pPr>
              <w:pStyle w:val="TableParagraph"/>
              <w:spacing w:line="248" w:lineRule="exact"/>
              <w:ind w:left="1081" w:right="0"/>
              <w:jc w:val="left"/>
              <w:rPr>
                <w:rFonts w:ascii="宋体" w:hAnsi="宋体" w:cs="宋体" w:eastAsia="宋体" w:hint="default"/>
                <w:sz w:val="21"/>
                <w:szCs w:val="21"/>
              </w:rPr>
            </w:pPr>
            <w:r>
              <w:rPr>
                <w:rFonts w:ascii="宋体" w:hAnsi="宋体" w:cs="宋体" w:eastAsia="宋体" w:hint="default"/>
                <w:b/>
                <w:bCs/>
                <w:sz w:val="21"/>
                <w:szCs w:val="21"/>
              </w:rPr>
              <w:t>限合伙）</w:t>
            </w:r>
            <w:r>
              <w:rPr>
                <w:rFonts w:ascii="宋体" w:hAnsi="宋体" w:cs="宋体" w:eastAsia="宋体" w:hint="default"/>
                <w:sz w:val="21"/>
                <w:szCs w:val="21"/>
              </w:rPr>
            </w:r>
          </w:p>
        </w:tc>
        <w:tc>
          <w:tcPr>
            <w:tcW w:w="1766" w:type="dxa"/>
            <w:tcBorders>
              <w:top w:val="single" w:sz="8"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7"/>
              <w:jc w:val="right"/>
              <w:rPr>
                <w:rFonts w:ascii="宋体" w:hAnsi="宋体" w:cs="宋体" w:eastAsia="宋体" w:hint="default"/>
                <w:sz w:val="21"/>
                <w:szCs w:val="21"/>
              </w:rPr>
            </w:pPr>
            <w:r>
              <w:rPr>
                <w:rFonts w:ascii="宋体"/>
                <w:b/>
                <w:w w:val="95"/>
                <w:sz w:val="21"/>
              </w:rPr>
              <w:t>I-Sprint</w:t>
            </w:r>
            <w:r>
              <w:rPr>
                <w:rFonts w:ascii="宋体"/>
                <w:sz w:val="21"/>
              </w:rPr>
            </w:r>
          </w:p>
        </w:tc>
      </w:tr>
      <w:tr>
        <w:trPr>
          <w:trHeight w:val="400" w:hRule="exact"/>
        </w:trPr>
        <w:tc>
          <w:tcPr>
            <w:tcW w:w="3652"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21" w:right="0"/>
              <w:jc w:val="left"/>
              <w:rPr>
                <w:rFonts w:ascii="宋体" w:hAnsi="宋体" w:cs="宋体" w:eastAsia="宋体" w:hint="default"/>
                <w:sz w:val="21"/>
                <w:szCs w:val="21"/>
              </w:rPr>
            </w:pPr>
            <w:r>
              <w:rPr>
                <w:rFonts w:ascii="宋体" w:hAnsi="宋体" w:cs="宋体" w:eastAsia="宋体" w:hint="default"/>
                <w:b/>
                <w:bCs/>
                <w:sz w:val="21"/>
                <w:szCs w:val="21"/>
              </w:rPr>
              <w:t>处置对价：</w:t>
            </w:r>
            <w:r>
              <w:rPr>
                <w:rFonts w:ascii="宋体" w:hAnsi="宋体" w:cs="宋体" w:eastAsia="宋体" w:hint="default"/>
                <w:sz w:val="21"/>
                <w:szCs w:val="21"/>
              </w:rPr>
            </w:r>
          </w:p>
        </w:tc>
        <w:tc>
          <w:tcPr>
            <w:tcW w:w="1749" w:type="dxa"/>
            <w:tcBorders>
              <w:top w:val="single" w:sz="4" w:space="0" w:color="000000"/>
              <w:left w:val="nil" w:sz="6" w:space="0" w:color="auto"/>
              <w:bottom w:val="nil" w:sz="6" w:space="0" w:color="auto"/>
              <w:right w:val="nil" w:sz="6" w:space="0" w:color="auto"/>
            </w:tcBorders>
          </w:tcPr>
          <w:p>
            <w:pPr/>
          </w:p>
        </w:tc>
        <w:tc>
          <w:tcPr>
            <w:tcW w:w="2208" w:type="dxa"/>
            <w:tcBorders>
              <w:top w:val="single" w:sz="4" w:space="0" w:color="000000"/>
              <w:left w:val="nil" w:sz="6" w:space="0" w:color="auto"/>
              <w:bottom w:val="nil" w:sz="6" w:space="0" w:color="auto"/>
              <w:right w:val="nil" w:sz="6" w:space="0" w:color="auto"/>
            </w:tcBorders>
          </w:tcPr>
          <w:p>
            <w:pPr/>
          </w:p>
        </w:tc>
        <w:tc>
          <w:tcPr>
            <w:tcW w:w="1766" w:type="dxa"/>
            <w:tcBorders>
              <w:top w:val="single" w:sz="4" w:space="0" w:color="000000"/>
              <w:left w:val="nil" w:sz="6" w:space="0" w:color="auto"/>
              <w:bottom w:val="nil" w:sz="6" w:space="0" w:color="auto"/>
              <w:right w:val="nil" w:sz="6" w:space="0" w:color="auto"/>
            </w:tcBorders>
          </w:tcPr>
          <w:p>
            <w:pPr/>
          </w:p>
        </w:tc>
      </w:tr>
      <w:tr>
        <w:trPr>
          <w:trHeight w:val="397" w:hRule="exact"/>
        </w:trPr>
        <w:tc>
          <w:tcPr>
            <w:tcW w:w="365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1"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0</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80"/>
              <w:jc w:val="right"/>
              <w:rPr>
                <w:rFonts w:ascii="宋体" w:hAnsi="宋体" w:cs="宋体" w:eastAsia="宋体" w:hint="default"/>
                <w:sz w:val="21"/>
                <w:szCs w:val="21"/>
              </w:rPr>
            </w:pPr>
            <w:r>
              <w:rPr>
                <w:rFonts w:ascii="宋体"/>
                <w:sz w:val="21"/>
              </w:rPr>
              <w:t>2,985,330.00</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0</w:t>
            </w:r>
          </w:p>
        </w:tc>
      </w:tr>
      <w:tr>
        <w:trPr>
          <w:trHeight w:val="397" w:hRule="exact"/>
        </w:trPr>
        <w:tc>
          <w:tcPr>
            <w:tcW w:w="365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1" w:right="0"/>
              <w:jc w:val="left"/>
              <w:rPr>
                <w:rFonts w:ascii="宋体" w:hAnsi="宋体" w:cs="宋体" w:eastAsia="宋体" w:hint="default"/>
                <w:sz w:val="21"/>
                <w:szCs w:val="21"/>
              </w:rPr>
            </w:pPr>
            <w:r>
              <w:rPr>
                <w:rFonts w:ascii="宋体" w:hAnsi="宋体" w:cs="宋体" w:eastAsia="宋体" w:hint="default"/>
                <w:sz w:val="21"/>
                <w:szCs w:val="21"/>
              </w:rPr>
              <w:t>非现金资产的公允价值</w:t>
            </w: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0</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80"/>
              <w:jc w:val="right"/>
              <w:rPr>
                <w:rFonts w:ascii="宋体" w:hAnsi="宋体" w:cs="宋体" w:eastAsia="宋体" w:hint="default"/>
                <w:sz w:val="21"/>
                <w:szCs w:val="21"/>
              </w:rPr>
            </w:pPr>
            <w:r>
              <w:rPr>
                <w:rFonts w:ascii="宋体"/>
                <w:sz w:val="21"/>
              </w:rPr>
              <w:t>0</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0</w:t>
            </w:r>
          </w:p>
        </w:tc>
      </w:tr>
      <w:tr>
        <w:trPr>
          <w:trHeight w:val="386" w:hRule="exact"/>
        </w:trPr>
        <w:tc>
          <w:tcPr>
            <w:tcW w:w="365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1" w:right="0"/>
              <w:jc w:val="left"/>
              <w:rPr>
                <w:rFonts w:ascii="宋体" w:hAnsi="宋体" w:cs="宋体" w:eastAsia="宋体" w:hint="default"/>
                <w:sz w:val="21"/>
                <w:szCs w:val="21"/>
              </w:rPr>
            </w:pPr>
            <w:r>
              <w:rPr>
                <w:rFonts w:ascii="宋体" w:hAnsi="宋体" w:cs="宋体" w:eastAsia="宋体" w:hint="default"/>
                <w:b/>
                <w:bCs/>
                <w:sz w:val="21"/>
                <w:szCs w:val="21"/>
              </w:rPr>
              <w:t>处置对价合计</w:t>
            </w:r>
            <w:r>
              <w:rPr>
                <w:rFonts w:ascii="宋体" w:hAnsi="宋体" w:cs="宋体" w:eastAsia="宋体" w:hint="default"/>
                <w:sz w:val="21"/>
                <w:szCs w:val="21"/>
              </w:rPr>
            </w: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b/>
                <w:w w:val="99"/>
                <w:sz w:val="21"/>
              </w:rPr>
              <w:t>0</w:t>
            </w:r>
            <w:r>
              <w:rPr>
                <w:rFonts w:ascii="宋体"/>
                <w:sz w:val="21"/>
              </w:rPr>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83"/>
              <w:jc w:val="right"/>
              <w:rPr>
                <w:rFonts w:ascii="宋体" w:hAnsi="宋体" w:cs="宋体" w:eastAsia="宋体" w:hint="default"/>
                <w:sz w:val="21"/>
                <w:szCs w:val="21"/>
              </w:rPr>
            </w:pPr>
            <w:r>
              <w:rPr>
                <w:rFonts w:ascii="宋体"/>
                <w:b/>
                <w:w w:val="95"/>
                <w:sz w:val="21"/>
              </w:rPr>
              <w:t>2,985,330.00</w:t>
            </w:r>
            <w:r>
              <w:rPr>
                <w:rFonts w:ascii="宋体"/>
                <w:sz w:val="21"/>
              </w:rPr>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b/>
                <w:w w:val="99"/>
                <w:sz w:val="21"/>
              </w:rPr>
              <w:t>0</w:t>
            </w:r>
            <w:r>
              <w:rPr>
                <w:rFonts w:ascii="宋体"/>
                <w:sz w:val="21"/>
              </w:rPr>
            </w:r>
          </w:p>
        </w:tc>
      </w:tr>
      <w:tr>
        <w:trPr>
          <w:trHeight w:val="647" w:hRule="exact"/>
        </w:trPr>
        <w:tc>
          <w:tcPr>
            <w:tcW w:w="3652" w:type="dxa"/>
            <w:tcBorders>
              <w:top w:val="nil" w:sz="6" w:space="0" w:color="auto"/>
              <w:left w:val="nil" w:sz="6" w:space="0" w:color="auto"/>
              <w:bottom w:val="nil" w:sz="6" w:space="0" w:color="auto"/>
              <w:right w:val="nil" w:sz="6" w:space="0" w:color="auto"/>
            </w:tcBorders>
          </w:tcPr>
          <w:p>
            <w:pPr>
              <w:pStyle w:val="TableParagraph"/>
              <w:spacing w:line="272" w:lineRule="exact" w:before="45"/>
              <w:ind w:left="121" w:right="484"/>
              <w:jc w:val="left"/>
              <w:rPr>
                <w:rFonts w:ascii="宋体" w:hAnsi="宋体" w:cs="宋体" w:eastAsia="宋体" w:hint="default"/>
                <w:sz w:val="21"/>
                <w:szCs w:val="21"/>
              </w:rPr>
            </w:pPr>
            <w:r>
              <w:rPr>
                <w:rFonts w:ascii="宋体" w:hAnsi="宋体" w:cs="宋体" w:eastAsia="宋体" w:hint="default"/>
                <w:sz w:val="21"/>
                <w:szCs w:val="21"/>
              </w:rPr>
              <w:t>减：按取得</w:t>
            </w:r>
            <w:r>
              <w:rPr>
                <w:rFonts w:ascii="宋体" w:hAnsi="宋体" w:cs="宋体" w:eastAsia="宋体" w:hint="default"/>
                <w:sz w:val="21"/>
                <w:szCs w:val="21"/>
              </w:rPr>
              <w:t>/</w:t>
            </w:r>
            <w:r>
              <w:rPr>
                <w:rFonts w:ascii="宋体" w:hAnsi="宋体" w:cs="宋体" w:eastAsia="宋体" w:hint="default"/>
                <w:sz w:val="21"/>
                <w:szCs w:val="21"/>
              </w:rPr>
              <w:t>处置的股权比例计算 的子公司净资产份额</w:t>
            </w: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104"/>
              <w:jc w:val="right"/>
              <w:rPr>
                <w:rFonts w:ascii="宋体" w:hAnsi="宋体" w:cs="宋体" w:eastAsia="宋体" w:hint="default"/>
                <w:sz w:val="21"/>
                <w:szCs w:val="21"/>
              </w:rPr>
            </w:pPr>
            <w:r>
              <w:rPr>
                <w:rFonts w:ascii="宋体"/>
                <w:sz w:val="21"/>
              </w:rPr>
              <w:t>-374,476.76</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280"/>
              <w:jc w:val="right"/>
              <w:rPr>
                <w:rFonts w:ascii="宋体" w:hAnsi="宋体" w:cs="宋体" w:eastAsia="宋体" w:hint="default"/>
                <w:sz w:val="21"/>
                <w:szCs w:val="21"/>
              </w:rPr>
            </w:pPr>
            <w:r>
              <w:rPr>
                <w:rFonts w:ascii="宋体"/>
                <w:sz w:val="21"/>
              </w:rPr>
              <w:t>-745,531.83</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107"/>
              <w:jc w:val="right"/>
              <w:rPr>
                <w:rFonts w:ascii="宋体" w:hAnsi="宋体" w:cs="宋体" w:eastAsia="宋体" w:hint="default"/>
                <w:sz w:val="21"/>
                <w:szCs w:val="21"/>
              </w:rPr>
            </w:pPr>
            <w:r>
              <w:rPr>
                <w:rFonts w:ascii="宋体"/>
                <w:sz w:val="21"/>
              </w:rPr>
              <w:t>7,135,308.13</w:t>
            </w:r>
          </w:p>
        </w:tc>
      </w:tr>
      <w:tr>
        <w:trPr>
          <w:trHeight w:val="386" w:hRule="exact"/>
        </w:trPr>
        <w:tc>
          <w:tcPr>
            <w:tcW w:w="365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1" w:right="0"/>
              <w:jc w:val="left"/>
              <w:rPr>
                <w:rFonts w:ascii="宋体" w:hAnsi="宋体" w:cs="宋体" w:eastAsia="宋体" w:hint="default"/>
                <w:sz w:val="21"/>
                <w:szCs w:val="21"/>
              </w:rPr>
            </w:pPr>
            <w:r>
              <w:rPr>
                <w:rFonts w:ascii="宋体" w:hAnsi="宋体" w:cs="宋体" w:eastAsia="宋体" w:hint="default"/>
                <w:b/>
                <w:bCs/>
                <w:sz w:val="21"/>
                <w:szCs w:val="21"/>
              </w:rPr>
              <w:t>差额</w:t>
            </w:r>
            <w:r>
              <w:rPr>
                <w:rFonts w:ascii="宋体" w:hAnsi="宋体" w:cs="宋体" w:eastAsia="宋体" w:hint="default"/>
                <w:sz w:val="21"/>
                <w:szCs w:val="21"/>
              </w:rPr>
            </w: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8"/>
              <w:jc w:val="right"/>
              <w:rPr>
                <w:rFonts w:ascii="宋体" w:hAnsi="宋体" w:cs="宋体" w:eastAsia="宋体" w:hint="default"/>
                <w:sz w:val="21"/>
                <w:szCs w:val="21"/>
              </w:rPr>
            </w:pPr>
            <w:r>
              <w:rPr>
                <w:rFonts w:ascii="宋体"/>
                <w:b/>
                <w:w w:val="95"/>
                <w:sz w:val="21"/>
              </w:rPr>
              <w:t>374,476.76</w:t>
            </w:r>
            <w:r>
              <w:rPr>
                <w:rFonts w:ascii="宋体"/>
                <w:sz w:val="21"/>
              </w:rPr>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83"/>
              <w:jc w:val="right"/>
              <w:rPr>
                <w:rFonts w:ascii="宋体" w:hAnsi="宋体" w:cs="宋体" w:eastAsia="宋体" w:hint="default"/>
                <w:sz w:val="21"/>
                <w:szCs w:val="21"/>
              </w:rPr>
            </w:pPr>
            <w:r>
              <w:rPr>
                <w:rFonts w:ascii="宋体"/>
                <w:b/>
                <w:w w:val="95"/>
                <w:sz w:val="21"/>
              </w:rPr>
              <w:t>3,730,861.83</w:t>
            </w:r>
            <w:r>
              <w:rPr>
                <w:rFonts w:ascii="宋体"/>
                <w:sz w:val="21"/>
              </w:rPr>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8"/>
              <w:jc w:val="right"/>
              <w:rPr>
                <w:rFonts w:ascii="宋体" w:hAnsi="宋体" w:cs="宋体" w:eastAsia="宋体" w:hint="default"/>
                <w:sz w:val="21"/>
                <w:szCs w:val="21"/>
              </w:rPr>
            </w:pPr>
            <w:r>
              <w:rPr>
                <w:rFonts w:ascii="宋体"/>
                <w:b/>
                <w:w w:val="95"/>
                <w:sz w:val="21"/>
              </w:rPr>
              <w:t>-7,135,308.13</w:t>
            </w:r>
            <w:r>
              <w:rPr>
                <w:rFonts w:ascii="宋体"/>
                <w:sz w:val="21"/>
              </w:rPr>
            </w:r>
          </w:p>
        </w:tc>
      </w:tr>
      <w:tr>
        <w:trPr>
          <w:trHeight w:val="397" w:hRule="exact"/>
        </w:trPr>
        <w:tc>
          <w:tcPr>
            <w:tcW w:w="365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1"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4"/>
              <w:jc w:val="right"/>
              <w:rPr>
                <w:rFonts w:ascii="宋体" w:hAnsi="宋体" w:cs="宋体" w:eastAsia="宋体" w:hint="default"/>
                <w:sz w:val="21"/>
                <w:szCs w:val="21"/>
              </w:rPr>
            </w:pPr>
            <w:r>
              <w:rPr>
                <w:rFonts w:ascii="宋体"/>
                <w:sz w:val="21"/>
              </w:rPr>
              <w:t>-374,476.76</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80"/>
              <w:jc w:val="right"/>
              <w:rPr>
                <w:rFonts w:ascii="宋体" w:hAnsi="宋体" w:cs="宋体" w:eastAsia="宋体" w:hint="default"/>
                <w:sz w:val="21"/>
                <w:szCs w:val="21"/>
              </w:rPr>
            </w:pPr>
            <w:r>
              <w:rPr>
                <w:rFonts w:ascii="宋体"/>
                <w:sz w:val="21"/>
              </w:rPr>
              <w:t>3,730,861.83</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pacing w:val="-1"/>
                <w:sz w:val="21"/>
              </w:rPr>
              <w:t>-7,135,308.13</w:t>
            </w:r>
          </w:p>
        </w:tc>
      </w:tr>
      <w:tr>
        <w:trPr>
          <w:trHeight w:val="397" w:hRule="exact"/>
        </w:trPr>
        <w:tc>
          <w:tcPr>
            <w:tcW w:w="365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752" w:right="0"/>
              <w:jc w:val="left"/>
              <w:rPr>
                <w:rFonts w:ascii="宋体" w:hAnsi="宋体" w:cs="宋体" w:eastAsia="宋体" w:hint="default"/>
                <w:sz w:val="21"/>
                <w:szCs w:val="21"/>
              </w:rPr>
            </w:pPr>
            <w:r>
              <w:rPr>
                <w:rFonts w:ascii="宋体" w:hAnsi="宋体" w:cs="宋体" w:eastAsia="宋体" w:hint="default"/>
                <w:sz w:val="21"/>
                <w:szCs w:val="21"/>
              </w:rPr>
              <w:t>调整盈余公积</w:t>
            </w: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0</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80"/>
              <w:jc w:val="right"/>
              <w:rPr>
                <w:rFonts w:ascii="宋体" w:hAnsi="宋体" w:cs="宋体" w:eastAsia="宋体" w:hint="default"/>
                <w:sz w:val="21"/>
                <w:szCs w:val="21"/>
              </w:rPr>
            </w:pPr>
            <w:r>
              <w:rPr>
                <w:rFonts w:ascii="宋体"/>
                <w:sz w:val="21"/>
              </w:rPr>
              <w:t>0</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0</w:t>
            </w:r>
          </w:p>
        </w:tc>
      </w:tr>
      <w:tr>
        <w:trPr>
          <w:trHeight w:val="410" w:hRule="exact"/>
        </w:trPr>
        <w:tc>
          <w:tcPr>
            <w:tcW w:w="3652"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752" w:right="0"/>
              <w:jc w:val="left"/>
              <w:rPr>
                <w:rFonts w:ascii="宋体" w:hAnsi="宋体" w:cs="宋体" w:eastAsia="宋体" w:hint="default"/>
                <w:sz w:val="21"/>
                <w:szCs w:val="21"/>
              </w:rPr>
            </w:pPr>
            <w:r>
              <w:rPr>
                <w:rFonts w:ascii="宋体" w:hAnsi="宋体" w:cs="宋体" w:eastAsia="宋体" w:hint="default"/>
                <w:sz w:val="21"/>
                <w:szCs w:val="21"/>
              </w:rPr>
              <w:t>调整未分配利润</w:t>
            </w:r>
          </w:p>
        </w:tc>
        <w:tc>
          <w:tcPr>
            <w:tcW w:w="1749"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0</w:t>
            </w:r>
          </w:p>
        </w:tc>
        <w:tc>
          <w:tcPr>
            <w:tcW w:w="2208"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280"/>
              <w:jc w:val="right"/>
              <w:rPr>
                <w:rFonts w:ascii="宋体" w:hAnsi="宋体" w:cs="宋体" w:eastAsia="宋体" w:hint="default"/>
                <w:sz w:val="21"/>
                <w:szCs w:val="21"/>
              </w:rPr>
            </w:pPr>
            <w:r>
              <w:rPr>
                <w:rFonts w:ascii="宋体"/>
                <w:sz w:val="21"/>
              </w:rPr>
              <w:t>0</w:t>
            </w:r>
          </w:p>
        </w:tc>
        <w:tc>
          <w:tcPr>
            <w:tcW w:w="1766"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0</w:t>
            </w:r>
          </w:p>
        </w:tc>
      </w:tr>
    </w:tbl>
    <w:p>
      <w:pPr>
        <w:spacing w:after="0" w:line="240" w:lineRule="auto"/>
        <w:jc w:val="right"/>
        <w:rPr>
          <w:rFonts w:ascii="宋体" w:hAnsi="宋体" w:cs="宋体" w:eastAsia="宋体" w:hint="default"/>
          <w:sz w:val="21"/>
          <w:szCs w:val="21"/>
        </w:rPr>
        <w:sectPr>
          <w:pgSz w:w="11910" w:h="16840"/>
          <w:pgMar w:header="882" w:footer="1194" w:top="1120" w:bottom="1380" w:left="1540" w:right="78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1580" w:right="1040"/>
        </w:sectPr>
      </w:pPr>
    </w:p>
    <w:p>
      <w:pPr>
        <w:pStyle w:val="Heading2"/>
        <w:spacing w:line="283" w:lineRule="auto"/>
        <w:ind w:right="-11"/>
        <w:jc w:val="left"/>
        <w:rPr>
          <w:b w:val="0"/>
          <w:bCs w:val="0"/>
        </w:rPr>
      </w:pPr>
      <w:r>
        <w:rPr>
          <w:rFonts w:ascii="宋体" w:hAnsi="宋体" w:cs="宋体" w:eastAsia="宋体" w:hint="default"/>
        </w:rPr>
        <w:t>2</w:t>
      </w:r>
      <w:r>
        <w:rPr/>
        <w:t>、</w:t>
      </w:r>
      <w:r>
        <w:rPr>
          <w:spacing w:val="-75"/>
        </w:rPr>
        <w:t> </w:t>
      </w:r>
      <w:r>
        <w:rPr/>
        <w:t>在合营企业或联营企业中的权益</w:t>
      </w:r>
      <w:r>
        <w:rPr>
          <w:w w:val="99"/>
        </w:rPr>
        <w:t> </w:t>
      </w:r>
      <w:r>
        <w:rPr>
          <w:rFonts w:ascii="宋体" w:hAnsi="宋体" w:cs="宋体" w:eastAsia="宋体" w:hint="default"/>
        </w:rPr>
        <w:t>(1).</w:t>
      </w:r>
      <w:r>
        <w:rPr>
          <w:rFonts w:ascii="宋体" w:hAnsi="宋体" w:cs="宋体" w:eastAsia="宋体" w:hint="default"/>
          <w:spacing w:val="12"/>
        </w:rPr>
        <w:t> </w:t>
      </w:r>
      <w:r>
        <w:rPr/>
        <w:t>重要联营企业的主要财务信息</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tabs>
          <w:tab w:pos="1267" w:val="left" w:leader="none"/>
        </w:tabs>
        <w:spacing w:before="0"/>
        <w:ind w:left="21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580" w:right="1040"/>
          <w:cols w:num="2" w:equalWidth="0">
            <w:col w:w="4009" w:space="251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88"/>
        <w:gridCol w:w="1686"/>
        <w:gridCol w:w="1495"/>
        <w:gridCol w:w="1491"/>
        <w:gridCol w:w="1489"/>
      </w:tblGrid>
      <w:tr>
        <w:trPr>
          <w:trHeight w:val="285" w:hRule="exact"/>
        </w:trPr>
        <w:tc>
          <w:tcPr>
            <w:tcW w:w="2888" w:type="dxa"/>
            <w:tcBorders>
              <w:top w:val="single" w:sz="4" w:space="0" w:color="000000"/>
              <w:left w:val="single" w:sz="4" w:space="0" w:color="000000"/>
              <w:bottom w:val="single" w:sz="6" w:space="0" w:color="000000"/>
              <w:right w:val="single" w:sz="6" w:space="0" w:color="000000"/>
            </w:tcBorders>
          </w:tcPr>
          <w:p>
            <w:pPr/>
          </w:p>
        </w:tc>
        <w:tc>
          <w:tcPr>
            <w:tcW w:w="6162" w:type="dxa"/>
            <w:gridSpan w:val="4"/>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1537" w:right="0"/>
              <w:jc w:val="left"/>
              <w:rPr>
                <w:rFonts w:ascii="宋体" w:hAnsi="宋体" w:cs="宋体" w:eastAsia="宋体" w:hint="default"/>
                <w:sz w:val="21"/>
                <w:szCs w:val="21"/>
              </w:rPr>
            </w:pPr>
            <w:r>
              <w:rPr>
                <w:rFonts w:ascii="宋体"/>
                <w:b/>
                <w:sz w:val="21"/>
              </w:rPr>
              <w:t>I-Sprint Innovations Pte</w:t>
            </w:r>
            <w:r>
              <w:rPr>
                <w:rFonts w:ascii="宋体"/>
                <w:b/>
                <w:spacing w:val="-11"/>
                <w:sz w:val="21"/>
              </w:rPr>
              <w:t> </w:t>
            </w:r>
            <w:r>
              <w:rPr>
                <w:rFonts w:ascii="宋体"/>
                <w:b/>
                <w:sz w:val="21"/>
              </w:rPr>
              <w:t>Ltd.</w:t>
            </w:r>
            <w:r>
              <w:rPr>
                <w:rFonts w:ascii="宋体"/>
                <w:sz w:val="21"/>
              </w:rPr>
            </w:r>
          </w:p>
        </w:tc>
      </w:tr>
      <w:tr>
        <w:trPr>
          <w:trHeight w:val="287" w:hRule="exact"/>
        </w:trPr>
        <w:tc>
          <w:tcPr>
            <w:tcW w:w="2888" w:type="dxa"/>
            <w:vMerge w:val="restart"/>
            <w:tcBorders>
              <w:top w:val="single" w:sz="6" w:space="0" w:color="000000"/>
              <w:left w:val="single" w:sz="4" w:space="0" w:color="000000"/>
              <w:right w:val="single" w:sz="6" w:space="0" w:color="000000"/>
            </w:tcBorders>
          </w:tcPr>
          <w:p>
            <w:pPr/>
          </w:p>
        </w:tc>
        <w:tc>
          <w:tcPr>
            <w:tcW w:w="31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3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298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3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8" w:hRule="exact"/>
        </w:trPr>
        <w:tc>
          <w:tcPr>
            <w:tcW w:w="2888" w:type="dxa"/>
            <w:vMerge/>
            <w:tcBorders>
              <w:left w:val="single" w:sz="4"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8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62,520,633.22</w:t>
            </w:r>
          </w:p>
        </w:tc>
        <w:tc>
          <w:tcPr>
            <w:tcW w:w="1495"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4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8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16,358,491.26</w:t>
            </w:r>
          </w:p>
        </w:tc>
        <w:tc>
          <w:tcPr>
            <w:tcW w:w="1495"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48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8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78,879,124.47</w:t>
            </w:r>
          </w:p>
        </w:tc>
        <w:tc>
          <w:tcPr>
            <w:tcW w:w="1495"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4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88" w:type="dxa"/>
            <w:tcBorders>
              <w:top w:val="single" w:sz="6" w:space="0" w:color="000000"/>
              <w:left w:val="single" w:sz="4"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8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36,045,559.91</w:t>
            </w:r>
          </w:p>
        </w:tc>
        <w:tc>
          <w:tcPr>
            <w:tcW w:w="1495"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48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8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1495"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4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8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36,045,559.92</w:t>
            </w:r>
          </w:p>
        </w:tc>
        <w:tc>
          <w:tcPr>
            <w:tcW w:w="1495"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48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8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42,833,564.55</w:t>
            </w:r>
          </w:p>
        </w:tc>
        <w:tc>
          <w:tcPr>
            <w:tcW w:w="1495"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8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8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8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68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88" w:type="dxa"/>
            <w:tcBorders>
              <w:top w:val="single" w:sz="6" w:space="0" w:color="000000"/>
              <w:left w:val="single" w:sz="4"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888"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20,654,344.83</w:t>
            </w:r>
          </w:p>
        </w:tc>
        <w:tc>
          <w:tcPr>
            <w:tcW w:w="1495"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4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8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68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8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42,114,414.17</w:t>
            </w:r>
          </w:p>
        </w:tc>
        <w:tc>
          <w:tcPr>
            <w:tcW w:w="1495"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48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8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-79,193.42</w:t>
            </w:r>
          </w:p>
        </w:tc>
        <w:tc>
          <w:tcPr>
            <w:tcW w:w="1495"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4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8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888"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对联营企业权益投资的账面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62,689,565.58</w:t>
            </w:r>
          </w:p>
        </w:tc>
        <w:tc>
          <w:tcPr>
            <w:tcW w:w="1495"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48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88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存在公开报价的联营企业权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益投资的公允价值</w:t>
            </w:r>
          </w:p>
        </w:tc>
        <w:tc>
          <w:tcPr>
            <w:tcW w:w="168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88" w:type="dxa"/>
            <w:tcBorders>
              <w:top w:val="single" w:sz="6" w:space="0" w:color="000000"/>
              <w:left w:val="single" w:sz="4"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8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63,553,444.37</w:t>
            </w:r>
          </w:p>
        </w:tc>
        <w:tc>
          <w:tcPr>
            <w:tcW w:w="1495"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48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8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-36,936,031.35</w:t>
            </w:r>
          </w:p>
        </w:tc>
        <w:tc>
          <w:tcPr>
            <w:tcW w:w="1495"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4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8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495"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48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8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-331,155.65</w:t>
            </w:r>
          </w:p>
        </w:tc>
        <w:tc>
          <w:tcPr>
            <w:tcW w:w="1495"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48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8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-37,267,187.00</w:t>
            </w:r>
          </w:p>
        </w:tc>
        <w:tc>
          <w:tcPr>
            <w:tcW w:w="1495"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4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88" w:type="dxa"/>
            <w:tcBorders>
              <w:top w:val="single" w:sz="6" w:space="0" w:color="000000"/>
              <w:left w:val="single" w:sz="4"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
        </w:tc>
      </w:tr>
      <w:tr>
        <w:trPr>
          <w:trHeight w:val="558" w:hRule="exact"/>
        </w:trPr>
        <w:tc>
          <w:tcPr>
            <w:tcW w:w="2888" w:type="dxa"/>
            <w:tcBorders>
              <w:top w:val="single" w:sz="6" w:space="0" w:color="000000"/>
              <w:left w:val="single" w:sz="4" w:space="0" w:color="000000"/>
              <w:bottom w:val="single" w:sz="4"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本年度收到的来自联营企业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w:t>
            </w:r>
          </w:p>
        </w:tc>
        <w:tc>
          <w:tcPr>
            <w:tcW w:w="1686"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1495" w:type="dxa"/>
            <w:tcBorders>
              <w:top w:val="single" w:sz="6" w:space="0" w:color="000000"/>
              <w:left w:val="single" w:sz="6" w:space="0" w:color="000000"/>
              <w:bottom w:val="single" w:sz="4" w:space="0" w:color="000000"/>
              <w:right w:val="single" w:sz="6" w:space="0" w:color="000000"/>
            </w:tcBorders>
          </w:tcPr>
          <w:p>
            <w:pPr/>
          </w:p>
        </w:tc>
        <w:tc>
          <w:tcPr>
            <w:tcW w:w="1491"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489"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80" w:bottom="1380" w:left="1580" w:right="1040"/>
        </w:sectPr>
      </w:pPr>
    </w:p>
    <w:p>
      <w:pPr>
        <w:pStyle w:val="Heading2"/>
        <w:spacing w:line="240" w:lineRule="auto"/>
        <w:ind w:right="-4"/>
        <w:jc w:val="left"/>
        <w:rPr>
          <w:b w:val="0"/>
          <w:bCs w:val="0"/>
        </w:rPr>
      </w:pPr>
      <w:r>
        <w:rPr>
          <w:rFonts w:ascii="宋体" w:hAnsi="宋体" w:cs="宋体" w:eastAsia="宋体" w:hint="default"/>
        </w:rPr>
        <w:t>(2).</w:t>
      </w:r>
      <w:r>
        <w:rPr>
          <w:rFonts w:ascii="宋体" w:hAnsi="宋体" w:cs="宋体" w:eastAsia="宋体" w:hint="default"/>
          <w:spacing w:val="5"/>
        </w:rPr>
        <w:t> </w:t>
      </w:r>
      <w:r>
        <w:rPr/>
        <w:t>不重要的合营企业和联营企业的汇总财务信息</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tabs>
          <w:tab w:pos="1267" w:val="left" w:leader="none"/>
        </w:tabs>
        <w:spacing w:before="139"/>
        <w:ind w:left="21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580" w:right="1040"/>
          <w:cols w:num="2" w:equalWidth="0">
            <w:col w:w="5664" w:space="860"/>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3"/>
        <w:gridCol w:w="3071"/>
        <w:gridCol w:w="3076"/>
      </w:tblGrid>
      <w:tr>
        <w:trPr>
          <w:trHeight w:val="284" w:hRule="exact"/>
        </w:trPr>
        <w:tc>
          <w:tcPr>
            <w:tcW w:w="2903" w:type="dxa"/>
            <w:tcBorders>
              <w:top w:val="single" w:sz="4" w:space="0" w:color="000000"/>
              <w:left w:val="single" w:sz="4" w:space="0" w:color="000000"/>
              <w:bottom w:val="single" w:sz="6" w:space="0" w:color="000000"/>
              <w:right w:val="single" w:sz="6" w:space="0" w:color="000000"/>
            </w:tcBorders>
          </w:tcPr>
          <w:p>
            <w:pPr/>
          </w:p>
        </w:tc>
        <w:tc>
          <w:tcPr>
            <w:tcW w:w="3071"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3076" w:type="dxa"/>
            <w:tcBorders>
              <w:top w:val="single" w:sz="4" w:space="0" w:color="000000"/>
              <w:left w:val="single" w:sz="6" w:space="0" w:color="000000"/>
              <w:bottom w:val="single" w:sz="6" w:space="0" w:color="000000"/>
              <w:right w:val="single" w:sz="4" w:space="0" w:color="000000"/>
            </w:tcBorders>
          </w:tcPr>
          <w:p>
            <w:pPr>
              <w:pStyle w:val="TableParagraph"/>
              <w:spacing w:line="240" w:lineRule="exact"/>
              <w:ind w:left="48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91" w:right="0"/>
              <w:jc w:val="left"/>
              <w:rPr>
                <w:rFonts w:ascii="宋体" w:hAnsi="宋体" w:cs="宋体" w:eastAsia="宋体" w:hint="default"/>
                <w:sz w:val="21"/>
                <w:szCs w:val="21"/>
              </w:rPr>
            </w:pPr>
            <w:r>
              <w:rPr>
                <w:rFonts w:ascii="宋体"/>
                <w:sz w:val="21"/>
              </w:rPr>
              <w:t>15,778,483.32</w:t>
            </w:r>
          </w:p>
        </w:tc>
        <w:tc>
          <w:tcPr>
            <w:tcW w:w="307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595" w:right="0"/>
              <w:jc w:val="left"/>
              <w:rPr>
                <w:rFonts w:ascii="宋体" w:hAnsi="宋体" w:cs="宋体" w:eastAsia="宋体" w:hint="default"/>
                <w:sz w:val="21"/>
                <w:szCs w:val="21"/>
              </w:rPr>
            </w:pPr>
            <w:r>
              <w:rPr>
                <w:rFonts w:ascii="宋体"/>
                <w:sz w:val="21"/>
              </w:rPr>
              <w:t>14,319,651.77</w:t>
            </w:r>
          </w:p>
        </w:tc>
      </w:tr>
      <w:tr>
        <w:trPr>
          <w:trHeight w:val="559"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bl>
    <w:p>
      <w:pPr>
        <w:spacing w:after="0"/>
        <w:sectPr>
          <w:type w:val="continuous"/>
          <w:pgSz w:w="11910" w:h="16840"/>
          <w:pgMar w:top="108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03"/>
        <w:gridCol w:w="3071"/>
        <w:gridCol w:w="3076"/>
      </w:tblGrid>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560"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338,211.04</w:t>
            </w:r>
          </w:p>
        </w:tc>
        <w:tc>
          <w:tcPr>
            <w:tcW w:w="307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-236,064.71</w:t>
            </w: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307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r>
      <w:tr>
        <w:trPr>
          <w:trHeight w:val="286" w:hRule="exact"/>
        </w:trPr>
        <w:tc>
          <w:tcPr>
            <w:tcW w:w="2903"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1"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338,211.04</w:t>
            </w:r>
          </w:p>
        </w:tc>
        <w:tc>
          <w:tcPr>
            <w:tcW w:w="3076"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-236,064.71</w:t>
            </w:r>
          </w:p>
        </w:tc>
      </w:tr>
    </w:tbl>
    <w:p>
      <w:pPr>
        <w:spacing w:line="240" w:lineRule="auto" w:before="6"/>
        <w:rPr>
          <w:rFonts w:ascii="宋体" w:hAnsi="宋体" w:cs="宋体" w:eastAsia="宋体" w:hint="default"/>
          <w:sz w:val="20"/>
          <w:szCs w:val="20"/>
        </w:rPr>
      </w:pPr>
    </w:p>
    <w:p>
      <w:pPr>
        <w:tabs>
          <w:tab w:pos="1057" w:val="left" w:leader="none"/>
        </w:tabs>
        <w:spacing w:line="331" w:lineRule="auto" w:before="26"/>
        <w:ind w:left="638" w:right="246" w:hanging="420"/>
        <w:jc w:val="left"/>
        <w:rPr>
          <w:rFonts w:ascii="宋体" w:hAnsi="宋体" w:cs="宋体" w:eastAsia="宋体" w:hint="default"/>
          <w:sz w:val="24"/>
          <w:szCs w:val="24"/>
        </w:rPr>
      </w:pPr>
      <w:r>
        <w:rPr>
          <w:rFonts w:ascii="宋体" w:hAnsi="宋体" w:cs="宋体" w:eastAsia="宋体" w:hint="default"/>
          <w:b/>
          <w:bCs/>
          <w:w w:val="95"/>
          <w:sz w:val="24"/>
          <w:szCs w:val="24"/>
        </w:rPr>
        <w:t>十、</w:t>
        <w:tab/>
      </w:r>
      <w:r>
        <w:rPr>
          <w:rFonts w:ascii="宋体" w:hAnsi="宋体" w:cs="宋体" w:eastAsia="宋体" w:hint="default"/>
          <w:b/>
          <w:bCs/>
          <w:sz w:val="24"/>
          <w:szCs w:val="24"/>
        </w:rPr>
        <w:t>与金融工具相关的风险</w:t>
      </w:r>
      <w:r>
        <w:rPr>
          <w:rFonts w:ascii="宋体" w:hAnsi="宋体" w:cs="宋体" w:eastAsia="宋体" w:hint="default"/>
          <w:b/>
          <w:bCs/>
          <w:w w:val="99"/>
          <w:sz w:val="24"/>
          <w:szCs w:val="24"/>
        </w:rPr>
        <w:t> </w:t>
      </w:r>
      <w:r>
        <w:rPr>
          <w:rFonts w:ascii="宋体" w:hAnsi="宋体" w:cs="宋体" w:eastAsia="宋体" w:hint="default"/>
          <w:sz w:val="24"/>
          <w:szCs w:val="24"/>
        </w:rPr>
        <w:t>本集团的主要金融工具包括货币资金、应收账款、应收票据、其他应收款、一年</w:t>
      </w:r>
    </w:p>
    <w:p>
      <w:pPr>
        <w:pStyle w:val="BodyText"/>
        <w:spacing w:line="218" w:lineRule="exact"/>
        <w:ind w:left="218" w:right="101"/>
        <w:jc w:val="left"/>
      </w:pPr>
      <w:r>
        <w:rPr/>
        <w:t>内到期的非流动资产、其他流动资产、长期应收款、以公允价值计量且其变动计入当</w:t>
      </w:r>
    </w:p>
    <w:p>
      <w:pPr>
        <w:pStyle w:val="BodyText"/>
        <w:spacing w:line="237" w:lineRule="auto" w:before="1"/>
        <w:ind w:left="218" w:right="233"/>
        <w:jc w:val="both"/>
      </w:pPr>
      <w:r>
        <w:rPr>
          <w:spacing w:val="-8"/>
        </w:rPr>
        <w:t>期损益的金融资产和可供出售金融资产、应付账款、应付利息、应付票据、应付股利、</w:t>
      </w:r>
      <w:r>
        <w:rPr>
          <w:spacing w:val="-104"/>
        </w:rPr>
        <w:t> </w:t>
      </w:r>
      <w:r>
        <w:rPr>
          <w:spacing w:val="-104"/>
        </w:rPr>
      </w:r>
      <w:r>
        <w:rPr>
          <w:spacing w:val="-2"/>
        </w:rPr>
        <w:t>其他应付款、短期借款、一年内到期的非流动负债、长期借款、应付债券。各项金融</w:t>
      </w:r>
      <w:r>
        <w:rPr>
          <w:spacing w:val="-96"/>
        </w:rPr>
        <w:t> </w:t>
      </w:r>
      <w:r>
        <w:rPr>
          <w:spacing w:val="-96"/>
        </w:rPr>
      </w:r>
      <w:r>
        <w:rPr>
          <w:spacing w:val="-2"/>
        </w:rPr>
        <w:t>工具的详细情况已于相关附注内披露。与这些金融工具有关的风险，以及本集团为降</w:t>
      </w:r>
      <w:r>
        <w:rPr>
          <w:spacing w:val="-94"/>
        </w:rPr>
        <w:t> </w:t>
      </w:r>
      <w:r>
        <w:rPr>
          <w:spacing w:val="-94"/>
        </w:rPr>
      </w:r>
      <w:r>
        <w:rPr>
          <w:spacing w:val="-2"/>
        </w:rPr>
        <w:t>低这些风险所采取的风险管理政策如下所述。本集团管理层对这些风险敞口进行管理</w:t>
      </w:r>
      <w:r>
        <w:rPr>
          <w:spacing w:val="-93"/>
        </w:rPr>
        <w:t> </w:t>
      </w:r>
      <w:r>
        <w:rPr>
          <w:spacing w:val="-93"/>
        </w:rPr>
      </w:r>
      <w:r>
        <w:rPr/>
        <w:t>和监控以确保将上述风险控制在限定的范围之内。</w:t>
      </w:r>
    </w:p>
    <w:p>
      <w:pPr>
        <w:pStyle w:val="BodyText"/>
        <w:spacing w:line="331" w:lineRule="auto" w:before="117"/>
        <w:ind w:left="698" w:right="101" w:hanging="420"/>
        <w:jc w:val="left"/>
      </w:pPr>
      <w:r>
        <w:rPr>
          <w:rFonts w:ascii="宋体" w:hAnsi="宋体" w:cs="宋体" w:eastAsia="宋体" w:hint="default"/>
        </w:rPr>
        <w:t>1</w:t>
      </w:r>
      <w:r>
        <w:rPr/>
        <w:t>、风险管理目标和政策 </w:t>
      </w:r>
      <w:r>
        <w:rPr>
          <w:spacing w:val="-2"/>
        </w:rPr>
        <w:t>本集团从事风险管理的目标是在风险和收益之间取得适当的平衡，力求降低金融</w:t>
      </w:r>
    </w:p>
    <w:p>
      <w:pPr>
        <w:pStyle w:val="BodyText"/>
        <w:spacing w:line="220" w:lineRule="exact"/>
        <w:ind w:left="218" w:right="101"/>
        <w:jc w:val="left"/>
      </w:pPr>
      <w:r>
        <w:rPr/>
        <w:t>风险对本集团财务业绩的不利影响。</w:t>
      </w:r>
    </w:p>
    <w:p>
      <w:pPr>
        <w:pStyle w:val="BodyText"/>
        <w:spacing w:line="312" w:lineRule="exact" w:before="147"/>
        <w:ind w:left="218" w:right="101" w:firstLine="480"/>
        <w:jc w:val="left"/>
      </w:pPr>
      <w:r>
        <w:rPr>
          <w:spacing w:val="-2"/>
        </w:rPr>
        <w:t>本集团的金融工具导致的主要风险是利率风险、汇率风险、信用风险及流动性风</w:t>
      </w:r>
      <w:r>
        <w:rPr/>
        <w:t> 险。</w:t>
      </w:r>
    </w:p>
    <w:p>
      <w:pPr>
        <w:pStyle w:val="BodyText"/>
        <w:spacing w:line="240" w:lineRule="auto" w:before="88"/>
        <w:ind w:left="218" w:right="101"/>
        <w:jc w:val="left"/>
      </w:pPr>
      <w:r>
        <w:rPr/>
        <w:t>（</w:t>
      </w:r>
      <w:r>
        <w:rPr>
          <w:rFonts w:ascii="宋体" w:hAnsi="宋体" w:cs="宋体" w:eastAsia="宋体" w:hint="default"/>
        </w:rPr>
        <w:t>1</w:t>
      </w:r>
      <w:r>
        <w:rPr/>
        <w:t>）市场风险</w:t>
      </w:r>
    </w:p>
    <w:p>
      <w:pPr>
        <w:pStyle w:val="BodyText"/>
        <w:spacing w:line="312" w:lineRule="exact" w:before="147"/>
        <w:ind w:left="218" w:right="101" w:firstLine="480"/>
        <w:jc w:val="left"/>
      </w:pPr>
      <w:r>
        <w:rPr>
          <w:spacing w:val="-2"/>
        </w:rPr>
        <w:t>金融工具的市场风险，是指金融工具的公允价值或未来现金流量因市场价格变动</w:t>
      </w:r>
      <w:r>
        <w:rPr/>
        <w:t> 而发生波动的风险，包括利率风险、汇率风险和其他价格风险。</w:t>
      </w:r>
    </w:p>
    <w:p>
      <w:pPr>
        <w:pStyle w:val="BodyText"/>
        <w:spacing w:line="331" w:lineRule="auto" w:before="88"/>
        <w:ind w:left="698" w:right="101"/>
        <w:jc w:val="left"/>
      </w:pPr>
      <w:r>
        <w:rPr/>
        <w:t>利率风险 </w:t>
      </w:r>
      <w:r>
        <w:rPr>
          <w:spacing w:val="-2"/>
        </w:rPr>
        <w:t>利率风险，是指金融工具的公允价值或未来现金流量因市场利率变动而发生波动</w:t>
      </w:r>
    </w:p>
    <w:p>
      <w:pPr>
        <w:pStyle w:val="BodyText"/>
        <w:spacing w:line="218" w:lineRule="exact"/>
        <w:ind w:left="218" w:right="101"/>
        <w:jc w:val="left"/>
      </w:pPr>
      <w:r>
        <w:rPr/>
        <w:t>的风险。利率风险可源于已确认的计息金融工具和未确认的金融工具（如某些贷款承</w:t>
      </w:r>
    </w:p>
    <w:p>
      <w:pPr>
        <w:pStyle w:val="BodyText"/>
        <w:spacing w:line="312" w:lineRule="exact"/>
        <w:ind w:left="218" w:right="101"/>
        <w:jc w:val="left"/>
      </w:pPr>
      <w:r>
        <w:rPr/>
        <w:t>诺）。</w:t>
      </w:r>
    </w:p>
    <w:p>
      <w:pPr>
        <w:pStyle w:val="BodyText"/>
        <w:spacing w:line="310" w:lineRule="exact" w:before="150"/>
        <w:ind w:left="218" w:right="101" w:firstLine="480"/>
        <w:jc w:val="left"/>
      </w:pPr>
      <w:r>
        <w:rPr>
          <w:spacing w:val="-2"/>
        </w:rPr>
        <w:t>本集团的利率风险主要产生于短期银行借款等带息债务。浮动利率的金融负债使</w:t>
      </w:r>
      <w:r>
        <w:rPr/>
        <w:t> 本集团面临现金流量利率风险。</w:t>
      </w:r>
    </w:p>
    <w:p>
      <w:pPr>
        <w:pStyle w:val="BodyText"/>
        <w:spacing w:line="312" w:lineRule="exact" w:before="119"/>
        <w:ind w:left="218" w:right="101" w:firstLine="480"/>
        <w:jc w:val="left"/>
      </w:pPr>
      <w:r>
        <w:rPr>
          <w:spacing w:val="-2"/>
        </w:rPr>
        <w:t>本集团密切关注利率变动对本集团利率风险的影响。本集团目前并未采取利率对</w:t>
      </w:r>
      <w:r>
        <w:rPr/>
        <w:t> 冲政策。但管理层负责监控利率风险，并将于需要时考虑对冲重大利率风险。</w:t>
      </w:r>
    </w:p>
    <w:p>
      <w:pPr>
        <w:pStyle w:val="BodyText"/>
        <w:spacing w:line="240" w:lineRule="auto" w:before="88"/>
        <w:ind w:left="698" w:right="101"/>
        <w:jc w:val="left"/>
      </w:pPr>
      <w:r>
        <w:rPr/>
        <w:t>本集团持有的计息金融工具如下（单位：人民币万元）：</w:t>
      </w:r>
    </w:p>
    <w:p>
      <w:pPr>
        <w:spacing w:line="240" w:lineRule="auto" w:before="0"/>
        <w:rPr>
          <w:rFonts w:ascii="宋体" w:hAnsi="宋体" w:cs="宋体" w:eastAsia="宋体" w:hint="default"/>
          <w:sz w:val="12"/>
          <w:szCs w:val="12"/>
        </w:rPr>
      </w:pPr>
    </w:p>
    <w:tbl>
      <w:tblPr>
        <w:tblW w:w="0" w:type="auto"/>
        <w:jc w:val="left"/>
        <w:tblInd w:w="176" w:type="dxa"/>
        <w:tblLayout w:type="fixed"/>
        <w:tblCellMar>
          <w:top w:w="0" w:type="dxa"/>
          <w:left w:w="0" w:type="dxa"/>
          <w:bottom w:w="0" w:type="dxa"/>
          <w:right w:w="0" w:type="dxa"/>
        </w:tblCellMar>
        <w:tblLook w:val="01E0"/>
      </w:tblPr>
      <w:tblGrid>
        <w:gridCol w:w="2998"/>
        <w:gridCol w:w="3997"/>
        <w:gridCol w:w="1908"/>
      </w:tblGrid>
      <w:tr>
        <w:trPr>
          <w:trHeight w:val="392" w:hRule="exact"/>
        </w:trPr>
        <w:tc>
          <w:tcPr>
            <w:tcW w:w="2998"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4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997"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right="822"/>
              <w:jc w:val="right"/>
              <w:rPr>
                <w:rFonts w:ascii="宋体" w:hAnsi="宋体" w:cs="宋体" w:eastAsia="宋体" w:hint="default"/>
                <w:sz w:val="21"/>
                <w:szCs w:val="21"/>
              </w:rPr>
            </w:pPr>
            <w:r>
              <w:rPr>
                <w:rFonts w:ascii="宋体"/>
                <w:b/>
                <w:w w:val="95"/>
                <w:sz w:val="21"/>
              </w:rPr>
              <w:t>2014.12.31</w:t>
            </w:r>
            <w:r>
              <w:rPr>
                <w:rFonts w:ascii="宋体"/>
                <w:sz w:val="21"/>
              </w:rPr>
            </w:r>
          </w:p>
        </w:tc>
        <w:tc>
          <w:tcPr>
            <w:tcW w:w="1908"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right="133"/>
              <w:jc w:val="right"/>
              <w:rPr>
                <w:rFonts w:ascii="宋体" w:hAnsi="宋体" w:cs="宋体" w:eastAsia="宋体" w:hint="default"/>
                <w:sz w:val="21"/>
                <w:szCs w:val="21"/>
              </w:rPr>
            </w:pPr>
            <w:r>
              <w:rPr>
                <w:rFonts w:ascii="宋体"/>
                <w:b/>
                <w:w w:val="95"/>
                <w:sz w:val="21"/>
              </w:rPr>
              <w:t>2013.12.31</w:t>
            </w:r>
            <w:r>
              <w:rPr>
                <w:rFonts w:ascii="宋体"/>
                <w:sz w:val="21"/>
              </w:rPr>
            </w:r>
          </w:p>
        </w:tc>
      </w:tr>
      <w:tr>
        <w:trPr>
          <w:trHeight w:val="393" w:hRule="exact"/>
        </w:trPr>
        <w:tc>
          <w:tcPr>
            <w:tcW w:w="299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42" w:right="0"/>
              <w:jc w:val="left"/>
              <w:rPr>
                <w:rFonts w:ascii="宋体" w:hAnsi="宋体" w:cs="宋体" w:eastAsia="宋体" w:hint="default"/>
                <w:sz w:val="21"/>
                <w:szCs w:val="21"/>
              </w:rPr>
            </w:pPr>
            <w:r>
              <w:rPr>
                <w:rFonts w:ascii="宋体" w:hAnsi="宋体" w:cs="宋体" w:eastAsia="宋体" w:hint="default"/>
                <w:sz w:val="21"/>
                <w:szCs w:val="21"/>
              </w:rPr>
              <w:t>浮动利率金融工具</w:t>
            </w:r>
          </w:p>
        </w:tc>
        <w:tc>
          <w:tcPr>
            <w:tcW w:w="3997" w:type="dxa"/>
            <w:tcBorders>
              <w:top w:val="single" w:sz="4" w:space="0" w:color="000000"/>
              <w:left w:val="nil" w:sz="6" w:space="0" w:color="auto"/>
              <w:bottom w:val="nil" w:sz="6" w:space="0" w:color="auto"/>
              <w:right w:val="nil" w:sz="6" w:space="0" w:color="auto"/>
            </w:tcBorders>
          </w:tcPr>
          <w:p>
            <w:pPr/>
          </w:p>
        </w:tc>
        <w:tc>
          <w:tcPr>
            <w:tcW w:w="1908" w:type="dxa"/>
            <w:tcBorders>
              <w:top w:val="single" w:sz="4" w:space="0" w:color="000000"/>
              <w:left w:val="nil" w:sz="6" w:space="0" w:color="auto"/>
              <w:bottom w:val="nil" w:sz="6" w:space="0" w:color="auto"/>
              <w:right w:val="nil" w:sz="6" w:space="0" w:color="auto"/>
            </w:tcBorders>
          </w:tcPr>
          <w:p>
            <w:pPr/>
          </w:p>
        </w:tc>
      </w:tr>
      <w:tr>
        <w:trPr>
          <w:trHeight w:val="407" w:hRule="exact"/>
        </w:trPr>
        <w:tc>
          <w:tcPr>
            <w:tcW w:w="2998"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left="42"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3997"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right="714"/>
              <w:jc w:val="right"/>
              <w:rPr>
                <w:rFonts w:ascii="宋体" w:hAnsi="宋体" w:cs="宋体" w:eastAsia="宋体" w:hint="default"/>
                <w:sz w:val="21"/>
                <w:szCs w:val="21"/>
              </w:rPr>
            </w:pPr>
            <w:r>
              <w:rPr>
                <w:rFonts w:ascii="宋体"/>
                <w:sz w:val="21"/>
              </w:rPr>
              <w:t>173,874.53</w:t>
            </w:r>
          </w:p>
        </w:tc>
        <w:tc>
          <w:tcPr>
            <w:tcW w:w="1908"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right="25"/>
              <w:jc w:val="right"/>
              <w:rPr>
                <w:rFonts w:ascii="宋体" w:hAnsi="宋体" w:cs="宋体" w:eastAsia="宋体" w:hint="default"/>
                <w:sz w:val="21"/>
                <w:szCs w:val="21"/>
              </w:rPr>
            </w:pPr>
            <w:r>
              <w:rPr>
                <w:rFonts w:ascii="宋体"/>
                <w:sz w:val="21"/>
              </w:rPr>
              <w:t>134,956.00</w:t>
            </w:r>
          </w:p>
        </w:tc>
      </w:tr>
    </w:tbl>
    <w:p>
      <w:pPr>
        <w:spacing w:after="0" w:line="240" w:lineRule="auto"/>
        <w:jc w:val="right"/>
        <w:rPr>
          <w:rFonts w:ascii="宋体" w:hAnsi="宋体" w:cs="宋体" w:eastAsia="宋体" w:hint="default"/>
          <w:sz w:val="21"/>
          <w:szCs w:val="21"/>
        </w:rPr>
        <w:sectPr>
          <w:footerReference w:type="default" r:id="rId52"/>
          <w:pgSz w:w="11910" w:h="16840"/>
          <w:pgMar w:footer="1194" w:header="882"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30" w:type="dxa"/>
        <w:tblLayout w:type="fixed"/>
        <w:tblCellMar>
          <w:top w:w="0" w:type="dxa"/>
          <w:left w:w="0" w:type="dxa"/>
          <w:bottom w:w="0" w:type="dxa"/>
          <w:right w:w="0" w:type="dxa"/>
        </w:tblCellMar>
        <w:tblLook w:val="01E0"/>
      </w:tblPr>
      <w:tblGrid>
        <w:gridCol w:w="3772"/>
        <w:gridCol w:w="3262"/>
        <w:gridCol w:w="1855"/>
      </w:tblGrid>
      <w:tr>
        <w:trPr>
          <w:trHeight w:val="304" w:hRule="exact"/>
        </w:trPr>
        <w:tc>
          <w:tcPr>
            <w:tcW w:w="3772" w:type="dxa"/>
            <w:tcBorders>
              <w:top w:val="nil" w:sz="6" w:space="0" w:color="auto"/>
              <w:left w:val="nil" w:sz="6" w:space="0" w:color="auto"/>
              <w:bottom w:val="nil" w:sz="6" w:space="0" w:color="auto"/>
              <w:right w:val="nil" w:sz="6" w:space="0" w:color="auto"/>
            </w:tcBorders>
          </w:tcPr>
          <w:p>
            <w:pPr>
              <w:pStyle w:val="TableParagraph"/>
              <w:spacing w:line="210" w:lineRule="exact"/>
              <w:ind w:left="27" w:right="0"/>
              <w:jc w:val="left"/>
              <w:rPr>
                <w:rFonts w:ascii="宋体" w:hAnsi="宋体" w:cs="宋体" w:eastAsia="宋体" w:hint="default"/>
                <w:sz w:val="21"/>
                <w:szCs w:val="21"/>
              </w:rPr>
            </w:pPr>
            <w:r>
              <w:rPr>
                <w:rFonts w:ascii="宋体" w:hAnsi="宋体" w:cs="宋体" w:eastAsia="宋体" w:hint="default"/>
                <w:sz w:val="21"/>
                <w:szCs w:val="21"/>
              </w:rPr>
              <w:t>其中：货币资金</w:t>
            </w:r>
          </w:p>
        </w:tc>
        <w:tc>
          <w:tcPr>
            <w:tcW w:w="3262" w:type="dxa"/>
            <w:tcBorders>
              <w:top w:val="nil" w:sz="6" w:space="0" w:color="auto"/>
              <w:left w:val="nil" w:sz="6" w:space="0" w:color="auto"/>
              <w:bottom w:val="nil" w:sz="6" w:space="0" w:color="auto"/>
              <w:right w:val="nil" w:sz="6" w:space="0" w:color="auto"/>
            </w:tcBorders>
          </w:tcPr>
          <w:p>
            <w:pPr>
              <w:pStyle w:val="TableParagraph"/>
              <w:spacing w:line="210" w:lineRule="exact"/>
              <w:ind w:right="767"/>
              <w:jc w:val="right"/>
              <w:rPr>
                <w:rFonts w:ascii="宋体" w:hAnsi="宋体" w:cs="宋体" w:eastAsia="宋体" w:hint="default"/>
                <w:sz w:val="21"/>
                <w:szCs w:val="21"/>
              </w:rPr>
            </w:pPr>
            <w:r>
              <w:rPr>
                <w:rFonts w:ascii="宋体"/>
                <w:sz w:val="21"/>
              </w:rPr>
              <w:t>173,874.53</w:t>
            </w:r>
          </w:p>
        </w:tc>
        <w:tc>
          <w:tcPr>
            <w:tcW w:w="1855" w:type="dxa"/>
            <w:tcBorders>
              <w:top w:val="nil" w:sz="6" w:space="0" w:color="auto"/>
              <w:left w:val="nil" w:sz="6" w:space="0" w:color="auto"/>
              <w:bottom w:val="nil" w:sz="6" w:space="0" w:color="auto"/>
              <w:right w:val="nil" w:sz="6" w:space="0" w:color="auto"/>
            </w:tcBorders>
          </w:tcPr>
          <w:p>
            <w:pPr>
              <w:pStyle w:val="TableParagraph"/>
              <w:spacing w:line="210" w:lineRule="exact"/>
              <w:ind w:right="25"/>
              <w:jc w:val="right"/>
              <w:rPr>
                <w:rFonts w:ascii="宋体" w:hAnsi="宋体" w:cs="宋体" w:eastAsia="宋体" w:hint="default"/>
                <w:sz w:val="21"/>
                <w:szCs w:val="21"/>
              </w:rPr>
            </w:pPr>
            <w:r>
              <w:rPr>
                <w:rFonts w:ascii="宋体"/>
                <w:sz w:val="21"/>
              </w:rPr>
              <w:t>134,956.00</w:t>
            </w:r>
          </w:p>
        </w:tc>
      </w:tr>
      <w:tr>
        <w:trPr>
          <w:trHeight w:val="397" w:hRule="exact"/>
        </w:trPr>
        <w:tc>
          <w:tcPr>
            <w:tcW w:w="377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326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67"/>
              <w:jc w:val="right"/>
              <w:rPr>
                <w:rFonts w:ascii="宋体" w:hAnsi="宋体" w:cs="宋体" w:eastAsia="宋体" w:hint="default"/>
                <w:sz w:val="21"/>
                <w:szCs w:val="21"/>
              </w:rPr>
            </w:pPr>
            <w:r>
              <w:rPr>
                <w:rFonts w:ascii="宋体"/>
                <w:sz w:val="21"/>
              </w:rPr>
              <w:t>211,709.02</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5"/>
              <w:jc w:val="right"/>
              <w:rPr>
                <w:rFonts w:ascii="宋体" w:hAnsi="宋体" w:cs="宋体" w:eastAsia="宋体" w:hint="default"/>
                <w:sz w:val="21"/>
                <w:szCs w:val="21"/>
              </w:rPr>
            </w:pPr>
            <w:r>
              <w:rPr>
                <w:rFonts w:ascii="宋体"/>
                <w:sz w:val="21"/>
              </w:rPr>
              <w:t>149,627.94</w:t>
            </w:r>
          </w:p>
        </w:tc>
      </w:tr>
      <w:tr>
        <w:trPr>
          <w:trHeight w:val="397" w:hRule="exact"/>
        </w:trPr>
        <w:tc>
          <w:tcPr>
            <w:tcW w:w="377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其中：短期借款</w:t>
            </w:r>
          </w:p>
        </w:tc>
        <w:tc>
          <w:tcPr>
            <w:tcW w:w="326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67"/>
              <w:jc w:val="right"/>
              <w:rPr>
                <w:rFonts w:ascii="宋体" w:hAnsi="宋体" w:cs="宋体" w:eastAsia="宋体" w:hint="default"/>
                <w:sz w:val="21"/>
                <w:szCs w:val="21"/>
              </w:rPr>
            </w:pPr>
            <w:r>
              <w:rPr>
                <w:rFonts w:ascii="宋体"/>
                <w:sz w:val="21"/>
              </w:rPr>
              <w:t>51,131.64</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
              <w:jc w:val="right"/>
              <w:rPr>
                <w:rFonts w:ascii="宋体" w:hAnsi="宋体" w:cs="宋体" w:eastAsia="宋体" w:hint="default"/>
                <w:sz w:val="21"/>
                <w:szCs w:val="21"/>
              </w:rPr>
            </w:pPr>
            <w:r>
              <w:rPr>
                <w:rFonts w:ascii="宋体"/>
                <w:sz w:val="21"/>
              </w:rPr>
              <w:t>22,837.01</w:t>
            </w:r>
          </w:p>
        </w:tc>
      </w:tr>
      <w:tr>
        <w:trPr>
          <w:trHeight w:val="397" w:hRule="exact"/>
        </w:trPr>
        <w:tc>
          <w:tcPr>
            <w:tcW w:w="377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657"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326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67"/>
              <w:jc w:val="right"/>
              <w:rPr>
                <w:rFonts w:ascii="宋体" w:hAnsi="宋体" w:cs="宋体" w:eastAsia="宋体" w:hint="default"/>
                <w:sz w:val="21"/>
                <w:szCs w:val="21"/>
              </w:rPr>
            </w:pPr>
            <w:r>
              <w:rPr>
                <w:rFonts w:ascii="宋体"/>
                <w:sz w:val="21"/>
              </w:rPr>
              <w:t>44,598.42</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
              <w:jc w:val="right"/>
              <w:rPr>
                <w:rFonts w:ascii="宋体" w:hAnsi="宋体" w:cs="宋体" w:eastAsia="宋体" w:hint="default"/>
                <w:sz w:val="21"/>
                <w:szCs w:val="21"/>
              </w:rPr>
            </w:pPr>
            <w:r>
              <w:rPr>
                <w:rFonts w:ascii="宋体"/>
                <w:sz w:val="21"/>
              </w:rPr>
              <w:t>21,592.86</w:t>
            </w:r>
          </w:p>
        </w:tc>
      </w:tr>
      <w:tr>
        <w:trPr>
          <w:trHeight w:val="397" w:hRule="exact"/>
        </w:trPr>
        <w:tc>
          <w:tcPr>
            <w:tcW w:w="377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658"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326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67"/>
              <w:jc w:val="right"/>
              <w:rPr>
                <w:rFonts w:ascii="宋体" w:hAnsi="宋体" w:cs="宋体" w:eastAsia="宋体" w:hint="default"/>
                <w:sz w:val="21"/>
                <w:szCs w:val="21"/>
              </w:rPr>
            </w:pPr>
            <w:r>
              <w:rPr>
                <w:rFonts w:ascii="宋体"/>
                <w:sz w:val="21"/>
              </w:rPr>
              <w:t>89,430.23</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
              <w:jc w:val="right"/>
              <w:rPr>
                <w:rFonts w:ascii="宋体" w:hAnsi="宋体" w:cs="宋体" w:eastAsia="宋体" w:hint="default"/>
                <w:sz w:val="21"/>
                <w:szCs w:val="21"/>
              </w:rPr>
            </w:pPr>
            <w:r>
              <w:rPr>
                <w:rFonts w:ascii="宋体"/>
                <w:sz w:val="21"/>
              </w:rPr>
              <w:t>89,279.62</w:t>
            </w:r>
          </w:p>
        </w:tc>
      </w:tr>
      <w:tr>
        <w:trPr>
          <w:trHeight w:val="404" w:hRule="exact"/>
        </w:trPr>
        <w:tc>
          <w:tcPr>
            <w:tcW w:w="3772"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3262"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767"/>
              <w:jc w:val="right"/>
              <w:rPr>
                <w:rFonts w:ascii="宋体" w:hAnsi="宋体" w:cs="宋体" w:eastAsia="宋体" w:hint="default"/>
                <w:sz w:val="21"/>
                <w:szCs w:val="21"/>
              </w:rPr>
            </w:pPr>
            <w:r>
              <w:rPr>
                <w:rFonts w:ascii="宋体"/>
                <w:sz w:val="21"/>
              </w:rPr>
              <w:t>26,548.72</w:t>
            </w:r>
          </w:p>
        </w:tc>
        <w:tc>
          <w:tcPr>
            <w:tcW w:w="1855"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26"/>
              <w:jc w:val="right"/>
              <w:rPr>
                <w:rFonts w:ascii="宋体" w:hAnsi="宋体" w:cs="宋体" w:eastAsia="宋体" w:hint="default"/>
                <w:sz w:val="21"/>
                <w:szCs w:val="21"/>
              </w:rPr>
            </w:pPr>
            <w:r>
              <w:rPr>
                <w:rFonts w:ascii="宋体"/>
                <w:sz w:val="21"/>
              </w:rPr>
              <w:t>15,918.45</w:t>
            </w:r>
          </w:p>
        </w:tc>
      </w:tr>
      <w:tr>
        <w:trPr>
          <w:trHeight w:val="402" w:hRule="exact"/>
        </w:trPr>
        <w:tc>
          <w:tcPr>
            <w:tcW w:w="3772"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27"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262"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769"/>
              <w:jc w:val="right"/>
              <w:rPr>
                <w:rFonts w:ascii="宋体" w:hAnsi="宋体" w:cs="宋体" w:eastAsia="宋体" w:hint="default"/>
                <w:sz w:val="21"/>
                <w:szCs w:val="21"/>
              </w:rPr>
            </w:pPr>
            <w:r>
              <w:rPr>
                <w:rFonts w:ascii="宋体"/>
                <w:b/>
                <w:w w:val="95"/>
                <w:sz w:val="21"/>
              </w:rPr>
              <w:t>385,583.55</w:t>
            </w:r>
            <w:r>
              <w:rPr>
                <w:rFonts w:ascii="宋体"/>
                <w:sz w:val="21"/>
              </w:rPr>
            </w:r>
          </w:p>
        </w:tc>
        <w:tc>
          <w:tcPr>
            <w:tcW w:w="1855"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26"/>
              <w:jc w:val="right"/>
              <w:rPr>
                <w:rFonts w:ascii="宋体" w:hAnsi="宋体" w:cs="宋体" w:eastAsia="宋体" w:hint="default"/>
                <w:sz w:val="21"/>
                <w:szCs w:val="21"/>
              </w:rPr>
            </w:pPr>
            <w:r>
              <w:rPr>
                <w:rFonts w:ascii="宋体"/>
                <w:b/>
                <w:w w:val="95"/>
                <w:sz w:val="21"/>
              </w:rPr>
              <w:t>284,583.94</w:t>
            </w:r>
            <w:r>
              <w:rPr>
                <w:rFonts w:ascii="宋体"/>
                <w:sz w:val="21"/>
              </w:rPr>
            </w:r>
          </w:p>
        </w:tc>
      </w:tr>
    </w:tbl>
    <w:p>
      <w:pPr>
        <w:pStyle w:val="BodyText"/>
        <w:spacing w:line="328" w:lineRule="auto" w:before="11"/>
        <w:ind w:left="638" w:right="0"/>
        <w:jc w:val="left"/>
      </w:pPr>
      <w:r>
        <w:rPr/>
        <w:t>汇率风险 </w:t>
      </w:r>
      <w:r>
        <w:rPr>
          <w:spacing w:val="-2"/>
        </w:rPr>
        <w:t>汇率风险，是指金融工具的公允价值或未来现金流量因外汇汇率变动而发生波动</w:t>
      </w:r>
    </w:p>
    <w:p>
      <w:pPr>
        <w:pStyle w:val="BodyText"/>
        <w:spacing w:line="223" w:lineRule="exact"/>
        <w:ind w:left="158" w:right="0"/>
        <w:jc w:val="left"/>
      </w:pPr>
      <w:r>
        <w:rPr/>
        <w:t>的风险。汇率风险可源于以记账本位币之外的外币进行计价的金融工具。</w:t>
      </w:r>
    </w:p>
    <w:p>
      <w:pPr>
        <w:pStyle w:val="BodyText"/>
        <w:spacing w:line="312" w:lineRule="exact" w:before="147"/>
        <w:ind w:left="158" w:right="0" w:firstLine="480"/>
        <w:jc w:val="left"/>
      </w:pPr>
      <w:r>
        <w:rPr>
          <w:spacing w:val="-2"/>
        </w:rPr>
        <w:t>本集团的主要经营位于中国境内、香港，国内业务以人民币结算、出口业务主要</w:t>
      </w:r>
      <w:r>
        <w:rPr/>
        <w:t> </w:t>
      </w:r>
      <w:r>
        <w:rPr>
          <w:spacing w:val="-2"/>
        </w:rPr>
        <w:t>以美元、港币结算，境外经营公司以美元、港币结算。但本集团已确认的外币资产和</w:t>
      </w:r>
    </w:p>
    <w:p>
      <w:pPr>
        <w:pStyle w:val="BodyText"/>
        <w:spacing w:line="281" w:lineRule="exact"/>
        <w:ind w:left="158" w:right="0"/>
        <w:jc w:val="left"/>
      </w:pPr>
      <w:r>
        <w:rPr/>
        <w:t>负债及未来的外币交易（外币资产和负债及外币交易的计价货币主要为美元、港币）</w:t>
      </w:r>
    </w:p>
    <w:p>
      <w:pPr>
        <w:pStyle w:val="BodyText"/>
        <w:spacing w:line="331" w:lineRule="auto"/>
        <w:ind w:left="638" w:right="216" w:hanging="480"/>
        <w:jc w:val="left"/>
      </w:pPr>
      <w:r>
        <w:rPr/>
        <w:t>依然存在外汇风险。 </w:t>
      </w:r>
      <w:r>
        <w:rPr>
          <w:spacing w:val="-8"/>
        </w:rPr>
        <w:t>相关外币资产及外币负债包括：以外币计价的货币资金、应收账款、其他应收款、</w:t>
      </w:r>
    </w:p>
    <w:p>
      <w:pPr>
        <w:pStyle w:val="BodyText"/>
        <w:spacing w:line="220" w:lineRule="exact"/>
        <w:ind w:left="158" w:right="0"/>
        <w:jc w:val="left"/>
      </w:pPr>
      <w:r>
        <w:rPr/>
        <w:t>应付账款、其他应付款、短期借款、一年内到期的非流动负债。</w:t>
      </w:r>
    </w:p>
    <w:p>
      <w:pPr>
        <w:pStyle w:val="BodyText"/>
        <w:spacing w:line="312" w:lineRule="exact" w:before="147"/>
        <w:ind w:left="158" w:right="288" w:firstLine="480"/>
        <w:jc w:val="left"/>
      </w:pPr>
      <w:r>
        <w:rPr/>
        <w:t>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日，本集团持有的外币金融资产和外币金融负债折算成人民 币的金额列示如下（单位：人民币万元）：</w:t>
      </w:r>
    </w:p>
    <w:p>
      <w:pPr>
        <w:spacing w:line="240" w:lineRule="auto" w:before="9"/>
        <w:rPr>
          <w:rFonts w:ascii="宋体" w:hAnsi="宋体" w:cs="宋体" w:eastAsia="宋体" w:hint="default"/>
          <w:sz w:val="9"/>
          <w:szCs w:val="9"/>
        </w:rPr>
      </w:pPr>
    </w:p>
    <w:tbl>
      <w:tblPr>
        <w:tblW w:w="0" w:type="auto"/>
        <w:jc w:val="left"/>
        <w:tblInd w:w="116" w:type="dxa"/>
        <w:tblLayout w:type="fixed"/>
        <w:tblCellMar>
          <w:top w:w="0" w:type="dxa"/>
          <w:left w:w="0" w:type="dxa"/>
          <w:bottom w:w="0" w:type="dxa"/>
          <w:right w:w="0" w:type="dxa"/>
        </w:tblCellMar>
        <w:tblLook w:val="01E0"/>
      </w:tblPr>
      <w:tblGrid>
        <w:gridCol w:w="2695"/>
        <w:gridCol w:w="3874"/>
        <w:gridCol w:w="2335"/>
      </w:tblGrid>
      <w:tr>
        <w:trPr>
          <w:trHeight w:val="467" w:hRule="exact"/>
        </w:trPr>
        <w:tc>
          <w:tcPr>
            <w:tcW w:w="2695" w:type="dxa"/>
            <w:tcBorders>
              <w:top w:val="single" w:sz="8" w:space="0" w:color="000000"/>
              <w:left w:val="nil" w:sz="6" w:space="0" w:color="auto"/>
              <w:bottom w:val="nil" w:sz="6" w:space="0" w:color="auto"/>
              <w:right w:val="nil" w:sz="6" w:space="0" w:color="auto"/>
            </w:tcBorders>
          </w:tcPr>
          <w:p>
            <w:pPr>
              <w:pStyle w:val="TableParagraph"/>
              <w:spacing w:line="240" w:lineRule="auto" w:before="168"/>
              <w:ind w:left="4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874" w:type="dxa"/>
            <w:tcBorders>
              <w:top w:val="single" w:sz="8" w:space="0" w:color="000000"/>
              <w:left w:val="nil" w:sz="6" w:space="0" w:color="auto"/>
              <w:bottom w:val="nil" w:sz="6" w:space="0" w:color="auto"/>
              <w:right w:val="nil" w:sz="6" w:space="0" w:color="auto"/>
            </w:tcBorders>
          </w:tcPr>
          <w:p>
            <w:pPr>
              <w:pStyle w:val="TableParagraph"/>
              <w:spacing w:line="240" w:lineRule="auto" w:before="17"/>
              <w:ind w:right="1246"/>
              <w:jc w:val="right"/>
              <w:rPr>
                <w:rFonts w:ascii="宋体" w:hAnsi="宋体" w:cs="宋体" w:eastAsia="宋体" w:hint="default"/>
                <w:sz w:val="21"/>
                <w:szCs w:val="21"/>
              </w:rPr>
            </w:pPr>
            <w:r>
              <w:rPr>
                <w:rFonts w:ascii="宋体" w:hAnsi="宋体" w:cs="宋体" w:eastAsia="宋体" w:hint="default"/>
                <w:b/>
                <w:bCs/>
                <w:sz w:val="21"/>
                <w:szCs w:val="21"/>
              </w:rPr>
              <w:t>外币负债</w:t>
            </w:r>
            <w:r>
              <w:rPr>
                <w:rFonts w:ascii="宋体" w:hAnsi="宋体" w:cs="宋体" w:eastAsia="宋体" w:hint="default"/>
                <w:sz w:val="21"/>
                <w:szCs w:val="21"/>
              </w:rPr>
            </w:r>
          </w:p>
        </w:tc>
        <w:tc>
          <w:tcPr>
            <w:tcW w:w="2335" w:type="dxa"/>
            <w:tcBorders>
              <w:top w:val="single" w:sz="8" w:space="0" w:color="000000"/>
              <w:left w:val="nil" w:sz="6" w:space="0" w:color="auto"/>
              <w:bottom w:val="nil" w:sz="6" w:space="0" w:color="auto"/>
              <w:right w:val="nil" w:sz="6" w:space="0" w:color="auto"/>
            </w:tcBorders>
          </w:tcPr>
          <w:p>
            <w:pPr>
              <w:pStyle w:val="TableParagraph"/>
              <w:spacing w:line="240" w:lineRule="auto" w:before="17"/>
              <w:ind w:right="24"/>
              <w:jc w:val="right"/>
              <w:rPr>
                <w:rFonts w:ascii="宋体" w:hAnsi="宋体" w:cs="宋体" w:eastAsia="宋体" w:hint="default"/>
                <w:sz w:val="21"/>
                <w:szCs w:val="21"/>
              </w:rPr>
            </w:pPr>
            <w:r>
              <w:rPr>
                <w:rFonts w:ascii="宋体" w:hAnsi="宋体" w:cs="宋体" w:eastAsia="宋体" w:hint="default"/>
                <w:b/>
                <w:bCs/>
                <w:sz w:val="21"/>
                <w:szCs w:val="21"/>
              </w:rPr>
              <w:t>外币资产</w:t>
            </w:r>
            <w:r>
              <w:rPr>
                <w:rFonts w:ascii="宋体" w:hAnsi="宋体" w:cs="宋体" w:eastAsia="宋体" w:hint="default"/>
                <w:sz w:val="21"/>
                <w:szCs w:val="21"/>
              </w:rPr>
            </w:r>
          </w:p>
        </w:tc>
      </w:tr>
      <w:tr>
        <w:trPr>
          <w:trHeight w:val="323" w:hRule="exact"/>
        </w:trPr>
        <w:tc>
          <w:tcPr>
            <w:tcW w:w="2695" w:type="dxa"/>
            <w:tcBorders>
              <w:top w:val="nil" w:sz="6" w:space="0" w:color="auto"/>
              <w:left w:val="nil" w:sz="6" w:space="0" w:color="auto"/>
              <w:bottom w:val="single" w:sz="4" w:space="0" w:color="000000"/>
              <w:right w:val="nil" w:sz="6" w:space="0" w:color="auto"/>
            </w:tcBorders>
          </w:tcPr>
          <w:p>
            <w:pPr/>
          </w:p>
        </w:tc>
        <w:tc>
          <w:tcPr>
            <w:tcW w:w="3874" w:type="dxa"/>
            <w:tcBorders>
              <w:top w:val="nil" w:sz="6" w:space="0" w:color="auto"/>
              <w:left w:val="nil" w:sz="6" w:space="0" w:color="auto"/>
              <w:bottom w:val="single" w:sz="4" w:space="0" w:color="000000"/>
              <w:right w:val="nil" w:sz="6" w:space="0" w:color="auto"/>
            </w:tcBorders>
          </w:tcPr>
          <w:p>
            <w:pPr>
              <w:pStyle w:val="TableParagraph"/>
              <w:spacing w:line="223" w:lineRule="exact"/>
              <w:ind w:right="1250"/>
              <w:jc w:val="right"/>
              <w:rPr>
                <w:rFonts w:ascii="宋体" w:hAnsi="宋体" w:cs="宋体" w:eastAsia="宋体" w:hint="default"/>
                <w:sz w:val="21"/>
                <w:szCs w:val="21"/>
              </w:rPr>
            </w:pPr>
            <w:r>
              <w:rPr>
                <w:rFonts w:ascii="宋体"/>
                <w:b/>
                <w:w w:val="95"/>
                <w:sz w:val="21"/>
              </w:rPr>
              <w:t>2014.12.31</w:t>
            </w:r>
            <w:r>
              <w:rPr>
                <w:rFonts w:ascii="宋体"/>
                <w:sz w:val="21"/>
              </w:rPr>
            </w:r>
          </w:p>
        </w:tc>
        <w:tc>
          <w:tcPr>
            <w:tcW w:w="2335" w:type="dxa"/>
            <w:tcBorders>
              <w:top w:val="nil" w:sz="6" w:space="0" w:color="auto"/>
              <w:left w:val="nil" w:sz="6" w:space="0" w:color="auto"/>
              <w:bottom w:val="single" w:sz="4" w:space="0" w:color="000000"/>
              <w:right w:val="nil" w:sz="6" w:space="0" w:color="auto"/>
            </w:tcBorders>
          </w:tcPr>
          <w:p>
            <w:pPr>
              <w:pStyle w:val="TableParagraph"/>
              <w:spacing w:line="223" w:lineRule="exact"/>
              <w:ind w:right="27"/>
              <w:jc w:val="right"/>
              <w:rPr>
                <w:rFonts w:ascii="宋体" w:hAnsi="宋体" w:cs="宋体" w:eastAsia="宋体" w:hint="default"/>
                <w:sz w:val="21"/>
                <w:szCs w:val="21"/>
              </w:rPr>
            </w:pPr>
            <w:r>
              <w:rPr>
                <w:rFonts w:ascii="宋体"/>
                <w:b/>
                <w:w w:val="95"/>
                <w:sz w:val="21"/>
              </w:rPr>
              <w:t>2014.12.31</w:t>
            </w:r>
            <w:r>
              <w:rPr>
                <w:rFonts w:ascii="宋体"/>
                <w:sz w:val="21"/>
              </w:rPr>
            </w:r>
          </w:p>
        </w:tc>
      </w:tr>
      <w:tr>
        <w:trPr>
          <w:trHeight w:val="343" w:hRule="exact"/>
        </w:trPr>
        <w:tc>
          <w:tcPr>
            <w:tcW w:w="2695" w:type="dxa"/>
            <w:tcBorders>
              <w:top w:val="single" w:sz="4" w:space="0" w:color="000000"/>
              <w:left w:val="nil" w:sz="6" w:space="0" w:color="auto"/>
              <w:bottom w:val="nil" w:sz="6" w:space="0" w:color="auto"/>
              <w:right w:val="nil" w:sz="6" w:space="0" w:color="auto"/>
            </w:tcBorders>
          </w:tcPr>
          <w:p>
            <w:pPr>
              <w:pStyle w:val="TableParagraph"/>
              <w:spacing w:line="273" w:lineRule="exact"/>
              <w:ind w:left="18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3874" w:type="dxa"/>
            <w:tcBorders>
              <w:top w:val="single" w:sz="4" w:space="0" w:color="000000"/>
              <w:left w:val="nil" w:sz="6" w:space="0" w:color="auto"/>
              <w:bottom w:val="nil" w:sz="6" w:space="0" w:color="auto"/>
              <w:right w:val="nil" w:sz="6" w:space="0" w:color="auto"/>
            </w:tcBorders>
          </w:tcPr>
          <w:p>
            <w:pPr>
              <w:pStyle w:val="TableParagraph"/>
              <w:spacing w:line="273" w:lineRule="exact"/>
              <w:ind w:right="1247"/>
              <w:jc w:val="right"/>
              <w:rPr>
                <w:rFonts w:ascii="宋体" w:hAnsi="宋体" w:cs="宋体" w:eastAsia="宋体" w:hint="default"/>
                <w:sz w:val="21"/>
                <w:szCs w:val="21"/>
              </w:rPr>
            </w:pPr>
            <w:r>
              <w:rPr>
                <w:rFonts w:ascii="宋体"/>
                <w:sz w:val="21"/>
              </w:rPr>
              <w:t>28,885.51</w:t>
            </w:r>
          </w:p>
        </w:tc>
        <w:tc>
          <w:tcPr>
            <w:tcW w:w="2335" w:type="dxa"/>
            <w:tcBorders>
              <w:top w:val="single" w:sz="4" w:space="0" w:color="000000"/>
              <w:left w:val="nil" w:sz="6" w:space="0" w:color="auto"/>
              <w:bottom w:val="nil" w:sz="6" w:space="0" w:color="auto"/>
              <w:right w:val="nil" w:sz="6" w:space="0" w:color="auto"/>
            </w:tcBorders>
          </w:tcPr>
          <w:p>
            <w:pPr>
              <w:pStyle w:val="TableParagraph"/>
              <w:spacing w:line="273" w:lineRule="exact"/>
              <w:ind w:right="26"/>
              <w:jc w:val="right"/>
              <w:rPr>
                <w:rFonts w:ascii="宋体" w:hAnsi="宋体" w:cs="宋体" w:eastAsia="宋体" w:hint="default"/>
                <w:sz w:val="21"/>
                <w:szCs w:val="21"/>
              </w:rPr>
            </w:pPr>
            <w:r>
              <w:rPr>
                <w:rFonts w:ascii="宋体"/>
                <w:sz w:val="21"/>
              </w:rPr>
              <w:t>32,970.04</w:t>
            </w:r>
          </w:p>
        </w:tc>
      </w:tr>
      <w:tr>
        <w:trPr>
          <w:trHeight w:val="340" w:hRule="exact"/>
        </w:trPr>
        <w:tc>
          <w:tcPr>
            <w:tcW w:w="2695" w:type="dxa"/>
            <w:tcBorders>
              <w:top w:val="nil" w:sz="6" w:space="0" w:color="auto"/>
              <w:left w:val="nil" w:sz="6" w:space="0" w:color="auto"/>
              <w:bottom w:val="nil" w:sz="6" w:space="0" w:color="auto"/>
              <w:right w:val="nil" w:sz="6" w:space="0" w:color="auto"/>
            </w:tcBorders>
          </w:tcPr>
          <w:p>
            <w:pPr>
              <w:pStyle w:val="TableParagraph"/>
              <w:spacing w:line="240" w:lineRule="auto"/>
              <w:ind w:left="183"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3874" w:type="dxa"/>
            <w:tcBorders>
              <w:top w:val="nil" w:sz="6" w:space="0" w:color="auto"/>
              <w:left w:val="nil" w:sz="6" w:space="0" w:color="auto"/>
              <w:bottom w:val="nil" w:sz="6" w:space="0" w:color="auto"/>
              <w:right w:val="nil" w:sz="6" w:space="0" w:color="auto"/>
            </w:tcBorders>
          </w:tcPr>
          <w:p>
            <w:pPr>
              <w:pStyle w:val="TableParagraph"/>
              <w:spacing w:line="240" w:lineRule="auto"/>
              <w:ind w:right="1247"/>
              <w:jc w:val="right"/>
              <w:rPr>
                <w:rFonts w:ascii="宋体" w:hAnsi="宋体" w:cs="宋体" w:eastAsia="宋体" w:hint="default"/>
                <w:sz w:val="21"/>
                <w:szCs w:val="21"/>
              </w:rPr>
            </w:pPr>
            <w:r>
              <w:rPr>
                <w:rFonts w:ascii="宋体"/>
                <w:sz w:val="21"/>
              </w:rPr>
              <w:t>16,963.14</w:t>
            </w: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ind w:right="26"/>
              <w:jc w:val="right"/>
              <w:rPr>
                <w:rFonts w:ascii="宋体" w:hAnsi="宋体" w:cs="宋体" w:eastAsia="宋体" w:hint="default"/>
                <w:sz w:val="21"/>
                <w:szCs w:val="21"/>
              </w:rPr>
            </w:pPr>
            <w:r>
              <w:rPr>
                <w:rFonts w:ascii="宋体"/>
                <w:sz w:val="21"/>
              </w:rPr>
              <w:t>39,657.52</w:t>
            </w:r>
          </w:p>
        </w:tc>
      </w:tr>
      <w:tr>
        <w:trPr>
          <w:trHeight w:val="340" w:hRule="exact"/>
        </w:trPr>
        <w:tc>
          <w:tcPr>
            <w:tcW w:w="2695" w:type="dxa"/>
            <w:tcBorders>
              <w:top w:val="nil" w:sz="6" w:space="0" w:color="auto"/>
              <w:left w:val="nil" w:sz="6" w:space="0" w:color="auto"/>
              <w:bottom w:val="nil" w:sz="6" w:space="0" w:color="auto"/>
              <w:right w:val="nil" w:sz="6" w:space="0" w:color="auto"/>
            </w:tcBorders>
          </w:tcPr>
          <w:p>
            <w:pPr>
              <w:pStyle w:val="TableParagraph"/>
              <w:spacing w:line="240" w:lineRule="auto"/>
              <w:ind w:left="183" w:right="0"/>
              <w:jc w:val="left"/>
              <w:rPr>
                <w:rFonts w:ascii="宋体" w:hAnsi="宋体" w:cs="宋体" w:eastAsia="宋体" w:hint="default"/>
                <w:sz w:val="21"/>
                <w:szCs w:val="21"/>
              </w:rPr>
            </w:pPr>
            <w:r>
              <w:rPr>
                <w:rFonts w:ascii="宋体" w:hAnsi="宋体" w:cs="宋体" w:eastAsia="宋体" w:hint="default"/>
                <w:sz w:val="21"/>
                <w:szCs w:val="21"/>
              </w:rPr>
              <w:t>泰铢</w:t>
            </w:r>
          </w:p>
        </w:tc>
        <w:tc>
          <w:tcPr>
            <w:tcW w:w="3874" w:type="dxa"/>
            <w:tcBorders>
              <w:top w:val="nil" w:sz="6" w:space="0" w:color="auto"/>
              <w:left w:val="nil" w:sz="6" w:space="0" w:color="auto"/>
              <w:bottom w:val="nil" w:sz="6" w:space="0" w:color="auto"/>
              <w:right w:val="nil" w:sz="6" w:space="0" w:color="auto"/>
            </w:tcBorders>
          </w:tcPr>
          <w:p>
            <w:pPr>
              <w:pStyle w:val="TableParagraph"/>
              <w:spacing w:line="240" w:lineRule="auto"/>
              <w:ind w:right="1249"/>
              <w:jc w:val="right"/>
              <w:rPr>
                <w:rFonts w:ascii="宋体" w:hAnsi="宋体" w:cs="宋体" w:eastAsia="宋体" w:hint="default"/>
                <w:sz w:val="21"/>
                <w:szCs w:val="21"/>
              </w:rPr>
            </w:pPr>
            <w:r>
              <w:rPr>
                <w:rFonts w:ascii="宋体"/>
                <w:sz w:val="21"/>
              </w:rPr>
              <w:t>363.31</w:t>
            </w: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ind w:right="25"/>
              <w:jc w:val="right"/>
              <w:rPr>
                <w:rFonts w:ascii="宋体" w:hAnsi="宋体" w:cs="宋体" w:eastAsia="宋体" w:hint="default"/>
                <w:sz w:val="21"/>
                <w:szCs w:val="21"/>
              </w:rPr>
            </w:pPr>
            <w:r>
              <w:rPr>
                <w:rFonts w:ascii="宋体"/>
                <w:sz w:val="21"/>
              </w:rPr>
              <w:t>1,110.04</w:t>
            </w:r>
          </w:p>
        </w:tc>
      </w:tr>
      <w:tr>
        <w:trPr>
          <w:trHeight w:val="340" w:hRule="exact"/>
        </w:trPr>
        <w:tc>
          <w:tcPr>
            <w:tcW w:w="2695" w:type="dxa"/>
            <w:tcBorders>
              <w:top w:val="nil" w:sz="6" w:space="0" w:color="auto"/>
              <w:left w:val="nil" w:sz="6" w:space="0" w:color="auto"/>
              <w:bottom w:val="nil" w:sz="6" w:space="0" w:color="auto"/>
              <w:right w:val="nil" w:sz="6" w:space="0" w:color="auto"/>
            </w:tcBorders>
          </w:tcPr>
          <w:p>
            <w:pPr>
              <w:pStyle w:val="TableParagraph"/>
              <w:spacing w:line="240" w:lineRule="auto"/>
              <w:ind w:left="183" w:right="0"/>
              <w:jc w:val="left"/>
              <w:rPr>
                <w:rFonts w:ascii="宋体" w:hAnsi="宋体" w:cs="宋体" w:eastAsia="宋体" w:hint="default"/>
                <w:sz w:val="21"/>
                <w:szCs w:val="21"/>
              </w:rPr>
            </w:pPr>
            <w:r>
              <w:rPr>
                <w:rFonts w:ascii="宋体" w:hAnsi="宋体" w:cs="宋体" w:eastAsia="宋体" w:hint="default"/>
                <w:sz w:val="21"/>
                <w:szCs w:val="21"/>
              </w:rPr>
              <w:t>新台币</w:t>
            </w:r>
          </w:p>
        </w:tc>
        <w:tc>
          <w:tcPr>
            <w:tcW w:w="3874" w:type="dxa"/>
            <w:tcBorders>
              <w:top w:val="nil" w:sz="6" w:space="0" w:color="auto"/>
              <w:left w:val="nil" w:sz="6" w:space="0" w:color="auto"/>
              <w:bottom w:val="nil" w:sz="6" w:space="0" w:color="auto"/>
              <w:right w:val="nil" w:sz="6" w:space="0" w:color="auto"/>
            </w:tcBorders>
          </w:tcPr>
          <w:p>
            <w:pPr>
              <w:pStyle w:val="TableParagraph"/>
              <w:spacing w:line="240" w:lineRule="auto"/>
              <w:ind w:right="1249"/>
              <w:jc w:val="right"/>
              <w:rPr>
                <w:rFonts w:ascii="宋体" w:hAnsi="宋体" w:cs="宋体" w:eastAsia="宋体" w:hint="default"/>
                <w:sz w:val="21"/>
                <w:szCs w:val="21"/>
              </w:rPr>
            </w:pPr>
            <w:r>
              <w:rPr>
                <w:rFonts w:ascii="宋体"/>
                <w:sz w:val="21"/>
              </w:rPr>
              <w:t>992.46</w:t>
            </w: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ind w:right="25"/>
              <w:jc w:val="right"/>
              <w:rPr>
                <w:rFonts w:ascii="宋体" w:hAnsi="宋体" w:cs="宋体" w:eastAsia="宋体" w:hint="default"/>
                <w:sz w:val="21"/>
                <w:szCs w:val="21"/>
              </w:rPr>
            </w:pPr>
            <w:r>
              <w:rPr>
                <w:rFonts w:ascii="宋体"/>
                <w:sz w:val="21"/>
              </w:rPr>
              <w:t>2,416.86</w:t>
            </w:r>
          </w:p>
        </w:tc>
      </w:tr>
      <w:tr>
        <w:trPr>
          <w:trHeight w:val="340" w:hRule="exact"/>
        </w:trPr>
        <w:tc>
          <w:tcPr>
            <w:tcW w:w="2695" w:type="dxa"/>
            <w:tcBorders>
              <w:top w:val="nil" w:sz="6" w:space="0" w:color="auto"/>
              <w:left w:val="nil" w:sz="6" w:space="0" w:color="auto"/>
              <w:bottom w:val="nil" w:sz="6" w:space="0" w:color="auto"/>
              <w:right w:val="nil" w:sz="6" w:space="0" w:color="auto"/>
            </w:tcBorders>
          </w:tcPr>
          <w:p>
            <w:pPr>
              <w:pStyle w:val="TableParagraph"/>
              <w:spacing w:line="240" w:lineRule="auto"/>
              <w:ind w:left="183" w:right="0"/>
              <w:jc w:val="left"/>
              <w:rPr>
                <w:rFonts w:ascii="宋体" w:hAnsi="宋体" w:cs="宋体" w:eastAsia="宋体" w:hint="default"/>
                <w:sz w:val="21"/>
                <w:szCs w:val="21"/>
              </w:rPr>
            </w:pPr>
            <w:r>
              <w:rPr>
                <w:rFonts w:ascii="宋体" w:hAnsi="宋体" w:cs="宋体" w:eastAsia="宋体" w:hint="default"/>
                <w:sz w:val="21"/>
                <w:szCs w:val="21"/>
              </w:rPr>
              <w:t>澳门币</w:t>
            </w:r>
          </w:p>
        </w:tc>
        <w:tc>
          <w:tcPr>
            <w:tcW w:w="3874" w:type="dxa"/>
            <w:tcBorders>
              <w:top w:val="nil" w:sz="6" w:space="0" w:color="auto"/>
              <w:left w:val="nil" w:sz="6" w:space="0" w:color="auto"/>
              <w:bottom w:val="nil" w:sz="6" w:space="0" w:color="auto"/>
              <w:right w:val="nil" w:sz="6" w:space="0" w:color="auto"/>
            </w:tcBorders>
          </w:tcPr>
          <w:p>
            <w:pPr>
              <w:pStyle w:val="TableParagraph"/>
              <w:spacing w:line="240" w:lineRule="auto"/>
              <w:ind w:right="1249"/>
              <w:jc w:val="right"/>
              <w:rPr>
                <w:rFonts w:ascii="宋体" w:hAnsi="宋体" w:cs="宋体" w:eastAsia="宋体" w:hint="default"/>
                <w:sz w:val="21"/>
                <w:szCs w:val="21"/>
              </w:rPr>
            </w:pPr>
            <w:r>
              <w:rPr>
                <w:rFonts w:ascii="宋体"/>
                <w:sz w:val="21"/>
              </w:rPr>
              <w:t>112.49</w:t>
            </w: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ind w:right="25"/>
              <w:jc w:val="right"/>
              <w:rPr>
                <w:rFonts w:ascii="宋体" w:hAnsi="宋体" w:cs="宋体" w:eastAsia="宋体" w:hint="default"/>
                <w:sz w:val="21"/>
                <w:szCs w:val="21"/>
              </w:rPr>
            </w:pPr>
            <w:r>
              <w:rPr>
                <w:rFonts w:ascii="宋体"/>
                <w:sz w:val="21"/>
              </w:rPr>
              <w:t>2,139.69</w:t>
            </w:r>
          </w:p>
        </w:tc>
      </w:tr>
      <w:tr>
        <w:trPr>
          <w:trHeight w:val="340" w:hRule="exact"/>
        </w:trPr>
        <w:tc>
          <w:tcPr>
            <w:tcW w:w="2695" w:type="dxa"/>
            <w:tcBorders>
              <w:top w:val="nil" w:sz="6" w:space="0" w:color="auto"/>
              <w:left w:val="nil" w:sz="6" w:space="0" w:color="auto"/>
              <w:bottom w:val="nil" w:sz="6" w:space="0" w:color="auto"/>
              <w:right w:val="nil" w:sz="6" w:space="0" w:color="auto"/>
            </w:tcBorders>
          </w:tcPr>
          <w:p>
            <w:pPr>
              <w:pStyle w:val="TableParagraph"/>
              <w:spacing w:line="240" w:lineRule="auto"/>
              <w:ind w:left="183" w:right="0"/>
              <w:jc w:val="left"/>
              <w:rPr>
                <w:rFonts w:ascii="宋体" w:hAnsi="宋体" w:cs="宋体" w:eastAsia="宋体" w:hint="default"/>
                <w:sz w:val="21"/>
                <w:szCs w:val="21"/>
              </w:rPr>
            </w:pPr>
            <w:r>
              <w:rPr>
                <w:rFonts w:ascii="宋体" w:hAnsi="宋体" w:cs="宋体" w:eastAsia="宋体" w:hint="default"/>
                <w:sz w:val="21"/>
                <w:szCs w:val="21"/>
              </w:rPr>
              <w:t>新加坡元</w:t>
            </w:r>
          </w:p>
        </w:tc>
        <w:tc>
          <w:tcPr>
            <w:tcW w:w="3874" w:type="dxa"/>
            <w:tcBorders>
              <w:top w:val="nil" w:sz="6" w:space="0" w:color="auto"/>
              <w:left w:val="nil" w:sz="6" w:space="0" w:color="auto"/>
              <w:bottom w:val="nil" w:sz="6" w:space="0" w:color="auto"/>
              <w:right w:val="nil" w:sz="6" w:space="0" w:color="auto"/>
            </w:tcBorders>
          </w:tcPr>
          <w:p>
            <w:pPr>
              <w:pStyle w:val="TableParagraph"/>
              <w:spacing w:line="240" w:lineRule="auto"/>
              <w:ind w:right="1249"/>
              <w:jc w:val="right"/>
              <w:rPr>
                <w:rFonts w:ascii="宋体" w:hAnsi="宋体" w:cs="宋体" w:eastAsia="宋体" w:hint="default"/>
                <w:sz w:val="21"/>
                <w:szCs w:val="21"/>
              </w:rPr>
            </w:pPr>
            <w:r>
              <w:rPr>
                <w:rFonts w:ascii="宋体"/>
                <w:sz w:val="21"/>
              </w:rPr>
              <w:t>313.23</w:t>
            </w: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ind w:right="25"/>
              <w:jc w:val="right"/>
              <w:rPr>
                <w:rFonts w:ascii="宋体" w:hAnsi="宋体" w:cs="宋体" w:eastAsia="宋体" w:hint="default"/>
                <w:sz w:val="21"/>
                <w:szCs w:val="21"/>
              </w:rPr>
            </w:pPr>
            <w:r>
              <w:rPr>
                <w:rFonts w:ascii="宋体"/>
                <w:sz w:val="21"/>
              </w:rPr>
              <w:t>144.00</w:t>
            </w:r>
          </w:p>
        </w:tc>
      </w:tr>
      <w:tr>
        <w:trPr>
          <w:trHeight w:val="346" w:hRule="exact"/>
        </w:trPr>
        <w:tc>
          <w:tcPr>
            <w:tcW w:w="2695" w:type="dxa"/>
            <w:tcBorders>
              <w:top w:val="nil" w:sz="6" w:space="0" w:color="auto"/>
              <w:left w:val="nil" w:sz="6" w:space="0" w:color="auto"/>
              <w:bottom w:val="single" w:sz="4" w:space="0" w:color="000000"/>
              <w:right w:val="nil" w:sz="6" w:space="0" w:color="auto"/>
            </w:tcBorders>
          </w:tcPr>
          <w:p>
            <w:pPr>
              <w:pStyle w:val="TableParagraph"/>
              <w:spacing w:line="240" w:lineRule="auto"/>
              <w:ind w:left="18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3874" w:type="dxa"/>
            <w:tcBorders>
              <w:top w:val="nil" w:sz="6" w:space="0" w:color="auto"/>
              <w:left w:val="nil" w:sz="6" w:space="0" w:color="auto"/>
              <w:bottom w:val="single" w:sz="4" w:space="0" w:color="000000"/>
              <w:right w:val="nil" w:sz="6" w:space="0" w:color="auto"/>
            </w:tcBorders>
          </w:tcPr>
          <w:p>
            <w:pPr>
              <w:pStyle w:val="TableParagraph"/>
              <w:spacing w:line="240" w:lineRule="auto"/>
              <w:ind w:right="1247"/>
              <w:jc w:val="right"/>
              <w:rPr>
                <w:rFonts w:ascii="宋体" w:hAnsi="宋体" w:cs="宋体" w:eastAsia="宋体" w:hint="default"/>
                <w:sz w:val="21"/>
                <w:szCs w:val="21"/>
              </w:rPr>
            </w:pPr>
            <w:r>
              <w:rPr>
                <w:rFonts w:ascii="宋体"/>
                <w:sz w:val="21"/>
              </w:rPr>
              <w:t>0</w:t>
            </w:r>
          </w:p>
        </w:tc>
        <w:tc>
          <w:tcPr>
            <w:tcW w:w="2335" w:type="dxa"/>
            <w:tcBorders>
              <w:top w:val="nil" w:sz="6" w:space="0" w:color="auto"/>
              <w:left w:val="nil" w:sz="6" w:space="0" w:color="auto"/>
              <w:bottom w:val="single" w:sz="4" w:space="0" w:color="000000"/>
              <w:right w:val="nil" w:sz="6" w:space="0" w:color="auto"/>
            </w:tcBorders>
          </w:tcPr>
          <w:p>
            <w:pPr>
              <w:pStyle w:val="TableParagraph"/>
              <w:spacing w:line="240" w:lineRule="auto"/>
              <w:ind w:right="26"/>
              <w:jc w:val="right"/>
              <w:rPr>
                <w:rFonts w:ascii="宋体" w:hAnsi="宋体" w:cs="宋体" w:eastAsia="宋体" w:hint="default"/>
                <w:sz w:val="21"/>
                <w:szCs w:val="21"/>
              </w:rPr>
            </w:pPr>
            <w:r>
              <w:rPr>
                <w:rFonts w:ascii="宋体"/>
                <w:sz w:val="21"/>
              </w:rPr>
              <w:t>10.09</w:t>
            </w:r>
          </w:p>
        </w:tc>
      </w:tr>
      <w:tr>
        <w:trPr>
          <w:trHeight w:val="356" w:hRule="exact"/>
        </w:trPr>
        <w:tc>
          <w:tcPr>
            <w:tcW w:w="2695" w:type="dxa"/>
            <w:tcBorders>
              <w:top w:val="single" w:sz="4" w:space="0" w:color="000000"/>
              <w:left w:val="nil" w:sz="6" w:space="0" w:color="auto"/>
              <w:bottom w:val="single" w:sz="8" w:space="0" w:color="000000"/>
              <w:right w:val="nil" w:sz="6" w:space="0" w:color="auto"/>
            </w:tcBorders>
          </w:tcPr>
          <w:p>
            <w:pPr>
              <w:pStyle w:val="TableParagraph"/>
              <w:spacing w:line="274" w:lineRule="exact"/>
              <w:ind w:left="4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874" w:type="dxa"/>
            <w:tcBorders>
              <w:top w:val="single" w:sz="4" w:space="0" w:color="000000"/>
              <w:left w:val="nil" w:sz="6" w:space="0" w:color="auto"/>
              <w:bottom w:val="single" w:sz="8" w:space="0" w:color="000000"/>
              <w:right w:val="nil" w:sz="6" w:space="0" w:color="auto"/>
            </w:tcBorders>
          </w:tcPr>
          <w:p>
            <w:pPr>
              <w:pStyle w:val="TableParagraph"/>
              <w:spacing w:line="274" w:lineRule="exact"/>
              <w:ind w:right="1249"/>
              <w:jc w:val="right"/>
              <w:rPr>
                <w:rFonts w:ascii="宋体" w:hAnsi="宋体" w:cs="宋体" w:eastAsia="宋体" w:hint="default"/>
                <w:sz w:val="21"/>
                <w:szCs w:val="21"/>
              </w:rPr>
            </w:pPr>
            <w:r>
              <w:rPr>
                <w:rFonts w:ascii="宋体"/>
                <w:b/>
                <w:w w:val="95"/>
                <w:sz w:val="21"/>
              </w:rPr>
              <w:t>47,630.14</w:t>
            </w:r>
            <w:r>
              <w:rPr>
                <w:rFonts w:ascii="宋体"/>
                <w:sz w:val="21"/>
              </w:rPr>
            </w:r>
          </w:p>
        </w:tc>
        <w:tc>
          <w:tcPr>
            <w:tcW w:w="2335" w:type="dxa"/>
            <w:tcBorders>
              <w:top w:val="single" w:sz="4" w:space="0" w:color="000000"/>
              <w:left w:val="nil" w:sz="6" w:space="0" w:color="auto"/>
              <w:bottom w:val="single" w:sz="8" w:space="0" w:color="000000"/>
              <w:right w:val="nil" w:sz="6" w:space="0" w:color="auto"/>
            </w:tcBorders>
          </w:tcPr>
          <w:p>
            <w:pPr>
              <w:pStyle w:val="TableParagraph"/>
              <w:spacing w:line="274" w:lineRule="exact"/>
              <w:ind w:right="27"/>
              <w:jc w:val="right"/>
              <w:rPr>
                <w:rFonts w:ascii="宋体" w:hAnsi="宋体" w:cs="宋体" w:eastAsia="宋体" w:hint="default"/>
                <w:sz w:val="21"/>
                <w:szCs w:val="21"/>
              </w:rPr>
            </w:pPr>
            <w:r>
              <w:rPr>
                <w:rFonts w:ascii="宋体"/>
                <w:b/>
                <w:w w:val="95"/>
                <w:sz w:val="21"/>
              </w:rPr>
              <w:t>78,448.24</w:t>
            </w:r>
            <w:r>
              <w:rPr>
                <w:rFonts w:ascii="宋体"/>
                <w:sz w:val="21"/>
              </w:rPr>
            </w:r>
          </w:p>
        </w:tc>
      </w:tr>
    </w:tbl>
    <w:p>
      <w:pPr>
        <w:pStyle w:val="BodyText"/>
        <w:spacing w:line="310" w:lineRule="exact" w:before="113"/>
        <w:ind w:left="158" w:right="0" w:firstLine="480"/>
        <w:jc w:val="left"/>
      </w:pPr>
      <w:r>
        <w:rPr/>
        <w:t>本集团密切关注汇率变动对本集团汇率风险的影响。本集团目前并未采取任何措 </w:t>
      </w:r>
      <w:r>
        <w:rPr>
          <w:spacing w:val="-5"/>
        </w:rPr>
        <w:t>施规避汇率风险。但管理层负责监控汇率风险，并将于需要时考虑对冲重大汇率风险。</w:t>
      </w:r>
    </w:p>
    <w:p>
      <w:pPr>
        <w:pStyle w:val="BodyText"/>
        <w:spacing w:line="240" w:lineRule="auto" w:before="89"/>
        <w:ind w:left="158" w:right="0"/>
        <w:jc w:val="left"/>
      </w:pPr>
      <w:r>
        <w:rPr/>
        <w:t>（</w:t>
      </w:r>
      <w:r>
        <w:rPr>
          <w:rFonts w:ascii="宋体" w:hAnsi="宋体" w:cs="宋体" w:eastAsia="宋体" w:hint="default"/>
        </w:rPr>
        <w:t>2</w:t>
      </w:r>
      <w:r>
        <w:rPr/>
        <w:t>）信用风险</w:t>
      </w:r>
    </w:p>
    <w:p>
      <w:pPr>
        <w:pStyle w:val="BodyText"/>
        <w:spacing w:line="328" w:lineRule="auto" w:before="116"/>
        <w:ind w:left="638" w:right="0"/>
        <w:jc w:val="left"/>
      </w:pPr>
      <w:r>
        <w:rPr/>
        <w:t>信用风险，是指金融工具的一方不履行义务，造成另一方发生财务损失的风险。</w:t>
      </w:r>
      <w:r>
        <w:rPr>
          <w:spacing w:val="-62"/>
        </w:rPr>
        <w:t> </w:t>
      </w:r>
      <w:r>
        <w:rPr>
          <w:spacing w:val="-62"/>
        </w:rPr>
      </w:r>
      <w:r>
        <w:rPr/>
        <w:t>本集团对信用风险按组合分类进行管理。信用风险主要产生于银行存款和应收款</w:t>
      </w:r>
    </w:p>
    <w:p>
      <w:pPr>
        <w:pStyle w:val="BodyText"/>
        <w:spacing w:line="224" w:lineRule="exact"/>
        <w:ind w:left="158" w:right="0"/>
        <w:jc w:val="left"/>
      </w:pPr>
      <w:r>
        <w:rPr/>
        <w:t>项等。</w:t>
      </w:r>
    </w:p>
    <w:p>
      <w:pPr>
        <w:pStyle w:val="BodyText"/>
        <w:spacing w:line="310" w:lineRule="exact" w:before="149"/>
        <w:ind w:left="158" w:right="0" w:firstLine="480"/>
        <w:jc w:val="left"/>
      </w:pPr>
      <w:r>
        <w:rPr>
          <w:spacing w:val="-2"/>
        </w:rPr>
        <w:t>本集团银行存款主要存放于信用良好的金融机构，本集团预期银行存款不存在重</w:t>
      </w:r>
      <w:r>
        <w:rPr/>
        <w:t> 大的信用风险。</w:t>
      </w:r>
    </w:p>
    <w:p>
      <w:pPr>
        <w:spacing w:after="0" w:line="310" w:lineRule="exact"/>
        <w:jc w:val="left"/>
        <w:sectPr>
          <w:footerReference w:type="default" r:id="rId53"/>
          <w:pgSz w:w="11910" w:h="16840"/>
          <w:pgMar w:footer="1194" w:header="882" w:top="1120" w:bottom="1380" w:left="1640" w:right="1040"/>
          <w:pgNumType w:start="161"/>
        </w:sectPr>
      </w:pPr>
    </w:p>
    <w:p>
      <w:pPr>
        <w:spacing w:line="240" w:lineRule="auto" w:before="9"/>
        <w:rPr>
          <w:rFonts w:ascii="宋体" w:hAnsi="宋体" w:cs="宋体" w:eastAsia="宋体" w:hint="default"/>
          <w:sz w:val="25"/>
          <w:szCs w:val="25"/>
        </w:rPr>
      </w:pPr>
    </w:p>
    <w:p>
      <w:pPr>
        <w:pStyle w:val="BodyText"/>
        <w:spacing w:line="237" w:lineRule="auto" w:before="28"/>
        <w:ind w:right="108" w:firstLine="480"/>
        <w:jc w:val="left"/>
      </w:pPr>
      <w:r>
        <w:rPr>
          <w:spacing w:val="-5"/>
        </w:rPr>
        <w:t>对于应收款项，本集团设定相关政策以控制信用风险敞口。本集团针对应收款项，</w:t>
      </w:r>
      <w:r>
        <w:rPr/>
        <w:t> 主要采取控制信用期和信用额度，不定期对债务人进行信用风险评估，必要时采取催 收货款、缩短或取消信用期等方式，确保本集团的整体信用风险在可控的范围内。</w:t>
      </w:r>
    </w:p>
    <w:p>
      <w:pPr>
        <w:pStyle w:val="BodyText"/>
        <w:spacing w:line="310" w:lineRule="exact" w:before="149"/>
        <w:ind w:right="0" w:firstLine="480"/>
        <w:jc w:val="left"/>
      </w:pPr>
      <w:r>
        <w:rPr>
          <w:spacing w:val="-2"/>
        </w:rPr>
        <w:t>本集团所承受的最大信用风险敞口为资产负债表中每项金融资产的账面金额。本</w:t>
      </w:r>
      <w:r>
        <w:rPr/>
        <w:t> 集团没有提供任何其他可能令本集团承受信用风险的担保。</w:t>
      </w:r>
    </w:p>
    <w:p>
      <w:pPr>
        <w:pStyle w:val="BodyText"/>
        <w:spacing w:line="310" w:lineRule="exact" w:before="122"/>
        <w:ind w:right="218" w:firstLine="480"/>
        <w:jc w:val="left"/>
      </w:pPr>
      <w:r>
        <w:rPr/>
        <w:t>本集团应收账款中，欠款金额前五大客户的应收账款占本集团应收账款总额的 </w:t>
      </w:r>
      <w:r>
        <w:rPr>
          <w:rFonts w:ascii="宋体" w:hAnsi="宋体" w:cs="宋体" w:eastAsia="宋体" w:hint="default"/>
        </w:rPr>
        <w:t>17.59%</w:t>
      </w:r>
      <w:r>
        <w:rPr/>
        <w:t>（</w:t>
      </w:r>
      <w:r>
        <w:rPr>
          <w:rFonts w:ascii="宋体" w:hAnsi="宋体" w:cs="宋体" w:eastAsia="宋体" w:hint="default"/>
        </w:rPr>
        <w:t>2013</w:t>
      </w:r>
      <w:r>
        <w:rPr>
          <w:rFonts w:ascii="宋体" w:hAnsi="宋体" w:cs="宋体" w:eastAsia="宋体" w:hint="default"/>
          <w:spacing w:val="-68"/>
        </w:rPr>
        <w:t> </w:t>
      </w:r>
      <w:r>
        <w:rPr>
          <w:spacing w:val="-3"/>
        </w:rPr>
        <w:t>年：</w:t>
      </w:r>
      <w:r>
        <w:rPr>
          <w:rFonts w:ascii="宋体" w:hAnsi="宋体" w:cs="宋体" w:eastAsia="宋体" w:hint="default"/>
          <w:spacing w:val="-3"/>
        </w:rPr>
        <w:t>17.92%</w:t>
      </w:r>
      <w:r>
        <w:rPr>
          <w:spacing w:val="-3"/>
        </w:rPr>
        <w:t>）；本集团其他应收款中，欠款金额前五大公司的其他应收</w:t>
      </w:r>
      <w:r>
        <w:rPr/>
        <w:t> 款占本集团其他应收款总额的</w:t>
      </w:r>
      <w:r>
        <w:rPr>
          <w:spacing w:val="-60"/>
        </w:rPr>
        <w:t> </w:t>
      </w:r>
      <w:r>
        <w:rPr>
          <w:rFonts w:ascii="宋体" w:hAnsi="宋体" w:cs="宋体" w:eastAsia="宋体" w:hint="default"/>
        </w:rPr>
        <w:t>22.63%</w:t>
      </w:r>
      <w:r>
        <w:rPr/>
        <w:t>（</w:t>
      </w:r>
      <w:r>
        <w:rPr>
          <w:rFonts w:ascii="宋体" w:hAnsi="宋体" w:cs="宋体" w:eastAsia="宋体" w:hint="default"/>
        </w:rPr>
        <w:t>2013</w:t>
      </w:r>
      <w:r>
        <w:rPr>
          <w:rFonts w:ascii="宋体" w:hAnsi="宋体" w:cs="宋体" w:eastAsia="宋体" w:hint="default"/>
          <w:spacing w:val="-60"/>
        </w:rPr>
        <w:t> </w:t>
      </w:r>
      <w:r>
        <w:rPr/>
        <w:t>年：</w:t>
      </w:r>
      <w:r>
        <w:rPr>
          <w:rFonts w:ascii="宋体" w:hAnsi="宋体" w:cs="宋体" w:eastAsia="宋体" w:hint="default"/>
        </w:rPr>
        <w:t>22.08%</w:t>
      </w:r>
      <w:r>
        <w:rPr/>
        <w:t>）。</w:t>
      </w:r>
    </w:p>
    <w:p>
      <w:pPr>
        <w:pStyle w:val="BodyText"/>
        <w:spacing w:line="328" w:lineRule="auto" w:before="89"/>
        <w:ind w:left="618" w:right="0" w:hanging="480"/>
        <w:jc w:val="left"/>
      </w:pPr>
      <w:r>
        <w:rPr/>
        <w:t>（</w:t>
      </w:r>
      <w:r>
        <w:rPr>
          <w:rFonts w:ascii="宋体" w:hAnsi="宋体" w:cs="宋体" w:eastAsia="宋体" w:hint="default"/>
        </w:rPr>
        <w:t>3</w:t>
      </w:r>
      <w:r>
        <w:rPr/>
        <w:t>）流动性风险 </w:t>
      </w:r>
      <w:r>
        <w:rPr>
          <w:spacing w:val="-2"/>
        </w:rPr>
        <w:t>流动性风险，是指本集团在履行以交付现金或其他金融资产的方式结算的义务时</w:t>
      </w:r>
    </w:p>
    <w:p>
      <w:pPr>
        <w:pStyle w:val="BodyText"/>
        <w:spacing w:line="223" w:lineRule="exact"/>
        <w:ind w:right="0"/>
        <w:jc w:val="left"/>
      </w:pPr>
      <w:r>
        <w:rPr/>
        <w:t>发生资金短缺的风险。</w:t>
      </w:r>
    </w:p>
    <w:p>
      <w:pPr>
        <w:pStyle w:val="BodyText"/>
        <w:spacing w:line="237" w:lineRule="auto" w:before="119"/>
        <w:ind w:right="233" w:firstLine="480"/>
        <w:jc w:val="both"/>
      </w:pPr>
      <w:r>
        <w:rPr>
          <w:spacing w:val="-2"/>
        </w:rPr>
        <w:t>管理流动风险时，本集团保持管理层认为充分的现金及现金等价物并对其进行监</w:t>
      </w:r>
      <w:r>
        <w:rPr/>
        <w:t> </w:t>
      </w:r>
      <w:r>
        <w:rPr>
          <w:spacing w:val="-2"/>
        </w:rPr>
        <w:t>控，以满足本集团经营需要，并降低现金流量波动的影响。本集团管理层对银行借款</w:t>
      </w:r>
      <w:r>
        <w:rPr>
          <w:spacing w:val="-94"/>
        </w:rPr>
        <w:t> </w:t>
      </w:r>
      <w:r>
        <w:rPr>
          <w:spacing w:val="-94"/>
        </w:rPr>
      </w:r>
      <w:r>
        <w:rPr/>
        <w:t>的使用情况进行监控并确保遵守借款协议。</w:t>
      </w:r>
    </w:p>
    <w:p>
      <w:pPr>
        <w:pStyle w:val="BodyText"/>
        <w:spacing w:line="310" w:lineRule="exact" w:before="149"/>
        <w:ind w:right="0" w:firstLine="480"/>
        <w:jc w:val="left"/>
      </w:pPr>
      <w:r>
        <w:rPr>
          <w:spacing w:val="-2"/>
        </w:rPr>
        <w:t>管理层根据目前的资产负债状况，以及预计的未来经营活动现金流入和流出，认</w:t>
      </w:r>
      <w:r>
        <w:rPr/>
        <w:t> 为在正常经营情况下，未来一段时期内流动性风险是可控的。</w:t>
      </w:r>
    </w:p>
    <w:p>
      <w:pPr>
        <w:pStyle w:val="BodyText"/>
        <w:spacing w:line="240" w:lineRule="auto" w:before="89"/>
        <w:ind w:left="198" w:right="0"/>
        <w:jc w:val="left"/>
      </w:pPr>
      <w:r>
        <w:rPr>
          <w:rFonts w:ascii="宋体" w:hAnsi="宋体" w:cs="宋体" w:eastAsia="宋体" w:hint="default"/>
        </w:rPr>
        <w:t>2</w:t>
      </w:r>
      <w:r>
        <w:rPr/>
        <w:t>、资本管理</w:t>
      </w:r>
    </w:p>
    <w:p>
      <w:pPr>
        <w:pStyle w:val="BodyText"/>
        <w:spacing w:line="312" w:lineRule="exact" w:before="147"/>
        <w:ind w:right="0" w:firstLine="480"/>
        <w:jc w:val="left"/>
      </w:pPr>
      <w:r>
        <w:rPr>
          <w:spacing w:val="-2"/>
        </w:rPr>
        <w:t>本集团资本管理政策的目标是为了保障本集团能够持续经营，从而为股东提供回</w:t>
      </w:r>
      <w:r>
        <w:rPr/>
        <w:t> 报，并使其他利益相关者获益，同时维持最佳的资本结构以降低资本成本。</w:t>
      </w:r>
    </w:p>
    <w:p>
      <w:pPr>
        <w:spacing w:line="240" w:lineRule="auto" w:before="6"/>
        <w:rPr>
          <w:rFonts w:ascii="宋体" w:hAnsi="宋体" w:cs="宋体" w:eastAsia="宋体" w:hint="default"/>
          <w:sz w:val="32"/>
          <w:szCs w:val="32"/>
        </w:rPr>
      </w:pPr>
    </w:p>
    <w:p>
      <w:pPr>
        <w:tabs>
          <w:tab w:pos="977" w:val="left" w:leader="none"/>
        </w:tabs>
        <w:spacing w:before="0"/>
        <w:ind w:left="138" w:right="0" w:firstLine="0"/>
        <w:jc w:val="left"/>
        <w:rPr>
          <w:rFonts w:ascii="宋体" w:hAnsi="宋体" w:cs="宋体" w:eastAsia="宋体" w:hint="default"/>
          <w:sz w:val="21"/>
          <w:szCs w:val="21"/>
        </w:rPr>
      </w:pPr>
      <w:r>
        <w:rPr>
          <w:rFonts w:ascii="宋体" w:hAnsi="宋体" w:cs="宋体" w:eastAsia="宋体" w:hint="default"/>
          <w:b/>
          <w:bCs/>
          <w:w w:val="95"/>
          <w:sz w:val="21"/>
          <w:szCs w:val="21"/>
        </w:rPr>
        <w:t>十一、</w:t>
        <w:tab/>
      </w:r>
      <w:r>
        <w:rPr>
          <w:rFonts w:ascii="宋体" w:hAnsi="宋体" w:cs="宋体" w:eastAsia="宋体" w:hint="default"/>
          <w:b/>
          <w:bCs/>
          <w:sz w:val="21"/>
          <w:szCs w:val="21"/>
        </w:rPr>
        <w:t>公允价值的披露</w:t>
      </w:r>
      <w:r>
        <w:rPr>
          <w:rFonts w:ascii="宋体" w:hAnsi="宋体" w:cs="宋体" w:eastAsia="宋体" w:hint="default"/>
          <w:sz w:val="21"/>
          <w:szCs w:val="21"/>
        </w:rPr>
      </w:r>
    </w:p>
    <w:p>
      <w:pPr>
        <w:spacing w:before="57"/>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以公允价值计量的资产和负债的期末公允价值</w:t>
      </w:r>
      <w:r>
        <w:rPr>
          <w:rFonts w:ascii="宋体" w:hAnsi="宋体" w:cs="宋体" w:eastAsia="宋体" w:hint="default"/>
          <w:sz w:val="21"/>
          <w:szCs w:val="21"/>
        </w:rPr>
      </w:r>
    </w:p>
    <w:p>
      <w:pPr>
        <w:pStyle w:val="BodyText"/>
        <w:spacing w:line="310" w:lineRule="exact" w:before="146"/>
        <w:ind w:right="238" w:firstLine="480"/>
        <w:jc w:val="left"/>
      </w:pPr>
      <w:r>
        <w:rPr>
          <w:spacing w:val="-2"/>
        </w:rPr>
        <w:t>按照在公允价值计量中对计量整体具有重大意义的最低层次的输入值，公允价值</w:t>
      </w:r>
      <w:r>
        <w:rPr/>
        <w:t> 层次可分为：</w:t>
      </w:r>
    </w:p>
    <w:p>
      <w:pPr>
        <w:pStyle w:val="BodyText"/>
        <w:spacing w:line="328" w:lineRule="auto" w:before="89"/>
        <w:ind w:left="618" w:right="0"/>
        <w:jc w:val="left"/>
      </w:pPr>
      <w:r>
        <w:rPr/>
        <w:t>第一层次：相同资产或负债在活跃市场中的报价（未经调整的）。 </w:t>
      </w:r>
      <w:r>
        <w:rPr>
          <w:spacing w:val="-2"/>
        </w:rPr>
        <w:t>第二层次：直接（即价格）或间接（即从价格推导出）地使用除第一层次中的资</w:t>
      </w:r>
    </w:p>
    <w:p>
      <w:pPr>
        <w:pStyle w:val="BodyText"/>
        <w:spacing w:line="222" w:lineRule="exact"/>
        <w:ind w:right="0"/>
        <w:jc w:val="left"/>
      </w:pPr>
      <w:r>
        <w:rPr/>
        <w:t>产或负债的市场报价之外的可观察输入值。</w:t>
      </w:r>
    </w:p>
    <w:p>
      <w:pPr>
        <w:pStyle w:val="BodyText"/>
        <w:spacing w:line="310" w:lineRule="exact" w:before="150"/>
        <w:ind w:right="0" w:firstLine="480"/>
        <w:jc w:val="left"/>
      </w:pPr>
      <w:r>
        <w:rPr>
          <w:spacing w:val="-2"/>
        </w:rPr>
        <w:t>第三层次：资产或负债使用了任何非基于可观察市场数据的输入值（不可观察输</w:t>
      </w:r>
      <w:r>
        <w:rPr/>
        <w:t> 入值）。</w:t>
      </w:r>
    </w:p>
    <w:p>
      <w:pPr>
        <w:pStyle w:val="BodyText"/>
        <w:spacing w:line="331" w:lineRule="auto" w:before="184"/>
        <w:ind w:left="562" w:right="451" w:hanging="425"/>
        <w:jc w:val="left"/>
      </w:pPr>
      <w:r>
        <w:rPr/>
        <w:t>（</w:t>
      </w:r>
      <w:r>
        <w:rPr>
          <w:rFonts w:ascii="宋体" w:hAnsi="宋体" w:cs="宋体" w:eastAsia="宋体" w:hint="default"/>
        </w:rPr>
        <w:t>1</w:t>
      </w:r>
      <w:r>
        <w:rPr/>
        <w:t>）以公允价值计量的项目和金额 于</w:t>
      </w:r>
      <w:r>
        <w:rPr>
          <w:rFonts w:ascii="Calibri" w:hAnsi="Calibri" w:cs="Calibri" w:eastAsia="Calibri" w:hint="default"/>
        </w:rPr>
        <w:t>2014</w:t>
      </w:r>
      <w:r>
        <w:rPr/>
        <w:t>年</w:t>
      </w:r>
      <w:r>
        <w:rPr>
          <w:rFonts w:ascii="Calibri" w:hAnsi="Calibri" w:cs="Calibri" w:eastAsia="Calibri" w:hint="default"/>
        </w:rPr>
        <w:t>12</w:t>
      </w:r>
      <w:r>
        <w:rPr/>
        <w:t>月</w:t>
      </w:r>
      <w:r>
        <w:rPr>
          <w:rFonts w:ascii="Calibri" w:hAnsi="Calibri" w:cs="Calibri" w:eastAsia="Calibri" w:hint="default"/>
        </w:rPr>
        <w:t>31</w:t>
      </w:r>
      <w:r>
        <w:rPr/>
        <w:t>日，以公允价值计量的资产及负债按上述三个层次列示如下：</w:t>
      </w:r>
    </w:p>
    <w:p>
      <w:pPr>
        <w:spacing w:line="240" w:lineRule="auto" w:before="2"/>
        <w:rPr>
          <w:rFonts w:ascii="宋体" w:hAnsi="宋体" w:cs="宋体" w:eastAsia="宋体" w:hint="default"/>
          <w:sz w:val="27"/>
          <w:szCs w:val="27"/>
        </w:rPr>
      </w:pPr>
    </w:p>
    <w:p>
      <w:pPr>
        <w:tabs>
          <w:tab w:pos="945" w:val="left" w:leader="none"/>
        </w:tabs>
        <w:spacing w:before="0"/>
        <w:ind w:left="0" w:right="231"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w:t>
        <w:tab/>
      </w:r>
      <w:r>
        <w:rPr>
          <w:rFonts w:ascii="宋体" w:hAnsi="宋体" w:cs="宋体" w:eastAsia="宋体" w:hint="default"/>
          <w:spacing w:val="-1"/>
          <w:sz w:val="21"/>
          <w:szCs w:val="21"/>
        </w:rPr>
        <w:t>币种</w:t>
      </w:r>
      <w:r>
        <w:rPr>
          <w:rFonts w:ascii="宋体" w:hAnsi="宋体" w:cs="宋体" w:eastAsia="宋体" w:hint="default"/>
          <w:spacing w:val="-1"/>
          <w:sz w:val="21"/>
          <w:szCs w:val="21"/>
        </w:rPr>
        <w:t>:</w:t>
      </w:r>
      <w:r>
        <w:rPr>
          <w:rFonts w:ascii="宋体" w:hAnsi="宋体" w:cs="宋体" w:eastAsia="宋体" w:hint="default"/>
          <w:spacing w:val="-1"/>
          <w:sz w:val="21"/>
          <w:szCs w:val="2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81"/>
        <w:gridCol w:w="1678"/>
        <w:gridCol w:w="1639"/>
        <w:gridCol w:w="1706"/>
        <w:gridCol w:w="1486"/>
      </w:tblGrid>
      <w:tr>
        <w:trPr>
          <w:trHeight w:val="282" w:hRule="exact"/>
        </w:trPr>
        <w:tc>
          <w:tcPr>
            <w:tcW w:w="238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50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4" w:hRule="exact"/>
        </w:trPr>
        <w:tc>
          <w:tcPr>
            <w:tcW w:w="2381"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66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5" w:type="dxa"/>
        <w:tblLayout w:type="fixed"/>
        <w:tblCellMar>
          <w:top w:w="0" w:type="dxa"/>
          <w:left w:w="0" w:type="dxa"/>
          <w:bottom w:w="0" w:type="dxa"/>
          <w:right w:w="0" w:type="dxa"/>
        </w:tblCellMar>
        <w:tblLook w:val="01E0"/>
      </w:tblPr>
      <w:tblGrid>
        <w:gridCol w:w="2381"/>
        <w:gridCol w:w="1678"/>
        <w:gridCol w:w="1639"/>
        <w:gridCol w:w="1706"/>
        <w:gridCol w:w="1486"/>
      </w:tblGrid>
      <w:tr>
        <w:trPr>
          <w:trHeight w:val="82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（一）以公允价值计量且</w:t>
            </w:r>
          </w:p>
          <w:p>
            <w:pPr>
              <w:pStyle w:val="TableParagraph"/>
              <w:spacing w:line="272" w:lineRule="exact" w:before="26"/>
              <w:ind w:left="22" w:right="36"/>
              <w:jc w:val="left"/>
              <w:rPr>
                <w:rFonts w:ascii="宋体" w:hAnsi="宋体" w:cs="宋体" w:eastAsia="宋体" w:hint="default"/>
                <w:sz w:val="21"/>
                <w:szCs w:val="21"/>
              </w:rPr>
            </w:pPr>
            <w:r>
              <w:rPr>
                <w:rFonts w:ascii="宋体" w:hAnsi="宋体" w:cs="宋体" w:eastAsia="宋体" w:hint="default"/>
                <w:sz w:val="21"/>
                <w:szCs w:val="21"/>
              </w:rPr>
              <w:t>变动计入当期损益的金融 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交易性金融资产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1" w:right="0"/>
              <w:jc w:val="left"/>
              <w:rPr>
                <w:rFonts w:ascii="宋体" w:hAnsi="宋体" w:cs="宋体" w:eastAsia="宋体" w:hint="default"/>
                <w:sz w:val="21"/>
                <w:szCs w:val="21"/>
              </w:rPr>
            </w:pPr>
            <w:r>
              <w:rPr>
                <w:rFonts w:ascii="宋体"/>
                <w:sz w:val="21"/>
              </w:rPr>
              <w:t>50,000,000.00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 w:right="0"/>
              <w:jc w:val="left"/>
              <w:rPr>
                <w:rFonts w:ascii="宋体" w:hAnsi="宋体" w:cs="宋体" w:eastAsia="宋体" w:hint="default"/>
                <w:sz w:val="21"/>
                <w:szCs w:val="21"/>
              </w:rPr>
            </w:pPr>
            <w:r>
              <w:rPr>
                <w:rFonts w:ascii="宋体"/>
                <w:sz w:val="21"/>
              </w:rPr>
              <w:t>50,000,000.00</w:t>
            </w: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before="35"/>
        <w:ind w:left="218" w:right="0" w:firstLine="0"/>
        <w:jc w:val="both"/>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不以公允价值计量的金融资产和金融负债的公允价值情况</w:t>
      </w:r>
      <w:r>
        <w:rPr>
          <w:rFonts w:ascii="宋体" w:hAnsi="宋体" w:cs="宋体" w:eastAsia="宋体" w:hint="default"/>
          <w:sz w:val="21"/>
          <w:szCs w:val="21"/>
        </w:rPr>
      </w:r>
    </w:p>
    <w:p>
      <w:pPr>
        <w:pStyle w:val="BodyText"/>
        <w:spacing w:line="237" w:lineRule="auto" w:before="116"/>
        <w:ind w:left="218" w:right="233"/>
        <w:jc w:val="both"/>
      </w:pPr>
      <w:r>
        <w:rPr>
          <w:spacing w:val="-2"/>
        </w:rPr>
        <w:t>本集团以摊余成本计量的金融资产和金融负债主要包括：货币资金、应收票据、应收</w:t>
      </w:r>
      <w:r>
        <w:rPr>
          <w:spacing w:val="-94"/>
        </w:rPr>
        <w:t> </w:t>
      </w:r>
      <w:r>
        <w:rPr>
          <w:spacing w:val="-94"/>
        </w:rPr>
      </w:r>
      <w:r>
        <w:rPr>
          <w:spacing w:val="-2"/>
        </w:rPr>
        <w:t>账款、其他应收款、短期借款、应付票据、应付账款、其他应付款、一年内到期的长</w:t>
      </w:r>
      <w:r>
        <w:rPr>
          <w:spacing w:val="-100"/>
        </w:rPr>
        <w:t> </w:t>
      </w:r>
      <w:r>
        <w:rPr>
          <w:spacing w:val="-100"/>
        </w:rPr>
      </w:r>
      <w:r>
        <w:rPr/>
        <w:t>期借款、长期应付款、长期借款和应付债券等。</w:t>
      </w:r>
    </w:p>
    <w:p>
      <w:pPr>
        <w:pStyle w:val="BodyText"/>
        <w:spacing w:line="240" w:lineRule="auto" w:before="117"/>
        <w:ind w:left="218" w:right="0"/>
        <w:jc w:val="both"/>
      </w:pPr>
      <w:r>
        <w:rPr/>
        <w:t>上述不以公允价值计量的金融资产和金融负债的账面价值与公允价值相差很小。</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210"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5"/>
          <w:szCs w:val="5"/>
        </w:rPr>
      </w:pPr>
    </w:p>
    <w:p>
      <w:pPr>
        <w:pStyle w:val="Heading2"/>
        <w:spacing w:line="283" w:lineRule="auto"/>
        <w:ind w:right="6289"/>
        <w:jc w:val="left"/>
        <w:rPr>
          <w:b w:val="0"/>
          <w:bCs w:val="0"/>
        </w:rPr>
      </w:pPr>
      <w:r>
        <w:rPr/>
        <w:t>十二、</w:t>
      </w:r>
      <w:r>
        <w:rPr>
          <w:spacing w:val="-12"/>
        </w:rPr>
        <w:t> </w:t>
      </w:r>
      <w:r>
        <w:rPr/>
        <w:t>关联方及关联交易</w:t>
      </w:r>
      <w:r>
        <w:rPr>
          <w:w w:val="99"/>
        </w:rPr>
        <w:t> </w:t>
      </w:r>
      <w:r>
        <w:rPr>
          <w:rFonts w:ascii="宋体" w:hAnsi="宋体" w:cs="宋体" w:eastAsia="宋体" w:hint="default"/>
        </w:rPr>
        <w:t>1</w:t>
      </w:r>
      <w:r>
        <w:rPr/>
        <w:t>、</w:t>
      </w:r>
      <w:r>
        <w:rPr>
          <w:spacing w:val="-68"/>
        </w:rPr>
        <w:t> </w:t>
      </w:r>
      <w:r>
        <w:rPr/>
        <w:t>本企业的母公司情况</w:t>
      </w:r>
      <w:r>
        <w:rPr>
          <w:b w:val="0"/>
          <w:bCs w:val="0"/>
        </w:rPr>
      </w:r>
    </w:p>
    <w:p>
      <w:pPr>
        <w:pStyle w:val="BodyText"/>
        <w:spacing w:line="240" w:lineRule="auto" w:before="73"/>
        <w:ind w:left="698" w:right="101"/>
        <w:jc w:val="left"/>
      </w:pPr>
      <w:r>
        <w:rPr/>
        <w:t>无</w:t>
      </w:r>
    </w:p>
    <w:p>
      <w:pPr>
        <w:pStyle w:val="Heading2"/>
        <w:spacing w:line="240" w:lineRule="auto" w:before="118"/>
        <w:ind w:right="101"/>
        <w:jc w:val="left"/>
        <w:rPr>
          <w:b w:val="0"/>
          <w:bCs w:val="0"/>
        </w:rPr>
      </w:pPr>
      <w:r>
        <w:rPr>
          <w:rFonts w:ascii="宋体" w:hAnsi="宋体" w:cs="宋体" w:eastAsia="宋体" w:hint="default"/>
        </w:rPr>
        <w:t>2</w:t>
      </w:r>
      <w:r>
        <w:rPr/>
        <w:t>、</w:t>
      </w:r>
      <w:r>
        <w:rPr>
          <w:spacing w:val="-68"/>
        </w:rPr>
        <w:t> </w:t>
      </w:r>
      <w:r>
        <w:rPr/>
        <w:t>本企业的子公司情况</w:t>
      </w:r>
      <w:r>
        <w:rPr>
          <w:b w:val="0"/>
          <w:bCs w:val="0"/>
        </w:rPr>
      </w:r>
    </w:p>
    <w:p>
      <w:pPr>
        <w:pStyle w:val="BodyText"/>
        <w:spacing w:line="240" w:lineRule="auto" w:before="56"/>
        <w:ind w:left="1178" w:right="101"/>
        <w:jc w:val="left"/>
      </w:pPr>
      <w:r>
        <w:rPr/>
        <w:t>子公司情况详见附注七、</w:t>
      </w:r>
      <w:r>
        <w:rPr>
          <w:rFonts w:ascii="宋体" w:hAnsi="宋体" w:cs="宋体" w:eastAsia="宋体" w:hint="default"/>
        </w:rPr>
        <w:t>1</w:t>
      </w:r>
      <w:r>
        <w:rPr/>
        <w:t>。</w:t>
      </w:r>
    </w:p>
    <w:p>
      <w:pPr>
        <w:spacing w:line="240" w:lineRule="auto" w:before="0"/>
        <w:rPr>
          <w:rFonts w:ascii="宋体" w:hAnsi="宋体" w:cs="宋体" w:eastAsia="宋体" w:hint="default"/>
          <w:sz w:val="24"/>
          <w:szCs w:val="24"/>
        </w:rPr>
      </w:pPr>
    </w:p>
    <w:p>
      <w:pPr>
        <w:spacing w:line="283" w:lineRule="auto" w:before="175"/>
        <w:ind w:left="698" w:right="3888" w:hanging="480"/>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w:t>
      </w:r>
      <w:r>
        <w:rPr>
          <w:rFonts w:ascii="宋体" w:hAnsi="宋体" w:cs="宋体" w:eastAsia="宋体" w:hint="default"/>
          <w:b/>
          <w:bCs/>
          <w:spacing w:val="-59"/>
          <w:sz w:val="24"/>
          <w:szCs w:val="24"/>
        </w:rPr>
        <w:t> </w:t>
      </w:r>
      <w:r>
        <w:rPr>
          <w:rFonts w:ascii="宋体" w:hAnsi="宋体" w:cs="宋体" w:eastAsia="宋体" w:hint="default"/>
          <w:b/>
          <w:bCs/>
          <w:sz w:val="24"/>
          <w:szCs w:val="24"/>
        </w:rPr>
        <w:t>本企业合营和联营企业情况</w:t>
      </w:r>
      <w:r>
        <w:rPr>
          <w:rFonts w:ascii="宋体" w:hAnsi="宋体" w:cs="宋体" w:eastAsia="宋体" w:hint="default"/>
          <w:b/>
          <w:bCs/>
          <w:w w:val="99"/>
          <w:sz w:val="24"/>
          <w:szCs w:val="24"/>
        </w:rPr>
        <w:t> </w:t>
      </w:r>
      <w:r>
        <w:rPr>
          <w:rFonts w:ascii="宋体" w:hAnsi="宋体" w:cs="宋体" w:eastAsia="宋体" w:hint="default"/>
          <w:sz w:val="24"/>
          <w:szCs w:val="24"/>
        </w:rPr>
        <w:t>重要的合营和联营企业情况详见附注七、</w:t>
      </w:r>
      <w:r>
        <w:rPr>
          <w:rFonts w:ascii="宋体" w:hAnsi="宋体" w:cs="宋体" w:eastAsia="宋体" w:hint="default"/>
          <w:sz w:val="24"/>
          <w:szCs w:val="24"/>
        </w:rPr>
        <w:t>2</w:t>
      </w:r>
      <w:r>
        <w:rPr>
          <w:rFonts w:ascii="宋体" w:hAnsi="宋体" w:cs="宋体" w:eastAsia="宋体" w:hint="default"/>
          <w:sz w:val="24"/>
          <w:szCs w:val="24"/>
        </w:rPr>
        <w:t>。</w:t>
      </w:r>
    </w:p>
    <w:p>
      <w:pPr>
        <w:spacing w:line="240" w:lineRule="auto" w:before="1"/>
        <w:rPr>
          <w:rFonts w:ascii="宋体" w:hAnsi="宋体" w:cs="宋体" w:eastAsia="宋体" w:hint="default"/>
          <w:sz w:val="31"/>
          <w:szCs w:val="31"/>
        </w:rPr>
      </w:pPr>
    </w:p>
    <w:p>
      <w:pPr>
        <w:pStyle w:val="Heading2"/>
        <w:spacing w:line="240" w:lineRule="auto" w:before="0"/>
        <w:ind w:right="101"/>
        <w:jc w:val="left"/>
        <w:rPr>
          <w:b w:val="0"/>
          <w:bCs w:val="0"/>
        </w:rPr>
      </w:pPr>
      <w:r>
        <w:rPr>
          <w:rFonts w:ascii="宋体" w:hAnsi="宋体" w:cs="宋体" w:eastAsia="宋体" w:hint="default"/>
        </w:rPr>
        <w:t>4</w:t>
      </w:r>
      <w:r>
        <w:rPr/>
        <w:t>、</w:t>
      </w:r>
      <w:r>
        <w:rPr>
          <w:spacing w:val="-66"/>
        </w:rPr>
        <w:t> </w:t>
      </w:r>
      <w:r>
        <w:rPr/>
        <w:t>其他关联方情况</w:t>
      </w:r>
      <w:r>
        <w:rPr>
          <w:b w:val="0"/>
          <w:bCs w:val="0"/>
        </w:rPr>
      </w:r>
    </w:p>
    <w:p>
      <w:pPr>
        <w:spacing w:line="240" w:lineRule="auto" w:before="4"/>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978"/>
        <w:gridCol w:w="5072"/>
      </w:tblGrid>
      <w:tr>
        <w:trPr>
          <w:trHeight w:val="32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关联方名称</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与本集团关系</w:t>
            </w:r>
          </w:p>
        </w:tc>
      </w:tr>
      <w:tr>
        <w:trPr>
          <w:trHeight w:val="320"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6"/>
                <w:sz w:val="24"/>
                <w:szCs w:val="24"/>
              </w:rPr>
              <w:t>董事、经理、财务总监及董事会秘书</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关键管理人员</w:t>
            </w:r>
          </w:p>
        </w:tc>
      </w:tr>
      <w:tr>
        <w:trPr>
          <w:trHeight w:val="32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胡联奎</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本公司股东</w:t>
            </w:r>
          </w:p>
        </w:tc>
      </w:tr>
      <w:tr>
        <w:trPr>
          <w:trHeight w:val="32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王维航</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本公司股东</w:t>
            </w:r>
          </w:p>
        </w:tc>
      </w:tr>
    </w:tbl>
    <w:p>
      <w:pPr>
        <w:spacing w:line="240" w:lineRule="auto" w:before="6"/>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2"/>
        <w:spacing w:line="240" w:lineRule="auto"/>
        <w:ind w:right="-4"/>
        <w:jc w:val="left"/>
        <w:rPr>
          <w:b w:val="0"/>
          <w:bCs w:val="0"/>
        </w:rPr>
      </w:pPr>
      <w:r>
        <w:rPr>
          <w:rFonts w:ascii="宋体" w:hAnsi="宋体" w:cs="宋体" w:eastAsia="宋体" w:hint="default"/>
        </w:rPr>
        <w:t>5</w:t>
      </w:r>
      <w:r>
        <w:rPr/>
        <w:t>、</w:t>
      </w:r>
      <w:r>
        <w:rPr>
          <w:spacing w:val="-65"/>
        </w:rPr>
        <w:t> </w:t>
      </w:r>
      <w:r>
        <w:rPr/>
        <w:t>关联交易情况</w:t>
      </w:r>
      <w:r>
        <w:rPr>
          <w:b w:val="0"/>
          <w:bCs w:val="0"/>
        </w:rPr>
      </w:r>
    </w:p>
    <w:p>
      <w:pPr>
        <w:pStyle w:val="Heading2"/>
        <w:spacing w:line="240" w:lineRule="auto" w:before="56"/>
        <w:ind w:right="-4"/>
        <w:jc w:val="left"/>
        <w:rPr>
          <w:b w:val="0"/>
          <w:bCs w:val="0"/>
        </w:rPr>
      </w:pPr>
      <w:r>
        <w:rPr>
          <w:rFonts w:ascii="宋体" w:hAnsi="宋体" w:cs="宋体" w:eastAsia="宋体" w:hint="default"/>
        </w:rPr>
        <w:t>(1).</w:t>
      </w:r>
      <w:r>
        <w:rPr>
          <w:rFonts w:ascii="宋体" w:hAnsi="宋体" w:cs="宋体" w:eastAsia="宋体" w:hint="default"/>
          <w:spacing w:val="-9"/>
        </w:rPr>
        <w:t> </w:t>
      </w:r>
      <w:r>
        <w:rPr/>
        <w:t>购销商品、提供和接受劳务的关联交易</w:t>
      </w:r>
      <w:r>
        <w:rPr>
          <w:b w:val="0"/>
          <w:bCs w:val="0"/>
        </w:rPr>
      </w:r>
    </w:p>
    <w:p>
      <w:pPr>
        <w:spacing w:before="61"/>
        <w:ind w:left="218" w:right="-4" w:firstLine="0"/>
        <w:jc w:val="left"/>
        <w:rPr>
          <w:rFonts w:ascii="宋体" w:hAnsi="宋体" w:cs="宋体" w:eastAsia="宋体" w:hint="default"/>
          <w:sz w:val="21"/>
          <w:szCs w:val="21"/>
        </w:rPr>
      </w:pP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tabs>
          <w:tab w:pos="1267" w:val="left" w:leader="none"/>
        </w:tabs>
        <w:spacing w:before="0"/>
        <w:ind w:left="21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580" w:right="1040"/>
          <w:cols w:num="2" w:equalWidth="0">
            <w:col w:w="4927" w:space="1597"/>
            <w:col w:w="2766"/>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423"/>
        <w:gridCol w:w="2144"/>
        <w:gridCol w:w="2170"/>
        <w:gridCol w:w="2158"/>
      </w:tblGrid>
      <w:tr>
        <w:trPr>
          <w:trHeight w:val="305"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36"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4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sz w:val="21"/>
              </w:rPr>
              <w:t>IN Systems (Macao)</w:t>
            </w:r>
          </w:p>
          <w:p>
            <w:pPr>
              <w:pStyle w:val="TableParagraph"/>
              <w:spacing w:line="274" w:lineRule="exact"/>
              <w:ind w:left="25" w:right="0"/>
              <w:jc w:val="left"/>
              <w:rPr>
                <w:rFonts w:ascii="宋体" w:hAnsi="宋体" w:cs="宋体" w:eastAsia="宋体" w:hint="default"/>
                <w:sz w:val="21"/>
                <w:szCs w:val="21"/>
              </w:rPr>
            </w:pPr>
            <w:r>
              <w:rPr>
                <w:rFonts w:ascii="宋体"/>
                <w:sz w:val="21"/>
              </w:rPr>
              <w:t>Limited</w:t>
            </w:r>
          </w:p>
        </w:tc>
        <w:tc>
          <w:tcPr>
            <w:tcW w:w="2144"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2,220,275.58</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3,412,156.76</w:t>
            </w:r>
          </w:p>
        </w:tc>
      </w:tr>
      <w:tr>
        <w:trPr>
          <w:trHeight w:val="555"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sz w:val="21"/>
              </w:rPr>
              <w:t>I-Sprint</w:t>
            </w:r>
            <w:r>
              <w:rPr>
                <w:rFonts w:ascii="宋体"/>
                <w:spacing w:val="-1"/>
                <w:sz w:val="21"/>
              </w:rPr>
              <w:t> </w:t>
            </w:r>
            <w:r>
              <w:rPr>
                <w:rFonts w:ascii="宋体"/>
                <w:sz w:val="21"/>
              </w:rPr>
              <w:t>Innovations</w:t>
            </w:r>
          </w:p>
          <w:p>
            <w:pPr>
              <w:pStyle w:val="TableParagraph"/>
              <w:spacing w:line="274" w:lineRule="exact"/>
              <w:ind w:left="25" w:right="0"/>
              <w:jc w:val="left"/>
              <w:rPr>
                <w:rFonts w:ascii="宋体" w:hAnsi="宋体" w:cs="宋体" w:eastAsia="宋体" w:hint="default"/>
                <w:sz w:val="21"/>
                <w:szCs w:val="21"/>
              </w:rPr>
            </w:pPr>
            <w:r>
              <w:rPr>
                <w:rFonts w:ascii="宋体"/>
                <w:sz w:val="21"/>
              </w:rPr>
              <w:t>Pte Ltd.</w:t>
            </w:r>
          </w:p>
        </w:tc>
        <w:tc>
          <w:tcPr>
            <w:tcW w:w="2144"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2,143,634.21</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0.00</w:t>
            </w:r>
          </w:p>
        </w:tc>
      </w:tr>
      <w:tr>
        <w:trPr>
          <w:trHeight w:val="556"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I-Sprint</w:t>
            </w:r>
            <w:r>
              <w:rPr>
                <w:rFonts w:ascii="宋体"/>
                <w:spacing w:val="-1"/>
                <w:sz w:val="21"/>
              </w:rPr>
              <w:t> </w:t>
            </w:r>
            <w:r>
              <w:rPr>
                <w:rFonts w:ascii="宋体"/>
                <w:sz w:val="21"/>
              </w:rPr>
              <w:t>Innovations</w:t>
            </w:r>
          </w:p>
          <w:p>
            <w:pPr>
              <w:pStyle w:val="TableParagraph"/>
              <w:spacing w:line="274" w:lineRule="exact"/>
              <w:ind w:left="25" w:right="0"/>
              <w:jc w:val="left"/>
              <w:rPr>
                <w:rFonts w:ascii="宋体" w:hAnsi="宋体" w:cs="宋体" w:eastAsia="宋体" w:hint="default"/>
                <w:sz w:val="21"/>
                <w:szCs w:val="21"/>
              </w:rPr>
            </w:pPr>
            <w:r>
              <w:rPr>
                <w:rFonts w:ascii="宋体"/>
                <w:sz w:val="21"/>
              </w:rPr>
              <w:t>(HK) Limited</w:t>
            </w:r>
          </w:p>
        </w:tc>
        <w:tc>
          <w:tcPr>
            <w:tcW w:w="2144"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54,406.75</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0.00</w:t>
            </w:r>
          </w:p>
        </w:tc>
      </w:tr>
      <w:tr>
        <w:trPr>
          <w:trHeight w:val="554"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sz w:val="21"/>
              </w:rPr>
              <w:t>ASL Automated Services</w:t>
            </w:r>
          </w:p>
          <w:p>
            <w:pPr>
              <w:pStyle w:val="TableParagraph"/>
              <w:spacing w:line="274" w:lineRule="exact"/>
              <w:ind w:left="25" w:right="0"/>
              <w:jc w:val="left"/>
              <w:rPr>
                <w:rFonts w:ascii="宋体" w:hAnsi="宋体" w:cs="宋体" w:eastAsia="宋体" w:hint="default"/>
                <w:sz w:val="21"/>
                <w:szCs w:val="21"/>
              </w:rPr>
            </w:pPr>
            <w:r>
              <w:rPr>
                <w:rFonts w:ascii="宋体"/>
                <w:sz w:val="21"/>
              </w:rPr>
              <w:t>(Thailand) Co. Ltd.</w:t>
            </w:r>
          </w:p>
        </w:tc>
        <w:tc>
          <w:tcPr>
            <w:tcW w:w="2144"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0.00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83,803.16</w:t>
            </w:r>
          </w:p>
        </w:tc>
      </w:tr>
    </w:tbl>
    <w:p>
      <w:pPr>
        <w:spacing w:after="0" w:line="240" w:lineRule="exact"/>
        <w:jc w:val="right"/>
        <w:rPr>
          <w:rFonts w:ascii="宋体" w:hAnsi="宋体" w:cs="宋体" w:eastAsia="宋体" w:hint="default"/>
          <w:sz w:val="21"/>
          <w:szCs w:val="21"/>
        </w:rPr>
        <w:sectPr>
          <w:type w:val="continuous"/>
          <w:pgSz w:w="11910" w:h="16840"/>
          <w:pgMar w:top="108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3" w:type="dxa"/>
        <w:tblLayout w:type="fixed"/>
        <w:tblCellMar>
          <w:top w:w="0" w:type="dxa"/>
          <w:left w:w="0" w:type="dxa"/>
          <w:bottom w:w="0" w:type="dxa"/>
          <w:right w:w="0" w:type="dxa"/>
        </w:tblCellMar>
        <w:tblLook w:val="01E0"/>
      </w:tblPr>
      <w:tblGrid>
        <w:gridCol w:w="2423"/>
        <w:gridCol w:w="2144"/>
        <w:gridCol w:w="2170"/>
        <w:gridCol w:w="2158"/>
      </w:tblGrid>
      <w:tr>
        <w:trPr>
          <w:trHeight w:val="282" w:hRule="exact"/>
        </w:trPr>
        <w:tc>
          <w:tcPr>
            <w:tcW w:w="2423" w:type="dxa"/>
            <w:tcBorders>
              <w:top w:val="single" w:sz="4" w:space="0" w:color="000000"/>
              <w:left w:val="single" w:sz="4" w:space="0" w:color="000000"/>
              <w:bottom w:val="single" w:sz="4" w:space="0" w:color="000000"/>
              <w:right w:val="single" w:sz="4" w:space="0" w:color="000000"/>
            </w:tcBorders>
          </w:tcPr>
          <w:p>
            <w:pPr/>
          </w:p>
        </w:tc>
        <w:tc>
          <w:tcPr>
            <w:tcW w:w="2144"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spacing w:line="274" w:lineRule="exact" w:before="35"/>
        <w:ind w:left="218" w:right="127" w:firstLine="0"/>
        <w:jc w:val="left"/>
        <w:rPr>
          <w:rFonts w:ascii="宋体" w:hAnsi="宋体" w:cs="宋体" w:eastAsia="宋体" w:hint="default"/>
          <w:sz w:val="21"/>
          <w:szCs w:val="21"/>
        </w:rPr>
      </w:pPr>
      <w:r>
        <w:rPr>
          <w:rFonts w:ascii="宋体" w:hAnsi="宋体" w:cs="宋体" w:eastAsia="宋体" w:hint="default"/>
          <w:sz w:val="21"/>
          <w:szCs w:val="21"/>
        </w:rPr>
        <w:t>出售商品</w:t>
      </w:r>
      <w:r>
        <w:rPr>
          <w:rFonts w:ascii="宋体" w:hAnsi="宋体" w:cs="宋体" w:eastAsia="宋体" w:hint="default"/>
          <w:sz w:val="21"/>
          <w:szCs w:val="21"/>
        </w:rPr>
        <w:t>/</w:t>
      </w:r>
      <w:r>
        <w:rPr>
          <w:rFonts w:ascii="宋体" w:hAnsi="宋体" w:cs="宋体" w:eastAsia="宋体" w:hint="default"/>
          <w:sz w:val="21"/>
          <w:szCs w:val="21"/>
        </w:rPr>
        <w:t>提供劳务情况表</w:t>
      </w:r>
    </w:p>
    <w:p>
      <w:pPr>
        <w:tabs>
          <w:tab w:pos="1049" w:val="left" w:leader="none"/>
        </w:tabs>
        <w:spacing w:line="274" w:lineRule="exact" w:before="0"/>
        <w:ind w:left="0" w:right="212"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416"/>
        <w:gridCol w:w="2122"/>
        <w:gridCol w:w="2177"/>
        <w:gridCol w:w="2179"/>
      </w:tblGrid>
      <w:tr>
        <w:trPr>
          <w:trHeight w:val="28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sz w:val="21"/>
              </w:rPr>
              <w:t>IN System (Macao)</w:t>
            </w:r>
          </w:p>
          <w:p>
            <w:pPr>
              <w:pStyle w:val="TableParagraph"/>
              <w:spacing w:line="274" w:lineRule="exact"/>
              <w:ind w:left="25" w:right="0"/>
              <w:jc w:val="left"/>
              <w:rPr>
                <w:rFonts w:ascii="宋体" w:hAnsi="宋体" w:cs="宋体" w:eastAsia="宋体" w:hint="default"/>
                <w:sz w:val="21"/>
                <w:szCs w:val="21"/>
              </w:rPr>
            </w:pPr>
            <w:r>
              <w:rPr>
                <w:rFonts w:ascii="宋体"/>
                <w:sz w:val="21"/>
              </w:rPr>
              <w:t>Limited</w:t>
            </w:r>
          </w:p>
        </w:tc>
        <w:tc>
          <w:tcPr>
            <w:tcW w:w="2122"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0.00</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35,098.93</w:t>
            </w:r>
          </w:p>
        </w:tc>
      </w:tr>
      <w:tr>
        <w:trPr>
          <w:trHeight w:val="556"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I-Sprint</w:t>
            </w:r>
            <w:r>
              <w:rPr>
                <w:rFonts w:ascii="宋体"/>
                <w:spacing w:val="-1"/>
                <w:sz w:val="21"/>
              </w:rPr>
              <w:t> </w:t>
            </w:r>
            <w:r>
              <w:rPr>
                <w:rFonts w:ascii="宋体"/>
                <w:sz w:val="21"/>
              </w:rPr>
              <w:t>Innovations</w:t>
            </w:r>
          </w:p>
          <w:p>
            <w:pPr>
              <w:pStyle w:val="TableParagraph"/>
              <w:spacing w:line="274" w:lineRule="exact"/>
              <w:ind w:left="25" w:right="0"/>
              <w:jc w:val="left"/>
              <w:rPr>
                <w:rFonts w:ascii="宋体" w:hAnsi="宋体" w:cs="宋体" w:eastAsia="宋体" w:hint="default"/>
                <w:sz w:val="21"/>
                <w:szCs w:val="21"/>
              </w:rPr>
            </w:pPr>
            <w:r>
              <w:rPr>
                <w:rFonts w:ascii="宋体"/>
                <w:sz w:val="21"/>
              </w:rPr>
              <w:t>(HK) Limited</w:t>
            </w:r>
          </w:p>
        </w:tc>
        <w:tc>
          <w:tcPr>
            <w:tcW w:w="2122"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189,066.64</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0.00</w:t>
            </w:r>
          </w:p>
        </w:tc>
      </w:tr>
      <w:tr>
        <w:trPr>
          <w:trHeight w:val="55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sz w:val="21"/>
              </w:rPr>
              <w:t>I-Sprint</w:t>
            </w:r>
            <w:r>
              <w:rPr>
                <w:rFonts w:ascii="宋体"/>
                <w:spacing w:val="-1"/>
                <w:sz w:val="21"/>
              </w:rPr>
              <w:t> </w:t>
            </w:r>
            <w:r>
              <w:rPr>
                <w:rFonts w:ascii="宋体"/>
                <w:sz w:val="21"/>
              </w:rPr>
              <w:t>Innovations</w:t>
            </w:r>
          </w:p>
          <w:p>
            <w:pPr>
              <w:pStyle w:val="TableParagraph"/>
              <w:spacing w:line="274" w:lineRule="exact"/>
              <w:ind w:left="25" w:right="0"/>
              <w:jc w:val="left"/>
              <w:rPr>
                <w:rFonts w:ascii="宋体" w:hAnsi="宋体" w:cs="宋体" w:eastAsia="宋体" w:hint="default"/>
                <w:sz w:val="21"/>
                <w:szCs w:val="21"/>
              </w:rPr>
            </w:pPr>
            <w:r>
              <w:rPr>
                <w:rFonts w:ascii="宋体"/>
                <w:sz w:val="21"/>
              </w:rPr>
              <w:t>Pte Ltd.</w:t>
            </w:r>
          </w:p>
        </w:tc>
        <w:tc>
          <w:tcPr>
            <w:tcW w:w="2122"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10,343.90</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0.00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2"/>
        <w:spacing w:line="240" w:lineRule="auto"/>
        <w:ind w:right="127"/>
        <w:jc w:val="left"/>
        <w:rPr>
          <w:b w:val="0"/>
          <w:bCs w:val="0"/>
        </w:rPr>
      </w:pPr>
      <w:r>
        <w:rPr>
          <w:rFonts w:ascii="宋体" w:hAnsi="宋体" w:cs="宋体" w:eastAsia="宋体" w:hint="default"/>
        </w:rPr>
        <w:t>(2).</w:t>
      </w:r>
      <w:r>
        <w:rPr>
          <w:rFonts w:ascii="宋体" w:hAnsi="宋体" w:cs="宋体" w:eastAsia="宋体" w:hint="default"/>
          <w:spacing w:val="7"/>
        </w:rPr>
        <w:t> </w:t>
      </w:r>
      <w:r>
        <w:rPr/>
        <w:t>费用支出</w:t>
      </w:r>
      <w:r>
        <w:rPr>
          <w:b w:val="0"/>
          <w:bCs w:val="0"/>
        </w:rPr>
      </w:r>
    </w:p>
    <w:p>
      <w:pPr>
        <w:spacing w:line="240" w:lineRule="auto" w:before="4"/>
        <w:rPr>
          <w:rFonts w:ascii="宋体" w:hAnsi="宋体" w:cs="宋体" w:eastAsia="宋体" w:hint="default"/>
          <w:b/>
          <w:bCs/>
          <w:sz w:val="7"/>
          <w:szCs w:val="7"/>
        </w:rPr>
      </w:pPr>
    </w:p>
    <w:tbl>
      <w:tblPr>
        <w:tblW w:w="0" w:type="auto"/>
        <w:jc w:val="left"/>
        <w:tblInd w:w="110" w:type="dxa"/>
        <w:tblLayout w:type="fixed"/>
        <w:tblCellMar>
          <w:top w:w="0" w:type="dxa"/>
          <w:left w:w="0" w:type="dxa"/>
          <w:bottom w:w="0" w:type="dxa"/>
          <w:right w:w="0" w:type="dxa"/>
        </w:tblCellMar>
        <w:tblLook w:val="01E0"/>
      </w:tblPr>
      <w:tblGrid>
        <w:gridCol w:w="4914"/>
        <w:gridCol w:w="2283"/>
        <w:gridCol w:w="1853"/>
      </w:tblGrid>
      <w:tr>
        <w:trPr>
          <w:trHeight w:val="413" w:hRule="exact"/>
        </w:trPr>
        <w:tc>
          <w:tcPr>
            <w:tcW w:w="4914"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sz w:val="21"/>
                <w:szCs w:val="21"/>
              </w:rPr>
            </w:r>
          </w:p>
        </w:tc>
        <w:tc>
          <w:tcPr>
            <w:tcW w:w="2283"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473"/>
              <w:jc w:val="right"/>
              <w:rPr>
                <w:rFonts w:ascii="宋体" w:hAnsi="宋体" w:cs="宋体" w:eastAsia="宋体" w:hint="default"/>
                <w:sz w:val="21"/>
                <w:szCs w:val="21"/>
              </w:rPr>
            </w:pPr>
            <w:r>
              <w:rPr>
                <w:rFonts w:ascii="宋体" w:hAnsi="宋体" w:cs="宋体" w:eastAsia="宋体" w:hint="default"/>
                <w:b/>
                <w:bCs/>
                <w:w w:val="95"/>
                <w:sz w:val="21"/>
                <w:szCs w:val="21"/>
              </w:rPr>
              <w:t>本期发生额</w:t>
            </w:r>
            <w:r>
              <w:rPr>
                <w:rFonts w:ascii="宋体" w:hAnsi="宋体" w:cs="宋体" w:eastAsia="宋体" w:hint="default"/>
                <w:sz w:val="21"/>
                <w:szCs w:val="21"/>
              </w:rPr>
            </w:r>
          </w:p>
        </w:tc>
        <w:tc>
          <w:tcPr>
            <w:tcW w:w="1853"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hAnsi="宋体" w:cs="宋体" w:eastAsia="宋体" w:hint="default"/>
                <w:b/>
                <w:bCs/>
                <w:w w:val="95"/>
                <w:sz w:val="21"/>
                <w:szCs w:val="21"/>
              </w:rPr>
              <w:t>上期发生额</w:t>
            </w:r>
            <w:r>
              <w:rPr>
                <w:rFonts w:ascii="宋体" w:hAnsi="宋体" w:cs="宋体" w:eastAsia="宋体" w:hint="default"/>
                <w:sz w:val="21"/>
                <w:szCs w:val="21"/>
              </w:rPr>
            </w:r>
          </w:p>
        </w:tc>
      </w:tr>
      <w:tr>
        <w:trPr>
          <w:trHeight w:val="400" w:hRule="exact"/>
        </w:trPr>
        <w:tc>
          <w:tcPr>
            <w:tcW w:w="4914"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8" w:right="0"/>
              <w:jc w:val="left"/>
              <w:rPr>
                <w:rFonts w:ascii="宋体" w:hAnsi="宋体" w:cs="宋体" w:eastAsia="宋体" w:hint="default"/>
                <w:sz w:val="21"/>
                <w:szCs w:val="21"/>
              </w:rPr>
            </w:pPr>
            <w:r>
              <w:rPr>
                <w:rFonts w:ascii="宋体"/>
                <w:sz w:val="21"/>
              </w:rPr>
              <w:t>ASL</w:t>
            </w:r>
            <w:r>
              <w:rPr>
                <w:rFonts w:ascii="宋体"/>
                <w:spacing w:val="-29"/>
                <w:sz w:val="21"/>
              </w:rPr>
              <w:t> </w:t>
            </w:r>
            <w:r>
              <w:rPr>
                <w:rFonts w:ascii="宋体"/>
                <w:sz w:val="21"/>
              </w:rPr>
              <w:t>Automated</w:t>
            </w:r>
            <w:r>
              <w:rPr>
                <w:rFonts w:ascii="宋体"/>
                <w:spacing w:val="-30"/>
                <w:sz w:val="21"/>
              </w:rPr>
              <w:t> </w:t>
            </w:r>
            <w:r>
              <w:rPr>
                <w:rFonts w:ascii="宋体"/>
                <w:sz w:val="21"/>
              </w:rPr>
              <w:t>Services</w:t>
            </w:r>
            <w:r>
              <w:rPr>
                <w:rFonts w:ascii="宋体"/>
                <w:spacing w:val="-31"/>
                <w:sz w:val="21"/>
              </w:rPr>
              <w:t> </w:t>
            </w:r>
            <w:r>
              <w:rPr>
                <w:rFonts w:ascii="宋体"/>
                <w:sz w:val="21"/>
              </w:rPr>
              <w:t>(Thailand)</w:t>
            </w:r>
            <w:r>
              <w:rPr>
                <w:rFonts w:ascii="宋体"/>
                <w:spacing w:val="-29"/>
                <w:sz w:val="21"/>
              </w:rPr>
              <w:t> </w:t>
            </w:r>
            <w:r>
              <w:rPr>
                <w:rFonts w:ascii="宋体"/>
                <w:sz w:val="21"/>
              </w:rPr>
              <w:t>Co.</w:t>
            </w:r>
            <w:r>
              <w:rPr>
                <w:rFonts w:ascii="宋体"/>
                <w:spacing w:val="-29"/>
                <w:sz w:val="21"/>
              </w:rPr>
              <w:t> </w:t>
            </w:r>
            <w:r>
              <w:rPr>
                <w:rFonts w:ascii="宋体"/>
                <w:sz w:val="21"/>
              </w:rPr>
              <w:t>Ltd.</w:t>
            </w:r>
          </w:p>
        </w:tc>
        <w:tc>
          <w:tcPr>
            <w:tcW w:w="2283"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472"/>
              <w:jc w:val="right"/>
              <w:rPr>
                <w:rFonts w:ascii="宋体" w:hAnsi="宋体" w:cs="宋体" w:eastAsia="宋体" w:hint="default"/>
                <w:sz w:val="21"/>
                <w:szCs w:val="21"/>
              </w:rPr>
            </w:pPr>
            <w:r>
              <w:rPr>
                <w:rFonts w:ascii="宋体"/>
                <w:sz w:val="21"/>
              </w:rPr>
              <w:t>0</w:t>
            </w:r>
          </w:p>
        </w:tc>
        <w:tc>
          <w:tcPr>
            <w:tcW w:w="1853"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7"/>
              <w:jc w:val="right"/>
              <w:rPr>
                <w:rFonts w:ascii="宋体" w:hAnsi="宋体" w:cs="宋体" w:eastAsia="宋体" w:hint="default"/>
                <w:sz w:val="21"/>
                <w:szCs w:val="21"/>
              </w:rPr>
            </w:pPr>
            <w:r>
              <w:rPr>
                <w:rFonts w:ascii="宋体"/>
                <w:sz w:val="21"/>
              </w:rPr>
              <w:t>117,799.91</w:t>
            </w:r>
          </w:p>
        </w:tc>
      </w:tr>
      <w:tr>
        <w:trPr>
          <w:trHeight w:val="397" w:hRule="exact"/>
        </w:trPr>
        <w:tc>
          <w:tcPr>
            <w:tcW w:w="491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sz w:val="21"/>
              </w:rPr>
              <w:t>IN Systems (Macao)</w:t>
            </w:r>
            <w:r>
              <w:rPr>
                <w:rFonts w:ascii="宋体"/>
                <w:spacing w:val="-2"/>
                <w:sz w:val="21"/>
              </w:rPr>
              <w:t> </w:t>
            </w:r>
            <w:r>
              <w:rPr>
                <w:rFonts w:ascii="宋体"/>
                <w:sz w:val="21"/>
              </w:rPr>
              <w:t>Limited</w:t>
            </w: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72"/>
              <w:jc w:val="right"/>
              <w:rPr>
                <w:rFonts w:ascii="宋体" w:hAnsi="宋体" w:cs="宋体" w:eastAsia="宋体" w:hint="default"/>
                <w:sz w:val="21"/>
                <w:szCs w:val="21"/>
              </w:rPr>
            </w:pPr>
            <w:r>
              <w:rPr>
                <w:rFonts w:ascii="宋体"/>
                <w:sz w:val="21"/>
              </w:rPr>
              <w:t>0</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z w:val="21"/>
              </w:rPr>
              <w:t>134,497.66</w:t>
            </w:r>
          </w:p>
        </w:tc>
      </w:tr>
      <w:tr>
        <w:trPr>
          <w:trHeight w:val="397" w:hRule="exact"/>
        </w:trPr>
        <w:tc>
          <w:tcPr>
            <w:tcW w:w="491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胡联奎</w:t>
            </w: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73"/>
              <w:jc w:val="right"/>
              <w:rPr>
                <w:rFonts w:ascii="宋体" w:hAnsi="宋体" w:cs="宋体" w:eastAsia="宋体" w:hint="default"/>
                <w:sz w:val="21"/>
                <w:szCs w:val="21"/>
              </w:rPr>
            </w:pPr>
            <w:r>
              <w:rPr>
                <w:rFonts w:ascii="宋体"/>
                <w:sz w:val="21"/>
              </w:rPr>
              <w:t>575,000.00</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z w:val="21"/>
              </w:rPr>
              <w:t>575,000.00</w:t>
            </w:r>
          </w:p>
        </w:tc>
      </w:tr>
      <w:tr>
        <w:trPr>
          <w:trHeight w:val="404" w:hRule="exact"/>
        </w:trPr>
        <w:tc>
          <w:tcPr>
            <w:tcW w:w="491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王维航</w:t>
            </w:r>
          </w:p>
        </w:tc>
        <w:tc>
          <w:tcPr>
            <w:tcW w:w="2283"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473"/>
              <w:jc w:val="right"/>
              <w:rPr>
                <w:rFonts w:ascii="宋体" w:hAnsi="宋体" w:cs="宋体" w:eastAsia="宋体" w:hint="default"/>
                <w:sz w:val="21"/>
                <w:szCs w:val="21"/>
              </w:rPr>
            </w:pPr>
            <w:r>
              <w:rPr>
                <w:rFonts w:ascii="宋体"/>
                <w:sz w:val="21"/>
              </w:rPr>
              <w:t>575,000.00</w:t>
            </w:r>
          </w:p>
        </w:tc>
        <w:tc>
          <w:tcPr>
            <w:tcW w:w="1853"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z w:val="21"/>
              </w:rPr>
              <w:t>575,000.00</w:t>
            </w:r>
          </w:p>
        </w:tc>
      </w:tr>
      <w:tr>
        <w:trPr>
          <w:trHeight w:val="412" w:hRule="exact"/>
        </w:trPr>
        <w:tc>
          <w:tcPr>
            <w:tcW w:w="4914"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08"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283"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473"/>
              <w:jc w:val="right"/>
              <w:rPr>
                <w:rFonts w:ascii="宋体" w:hAnsi="宋体" w:cs="宋体" w:eastAsia="宋体" w:hint="default"/>
                <w:sz w:val="21"/>
                <w:szCs w:val="21"/>
              </w:rPr>
            </w:pPr>
            <w:r>
              <w:rPr>
                <w:rFonts w:ascii="宋体"/>
                <w:b/>
                <w:w w:val="95"/>
                <w:sz w:val="21"/>
              </w:rPr>
              <w:t>1.150,000.00</w:t>
            </w:r>
            <w:r>
              <w:rPr>
                <w:rFonts w:ascii="宋体"/>
                <w:sz w:val="21"/>
              </w:rPr>
            </w:r>
          </w:p>
        </w:tc>
        <w:tc>
          <w:tcPr>
            <w:tcW w:w="1853"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09"/>
              <w:jc w:val="right"/>
              <w:rPr>
                <w:rFonts w:ascii="宋体" w:hAnsi="宋体" w:cs="宋体" w:eastAsia="宋体" w:hint="default"/>
                <w:sz w:val="21"/>
                <w:szCs w:val="21"/>
              </w:rPr>
            </w:pPr>
            <w:r>
              <w:rPr>
                <w:rFonts w:ascii="宋体"/>
                <w:b/>
                <w:w w:val="95"/>
                <w:sz w:val="21"/>
              </w:rPr>
              <w:t>1,402,297.57</w:t>
            </w:r>
            <w:r>
              <w:rPr>
                <w:rFonts w:ascii="宋体"/>
                <w:sz w:val="21"/>
              </w:rPr>
            </w:r>
          </w:p>
        </w:tc>
      </w:tr>
    </w:tbl>
    <w:p>
      <w:pPr>
        <w:spacing w:line="240" w:lineRule="auto" w:before="6"/>
        <w:rPr>
          <w:rFonts w:ascii="宋体" w:hAnsi="宋体" w:cs="宋体" w:eastAsia="宋体" w:hint="default"/>
          <w:b/>
          <w:bCs/>
          <w:sz w:val="20"/>
          <w:szCs w:val="20"/>
        </w:rPr>
      </w:pPr>
    </w:p>
    <w:p>
      <w:pPr>
        <w:pStyle w:val="Heading2"/>
        <w:spacing w:line="240" w:lineRule="auto"/>
        <w:ind w:right="127"/>
        <w:jc w:val="left"/>
        <w:rPr>
          <w:b w:val="0"/>
          <w:bCs w:val="0"/>
        </w:rPr>
      </w:pPr>
      <w:r>
        <w:rPr>
          <w:rFonts w:ascii="宋体" w:hAnsi="宋体" w:cs="宋体" w:eastAsia="宋体" w:hint="default"/>
        </w:rPr>
        <w:t>(3).</w:t>
      </w:r>
      <w:r>
        <w:rPr>
          <w:rFonts w:ascii="宋体" w:hAnsi="宋体" w:cs="宋体" w:eastAsia="宋体" w:hint="default"/>
          <w:spacing w:val="5"/>
        </w:rPr>
        <w:t> </w:t>
      </w:r>
      <w:r>
        <w:rPr/>
        <w:t>关联担保情况</w:t>
      </w:r>
      <w:r>
        <w:rPr>
          <w:b w:val="0"/>
          <w:bCs w:val="0"/>
        </w:rPr>
      </w:r>
    </w:p>
    <w:p>
      <w:pPr>
        <w:pStyle w:val="BodyText"/>
        <w:spacing w:line="328" w:lineRule="exact" w:before="118"/>
        <w:ind w:left="642" w:right="127"/>
        <w:jc w:val="left"/>
      </w:pPr>
      <w:r>
        <w:rPr>
          <w:rFonts w:ascii="Calibri" w:hAnsi="Calibri" w:cs="Calibri" w:eastAsia="Calibri" w:hint="default"/>
        </w:rPr>
        <w:t>A</w:t>
      </w:r>
      <w:r>
        <w:rPr/>
        <w:t>、根据本公司</w:t>
      </w:r>
      <w:r>
        <w:rPr>
          <w:spacing w:val="-72"/>
        </w:rPr>
        <w:t> </w:t>
      </w:r>
      <w:r>
        <w:rPr>
          <w:rFonts w:ascii="Calibri" w:hAnsi="Calibri" w:cs="Calibri" w:eastAsia="Calibri" w:hint="default"/>
        </w:rPr>
        <w:t>2007</w:t>
      </w:r>
      <w:r>
        <w:rPr>
          <w:rFonts w:ascii="Calibri" w:hAnsi="Calibri" w:cs="Calibri" w:eastAsia="Calibri" w:hint="default"/>
          <w:spacing w:val="-6"/>
        </w:rPr>
        <w:t> </w:t>
      </w:r>
      <w:r>
        <w:rPr/>
        <w:t>年第三次临时董事会会议决议，为本公司之全资子公司华胜</w:t>
      </w:r>
    </w:p>
    <w:p>
      <w:pPr>
        <w:pStyle w:val="BodyText"/>
        <w:spacing w:line="312" w:lineRule="exact" w:before="13"/>
        <w:ind w:left="218" w:right="127"/>
        <w:jc w:val="left"/>
      </w:pPr>
      <w:r>
        <w:rPr/>
        <w:t>天成科技</w:t>
      </w:r>
      <w:r>
        <w:rPr>
          <w:rFonts w:ascii="Calibri" w:hAnsi="Calibri" w:cs="Calibri" w:eastAsia="Calibri" w:hint="default"/>
        </w:rPr>
        <w:t>(</w:t>
      </w:r>
      <w:r>
        <w:rPr/>
        <w:t>香港</w:t>
      </w:r>
      <w:r>
        <w:rPr>
          <w:rFonts w:ascii="Calibri" w:hAnsi="Calibri" w:cs="Calibri" w:eastAsia="Calibri" w:hint="default"/>
        </w:rPr>
        <w:t>)</w:t>
      </w:r>
      <w:r>
        <w:rPr/>
        <w:t>有限公司提供每年最高额 </w:t>
      </w:r>
      <w:r>
        <w:rPr>
          <w:rFonts w:ascii="Calibri" w:hAnsi="Calibri" w:cs="Calibri" w:eastAsia="Calibri" w:hint="default"/>
        </w:rPr>
        <w:t>7000</w:t>
      </w:r>
      <w:r>
        <w:rPr>
          <w:rFonts w:ascii="Calibri" w:hAnsi="Calibri" w:cs="Calibri" w:eastAsia="Calibri" w:hint="default"/>
          <w:spacing w:val="20"/>
        </w:rPr>
        <w:t> </w:t>
      </w:r>
      <w:r>
        <w:rPr/>
        <w:t>万元人民币或等值外币的采购付款担 保；</w:t>
      </w:r>
    </w:p>
    <w:p>
      <w:pPr>
        <w:pStyle w:val="BodyText"/>
        <w:spacing w:line="328" w:lineRule="exact" w:before="88"/>
        <w:ind w:left="642" w:right="127"/>
        <w:jc w:val="left"/>
      </w:pPr>
      <w:r>
        <w:rPr>
          <w:rFonts w:ascii="Calibri" w:hAnsi="Calibri" w:cs="Calibri" w:eastAsia="Calibri" w:hint="default"/>
        </w:rPr>
        <w:t>B</w:t>
      </w:r>
      <w:r>
        <w:rPr/>
        <w:t>、根据本公司</w:t>
      </w:r>
      <w:r>
        <w:rPr>
          <w:spacing w:val="-67"/>
        </w:rPr>
        <w:t> </w:t>
      </w:r>
      <w:r>
        <w:rPr>
          <w:rFonts w:ascii="Calibri" w:hAnsi="Calibri" w:cs="Calibri" w:eastAsia="Calibri" w:hint="default"/>
        </w:rPr>
        <w:t>2009</w:t>
      </w:r>
      <w:r>
        <w:rPr>
          <w:rFonts w:ascii="Calibri" w:hAnsi="Calibri" w:cs="Calibri" w:eastAsia="Calibri" w:hint="default"/>
          <w:spacing w:val="-1"/>
        </w:rPr>
        <w:t> </w:t>
      </w:r>
      <w:r>
        <w:rPr/>
        <w:t>年第九次临时董事会审议通过，为本公司之控股子公司北京</w:t>
      </w:r>
    </w:p>
    <w:p>
      <w:pPr>
        <w:pStyle w:val="BodyText"/>
        <w:spacing w:line="328" w:lineRule="exact"/>
        <w:ind w:left="218" w:right="127"/>
        <w:jc w:val="left"/>
      </w:pPr>
      <w:r>
        <w:rPr/>
        <w:t>飞杰信息技术有限公司提供每年最高额</w:t>
      </w:r>
      <w:r>
        <w:rPr>
          <w:spacing w:val="-62"/>
        </w:rPr>
        <w:t> </w:t>
      </w:r>
      <w:r>
        <w:rPr>
          <w:rFonts w:ascii="Calibri" w:hAnsi="Calibri" w:cs="Calibri" w:eastAsia="Calibri" w:hint="default"/>
        </w:rPr>
        <w:t>3000</w:t>
      </w:r>
      <w:r>
        <w:rPr>
          <w:rFonts w:ascii="Calibri" w:hAnsi="Calibri" w:cs="Calibri" w:eastAsia="Calibri" w:hint="default"/>
          <w:spacing w:val="4"/>
        </w:rPr>
        <w:t> </w:t>
      </w:r>
      <w:r>
        <w:rPr/>
        <w:t>万元人民币的贸易项下担保；</w:t>
      </w:r>
    </w:p>
    <w:p>
      <w:pPr>
        <w:pStyle w:val="BodyText"/>
        <w:spacing w:line="328" w:lineRule="exact" w:before="87"/>
        <w:ind w:left="642" w:right="127"/>
        <w:jc w:val="left"/>
      </w:pPr>
      <w:r>
        <w:rPr>
          <w:rFonts w:ascii="Calibri" w:hAnsi="Calibri" w:cs="Calibri" w:eastAsia="Calibri" w:hint="default"/>
        </w:rPr>
        <w:t>C</w:t>
      </w:r>
      <w:r>
        <w:rPr/>
        <w:t>、根据本公司</w:t>
      </w:r>
      <w:r>
        <w:rPr>
          <w:spacing w:val="-66"/>
        </w:rPr>
        <w:t> </w:t>
      </w:r>
      <w:r>
        <w:rPr>
          <w:rFonts w:ascii="Calibri" w:hAnsi="Calibri" w:cs="Calibri" w:eastAsia="Calibri" w:hint="default"/>
        </w:rPr>
        <w:t>2007 </w:t>
      </w:r>
      <w:r>
        <w:rPr/>
        <w:t>年第八次临时董事会会议决议，为本公司之全资子公司深圳</w:t>
      </w:r>
    </w:p>
    <w:p>
      <w:pPr>
        <w:pStyle w:val="BodyText"/>
        <w:spacing w:line="328" w:lineRule="exact"/>
        <w:ind w:left="218" w:right="127"/>
        <w:jc w:val="left"/>
      </w:pPr>
      <w:r>
        <w:rPr/>
        <w:t>华胜天成信息技术有限公司提供每年最高额</w:t>
      </w:r>
      <w:r>
        <w:rPr>
          <w:spacing w:val="-61"/>
        </w:rPr>
        <w:t> </w:t>
      </w:r>
      <w:r>
        <w:rPr>
          <w:rFonts w:ascii="Calibri" w:hAnsi="Calibri" w:cs="Calibri" w:eastAsia="Calibri" w:hint="default"/>
        </w:rPr>
        <w:t>800</w:t>
      </w:r>
      <w:r>
        <w:rPr>
          <w:rFonts w:ascii="Calibri" w:hAnsi="Calibri" w:cs="Calibri" w:eastAsia="Calibri" w:hint="default"/>
          <w:spacing w:val="4"/>
        </w:rPr>
        <w:t> </w:t>
      </w:r>
      <w:r>
        <w:rPr/>
        <w:t>万美元的采购额度的信用担保；</w:t>
      </w:r>
    </w:p>
    <w:p>
      <w:pPr>
        <w:pStyle w:val="BodyText"/>
        <w:spacing w:line="216" w:lineRule="auto" w:before="114"/>
        <w:ind w:left="218" w:right="213" w:firstLine="424"/>
        <w:jc w:val="both"/>
      </w:pPr>
      <w:r>
        <w:rPr>
          <w:rFonts w:ascii="Calibri" w:hAnsi="Calibri" w:cs="Calibri" w:eastAsia="Calibri" w:hint="default"/>
        </w:rPr>
        <w:t>C</w:t>
      </w:r>
      <w:r>
        <w:rPr/>
        <w:t>、根据本公司</w:t>
      </w:r>
      <w:r>
        <w:rPr>
          <w:spacing w:val="-65"/>
        </w:rPr>
        <w:t> </w:t>
      </w:r>
      <w:r>
        <w:rPr>
          <w:rFonts w:ascii="Calibri" w:hAnsi="Calibri" w:cs="Calibri" w:eastAsia="Calibri" w:hint="default"/>
        </w:rPr>
        <w:t>2011 </w:t>
      </w:r>
      <w:r>
        <w:rPr/>
        <w:t>年第十三次临时董事会会议决议，为本公司之控股子公司北 京飞杰信息技术有限公司提供总额不超过</w:t>
      </w:r>
      <w:r>
        <w:rPr>
          <w:spacing w:val="-61"/>
        </w:rPr>
        <w:t> </w:t>
      </w:r>
      <w:r>
        <w:rPr>
          <w:rFonts w:ascii="Calibri" w:hAnsi="Calibri" w:cs="Calibri" w:eastAsia="Calibri" w:hint="default"/>
        </w:rPr>
        <w:t>500</w:t>
      </w:r>
      <w:r>
        <w:rPr>
          <w:rFonts w:ascii="Calibri" w:hAnsi="Calibri" w:cs="Calibri" w:eastAsia="Calibri" w:hint="default"/>
          <w:spacing w:val="5"/>
        </w:rPr>
        <w:t> </w:t>
      </w:r>
      <w:r>
        <w:rPr>
          <w:spacing w:val="-9"/>
        </w:rPr>
        <w:t>万元人民币，仅为进口</w:t>
      </w:r>
      <w:r>
        <w:rPr>
          <w:spacing w:val="-61"/>
        </w:rPr>
        <w:t> </w:t>
      </w:r>
      <w:r>
        <w:rPr>
          <w:rFonts w:ascii="Calibri" w:hAnsi="Calibri" w:cs="Calibri" w:eastAsia="Calibri" w:hint="default"/>
          <w:spacing w:val="-4"/>
        </w:rPr>
        <w:t>ARRAY</w:t>
      </w:r>
      <w:r>
        <w:rPr>
          <w:rFonts w:ascii="Calibri" w:hAnsi="Calibri" w:cs="Calibri" w:eastAsia="Calibri" w:hint="default"/>
          <w:spacing w:val="4"/>
        </w:rPr>
        <w:t> </w:t>
      </w:r>
      <w:r>
        <w:rPr/>
        <w:t>系列产品 的担保，担保期限至</w:t>
      </w:r>
      <w:r>
        <w:rPr>
          <w:spacing w:val="-61"/>
        </w:rPr>
        <w:t> </w:t>
      </w:r>
      <w:r>
        <w:rPr>
          <w:rFonts w:ascii="Calibri" w:hAnsi="Calibri" w:cs="Calibri" w:eastAsia="Calibri" w:hint="default"/>
        </w:rPr>
        <w:t>2015</w:t>
      </w:r>
      <w:r>
        <w:rPr>
          <w:rFonts w:ascii="Calibri" w:hAnsi="Calibri" w:cs="Calibri" w:eastAsia="Calibri" w:hint="default"/>
          <w:spacing w:val="4"/>
        </w:rPr>
        <w:t> </w:t>
      </w:r>
      <w:r>
        <w:rPr/>
        <w:t>年</w:t>
      </w:r>
      <w:r>
        <w:rPr>
          <w:spacing w:val="-61"/>
        </w:rPr>
        <w:t> </w:t>
      </w:r>
      <w:r>
        <w:rPr>
          <w:rFonts w:ascii="Calibri" w:hAnsi="Calibri" w:cs="Calibri" w:eastAsia="Calibri" w:hint="default"/>
        </w:rPr>
        <w:t>5</w:t>
      </w:r>
      <w:r>
        <w:rPr>
          <w:rFonts w:ascii="Calibri" w:hAnsi="Calibri" w:cs="Calibri" w:eastAsia="Calibri" w:hint="default"/>
          <w:spacing w:val="4"/>
        </w:rPr>
        <w:t> </w:t>
      </w:r>
      <w:r>
        <w:rPr/>
        <w:t>月</w:t>
      </w:r>
      <w:r>
        <w:rPr>
          <w:spacing w:val="-60"/>
        </w:rPr>
        <w:t> </w:t>
      </w:r>
      <w:r>
        <w:rPr>
          <w:rFonts w:ascii="Calibri" w:hAnsi="Calibri" w:cs="Calibri" w:eastAsia="Calibri" w:hint="default"/>
        </w:rPr>
        <w:t>18</w:t>
      </w:r>
      <w:r>
        <w:rPr>
          <w:rFonts w:ascii="Calibri" w:hAnsi="Calibri" w:cs="Calibri" w:eastAsia="Calibri" w:hint="default"/>
          <w:spacing w:val="4"/>
        </w:rPr>
        <w:t> </w:t>
      </w:r>
      <w:r>
        <w:rPr/>
        <w:t>日；</w:t>
      </w:r>
    </w:p>
    <w:p>
      <w:pPr>
        <w:pStyle w:val="BodyText"/>
        <w:spacing w:line="223" w:lineRule="auto" w:before="113"/>
        <w:ind w:left="218" w:right="212" w:firstLine="424"/>
        <w:jc w:val="both"/>
      </w:pPr>
      <w:r>
        <w:rPr>
          <w:rFonts w:ascii="Calibri" w:hAnsi="Calibri" w:cs="Calibri" w:eastAsia="Calibri" w:hint="default"/>
          <w:spacing w:val="-3"/>
        </w:rPr>
        <w:t>D</w:t>
      </w:r>
      <w:r>
        <w:rPr>
          <w:spacing w:val="-3"/>
        </w:rPr>
        <w:t>、根据本公司</w:t>
      </w:r>
      <w:r>
        <w:rPr>
          <w:spacing w:val="-65"/>
        </w:rPr>
        <w:t> </w:t>
      </w:r>
      <w:r>
        <w:rPr>
          <w:rFonts w:ascii="Calibri" w:hAnsi="Calibri" w:cs="Calibri" w:eastAsia="Calibri" w:hint="default"/>
        </w:rPr>
        <w:t>2012</w:t>
      </w:r>
      <w:r>
        <w:rPr>
          <w:rFonts w:ascii="Calibri" w:hAnsi="Calibri" w:cs="Calibri" w:eastAsia="Calibri" w:hint="default"/>
          <w:spacing w:val="1"/>
        </w:rPr>
        <w:t> </w:t>
      </w:r>
      <w:r>
        <w:rPr/>
        <w:t>年第六次临时董事会会议决议，为本公司之间接控制子公司 </w:t>
      </w:r>
      <w:r>
        <w:rPr>
          <w:spacing w:val="-2"/>
        </w:rPr>
        <w:t>华胜天成（中国）融资租赁有限公司在中国银行天津滨海分行申请授信额度提供连带</w:t>
      </w:r>
      <w:r>
        <w:rPr>
          <w:spacing w:val="-94"/>
        </w:rPr>
        <w:t> </w:t>
      </w:r>
      <w:r>
        <w:rPr>
          <w:spacing w:val="-94"/>
        </w:rPr>
      </w:r>
      <w:r>
        <w:rPr/>
        <w:t>责任保证担保，担保品种为租赁保理，金额为人民币</w:t>
      </w:r>
      <w:r>
        <w:rPr>
          <w:spacing w:val="-58"/>
        </w:rPr>
        <w:t> </w:t>
      </w:r>
      <w:r>
        <w:rPr>
          <w:rFonts w:ascii="Calibri" w:hAnsi="Calibri" w:cs="Calibri" w:eastAsia="Calibri" w:hint="default"/>
        </w:rPr>
        <w:t>3,000</w:t>
      </w:r>
      <w:r>
        <w:rPr>
          <w:rFonts w:ascii="Calibri" w:hAnsi="Calibri" w:cs="Calibri" w:eastAsia="Calibri" w:hint="default"/>
          <w:spacing w:val="8"/>
        </w:rPr>
        <w:t> </w:t>
      </w:r>
      <w:r>
        <w:rPr/>
        <w:t>万元整，保证期间为主债 权的清偿期届满之日起两年；</w:t>
      </w:r>
    </w:p>
    <w:p>
      <w:pPr>
        <w:pStyle w:val="BodyText"/>
        <w:spacing w:line="223" w:lineRule="auto" w:before="138"/>
        <w:ind w:left="218" w:right="212" w:firstLine="424"/>
        <w:jc w:val="both"/>
      </w:pPr>
      <w:r>
        <w:rPr>
          <w:rFonts w:ascii="Calibri" w:hAnsi="Calibri" w:cs="Calibri" w:eastAsia="Calibri" w:hint="default"/>
        </w:rPr>
        <w:t>E</w:t>
      </w:r>
      <w:r>
        <w:rPr/>
        <w:t>、据本公司</w:t>
      </w:r>
      <w:r>
        <w:rPr>
          <w:spacing w:val="-59"/>
        </w:rPr>
        <w:t> </w:t>
      </w:r>
      <w:r>
        <w:rPr>
          <w:rFonts w:ascii="Calibri" w:hAnsi="Calibri" w:cs="Calibri" w:eastAsia="Calibri" w:hint="default"/>
        </w:rPr>
        <w:t>2012</w:t>
      </w:r>
      <w:r>
        <w:rPr>
          <w:rFonts w:ascii="Calibri" w:hAnsi="Calibri" w:cs="Calibri" w:eastAsia="Calibri" w:hint="default"/>
          <w:spacing w:val="6"/>
        </w:rPr>
        <w:t> </w:t>
      </w:r>
      <w:r>
        <w:rPr/>
        <w:t>年第九次临时董事会会议决议，为本公司之间接控制子公司华 </w:t>
      </w:r>
      <w:r>
        <w:rPr>
          <w:spacing w:val="-2"/>
        </w:rPr>
        <w:t>胜天成（中国）融资租赁有限公司在东亚银行（中国）有限公司北京分行申请授信额</w:t>
      </w:r>
      <w:r>
        <w:rPr>
          <w:spacing w:val="-94"/>
        </w:rPr>
        <w:t> </w:t>
      </w:r>
      <w:r>
        <w:rPr>
          <w:spacing w:val="-94"/>
        </w:rPr>
      </w:r>
      <w:r>
        <w:rPr>
          <w:spacing w:val="-4"/>
        </w:rPr>
        <w:t>度提供不可撤销的连带责任担保，并签署《保证合同》，金额为人民币</w:t>
      </w:r>
      <w:r>
        <w:rPr/>
        <w:t> </w:t>
      </w:r>
      <w:r>
        <w:rPr>
          <w:rFonts w:ascii="Calibri" w:hAnsi="Calibri" w:cs="Calibri" w:eastAsia="Calibri" w:hint="default"/>
        </w:rPr>
        <w:t>1</w:t>
      </w:r>
      <w:r>
        <w:rPr>
          <w:rFonts w:ascii="Calibri" w:hAnsi="Calibri" w:cs="Calibri" w:eastAsia="Calibri" w:hint="default"/>
          <w:spacing w:val="21"/>
        </w:rPr>
        <w:t> </w:t>
      </w:r>
      <w:r>
        <w:rPr/>
        <w:t>亿元整，保 证期间为主合同下债务履行期限届满之日起三年；</w:t>
      </w:r>
    </w:p>
    <w:p>
      <w:pPr>
        <w:spacing w:after="0" w:line="223" w:lineRule="auto"/>
        <w:jc w:val="both"/>
        <w:sectPr>
          <w:pgSz w:w="11910" w:h="16840"/>
          <w:pgMar w:header="882" w:footer="1194" w:top="1120" w:bottom="1380" w:left="1580" w:right="1060"/>
        </w:sectPr>
      </w:pPr>
    </w:p>
    <w:p>
      <w:pPr>
        <w:spacing w:line="240" w:lineRule="auto" w:before="9"/>
        <w:rPr>
          <w:rFonts w:ascii="宋体" w:hAnsi="宋体" w:cs="宋体" w:eastAsia="宋体" w:hint="default"/>
          <w:sz w:val="25"/>
          <w:szCs w:val="25"/>
        </w:rPr>
      </w:pPr>
    </w:p>
    <w:p>
      <w:pPr>
        <w:pStyle w:val="BodyText"/>
        <w:spacing w:line="228" w:lineRule="auto" w:before="40"/>
        <w:ind w:right="352" w:firstLine="424"/>
        <w:jc w:val="both"/>
      </w:pPr>
      <w:r>
        <w:rPr>
          <w:rFonts w:ascii="Calibri" w:hAnsi="Calibri" w:cs="Calibri" w:eastAsia="Calibri" w:hint="default"/>
        </w:rPr>
        <w:t>F</w:t>
      </w:r>
      <w:r>
        <w:rPr/>
        <w:t>、本公司</w:t>
      </w:r>
      <w:r>
        <w:rPr>
          <w:spacing w:val="-55"/>
        </w:rPr>
        <w:t> </w:t>
      </w:r>
      <w:r>
        <w:rPr>
          <w:rFonts w:ascii="Calibri" w:hAnsi="Calibri" w:cs="Calibri" w:eastAsia="Calibri" w:hint="default"/>
        </w:rPr>
        <w:t>2013</w:t>
      </w:r>
      <w:r>
        <w:rPr>
          <w:rFonts w:ascii="Calibri" w:hAnsi="Calibri" w:cs="Calibri" w:eastAsia="Calibri" w:hint="default"/>
          <w:spacing w:val="10"/>
        </w:rPr>
        <w:t> </w:t>
      </w:r>
      <w:r>
        <w:rPr/>
        <w:t>年第二次临时董事会会议决议以及签署的综合授信合同，允许本 </w:t>
      </w:r>
      <w:r>
        <w:rPr>
          <w:spacing w:val="4"/>
        </w:rPr>
        <w:t>公司之全资子公司南京华胜天成信息技术有限公司使用本公司在中国民生银行综合</w:t>
      </w:r>
      <w:r>
        <w:rPr>
          <w:spacing w:val="-104"/>
        </w:rPr>
        <w:t> </w:t>
      </w:r>
      <w:r>
        <w:rPr>
          <w:spacing w:val="-104"/>
        </w:rPr>
      </w:r>
      <w:r>
        <w:rPr/>
        <w:t>授信额度，由本公司承担连带担保责任，担保额度调整为</w:t>
      </w:r>
      <w:r>
        <w:rPr>
          <w:spacing w:val="-58"/>
        </w:rPr>
        <w:t> </w:t>
      </w:r>
      <w:r>
        <w:rPr>
          <w:rFonts w:ascii="Calibri" w:hAnsi="Calibri" w:cs="Calibri" w:eastAsia="Calibri" w:hint="default"/>
        </w:rPr>
        <w:t>5,000</w:t>
      </w:r>
      <w:r>
        <w:rPr>
          <w:rFonts w:ascii="Calibri" w:hAnsi="Calibri" w:cs="Calibri" w:eastAsia="Calibri" w:hint="default"/>
          <w:spacing w:val="7"/>
        </w:rPr>
        <w:t> </w:t>
      </w:r>
      <w:r>
        <w:rPr/>
        <w:t>万元人民币，担保期</w:t>
      </w:r>
    </w:p>
    <w:p>
      <w:pPr>
        <w:pStyle w:val="BodyText"/>
        <w:spacing w:line="314" w:lineRule="exact"/>
        <w:ind w:right="0"/>
        <w:jc w:val="left"/>
      </w:pPr>
      <w:r>
        <w:rPr/>
        <w:t>限为</w:t>
      </w:r>
      <w:r>
        <w:rPr>
          <w:spacing w:val="-60"/>
        </w:rPr>
        <w:t> </w:t>
      </w:r>
      <w:r>
        <w:rPr>
          <w:rFonts w:ascii="Calibri" w:hAnsi="Calibri" w:cs="Calibri" w:eastAsia="Calibri" w:hint="default"/>
        </w:rPr>
        <w:t>2</w:t>
      </w:r>
      <w:r>
        <w:rPr>
          <w:rFonts w:ascii="Calibri" w:hAnsi="Calibri" w:cs="Calibri" w:eastAsia="Calibri" w:hint="default"/>
          <w:spacing w:val="5"/>
        </w:rPr>
        <w:t> </w:t>
      </w:r>
      <w:r>
        <w:rPr/>
        <w:t>年；</w:t>
      </w:r>
    </w:p>
    <w:p>
      <w:pPr>
        <w:pStyle w:val="BodyText"/>
        <w:spacing w:line="228" w:lineRule="auto" w:before="100"/>
        <w:ind w:right="352" w:firstLine="424"/>
        <w:jc w:val="both"/>
      </w:pPr>
      <w:r>
        <w:rPr>
          <w:rFonts w:ascii="Calibri" w:hAnsi="Calibri" w:cs="Calibri" w:eastAsia="Calibri" w:hint="default"/>
          <w:spacing w:val="-4"/>
        </w:rPr>
        <w:t>G</w:t>
      </w:r>
      <w:r>
        <w:rPr>
          <w:spacing w:val="-4"/>
        </w:rPr>
        <w:t>、本公司</w:t>
      </w:r>
      <w:r>
        <w:rPr>
          <w:spacing w:val="-67"/>
        </w:rPr>
        <w:t> </w:t>
      </w:r>
      <w:r>
        <w:rPr>
          <w:rFonts w:ascii="Calibri" w:hAnsi="Calibri" w:cs="Calibri" w:eastAsia="Calibri" w:hint="default"/>
        </w:rPr>
        <w:t>2013</w:t>
      </w:r>
      <w:r>
        <w:rPr>
          <w:rFonts w:ascii="Calibri" w:hAnsi="Calibri" w:cs="Calibri" w:eastAsia="Calibri" w:hint="default"/>
          <w:spacing w:val="-2"/>
        </w:rPr>
        <w:t> </w:t>
      </w:r>
      <w:r>
        <w:rPr/>
        <w:t>年第二次临时董事会会议决议以及签署的综合授信合同，允许本 </w:t>
      </w:r>
      <w:r>
        <w:rPr>
          <w:spacing w:val="4"/>
        </w:rPr>
        <w:t>公司之控股子公司北京飞杰信息技术有限公司使用本公司在中国民生银行综合授信</w:t>
      </w:r>
      <w:r>
        <w:rPr>
          <w:spacing w:val="-101"/>
        </w:rPr>
        <w:t> </w:t>
      </w:r>
      <w:r>
        <w:rPr>
          <w:spacing w:val="-101"/>
        </w:rPr>
      </w:r>
      <w:r>
        <w:rPr/>
        <w:t>额度，由本公司承担连带担保责任，担保额度调整为</w:t>
      </w:r>
      <w:r>
        <w:rPr>
          <w:spacing w:val="-57"/>
        </w:rPr>
        <w:t> </w:t>
      </w:r>
      <w:r>
        <w:rPr>
          <w:rFonts w:ascii="Calibri" w:hAnsi="Calibri" w:cs="Calibri" w:eastAsia="Calibri" w:hint="default"/>
        </w:rPr>
        <w:t>1,000</w:t>
      </w:r>
      <w:r>
        <w:rPr>
          <w:rFonts w:ascii="Calibri" w:hAnsi="Calibri" w:cs="Calibri" w:eastAsia="Calibri" w:hint="default"/>
          <w:spacing w:val="8"/>
        </w:rPr>
        <w:t> </w:t>
      </w:r>
      <w:r>
        <w:rPr/>
        <w:t>万元人民币，担保期限为</w:t>
      </w:r>
    </w:p>
    <w:p>
      <w:pPr>
        <w:pStyle w:val="BodyText"/>
        <w:spacing w:line="314" w:lineRule="exact"/>
        <w:ind w:right="0"/>
        <w:jc w:val="left"/>
      </w:pPr>
      <w:r>
        <w:rPr>
          <w:rFonts w:ascii="Calibri" w:hAnsi="Calibri" w:cs="Calibri" w:eastAsia="Calibri" w:hint="default"/>
        </w:rPr>
        <w:t>2</w:t>
      </w:r>
      <w:r>
        <w:rPr>
          <w:rFonts w:ascii="Calibri" w:hAnsi="Calibri" w:cs="Calibri" w:eastAsia="Calibri" w:hint="default"/>
          <w:spacing w:val="5"/>
        </w:rPr>
        <w:t> </w:t>
      </w:r>
      <w:r>
        <w:rPr/>
        <w:t>年；</w:t>
      </w:r>
    </w:p>
    <w:p>
      <w:pPr>
        <w:pStyle w:val="BodyText"/>
        <w:spacing w:line="310" w:lineRule="exact" w:before="119"/>
        <w:ind w:right="355" w:firstLine="424"/>
        <w:jc w:val="both"/>
      </w:pPr>
      <w:r>
        <w:rPr>
          <w:rFonts w:ascii="Calibri" w:hAnsi="Calibri" w:cs="Calibri" w:eastAsia="Calibri" w:hint="default"/>
          <w:spacing w:val="-3"/>
        </w:rPr>
        <w:t>H</w:t>
      </w:r>
      <w:r>
        <w:rPr>
          <w:spacing w:val="-3"/>
        </w:rPr>
        <w:t>、本公司</w:t>
      </w:r>
      <w:r>
        <w:rPr>
          <w:spacing w:val="-68"/>
        </w:rPr>
        <w:t> </w:t>
      </w:r>
      <w:r>
        <w:rPr>
          <w:rFonts w:ascii="Calibri" w:hAnsi="Calibri" w:cs="Calibri" w:eastAsia="Calibri" w:hint="default"/>
        </w:rPr>
        <w:t>2013</w:t>
      </w:r>
      <w:r>
        <w:rPr>
          <w:rFonts w:ascii="Calibri" w:hAnsi="Calibri" w:cs="Calibri" w:eastAsia="Calibri" w:hint="default"/>
          <w:spacing w:val="-3"/>
        </w:rPr>
        <w:t> </w:t>
      </w:r>
      <w:r>
        <w:rPr/>
        <w:t>年第四次临时董事会会议决议，本公司使用汇丰银行综合信用额 度申请开立备用信用证为本公司之全资子公司华胜天成</w:t>
      </w:r>
      <w:r>
        <w:rPr>
          <w:rFonts w:ascii="Calibri" w:hAnsi="Calibri" w:cs="Calibri" w:eastAsia="Calibri" w:hint="default"/>
        </w:rPr>
        <w:t>(</w:t>
      </w:r>
      <w:r>
        <w:rPr/>
        <w:t>香港</w:t>
      </w:r>
      <w:r>
        <w:rPr>
          <w:rFonts w:ascii="Calibri" w:hAnsi="Calibri" w:cs="Calibri" w:eastAsia="Calibri" w:hint="default"/>
        </w:rPr>
        <w:t>)</w:t>
      </w:r>
      <w:r>
        <w:rPr/>
        <w:t>有限公司在香港上海汇</w:t>
      </w:r>
    </w:p>
    <w:p>
      <w:pPr>
        <w:pStyle w:val="BodyText"/>
        <w:spacing w:line="314" w:lineRule="exact"/>
        <w:ind w:right="0"/>
        <w:jc w:val="left"/>
      </w:pPr>
      <w:r>
        <w:rPr/>
        <w:t>丰银行有限公司申请授信提供担保，金额为人民币</w:t>
      </w:r>
      <w:r>
        <w:rPr>
          <w:spacing w:val="-61"/>
        </w:rPr>
        <w:t> </w:t>
      </w:r>
      <w:r>
        <w:rPr>
          <w:rFonts w:ascii="Calibri" w:hAnsi="Calibri" w:cs="Calibri" w:eastAsia="Calibri" w:hint="default"/>
        </w:rPr>
        <w:t>10,000</w:t>
      </w:r>
      <w:r>
        <w:rPr>
          <w:rFonts w:ascii="Calibri" w:hAnsi="Calibri" w:cs="Calibri" w:eastAsia="Calibri" w:hint="default"/>
          <w:spacing w:val="4"/>
        </w:rPr>
        <w:t> </w:t>
      </w:r>
      <w:r>
        <w:rPr/>
        <w:t>万元整，担保期限为</w:t>
      </w:r>
      <w:r>
        <w:rPr>
          <w:spacing w:val="-60"/>
        </w:rPr>
        <w:t> </w:t>
      </w:r>
      <w:r>
        <w:rPr>
          <w:rFonts w:ascii="Calibri" w:hAnsi="Calibri" w:cs="Calibri" w:eastAsia="Calibri" w:hint="default"/>
        </w:rPr>
        <w:t>1</w:t>
      </w:r>
      <w:r>
        <w:rPr>
          <w:rFonts w:ascii="Calibri" w:hAnsi="Calibri" w:cs="Calibri" w:eastAsia="Calibri" w:hint="default"/>
          <w:spacing w:val="5"/>
        </w:rPr>
        <w:t> </w:t>
      </w:r>
      <w:r>
        <w:rPr/>
        <w:t>年；</w:t>
      </w:r>
    </w:p>
    <w:p>
      <w:pPr>
        <w:pStyle w:val="BodyText"/>
        <w:spacing w:line="328" w:lineRule="exact" w:before="86"/>
        <w:ind w:left="562" w:right="0"/>
        <w:jc w:val="left"/>
      </w:pPr>
      <w:r>
        <w:rPr>
          <w:rFonts w:ascii="Calibri" w:hAnsi="Calibri" w:cs="Calibri" w:eastAsia="Calibri" w:hint="default"/>
        </w:rPr>
        <w:t>I</w:t>
      </w:r>
      <w:r>
        <w:rPr/>
        <w:t>、本公司 </w:t>
      </w:r>
      <w:r>
        <w:rPr>
          <w:rFonts w:ascii="Calibri" w:hAnsi="Calibri" w:cs="Calibri" w:eastAsia="Calibri" w:hint="default"/>
        </w:rPr>
        <w:t>2013</w:t>
      </w:r>
      <w:r>
        <w:rPr>
          <w:rFonts w:ascii="Calibri" w:hAnsi="Calibri" w:cs="Calibri" w:eastAsia="Calibri" w:hint="default"/>
          <w:spacing w:val="4"/>
        </w:rPr>
        <w:t> </w:t>
      </w:r>
      <w:r>
        <w:rPr/>
        <w:t>年第四次临时董事会会议决议，本公司使用北京银行综合信用额</w:t>
      </w:r>
    </w:p>
    <w:p>
      <w:pPr>
        <w:pStyle w:val="BodyText"/>
        <w:spacing w:line="311" w:lineRule="exact"/>
        <w:ind w:right="0"/>
        <w:jc w:val="left"/>
        <w:rPr>
          <w:rFonts w:ascii="Calibri" w:hAnsi="Calibri" w:cs="Calibri" w:eastAsia="Calibri" w:hint="default"/>
        </w:rPr>
      </w:pPr>
      <w:r>
        <w:rPr>
          <w:spacing w:val="-5"/>
        </w:rPr>
        <w:t>度申请开立备用信用证，金额为</w:t>
      </w:r>
      <w:r>
        <w:rPr>
          <w:spacing w:val="-52"/>
        </w:rPr>
        <w:t> </w:t>
      </w:r>
      <w:r>
        <w:rPr>
          <w:rFonts w:ascii="Calibri" w:hAnsi="Calibri" w:cs="Calibri" w:eastAsia="Calibri" w:hint="default"/>
        </w:rPr>
        <w:t>1,000</w:t>
      </w:r>
      <w:r>
        <w:rPr>
          <w:rFonts w:ascii="Calibri" w:hAnsi="Calibri" w:cs="Calibri" w:eastAsia="Calibri" w:hint="default"/>
          <w:spacing w:val="12"/>
        </w:rPr>
        <w:t> </w:t>
      </w:r>
      <w:r>
        <w:rPr>
          <w:spacing w:val="-4"/>
        </w:rPr>
        <w:t>万美元，为本公司之全资子公司华胜天成</w:t>
      </w:r>
      <w:r>
        <w:rPr>
          <w:rFonts w:ascii="Calibri" w:hAnsi="Calibri" w:cs="Calibri" w:eastAsia="Calibri" w:hint="default"/>
          <w:spacing w:val="-4"/>
        </w:rPr>
        <w:t>(</w:t>
      </w:r>
      <w:r>
        <w:rPr>
          <w:spacing w:val="-4"/>
        </w:rPr>
        <w:t>香港</w:t>
      </w:r>
      <w:r>
        <w:rPr>
          <w:rFonts w:ascii="Calibri" w:hAnsi="Calibri" w:cs="Calibri" w:eastAsia="Calibri" w:hint="default"/>
          <w:spacing w:val="-4"/>
        </w:rPr>
        <w:t>)</w:t>
      </w:r>
    </w:p>
    <w:p>
      <w:pPr>
        <w:pStyle w:val="BodyText"/>
        <w:spacing w:line="328" w:lineRule="exact"/>
        <w:ind w:right="0"/>
        <w:jc w:val="left"/>
      </w:pPr>
      <w:r>
        <w:rPr/>
        <w:t>有限公司在星展银行有限公司申请授信贸易融资提供担保，担保期限为</w:t>
      </w:r>
      <w:r>
        <w:rPr>
          <w:spacing w:val="-60"/>
        </w:rPr>
        <w:t> </w:t>
      </w:r>
      <w:r>
        <w:rPr>
          <w:rFonts w:ascii="Calibri" w:hAnsi="Calibri" w:cs="Calibri" w:eastAsia="Calibri" w:hint="default"/>
        </w:rPr>
        <w:t>1</w:t>
      </w:r>
      <w:r>
        <w:rPr>
          <w:rFonts w:ascii="Calibri" w:hAnsi="Calibri" w:cs="Calibri" w:eastAsia="Calibri" w:hint="default"/>
          <w:spacing w:val="5"/>
        </w:rPr>
        <w:t> </w:t>
      </w:r>
      <w:r>
        <w:rPr/>
        <w:t>年；</w:t>
      </w:r>
    </w:p>
    <w:p>
      <w:pPr>
        <w:pStyle w:val="BodyText"/>
        <w:spacing w:line="228" w:lineRule="auto" w:before="100"/>
        <w:ind w:right="352" w:firstLine="424"/>
        <w:jc w:val="both"/>
      </w:pPr>
      <w:r>
        <w:rPr>
          <w:rFonts w:ascii="Calibri" w:hAnsi="Calibri" w:cs="Calibri" w:eastAsia="Calibri" w:hint="default"/>
        </w:rPr>
        <w:t>J</w:t>
      </w:r>
      <w:r>
        <w:rPr/>
        <w:t>、本公司 </w:t>
      </w:r>
      <w:r>
        <w:rPr>
          <w:rFonts w:ascii="Calibri" w:hAnsi="Calibri" w:cs="Calibri" w:eastAsia="Calibri" w:hint="default"/>
        </w:rPr>
        <w:t>2013</w:t>
      </w:r>
      <w:r>
        <w:rPr>
          <w:rFonts w:ascii="Calibri" w:hAnsi="Calibri" w:cs="Calibri" w:eastAsia="Calibri" w:hint="default"/>
          <w:spacing w:val="-14"/>
        </w:rPr>
        <w:t> </w:t>
      </w:r>
      <w:r>
        <w:rPr/>
        <w:t>年第四届董事会第八次会议决议及签署的综合授信合同，允许本 </w:t>
      </w:r>
      <w:r>
        <w:rPr>
          <w:spacing w:val="-2"/>
        </w:rPr>
        <w:t>公司之间接控制子公司长天科技有限公司使用本公司在广发银行综合授信额度，由本</w:t>
      </w:r>
      <w:r>
        <w:rPr>
          <w:spacing w:val="-93"/>
        </w:rPr>
        <w:t> </w:t>
      </w:r>
      <w:r>
        <w:rPr>
          <w:spacing w:val="-93"/>
        </w:rPr>
      </w:r>
      <w:r>
        <w:rPr/>
        <w:t>公司承担连带担保责任，金额为</w:t>
      </w:r>
      <w:r>
        <w:rPr>
          <w:spacing w:val="-62"/>
        </w:rPr>
        <w:t> </w:t>
      </w:r>
      <w:r>
        <w:rPr>
          <w:rFonts w:ascii="Calibri" w:hAnsi="Calibri" w:cs="Calibri" w:eastAsia="Calibri" w:hint="default"/>
        </w:rPr>
        <w:t>1000</w:t>
      </w:r>
      <w:r>
        <w:rPr>
          <w:rFonts w:ascii="Calibri" w:hAnsi="Calibri" w:cs="Calibri" w:eastAsia="Calibri" w:hint="default"/>
          <w:spacing w:val="3"/>
        </w:rPr>
        <w:t> </w:t>
      </w:r>
      <w:r>
        <w:rPr/>
        <w:t>万元人民币；</w:t>
      </w:r>
    </w:p>
    <w:p>
      <w:pPr>
        <w:pStyle w:val="BodyText"/>
        <w:spacing w:line="228" w:lineRule="auto" w:before="103"/>
        <w:ind w:right="352" w:firstLine="424"/>
        <w:jc w:val="both"/>
      </w:pPr>
      <w:r>
        <w:rPr>
          <w:rFonts w:ascii="Calibri" w:hAnsi="Calibri" w:cs="Calibri" w:eastAsia="Calibri" w:hint="default"/>
        </w:rPr>
        <w:t>K</w:t>
      </w:r>
      <w:r>
        <w:rPr/>
        <w:t>、公司</w:t>
      </w:r>
      <w:r>
        <w:rPr>
          <w:spacing w:val="-63"/>
        </w:rPr>
        <w:t> </w:t>
      </w:r>
      <w:r>
        <w:rPr>
          <w:rFonts w:ascii="Calibri" w:hAnsi="Calibri" w:cs="Calibri" w:eastAsia="Calibri" w:hint="default"/>
        </w:rPr>
        <w:t>2013</w:t>
      </w:r>
      <w:r>
        <w:rPr>
          <w:rFonts w:ascii="Calibri" w:hAnsi="Calibri" w:cs="Calibri" w:eastAsia="Calibri" w:hint="default"/>
          <w:spacing w:val="2"/>
        </w:rPr>
        <w:t> </w:t>
      </w:r>
      <w:r>
        <w:rPr/>
        <w:t>年第五次临时董事会会议决议及签署的综合授信合同，允许本公司 </w:t>
      </w:r>
      <w:r>
        <w:rPr>
          <w:spacing w:val="4"/>
        </w:rPr>
        <w:t>之全资子公司南京华胜天成信息技术有限公司使用本公司在招商银行南京五台山支</w:t>
      </w:r>
      <w:r>
        <w:rPr>
          <w:spacing w:val="-104"/>
        </w:rPr>
        <w:t> </w:t>
      </w:r>
      <w:r>
        <w:rPr>
          <w:spacing w:val="-104"/>
        </w:rPr>
      </w:r>
      <w:r>
        <w:rPr/>
        <w:t>行综合授信额度，由本公司承担连带担保责任，金额为 </w:t>
      </w:r>
      <w:r>
        <w:rPr>
          <w:rFonts w:ascii="Calibri" w:hAnsi="Calibri" w:cs="Calibri" w:eastAsia="Calibri" w:hint="default"/>
        </w:rPr>
        <w:t>2000</w:t>
      </w:r>
      <w:r>
        <w:rPr>
          <w:rFonts w:ascii="Calibri" w:hAnsi="Calibri" w:cs="Calibri" w:eastAsia="Calibri" w:hint="default"/>
          <w:spacing w:val="10"/>
        </w:rPr>
        <w:t> </w:t>
      </w:r>
      <w:r>
        <w:rPr/>
        <w:t>万元人民币，担保期间</w:t>
      </w:r>
    </w:p>
    <w:p>
      <w:pPr>
        <w:pStyle w:val="BodyText"/>
        <w:spacing w:line="314" w:lineRule="exact"/>
        <w:ind w:right="0"/>
        <w:jc w:val="left"/>
      </w:pPr>
      <w:r>
        <w:rPr/>
        <w:t>为</w:t>
      </w:r>
      <w:r>
        <w:rPr>
          <w:spacing w:val="-61"/>
        </w:rPr>
        <w:t> </w:t>
      </w:r>
      <w:r>
        <w:rPr>
          <w:rFonts w:ascii="Calibri" w:hAnsi="Calibri" w:cs="Calibri" w:eastAsia="Calibri" w:hint="default"/>
        </w:rPr>
        <w:t>2014</w:t>
      </w:r>
      <w:r>
        <w:rPr>
          <w:rFonts w:ascii="Calibri" w:hAnsi="Calibri" w:cs="Calibri" w:eastAsia="Calibri" w:hint="default"/>
          <w:spacing w:val="4"/>
        </w:rPr>
        <w:t> </w:t>
      </w:r>
      <w:r>
        <w:rPr/>
        <w:t>年</w:t>
      </w:r>
      <w:r>
        <w:rPr>
          <w:spacing w:val="-60"/>
        </w:rPr>
        <w:t> </w:t>
      </w:r>
      <w:r>
        <w:rPr>
          <w:rFonts w:ascii="Calibri" w:hAnsi="Calibri" w:cs="Calibri" w:eastAsia="Calibri" w:hint="default"/>
        </w:rPr>
        <w:t>6</w:t>
      </w:r>
      <w:r>
        <w:rPr>
          <w:rFonts w:ascii="Calibri" w:hAnsi="Calibri" w:cs="Calibri" w:eastAsia="Calibri" w:hint="default"/>
          <w:spacing w:val="4"/>
        </w:rPr>
        <w:t> </w:t>
      </w:r>
      <w:r>
        <w:rPr/>
        <w:t>月</w:t>
      </w:r>
      <w:r>
        <w:rPr>
          <w:spacing w:val="-61"/>
        </w:rPr>
        <w:t> </w:t>
      </w:r>
      <w:r>
        <w:rPr>
          <w:rFonts w:ascii="Calibri" w:hAnsi="Calibri" w:cs="Calibri" w:eastAsia="Calibri" w:hint="default"/>
        </w:rPr>
        <w:t>25</w:t>
      </w:r>
      <w:r>
        <w:rPr>
          <w:rFonts w:ascii="Calibri" w:hAnsi="Calibri" w:cs="Calibri" w:eastAsia="Calibri" w:hint="default"/>
          <w:spacing w:val="4"/>
        </w:rPr>
        <w:t> </w:t>
      </w:r>
      <w:r>
        <w:rPr/>
        <w:t>日到</w:t>
      </w:r>
      <w:r>
        <w:rPr>
          <w:spacing w:val="-61"/>
        </w:rPr>
        <w:t> </w:t>
      </w:r>
      <w:r>
        <w:rPr>
          <w:rFonts w:ascii="Calibri" w:hAnsi="Calibri" w:cs="Calibri" w:eastAsia="Calibri" w:hint="default"/>
        </w:rPr>
        <w:t>2015</w:t>
      </w:r>
      <w:r>
        <w:rPr>
          <w:rFonts w:ascii="Calibri" w:hAnsi="Calibri" w:cs="Calibri" w:eastAsia="Calibri" w:hint="default"/>
          <w:spacing w:val="4"/>
        </w:rPr>
        <w:t> </w:t>
      </w:r>
      <w:r>
        <w:rPr/>
        <w:t>年</w:t>
      </w:r>
      <w:r>
        <w:rPr>
          <w:spacing w:val="-60"/>
        </w:rPr>
        <w:t> </w:t>
      </w:r>
      <w:r>
        <w:rPr>
          <w:rFonts w:ascii="Calibri" w:hAnsi="Calibri" w:cs="Calibri" w:eastAsia="Calibri" w:hint="default"/>
        </w:rPr>
        <w:t>6</w:t>
      </w:r>
      <w:r>
        <w:rPr>
          <w:rFonts w:ascii="Calibri" w:hAnsi="Calibri" w:cs="Calibri" w:eastAsia="Calibri" w:hint="default"/>
          <w:spacing w:val="4"/>
        </w:rPr>
        <w:t> </w:t>
      </w:r>
      <w:r>
        <w:rPr/>
        <w:t>月</w:t>
      </w:r>
      <w:r>
        <w:rPr>
          <w:spacing w:val="-61"/>
        </w:rPr>
        <w:t> </w:t>
      </w:r>
      <w:r>
        <w:rPr>
          <w:rFonts w:ascii="Calibri" w:hAnsi="Calibri" w:cs="Calibri" w:eastAsia="Calibri" w:hint="default"/>
        </w:rPr>
        <w:t>25</w:t>
      </w:r>
      <w:r>
        <w:rPr>
          <w:rFonts w:ascii="Calibri" w:hAnsi="Calibri" w:cs="Calibri" w:eastAsia="Calibri" w:hint="default"/>
          <w:spacing w:val="4"/>
        </w:rPr>
        <w:t> </w:t>
      </w:r>
      <w:r>
        <w:rPr/>
        <w:t>日；</w:t>
      </w:r>
    </w:p>
    <w:p>
      <w:pPr>
        <w:pStyle w:val="BodyText"/>
        <w:spacing w:line="328" w:lineRule="exact" w:before="87"/>
        <w:ind w:left="562" w:right="0"/>
        <w:jc w:val="left"/>
      </w:pPr>
      <w:r>
        <w:rPr>
          <w:rFonts w:ascii="Calibri" w:hAnsi="Calibri" w:cs="Calibri" w:eastAsia="Calibri" w:hint="default"/>
        </w:rPr>
        <w:t>L</w:t>
      </w:r>
      <w:r>
        <w:rPr/>
        <w:t>、公司</w:t>
      </w:r>
      <w:r>
        <w:rPr>
          <w:spacing w:val="-52"/>
        </w:rPr>
        <w:t> </w:t>
      </w:r>
      <w:r>
        <w:rPr>
          <w:rFonts w:ascii="Calibri" w:hAnsi="Calibri" w:cs="Calibri" w:eastAsia="Calibri" w:hint="default"/>
        </w:rPr>
        <w:t>2013</w:t>
      </w:r>
      <w:r>
        <w:rPr>
          <w:rFonts w:ascii="Calibri" w:hAnsi="Calibri" w:cs="Calibri" w:eastAsia="Calibri" w:hint="default"/>
          <w:spacing w:val="14"/>
        </w:rPr>
        <w:t> </w:t>
      </w:r>
      <w:r>
        <w:rPr/>
        <w:t>年第五次临时董事会会议决议，本公司使用中国民生银行综合授信</w:t>
      </w:r>
    </w:p>
    <w:p>
      <w:pPr>
        <w:pStyle w:val="BodyText"/>
        <w:spacing w:line="311" w:lineRule="exact"/>
        <w:ind w:right="0"/>
        <w:jc w:val="left"/>
      </w:pPr>
      <w:r>
        <w:rPr/>
        <w:t>额度及保证金或银行承兑汇票质押申请开立备用信用证，金额 </w:t>
      </w:r>
      <w:r>
        <w:rPr>
          <w:rFonts w:ascii="Calibri" w:hAnsi="Calibri" w:cs="Calibri" w:eastAsia="Calibri" w:hint="default"/>
        </w:rPr>
        <w:t>1000</w:t>
      </w:r>
      <w:r>
        <w:rPr>
          <w:rFonts w:ascii="Calibri" w:hAnsi="Calibri" w:cs="Calibri" w:eastAsia="Calibri" w:hint="default"/>
          <w:spacing w:val="10"/>
        </w:rPr>
        <w:t> </w:t>
      </w:r>
      <w:r>
        <w:rPr/>
        <w:t>万美元，为本公</w:t>
      </w:r>
    </w:p>
    <w:p>
      <w:pPr>
        <w:pStyle w:val="BodyText"/>
        <w:spacing w:line="312" w:lineRule="exact" w:before="13"/>
        <w:ind w:right="0"/>
        <w:jc w:val="left"/>
      </w:pPr>
      <w:r>
        <w:rPr/>
        <w:t>司之全资子公司华胜天成</w:t>
      </w:r>
      <w:r>
        <w:rPr>
          <w:rFonts w:ascii="Calibri" w:hAnsi="Calibri" w:cs="Calibri" w:eastAsia="Calibri" w:hint="default"/>
        </w:rPr>
        <w:t>(</w:t>
      </w:r>
      <w:r>
        <w:rPr/>
        <w:t>香港</w:t>
      </w:r>
      <w:r>
        <w:rPr>
          <w:rFonts w:ascii="Calibri" w:hAnsi="Calibri" w:cs="Calibri" w:eastAsia="Calibri" w:hint="default"/>
        </w:rPr>
        <w:t>)</w:t>
      </w:r>
      <w:r>
        <w:rPr/>
        <w:t>有限公司在中国银行香港有限公司提供贸易融资担保，</w:t>
      </w:r>
      <w:r>
        <w:rPr>
          <w:spacing w:val="-82"/>
        </w:rPr>
        <w:t> </w:t>
      </w:r>
      <w:r>
        <w:rPr/>
        <w:t>担保期限为</w:t>
      </w:r>
      <w:r>
        <w:rPr>
          <w:spacing w:val="-60"/>
        </w:rPr>
        <w:t> </w:t>
      </w:r>
      <w:r>
        <w:rPr>
          <w:rFonts w:ascii="Calibri" w:hAnsi="Calibri" w:cs="Calibri" w:eastAsia="Calibri" w:hint="default"/>
        </w:rPr>
        <w:t>1</w:t>
      </w:r>
      <w:r>
        <w:rPr>
          <w:rFonts w:ascii="Calibri" w:hAnsi="Calibri" w:cs="Calibri" w:eastAsia="Calibri" w:hint="default"/>
          <w:spacing w:val="5"/>
        </w:rPr>
        <w:t> </w:t>
      </w:r>
      <w:r>
        <w:rPr/>
        <w:t>年；</w:t>
      </w:r>
    </w:p>
    <w:p>
      <w:pPr>
        <w:pStyle w:val="BodyText"/>
        <w:spacing w:line="216" w:lineRule="auto" w:before="116"/>
        <w:ind w:right="353" w:firstLine="424"/>
        <w:jc w:val="both"/>
      </w:pPr>
      <w:r>
        <w:rPr>
          <w:rFonts w:ascii="Calibri" w:hAnsi="Calibri" w:cs="Calibri" w:eastAsia="Calibri" w:hint="default"/>
          <w:spacing w:val="-9"/>
        </w:rPr>
        <w:t>M</w:t>
      </w:r>
      <w:r>
        <w:rPr>
          <w:spacing w:val="-9"/>
        </w:rPr>
        <w:t>、本公司</w:t>
      </w:r>
      <w:r>
        <w:rPr>
          <w:spacing w:val="-80"/>
        </w:rPr>
        <w:t> </w:t>
      </w:r>
      <w:r>
        <w:rPr>
          <w:rFonts w:ascii="Calibri" w:hAnsi="Calibri" w:cs="Calibri" w:eastAsia="Calibri" w:hint="default"/>
        </w:rPr>
        <w:t>2014</w:t>
      </w:r>
      <w:r>
        <w:rPr>
          <w:rFonts w:ascii="Calibri" w:hAnsi="Calibri" w:cs="Calibri" w:eastAsia="Calibri" w:hint="default"/>
          <w:spacing w:val="-15"/>
        </w:rPr>
        <w:t> </w:t>
      </w:r>
      <w:r>
        <w:rPr/>
        <w:t>年第五次董事会第二次决议，本公司使用汇丰银行综合信用额度 以及存款支持申请开立备用信用证为本公司之全资子公司华胜天成</w:t>
      </w:r>
      <w:r>
        <w:rPr>
          <w:rFonts w:ascii="Calibri" w:hAnsi="Calibri" w:cs="Calibri" w:eastAsia="Calibri" w:hint="default"/>
        </w:rPr>
        <w:t>(</w:t>
      </w:r>
      <w:r>
        <w:rPr/>
        <w:t>香港</w:t>
      </w:r>
      <w:r>
        <w:rPr>
          <w:rFonts w:ascii="Calibri" w:hAnsi="Calibri" w:cs="Calibri" w:eastAsia="Calibri" w:hint="default"/>
        </w:rPr>
        <w:t>)</w:t>
      </w:r>
      <w:r>
        <w:rPr/>
        <w:t>有限公司在</w:t>
      </w:r>
      <w:r>
        <w:rPr>
          <w:spacing w:val="-85"/>
        </w:rPr>
        <w:t> </w:t>
      </w:r>
      <w:r>
        <w:rPr>
          <w:spacing w:val="-85"/>
        </w:rPr>
      </w:r>
      <w:r>
        <w:rPr>
          <w:spacing w:val="-3"/>
        </w:rPr>
        <w:t>香港上海汇丰银行有限公司申请授信提供担保，金额为人民币 </w:t>
      </w:r>
      <w:r>
        <w:rPr>
          <w:rFonts w:ascii="Calibri" w:hAnsi="Calibri" w:cs="Calibri" w:eastAsia="Calibri" w:hint="default"/>
        </w:rPr>
        <w:t>18,000</w:t>
      </w:r>
      <w:r>
        <w:rPr>
          <w:rFonts w:ascii="Calibri" w:hAnsi="Calibri" w:cs="Calibri" w:eastAsia="Calibri" w:hint="default"/>
          <w:spacing w:val="-26"/>
        </w:rPr>
        <w:t> </w:t>
      </w:r>
      <w:r>
        <w:rPr>
          <w:spacing w:val="-9"/>
        </w:rPr>
        <w:t>万元整，实际开</w:t>
      </w:r>
    </w:p>
    <w:p>
      <w:pPr>
        <w:pStyle w:val="BodyText"/>
        <w:spacing w:line="301" w:lineRule="exact"/>
        <w:ind w:right="0"/>
        <w:jc w:val="left"/>
        <w:rPr>
          <w:rFonts w:ascii="Calibri" w:hAnsi="Calibri" w:cs="Calibri" w:eastAsia="Calibri" w:hint="default"/>
        </w:rPr>
      </w:pPr>
      <w:r>
        <w:rPr/>
        <w:t>立备用信用证</w:t>
      </w:r>
      <w:r>
        <w:rPr>
          <w:spacing w:val="-61"/>
        </w:rPr>
        <w:t> </w:t>
      </w:r>
      <w:r>
        <w:rPr>
          <w:rFonts w:ascii="Calibri" w:hAnsi="Calibri" w:cs="Calibri" w:eastAsia="Calibri" w:hint="default"/>
        </w:rPr>
        <w:t>10,000</w:t>
      </w:r>
      <w:r>
        <w:rPr>
          <w:rFonts w:ascii="Calibri" w:hAnsi="Calibri" w:cs="Calibri" w:eastAsia="Calibri" w:hint="default"/>
          <w:spacing w:val="5"/>
        </w:rPr>
        <w:t> </w:t>
      </w:r>
      <w:r>
        <w:rPr>
          <w:spacing w:val="-9"/>
        </w:rPr>
        <w:t>万元整，开立日期为</w:t>
      </w:r>
      <w:r>
        <w:rPr>
          <w:spacing w:val="-61"/>
        </w:rPr>
        <w:t> </w:t>
      </w:r>
      <w:r>
        <w:rPr>
          <w:rFonts w:ascii="Calibri" w:hAnsi="Calibri" w:cs="Calibri" w:eastAsia="Calibri" w:hint="default"/>
        </w:rPr>
        <w:t>2014</w:t>
      </w:r>
      <w:r>
        <w:rPr>
          <w:rFonts w:ascii="Calibri" w:hAnsi="Calibri" w:cs="Calibri" w:eastAsia="Calibri" w:hint="default"/>
          <w:spacing w:val="4"/>
        </w:rPr>
        <w:t> </w:t>
      </w:r>
      <w:r>
        <w:rPr/>
        <w:t>年</w:t>
      </w:r>
      <w:r>
        <w:rPr>
          <w:spacing w:val="-61"/>
        </w:rPr>
        <w:t> </w:t>
      </w:r>
      <w:r>
        <w:rPr>
          <w:rFonts w:ascii="Calibri" w:hAnsi="Calibri" w:cs="Calibri" w:eastAsia="Calibri" w:hint="default"/>
        </w:rPr>
        <w:t>9</w:t>
      </w:r>
      <w:r>
        <w:rPr>
          <w:rFonts w:ascii="Calibri" w:hAnsi="Calibri" w:cs="Calibri" w:eastAsia="Calibri" w:hint="default"/>
          <w:spacing w:val="4"/>
        </w:rPr>
        <w:t> </w:t>
      </w:r>
      <w:r>
        <w:rPr/>
        <w:t>月</w:t>
      </w:r>
      <w:r>
        <w:rPr>
          <w:spacing w:val="-60"/>
        </w:rPr>
        <w:t> </w:t>
      </w:r>
      <w:r>
        <w:rPr>
          <w:rFonts w:ascii="Calibri" w:hAnsi="Calibri" w:cs="Calibri" w:eastAsia="Calibri" w:hint="default"/>
        </w:rPr>
        <w:t>2</w:t>
      </w:r>
      <w:r>
        <w:rPr>
          <w:rFonts w:ascii="Calibri" w:hAnsi="Calibri" w:cs="Calibri" w:eastAsia="Calibri" w:hint="default"/>
          <w:spacing w:val="4"/>
        </w:rPr>
        <w:t> </w:t>
      </w:r>
      <w:r>
        <w:rPr/>
        <w:t>日担保期限至</w:t>
      </w:r>
      <w:r>
        <w:rPr>
          <w:spacing w:val="-61"/>
        </w:rPr>
        <w:t> </w:t>
      </w:r>
      <w:r>
        <w:rPr>
          <w:rFonts w:ascii="Calibri" w:hAnsi="Calibri" w:cs="Calibri" w:eastAsia="Calibri" w:hint="default"/>
        </w:rPr>
        <w:t>2015</w:t>
      </w:r>
      <w:r>
        <w:rPr>
          <w:rFonts w:ascii="Calibri" w:hAnsi="Calibri" w:cs="Calibri" w:eastAsia="Calibri" w:hint="default"/>
          <w:spacing w:val="5"/>
        </w:rPr>
        <w:t> </w:t>
      </w:r>
      <w:r>
        <w:rPr/>
        <w:t>年</w:t>
      </w:r>
      <w:r>
        <w:rPr>
          <w:spacing w:val="-61"/>
        </w:rPr>
        <w:t> </w:t>
      </w:r>
      <w:r>
        <w:rPr>
          <w:rFonts w:ascii="Calibri" w:hAnsi="Calibri" w:cs="Calibri" w:eastAsia="Calibri" w:hint="default"/>
        </w:rPr>
        <w:t>9</w:t>
      </w:r>
      <w:r>
        <w:rPr>
          <w:rFonts w:ascii="Calibri" w:hAnsi="Calibri" w:cs="Calibri" w:eastAsia="Calibri" w:hint="default"/>
          <w:spacing w:val="4"/>
        </w:rPr>
        <w:t> </w:t>
      </w:r>
      <w:r>
        <w:rPr/>
        <w:t>月</w:t>
      </w:r>
      <w:r>
        <w:rPr>
          <w:spacing w:val="-61"/>
        </w:rPr>
        <w:t> </w:t>
      </w:r>
      <w:r>
        <w:rPr>
          <w:rFonts w:ascii="Calibri" w:hAnsi="Calibri" w:cs="Calibri" w:eastAsia="Calibri" w:hint="default"/>
        </w:rPr>
        <w:t>2</w:t>
      </w:r>
    </w:p>
    <w:p>
      <w:pPr>
        <w:pStyle w:val="BodyText"/>
        <w:spacing w:line="298" w:lineRule="exact"/>
        <w:ind w:right="0"/>
        <w:jc w:val="left"/>
      </w:pPr>
      <w:r>
        <w:rPr/>
        <w:t>日；</w:t>
      </w:r>
    </w:p>
    <w:p>
      <w:pPr>
        <w:pStyle w:val="BodyText"/>
        <w:spacing w:line="328" w:lineRule="exact" w:before="116"/>
        <w:ind w:left="562" w:right="0"/>
        <w:jc w:val="left"/>
      </w:pPr>
      <w:r>
        <w:rPr>
          <w:rFonts w:ascii="Calibri" w:hAnsi="Calibri" w:cs="Calibri" w:eastAsia="Calibri" w:hint="default"/>
          <w:spacing w:val="-5"/>
        </w:rPr>
        <w:t>N</w:t>
      </w:r>
      <w:r>
        <w:rPr>
          <w:spacing w:val="-5"/>
        </w:rPr>
        <w:t>、公司</w:t>
      </w:r>
      <w:r>
        <w:rPr>
          <w:spacing w:val="-68"/>
        </w:rPr>
        <w:t> </w:t>
      </w:r>
      <w:r>
        <w:rPr>
          <w:rFonts w:ascii="Calibri" w:hAnsi="Calibri" w:cs="Calibri" w:eastAsia="Calibri" w:hint="default"/>
        </w:rPr>
        <w:t>2014</w:t>
      </w:r>
      <w:r>
        <w:rPr>
          <w:rFonts w:ascii="Calibri" w:hAnsi="Calibri" w:cs="Calibri" w:eastAsia="Calibri" w:hint="default"/>
          <w:spacing w:val="-3"/>
        </w:rPr>
        <w:t> </w:t>
      </w:r>
      <w:r>
        <w:rPr/>
        <w:t>年第五次董事会第三次决议，本公司使用中国银行综合信用额度申</w:t>
      </w:r>
    </w:p>
    <w:p>
      <w:pPr>
        <w:pStyle w:val="BodyText"/>
        <w:spacing w:line="311" w:lineRule="exact"/>
        <w:ind w:right="0"/>
        <w:jc w:val="left"/>
      </w:pPr>
      <w:r>
        <w:rPr/>
        <w:t>请开立备用信用证，金额为 </w:t>
      </w:r>
      <w:r>
        <w:rPr>
          <w:rFonts w:ascii="Calibri" w:hAnsi="Calibri" w:cs="Calibri" w:eastAsia="Calibri" w:hint="default"/>
        </w:rPr>
        <w:t>1000</w:t>
      </w:r>
      <w:r>
        <w:rPr>
          <w:rFonts w:ascii="Calibri" w:hAnsi="Calibri" w:cs="Calibri" w:eastAsia="Calibri" w:hint="default"/>
          <w:spacing w:val="10"/>
        </w:rPr>
        <w:t> </w:t>
      </w:r>
      <w:r>
        <w:rPr/>
        <w:t>万美元，为华胜天成科技（香港）有限公司在中国</w:t>
      </w:r>
    </w:p>
    <w:p>
      <w:pPr>
        <w:pStyle w:val="BodyText"/>
        <w:spacing w:line="311" w:lineRule="exact"/>
        <w:ind w:right="0"/>
        <w:jc w:val="left"/>
      </w:pPr>
      <w:r>
        <w:rPr>
          <w:spacing w:val="-6"/>
        </w:rPr>
        <w:t>银行（香港）有限公司申请贸易项下融资业务额度提供不超过美金</w:t>
      </w:r>
      <w:r>
        <w:rPr>
          <w:spacing w:val="-62"/>
        </w:rPr>
        <w:t> </w:t>
      </w:r>
      <w:r>
        <w:rPr>
          <w:rFonts w:ascii="Calibri" w:hAnsi="Calibri" w:cs="Calibri" w:eastAsia="Calibri" w:hint="default"/>
        </w:rPr>
        <w:t>1000</w:t>
      </w:r>
      <w:r>
        <w:rPr>
          <w:rFonts w:ascii="Calibri" w:hAnsi="Calibri" w:cs="Calibri" w:eastAsia="Calibri" w:hint="default"/>
          <w:spacing w:val="3"/>
        </w:rPr>
        <w:t> </w:t>
      </w:r>
      <w:r>
        <w:rPr/>
        <w:t>万元的担保，</w:t>
      </w:r>
    </w:p>
    <w:p>
      <w:pPr>
        <w:pStyle w:val="BodyText"/>
        <w:spacing w:line="328" w:lineRule="exact"/>
        <w:ind w:right="0"/>
        <w:jc w:val="left"/>
      </w:pPr>
      <w:r>
        <w:rPr/>
        <w:t>担保期限</w:t>
      </w:r>
      <w:r>
        <w:rPr>
          <w:spacing w:val="-60"/>
        </w:rPr>
        <w:t> </w:t>
      </w:r>
      <w:r>
        <w:rPr>
          <w:rFonts w:ascii="Calibri" w:hAnsi="Calibri" w:cs="Calibri" w:eastAsia="Calibri" w:hint="default"/>
        </w:rPr>
        <w:t>1</w:t>
      </w:r>
      <w:r>
        <w:rPr>
          <w:rFonts w:ascii="Calibri" w:hAnsi="Calibri" w:cs="Calibri" w:eastAsia="Calibri" w:hint="default"/>
          <w:spacing w:val="5"/>
        </w:rPr>
        <w:t> </w:t>
      </w:r>
      <w:r>
        <w:rPr/>
        <w:t>年。</w:t>
      </w:r>
    </w:p>
    <w:p>
      <w:pPr>
        <w:pStyle w:val="BodyText"/>
        <w:spacing w:line="328" w:lineRule="exact" w:before="87"/>
        <w:ind w:left="618" w:right="0"/>
        <w:jc w:val="left"/>
      </w:pPr>
      <w:r>
        <w:rPr>
          <w:rFonts w:ascii="Calibri" w:hAnsi="Calibri" w:cs="Calibri" w:eastAsia="Calibri" w:hint="default"/>
          <w:spacing w:val="-7"/>
        </w:rPr>
        <w:t>O</w:t>
      </w:r>
      <w:r>
        <w:rPr>
          <w:spacing w:val="-7"/>
        </w:rPr>
        <w:t>、根据本公司</w:t>
      </w:r>
      <w:r>
        <w:rPr>
          <w:spacing w:val="-85"/>
        </w:rPr>
        <w:t> </w:t>
      </w:r>
      <w:r>
        <w:rPr>
          <w:rFonts w:ascii="Calibri" w:hAnsi="Calibri" w:cs="Calibri" w:eastAsia="Calibri" w:hint="default"/>
        </w:rPr>
        <w:t>2014</w:t>
      </w:r>
      <w:r>
        <w:rPr>
          <w:rFonts w:ascii="Calibri" w:hAnsi="Calibri" w:cs="Calibri" w:eastAsia="Calibri" w:hint="default"/>
          <w:spacing w:val="-19"/>
        </w:rPr>
        <w:t> </w:t>
      </w:r>
      <w:r>
        <w:rPr/>
        <w:t>年第五次董事会第三次决议，本公司使用中国银行综合信用</w:t>
      </w:r>
    </w:p>
    <w:p>
      <w:pPr>
        <w:pStyle w:val="BodyText"/>
        <w:spacing w:line="296" w:lineRule="exact"/>
        <w:ind w:right="0"/>
        <w:jc w:val="left"/>
      </w:pPr>
      <w:r>
        <w:rPr/>
        <w:t>额度申请开立备用信用证，金额为</w:t>
      </w:r>
      <w:r>
        <w:rPr>
          <w:spacing w:val="-60"/>
        </w:rPr>
        <w:t> </w:t>
      </w:r>
      <w:r>
        <w:rPr>
          <w:rFonts w:ascii="宋体" w:hAnsi="宋体" w:cs="宋体" w:eastAsia="宋体" w:hint="default"/>
        </w:rPr>
        <w:t>1000</w:t>
      </w:r>
      <w:r>
        <w:rPr>
          <w:rFonts w:ascii="宋体" w:hAnsi="宋体" w:cs="宋体" w:eastAsia="宋体" w:hint="default"/>
          <w:spacing w:val="-60"/>
        </w:rPr>
        <w:t> </w:t>
      </w:r>
      <w:r>
        <w:rPr/>
        <w:t>万美元，为华胜天成科技（香港）有限公司</w:t>
      </w:r>
    </w:p>
    <w:p>
      <w:pPr>
        <w:pStyle w:val="BodyText"/>
        <w:spacing w:line="312" w:lineRule="exact" w:before="29"/>
        <w:ind w:right="408"/>
        <w:jc w:val="left"/>
      </w:pPr>
      <w:r>
        <w:rPr/>
        <w:t>在中国银行（香港）有限公司申请贸易项下融资业务额度提供不超过美金</w:t>
      </w:r>
      <w:r>
        <w:rPr>
          <w:spacing w:val="-60"/>
        </w:rPr>
        <w:t> </w:t>
      </w:r>
      <w:r>
        <w:rPr>
          <w:rFonts w:ascii="宋体" w:hAnsi="宋体" w:cs="宋体" w:eastAsia="宋体" w:hint="default"/>
        </w:rPr>
        <w:t>1000</w:t>
      </w:r>
      <w:r>
        <w:rPr>
          <w:rFonts w:ascii="宋体" w:hAnsi="宋体" w:cs="宋体" w:eastAsia="宋体" w:hint="default"/>
          <w:spacing w:val="-60"/>
        </w:rPr>
        <w:t> </w:t>
      </w:r>
      <w:r>
        <w:rPr/>
        <w:t>万元 的担保，担保期限一年。</w:t>
      </w:r>
    </w:p>
    <w:p>
      <w:pPr>
        <w:spacing w:after="0" w:line="312" w:lineRule="exact"/>
        <w:jc w:val="left"/>
        <w:sectPr>
          <w:pgSz w:w="11910" w:h="16840"/>
          <w:pgMar w:header="882" w:footer="1194" w:top="1120" w:bottom="1380" w:left="1660" w:right="920"/>
        </w:sectPr>
      </w:pPr>
    </w:p>
    <w:p>
      <w:pPr>
        <w:spacing w:line="240" w:lineRule="auto" w:before="9"/>
        <w:rPr>
          <w:rFonts w:ascii="宋体" w:hAnsi="宋体" w:cs="宋体" w:eastAsia="宋体" w:hint="default"/>
          <w:sz w:val="25"/>
          <w:szCs w:val="25"/>
        </w:rPr>
      </w:pPr>
    </w:p>
    <w:p>
      <w:pPr>
        <w:pStyle w:val="Heading2"/>
        <w:spacing w:line="240" w:lineRule="auto"/>
        <w:ind w:right="113"/>
        <w:jc w:val="left"/>
        <w:rPr>
          <w:b w:val="0"/>
          <w:bCs w:val="0"/>
        </w:rPr>
      </w:pPr>
      <w:r>
        <w:rPr>
          <w:rFonts w:ascii="宋体" w:hAnsi="宋体" w:cs="宋体" w:eastAsia="宋体" w:hint="default"/>
        </w:rPr>
        <w:t>(4).</w:t>
      </w:r>
      <w:r>
        <w:rPr>
          <w:rFonts w:ascii="宋体" w:hAnsi="宋体" w:cs="宋体" w:eastAsia="宋体" w:hint="default"/>
          <w:spacing w:val="-1"/>
        </w:rPr>
        <w:t> </w:t>
      </w:r>
      <w:r>
        <w:rPr/>
        <w:t>关键管理人员报酬</w:t>
      </w:r>
      <w:r>
        <w:rPr>
          <w:b w:val="0"/>
          <w:bCs w:val="0"/>
        </w:rPr>
      </w:r>
    </w:p>
    <w:p>
      <w:pPr>
        <w:pStyle w:val="BodyText"/>
        <w:spacing w:line="240" w:lineRule="auto" w:before="116"/>
        <w:ind w:left="0" w:right="354"/>
        <w:jc w:val="right"/>
      </w:pPr>
      <w:r>
        <w:rPr/>
        <w:t>本集团本期关键管理人员</w:t>
      </w:r>
      <w:r>
        <w:rPr>
          <w:spacing w:val="-60"/>
        </w:rPr>
        <w:t> </w:t>
      </w:r>
      <w:r>
        <w:rPr>
          <w:rFonts w:ascii="Calibri" w:hAnsi="Calibri" w:cs="Calibri" w:eastAsia="Calibri" w:hint="default"/>
          <w:spacing w:val="-1"/>
        </w:rPr>
        <w:t>1</w:t>
      </w:r>
      <w:r>
        <w:rPr>
          <w:rFonts w:ascii="Calibri" w:hAnsi="Calibri" w:cs="Calibri" w:eastAsia="Calibri" w:hint="default"/>
        </w:rPr>
        <w:t>9</w:t>
      </w:r>
      <w:r>
        <w:rPr>
          <w:rFonts w:ascii="Calibri" w:hAnsi="Calibri" w:cs="Calibri" w:eastAsia="Calibri" w:hint="default"/>
          <w:spacing w:val="5"/>
        </w:rPr>
        <w:t> </w:t>
      </w:r>
      <w:r>
        <w:rPr/>
        <w:t>人</w:t>
      </w:r>
      <w:r>
        <w:rPr>
          <w:spacing w:val="-119"/>
        </w:rPr>
        <w:t>，</w:t>
      </w:r>
      <w:r>
        <w:rPr/>
        <w:t>上期关键管理人员</w:t>
      </w:r>
      <w:r>
        <w:rPr>
          <w:spacing w:val="-60"/>
        </w:rPr>
        <w:t> </w:t>
      </w:r>
      <w:r>
        <w:rPr>
          <w:rFonts w:ascii="Calibri" w:hAnsi="Calibri" w:cs="Calibri" w:eastAsia="Calibri" w:hint="default"/>
          <w:spacing w:val="-1"/>
        </w:rPr>
        <w:t>1</w:t>
      </w:r>
      <w:r>
        <w:rPr>
          <w:rFonts w:ascii="Calibri" w:hAnsi="Calibri" w:cs="Calibri" w:eastAsia="Calibri" w:hint="default"/>
        </w:rPr>
        <w:t>8</w:t>
      </w:r>
      <w:r>
        <w:rPr>
          <w:rFonts w:ascii="Calibri" w:hAnsi="Calibri" w:cs="Calibri" w:eastAsia="Calibri" w:hint="default"/>
          <w:spacing w:val="5"/>
        </w:rPr>
        <w:t> </w:t>
      </w:r>
      <w:r>
        <w:rPr/>
        <w:t>人</w:t>
      </w:r>
      <w:r>
        <w:rPr>
          <w:spacing w:val="-119"/>
        </w:rPr>
        <w:t>，</w:t>
      </w:r>
      <w:r>
        <w:rPr/>
        <w:t>支付薪酬情况见下表：</w:t>
      </w:r>
    </w:p>
    <w:p>
      <w:pPr>
        <w:tabs>
          <w:tab w:pos="1049" w:val="left" w:leader="none"/>
        </w:tabs>
        <w:spacing w:before="91"/>
        <w:ind w:left="0" w:right="352"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5"/>
        <w:gridCol w:w="2501"/>
      </w:tblGrid>
      <w:tr>
        <w:trPr>
          <w:trHeight w:val="282"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1,131.58</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774.68</w:t>
            </w:r>
          </w:p>
        </w:tc>
      </w:tr>
    </w:tbl>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920"/>
        </w:sectPr>
      </w:pPr>
    </w:p>
    <w:p>
      <w:pPr>
        <w:pStyle w:val="Heading2"/>
        <w:spacing w:line="283" w:lineRule="auto"/>
        <w:ind w:right="-13"/>
        <w:jc w:val="left"/>
        <w:rPr>
          <w:b w:val="0"/>
          <w:bCs w:val="0"/>
        </w:rPr>
      </w:pPr>
      <w:r>
        <w:rPr>
          <w:rFonts w:ascii="宋体" w:hAnsi="宋体" w:cs="宋体" w:eastAsia="宋体" w:hint="default"/>
        </w:rPr>
        <w:t>6</w:t>
      </w:r>
      <w:r>
        <w:rPr/>
        <w:t>、</w:t>
      </w:r>
      <w:r>
        <w:rPr>
          <w:spacing w:val="-67"/>
        </w:rPr>
        <w:t> </w:t>
      </w:r>
      <w:r>
        <w:rPr/>
        <w:t>关联方应收应付款项</w:t>
      </w:r>
      <w:r>
        <w:rPr>
          <w:w w:val="99"/>
        </w:rPr>
        <w:t> </w:t>
      </w:r>
      <w:r>
        <w:rPr>
          <w:rFonts w:ascii="宋体" w:hAnsi="宋体" w:cs="宋体" w:eastAsia="宋体" w:hint="default"/>
        </w:rPr>
        <w:t>(1).</w:t>
      </w:r>
      <w:r>
        <w:rPr>
          <w:rFonts w:ascii="宋体" w:hAnsi="宋体" w:cs="宋体" w:eastAsia="宋体" w:hint="default"/>
          <w:spacing w:val="7"/>
        </w:rPr>
        <w:t> </w:t>
      </w:r>
      <w:r>
        <w:rPr/>
        <w:t>应收项目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tabs>
          <w:tab w:pos="1163" w:val="left" w:leader="none"/>
        </w:tabs>
        <w:spacing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w:t>
        <w:tab/>
        <w:t>币种</w:t>
      </w:r>
      <w:r>
        <w:rPr>
          <w:rFonts w:ascii="宋体" w:hAnsi="宋体" w:cs="宋体" w:eastAsia="宋体" w:hint="default"/>
          <w:sz w:val="21"/>
          <w:szCs w:val="21"/>
        </w:rPr>
        <w:t>:</w:t>
      </w:r>
      <w:r>
        <w:rPr>
          <w:rFonts w:ascii="宋体" w:hAnsi="宋体" w:cs="宋体" w:eastAsia="宋体" w:hint="default"/>
          <w:sz w:val="21"/>
          <w:szCs w:val="21"/>
        </w:rPr>
        <w:t>人民币</w:t>
      </w:r>
    </w:p>
    <w:p>
      <w:pPr>
        <w:spacing w:after="0"/>
        <w:jc w:val="left"/>
        <w:rPr>
          <w:rFonts w:ascii="宋体" w:hAnsi="宋体" w:cs="宋体" w:eastAsia="宋体" w:hint="default"/>
          <w:sz w:val="21"/>
          <w:szCs w:val="21"/>
        </w:rPr>
        <w:sectPr>
          <w:type w:val="continuous"/>
          <w:pgSz w:w="11910" w:h="16840"/>
          <w:pgMar w:top="1080" w:bottom="1380" w:left="1580" w:right="920"/>
          <w:cols w:num="2" w:equalWidth="0">
            <w:col w:w="2810" w:space="3925"/>
            <w:col w:w="2675"/>
          </w:cols>
        </w:sectPr>
      </w:pPr>
    </w:p>
    <w:p>
      <w:pPr>
        <w:spacing w:line="240" w:lineRule="auto" w:before="7"/>
        <w:rPr>
          <w:rFonts w:ascii="宋体" w:hAnsi="宋体" w:cs="宋体" w:eastAsia="宋体" w:hint="default"/>
          <w:sz w:val="2"/>
          <w:szCs w:val="2"/>
        </w:rPr>
      </w:pPr>
    </w:p>
    <w:tbl>
      <w:tblPr>
        <w:tblW w:w="0" w:type="auto"/>
        <w:jc w:val="left"/>
        <w:tblInd w:w="213" w:type="dxa"/>
        <w:tblLayout w:type="fixed"/>
        <w:tblCellMar>
          <w:top w:w="0" w:type="dxa"/>
          <w:left w:w="0" w:type="dxa"/>
          <w:bottom w:w="0" w:type="dxa"/>
          <w:right w:w="0" w:type="dxa"/>
        </w:tblCellMar>
        <w:tblLook w:val="01E0"/>
      </w:tblPr>
      <w:tblGrid>
        <w:gridCol w:w="1560"/>
        <w:gridCol w:w="4252"/>
        <w:gridCol w:w="1702"/>
        <w:gridCol w:w="1559"/>
      </w:tblGrid>
      <w:tr>
        <w:trPr>
          <w:trHeight w:val="55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ASL Automated Services (Thailand)</w:t>
            </w:r>
            <w:r>
              <w:rPr>
                <w:rFonts w:ascii="宋体"/>
                <w:spacing w:val="-2"/>
                <w:sz w:val="21"/>
              </w:rPr>
              <w:t> </w:t>
            </w:r>
            <w:r>
              <w:rPr>
                <w:rFonts w:ascii="宋体"/>
                <w:sz w:val="21"/>
              </w:rPr>
              <w:t>Co.</w:t>
            </w:r>
          </w:p>
          <w:p>
            <w:pPr>
              <w:pStyle w:val="TableParagraph"/>
              <w:spacing w:line="274" w:lineRule="exact"/>
              <w:ind w:left="103" w:right="0"/>
              <w:jc w:val="left"/>
              <w:rPr>
                <w:rFonts w:ascii="宋体" w:hAnsi="宋体" w:cs="宋体" w:eastAsia="宋体" w:hint="default"/>
                <w:sz w:val="21"/>
                <w:szCs w:val="21"/>
              </w:rPr>
            </w:pPr>
            <w:r>
              <w:rPr>
                <w:rFonts w:ascii="宋体"/>
                <w:sz w:val="21"/>
              </w:rPr>
              <w:t>Ltd.</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27,938.66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19,122.07</w:t>
            </w:r>
          </w:p>
        </w:tc>
      </w:tr>
      <w:tr>
        <w:trPr>
          <w:trHeight w:val="40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I-Sprint Innovations Pte</w:t>
            </w:r>
            <w:r>
              <w:rPr>
                <w:rFonts w:ascii="宋体"/>
                <w:spacing w:val="-4"/>
                <w:sz w:val="21"/>
              </w:rPr>
              <w:t> </w:t>
            </w:r>
            <w:r>
              <w:rPr>
                <w:rFonts w:ascii="宋体"/>
                <w:sz w:val="21"/>
              </w:rPr>
              <w:t>Ltd.</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宋体" w:hAnsi="宋体" w:cs="宋体" w:eastAsia="宋体" w:hint="default"/>
                <w:sz w:val="21"/>
                <w:szCs w:val="21"/>
              </w:rPr>
            </w:pPr>
            <w:r>
              <w:rPr>
                <w:rFonts w:ascii="宋体"/>
                <w:sz w:val="21"/>
              </w:rPr>
              <w:t>1,437,826.21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z w:val="21"/>
              </w:rPr>
              <w:t>0</w:t>
            </w:r>
          </w:p>
        </w:tc>
      </w:tr>
    </w:tbl>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80" w:bottom="1380" w:left="1580" w:right="920"/>
        </w:sectPr>
      </w:pPr>
    </w:p>
    <w:p>
      <w:pPr>
        <w:pStyle w:val="Heading2"/>
        <w:spacing w:line="240" w:lineRule="auto"/>
        <w:ind w:right="-16"/>
        <w:jc w:val="left"/>
        <w:rPr>
          <w:b w:val="0"/>
          <w:bCs w:val="0"/>
        </w:rPr>
      </w:pPr>
      <w:r>
        <w:rPr>
          <w:rFonts w:ascii="宋体" w:hAnsi="宋体" w:cs="宋体" w:eastAsia="宋体" w:hint="default"/>
        </w:rPr>
        <w:t>(2).</w:t>
      </w:r>
      <w:r>
        <w:rPr>
          <w:rFonts w:ascii="宋体" w:hAnsi="宋体" w:cs="宋体" w:eastAsia="宋体" w:hint="default"/>
          <w:spacing w:val="7"/>
        </w:rPr>
        <w:t> </w:t>
      </w:r>
      <w:r>
        <w:rPr/>
        <w:t>应付项目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tabs>
          <w:tab w:pos="1163" w:val="left" w:leader="none"/>
        </w:tabs>
        <w:spacing w:before="139"/>
        <w:ind w:left="218"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w:t>
        <w:tab/>
        <w:t>币种</w:t>
      </w:r>
      <w:r>
        <w:rPr>
          <w:rFonts w:ascii="宋体" w:hAnsi="宋体" w:cs="宋体" w:eastAsia="宋体" w:hint="default"/>
          <w:sz w:val="21"/>
          <w:szCs w:val="21"/>
        </w:rPr>
        <w:t>:</w:t>
      </w:r>
      <w:r>
        <w:rPr>
          <w:rFonts w:ascii="宋体" w:hAnsi="宋体" w:cs="宋体" w:eastAsia="宋体" w:hint="default"/>
          <w:sz w:val="21"/>
          <w:szCs w:val="21"/>
        </w:rPr>
        <w:t>人民币</w:t>
      </w:r>
    </w:p>
    <w:p>
      <w:pPr>
        <w:spacing w:after="0"/>
        <w:jc w:val="left"/>
        <w:rPr>
          <w:rFonts w:ascii="宋体" w:hAnsi="宋体" w:cs="宋体" w:eastAsia="宋体" w:hint="default"/>
          <w:sz w:val="21"/>
          <w:szCs w:val="21"/>
        </w:rPr>
        <w:sectPr>
          <w:type w:val="continuous"/>
          <w:pgSz w:w="11910" w:h="16840"/>
          <w:pgMar w:top="1080" w:bottom="1380" w:left="1580" w:right="920"/>
          <w:cols w:num="2" w:equalWidth="0">
            <w:col w:w="1799" w:space="4936"/>
            <w:col w:w="2675"/>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128"/>
        <w:gridCol w:w="2046"/>
        <w:gridCol w:w="2050"/>
        <w:gridCol w:w="2670"/>
      </w:tblGrid>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8"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828"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4" w:right="0" w:hanging="210"/>
              <w:jc w:val="left"/>
              <w:rPr>
                <w:rFonts w:ascii="宋体" w:hAnsi="宋体" w:cs="宋体" w:eastAsia="宋体" w:hint="default"/>
                <w:sz w:val="21"/>
                <w:szCs w:val="21"/>
              </w:rPr>
            </w:pPr>
            <w:r>
              <w:rPr>
                <w:rFonts w:ascii="宋体"/>
                <w:sz w:val="21"/>
              </w:rPr>
              <w:t>ASL Automated</w:t>
            </w:r>
          </w:p>
          <w:p>
            <w:pPr>
              <w:pStyle w:val="TableParagraph"/>
              <w:spacing w:line="272" w:lineRule="exact" w:before="26"/>
              <w:ind w:left="24" w:right="23" w:firstLine="210"/>
              <w:jc w:val="left"/>
              <w:rPr>
                <w:rFonts w:ascii="宋体" w:hAnsi="宋体" w:cs="宋体" w:eastAsia="宋体" w:hint="default"/>
                <w:sz w:val="21"/>
                <w:szCs w:val="21"/>
              </w:rPr>
            </w:pPr>
            <w:r>
              <w:rPr>
                <w:rFonts w:ascii="宋体"/>
                <w:sz w:val="21"/>
              </w:rPr>
              <w:t>Services (Thailand) Co.</w:t>
            </w:r>
            <w:r>
              <w:rPr>
                <w:rFonts w:ascii="宋体"/>
                <w:spacing w:val="-9"/>
                <w:sz w:val="21"/>
              </w:rPr>
              <w:t> </w:t>
            </w:r>
            <w:r>
              <w:rPr>
                <w:rFonts w:ascii="宋体"/>
                <w:sz w:val="21"/>
              </w:rPr>
              <w:t>Ltd.</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6,382.17</w:t>
            </w:r>
          </w:p>
        </w:tc>
      </w:tr>
      <w:tr>
        <w:trPr>
          <w:trHeight w:val="55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sz w:val="21"/>
              </w:rPr>
              <w:t>IN Systems (Macao)</w:t>
            </w:r>
          </w:p>
          <w:p>
            <w:pPr>
              <w:pStyle w:val="TableParagraph"/>
              <w:spacing w:line="274" w:lineRule="exact"/>
              <w:ind w:left="24" w:right="0"/>
              <w:jc w:val="left"/>
              <w:rPr>
                <w:rFonts w:ascii="宋体" w:hAnsi="宋体" w:cs="宋体" w:eastAsia="宋体" w:hint="default"/>
                <w:sz w:val="21"/>
                <w:szCs w:val="21"/>
              </w:rPr>
            </w:pPr>
            <w:r>
              <w:rPr>
                <w:rFonts w:ascii="宋体"/>
                <w:sz w:val="21"/>
              </w:rPr>
              <w:t>Limited</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1,361,697.88</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1,446,342.22</w:t>
            </w:r>
          </w:p>
        </w:tc>
      </w:tr>
      <w:tr>
        <w:trPr>
          <w:trHeight w:val="827"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sz w:val="21"/>
              </w:rPr>
              <w:t>I-Sprint</w:t>
            </w:r>
          </w:p>
          <w:p>
            <w:pPr>
              <w:pStyle w:val="TableParagraph"/>
              <w:spacing w:line="272" w:lineRule="exact" w:before="26"/>
              <w:ind w:left="24" w:right="435"/>
              <w:jc w:val="left"/>
              <w:rPr>
                <w:rFonts w:ascii="宋体" w:hAnsi="宋体" w:cs="宋体" w:eastAsia="宋体" w:hint="default"/>
                <w:sz w:val="21"/>
                <w:szCs w:val="21"/>
              </w:rPr>
            </w:pPr>
            <w:r>
              <w:rPr>
                <w:rFonts w:ascii="宋体"/>
                <w:sz w:val="21"/>
              </w:rPr>
              <w:t>Innovations Pte Ltd.</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1,765,913.18</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20"/>
          <w:szCs w:val="20"/>
        </w:rPr>
      </w:pPr>
    </w:p>
    <w:p>
      <w:pPr>
        <w:pStyle w:val="Heading2"/>
        <w:spacing w:line="240" w:lineRule="auto"/>
        <w:ind w:right="0"/>
        <w:jc w:val="both"/>
        <w:rPr>
          <w:b w:val="0"/>
          <w:bCs w:val="0"/>
        </w:rPr>
      </w:pPr>
      <w:r>
        <w:rPr/>
        <w:t>十三、</w:t>
      </w:r>
      <w:r>
        <w:rPr>
          <w:spacing w:val="-5"/>
        </w:rPr>
        <w:t> </w:t>
      </w:r>
      <w:r>
        <w:rPr/>
        <w:t>股份支付</w:t>
      </w:r>
      <w:r>
        <w:rPr>
          <w:b w:val="0"/>
          <w:bCs w:val="0"/>
        </w:rPr>
      </w:r>
    </w:p>
    <w:p>
      <w:pPr>
        <w:pStyle w:val="Heading2"/>
        <w:spacing w:line="240" w:lineRule="auto" w:before="58"/>
        <w:ind w:right="0"/>
        <w:jc w:val="both"/>
        <w:rPr>
          <w:b w:val="0"/>
          <w:bCs w:val="0"/>
        </w:rPr>
      </w:pPr>
      <w:r>
        <w:rPr>
          <w:rFonts w:ascii="宋体" w:hAnsi="宋体" w:cs="宋体" w:eastAsia="宋体" w:hint="default"/>
        </w:rPr>
        <w:t>1</w:t>
      </w:r>
      <w:r>
        <w:rPr/>
        <w:t>、</w:t>
      </w:r>
      <w:r>
        <w:rPr>
          <w:spacing w:val="-67"/>
        </w:rPr>
        <w:t> </w:t>
      </w:r>
      <w:r>
        <w:rPr/>
        <w:t>股份支付总体情况</w:t>
      </w:r>
      <w:r>
        <w:rPr>
          <w:b w:val="0"/>
          <w:bCs w:val="0"/>
        </w:rPr>
      </w:r>
    </w:p>
    <w:p>
      <w:pPr>
        <w:spacing w:before="60"/>
        <w:ind w:left="218"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p>
    <w:p>
      <w:pPr>
        <w:pStyle w:val="BodyText"/>
        <w:spacing w:line="240" w:lineRule="auto" w:before="113"/>
        <w:ind w:left="286" w:right="0"/>
        <w:jc w:val="both"/>
      </w:pPr>
      <w:r>
        <w:rPr/>
        <w:t>（一）本公司股份支付基本情况</w:t>
      </w:r>
    </w:p>
    <w:p>
      <w:pPr>
        <w:pStyle w:val="BodyText"/>
        <w:spacing w:line="313" w:lineRule="exact" w:before="116"/>
        <w:ind w:left="698" w:right="113"/>
        <w:jc w:val="left"/>
      </w:pPr>
      <w:r>
        <w:rPr/>
        <w:t>本公司</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5</w:t>
      </w:r>
      <w:r>
        <w:rPr>
          <w:rFonts w:ascii="宋体" w:hAnsi="宋体" w:cs="宋体" w:eastAsia="宋体" w:hint="default"/>
          <w:spacing w:val="-60"/>
        </w:rPr>
        <w:t> </w:t>
      </w:r>
      <w:r>
        <w:rPr/>
        <w:t>日第二次临时股东大会审议通过了《北京华胜天成科技股</w:t>
      </w:r>
    </w:p>
    <w:p>
      <w:pPr>
        <w:pStyle w:val="BodyText"/>
        <w:spacing w:line="311" w:lineRule="exact"/>
        <w:ind w:left="218" w:right="0"/>
        <w:jc w:val="both"/>
      </w:pPr>
      <w:r>
        <w:rPr/>
        <w:t>份有限公司首期股权激励计划（草案修订稿）》，本公司于</w:t>
      </w:r>
      <w:r>
        <w:rPr>
          <w:spacing w:val="-68"/>
        </w:rPr>
        <w:t> </w:t>
      </w:r>
      <w:r>
        <w:rPr>
          <w:rFonts w:ascii="宋体" w:hAnsi="宋体" w:cs="宋体" w:eastAsia="宋体" w:hint="default"/>
        </w:rPr>
        <w:t>2010</w:t>
      </w:r>
      <w:r>
        <w:rPr>
          <w:rFonts w:ascii="宋体" w:hAnsi="宋体" w:cs="宋体" w:eastAsia="宋体" w:hint="default"/>
          <w:spacing w:val="-68"/>
        </w:rPr>
        <w:t> </w:t>
      </w:r>
      <w:r>
        <w:rPr/>
        <w:t>年</w:t>
      </w:r>
      <w:r>
        <w:rPr>
          <w:spacing w:val="-68"/>
        </w:rPr>
        <w:t> </w:t>
      </w:r>
      <w:r>
        <w:rPr>
          <w:rFonts w:ascii="宋体" w:hAnsi="宋体" w:cs="宋体" w:eastAsia="宋体" w:hint="default"/>
        </w:rPr>
        <w:t>9</w:t>
      </w:r>
      <w:r>
        <w:rPr>
          <w:rFonts w:ascii="宋体" w:hAnsi="宋体" w:cs="宋体" w:eastAsia="宋体" w:hint="default"/>
          <w:spacing w:val="-68"/>
        </w:rPr>
        <w:t> </w:t>
      </w:r>
      <w:r>
        <w:rPr/>
        <w:t>月</w:t>
      </w:r>
      <w:r>
        <w:rPr>
          <w:spacing w:val="-68"/>
        </w:rPr>
        <w:t> </w:t>
      </w:r>
      <w:r>
        <w:rPr>
          <w:rFonts w:ascii="宋体" w:hAnsi="宋体" w:cs="宋体" w:eastAsia="宋体" w:hint="default"/>
        </w:rPr>
        <w:t>21</w:t>
      </w:r>
      <w:r>
        <w:rPr>
          <w:rFonts w:ascii="宋体" w:hAnsi="宋体" w:cs="宋体" w:eastAsia="宋体" w:hint="default"/>
          <w:spacing w:val="-68"/>
        </w:rPr>
        <w:t> </w:t>
      </w:r>
      <w:r>
        <w:rPr/>
        <w:t>日向合资</w:t>
      </w:r>
    </w:p>
    <w:p>
      <w:pPr>
        <w:pStyle w:val="BodyText"/>
        <w:spacing w:line="312" w:lineRule="exact"/>
        <w:ind w:left="218" w:right="0"/>
        <w:jc w:val="both"/>
      </w:pPr>
      <w:r>
        <w:rPr/>
        <w:t>格员工(“激励对象”)授予限制性股票</w:t>
      </w:r>
      <w:r>
        <w:rPr>
          <w:spacing w:val="-60"/>
        </w:rPr>
        <w:t> </w:t>
      </w:r>
      <w:r>
        <w:rPr>
          <w:rFonts w:ascii="宋体" w:hAnsi="宋体" w:cs="宋体" w:eastAsia="宋体" w:hint="default"/>
        </w:rPr>
        <w:t>23,100,880</w:t>
      </w:r>
      <w:r>
        <w:rPr>
          <w:rFonts w:ascii="宋体" w:hAnsi="宋体" w:cs="宋体" w:eastAsia="宋体" w:hint="default"/>
          <w:spacing w:val="-60"/>
        </w:rPr>
        <w:t> </w:t>
      </w:r>
      <w:r>
        <w:rPr/>
        <w:t>股，授予价格</w:t>
      </w:r>
      <w:r>
        <w:rPr>
          <w:spacing w:val="-60"/>
        </w:rPr>
        <w:t> </w:t>
      </w:r>
      <w:r>
        <w:rPr>
          <w:rFonts w:ascii="宋体" w:hAnsi="宋体" w:cs="宋体" w:eastAsia="宋体" w:hint="default"/>
        </w:rPr>
        <w:t>8.96</w:t>
      </w:r>
      <w:r>
        <w:rPr>
          <w:rFonts w:ascii="宋体" w:hAnsi="宋体" w:cs="宋体" w:eastAsia="宋体" w:hint="default"/>
          <w:spacing w:val="-60"/>
        </w:rPr>
        <w:t> </w:t>
      </w:r>
      <w:r>
        <w:rPr/>
        <w:t>元</w:t>
      </w:r>
      <w:r>
        <w:rPr>
          <w:rFonts w:ascii="宋体" w:hAnsi="宋体" w:cs="宋体" w:eastAsia="宋体" w:hint="default"/>
        </w:rPr>
        <w:t>/</w:t>
      </w:r>
      <w:r>
        <w:rPr/>
        <w:t>股。</w:t>
      </w:r>
    </w:p>
    <w:p>
      <w:pPr>
        <w:pStyle w:val="BodyText"/>
        <w:spacing w:line="312" w:lineRule="exact" w:before="118"/>
        <w:ind w:left="698" w:right="113"/>
        <w:jc w:val="left"/>
      </w:pPr>
      <w:r>
        <w:rPr/>
        <w:t>本股权激励计划的有效期为</w:t>
      </w:r>
      <w:r>
        <w:rPr>
          <w:spacing w:val="-51"/>
        </w:rPr>
        <w:t> </w:t>
      </w:r>
      <w:r>
        <w:rPr>
          <w:rFonts w:ascii="宋体" w:hAnsi="宋体" w:cs="宋体" w:eastAsia="宋体" w:hint="default"/>
        </w:rPr>
        <w:t>5</w:t>
      </w:r>
      <w:r>
        <w:rPr>
          <w:rFonts w:ascii="宋体" w:hAnsi="宋体" w:cs="宋体" w:eastAsia="宋体" w:hint="default"/>
          <w:spacing w:val="-51"/>
        </w:rPr>
        <w:t> </w:t>
      </w:r>
      <w:r>
        <w:rPr>
          <w:spacing w:val="-3"/>
        </w:rPr>
        <w:t>年，自华胜天成股东大会批准本股权激励计划之日</w:t>
      </w:r>
    </w:p>
    <w:p>
      <w:pPr>
        <w:pStyle w:val="BodyText"/>
        <w:spacing w:line="237" w:lineRule="auto" w:before="1"/>
        <w:ind w:left="218" w:right="352"/>
        <w:jc w:val="both"/>
      </w:pPr>
      <w:r>
        <w:rPr/>
        <w:t>起计；自华胜天成授予日起</w:t>
      </w:r>
      <w:r>
        <w:rPr>
          <w:spacing w:val="-83"/>
        </w:rPr>
        <w:t> </w:t>
      </w:r>
      <w:r>
        <w:rPr>
          <w:rFonts w:ascii="宋体" w:hAnsi="宋体" w:cs="宋体" w:eastAsia="宋体" w:hint="default"/>
        </w:rPr>
        <w:t>1</w:t>
      </w:r>
      <w:r>
        <w:rPr>
          <w:rFonts w:ascii="宋体" w:hAnsi="宋体" w:cs="宋体" w:eastAsia="宋体" w:hint="default"/>
          <w:spacing w:val="-83"/>
        </w:rPr>
        <w:t> </w:t>
      </w:r>
      <w:r>
        <w:rPr/>
        <w:t>年为禁售期，在禁售期内，激励对象根据本股权激励计 </w:t>
      </w:r>
      <w:r>
        <w:rPr>
          <w:spacing w:val="-2"/>
        </w:rPr>
        <w:t>划获授的标的股票被锁定，不得转让。获授的限制性股票在解锁前也不得转让。授予</w:t>
      </w:r>
      <w:r>
        <w:rPr>
          <w:spacing w:val="-94"/>
        </w:rPr>
        <w:t> </w:t>
      </w:r>
      <w:r>
        <w:rPr>
          <w:spacing w:val="-94"/>
        </w:rPr>
      </w:r>
      <w:r>
        <w:rPr>
          <w:spacing w:val="-3"/>
        </w:rPr>
        <w:t>后（包括禁售期在内）的</w:t>
      </w:r>
      <w:r>
        <w:rPr>
          <w:spacing w:val="-67"/>
        </w:rPr>
        <w:t> </w:t>
      </w:r>
      <w:r>
        <w:rPr>
          <w:rFonts w:ascii="宋体" w:hAnsi="宋体" w:cs="宋体" w:eastAsia="宋体" w:hint="default"/>
        </w:rPr>
        <w:t>4</w:t>
      </w:r>
      <w:r>
        <w:rPr>
          <w:rFonts w:ascii="宋体" w:hAnsi="宋体" w:cs="宋体" w:eastAsia="宋体" w:hint="default"/>
          <w:spacing w:val="-67"/>
        </w:rPr>
        <w:t> </w:t>
      </w:r>
      <w:r>
        <w:rPr/>
        <w:t>年为解锁期，在解锁期内，若达到本股权激励计划规定的 解锁条件，激励对象可分四次申请解锁：</w:t>
      </w:r>
    </w:p>
    <w:p>
      <w:pPr>
        <w:pStyle w:val="BodyText"/>
        <w:spacing w:line="313" w:lineRule="exact" w:before="117"/>
        <w:ind w:left="698" w:right="113"/>
        <w:jc w:val="left"/>
      </w:pPr>
      <w:r>
        <w:rPr>
          <w:rFonts w:ascii="宋体" w:hAnsi="宋体" w:cs="宋体" w:eastAsia="宋体" w:hint="default"/>
        </w:rPr>
        <w:t>1</w:t>
      </w:r>
      <w:r>
        <w:rPr/>
        <w:t>、第一次解锁期为授予日后的第一个周年日，解锁数量是获授标的股票总数的</w:t>
      </w:r>
    </w:p>
    <w:p>
      <w:pPr>
        <w:pStyle w:val="BodyText"/>
        <w:spacing w:line="313" w:lineRule="exact"/>
        <w:ind w:left="218" w:right="0"/>
        <w:jc w:val="both"/>
      </w:pPr>
      <w:r>
        <w:rPr>
          <w:rFonts w:ascii="宋体" w:hAnsi="宋体" w:cs="宋体" w:eastAsia="宋体" w:hint="default"/>
        </w:rPr>
        <w:t>25%</w:t>
      </w:r>
      <w:r>
        <w:rPr/>
        <w:t>；</w:t>
      </w:r>
    </w:p>
    <w:p>
      <w:pPr>
        <w:pStyle w:val="BodyText"/>
        <w:spacing w:line="313" w:lineRule="exact" w:before="116"/>
        <w:ind w:left="698" w:right="113"/>
        <w:jc w:val="left"/>
      </w:pPr>
      <w:r>
        <w:rPr>
          <w:rFonts w:ascii="宋体" w:hAnsi="宋体" w:cs="宋体" w:eastAsia="宋体" w:hint="default"/>
        </w:rPr>
        <w:t>2</w:t>
      </w:r>
      <w:r>
        <w:rPr/>
        <w:t>、第二次解锁期为授予日后的第二个周年日，解锁数量是获授标的股票总数的</w:t>
      </w:r>
    </w:p>
    <w:p>
      <w:pPr>
        <w:pStyle w:val="BodyText"/>
        <w:spacing w:line="313" w:lineRule="exact"/>
        <w:ind w:left="218" w:right="0"/>
        <w:jc w:val="both"/>
      </w:pPr>
      <w:r>
        <w:rPr>
          <w:rFonts w:ascii="宋体" w:hAnsi="宋体" w:cs="宋体" w:eastAsia="宋体" w:hint="default"/>
        </w:rPr>
        <w:t>25%</w:t>
      </w:r>
      <w:r>
        <w:rPr/>
        <w:t>；</w:t>
      </w:r>
    </w:p>
    <w:p>
      <w:pPr>
        <w:spacing w:after="0" w:line="313" w:lineRule="exact"/>
        <w:jc w:val="both"/>
        <w:sectPr>
          <w:type w:val="continuous"/>
          <w:pgSz w:w="11910" w:h="16840"/>
          <w:pgMar w:top="1080" w:bottom="1380" w:left="1580" w:right="920"/>
        </w:sectPr>
      </w:pPr>
    </w:p>
    <w:p>
      <w:pPr>
        <w:spacing w:line="240" w:lineRule="auto" w:before="9"/>
        <w:rPr>
          <w:rFonts w:ascii="宋体" w:hAnsi="宋体" w:cs="宋体" w:eastAsia="宋体" w:hint="default"/>
          <w:sz w:val="25"/>
          <w:szCs w:val="25"/>
        </w:rPr>
      </w:pPr>
    </w:p>
    <w:p>
      <w:pPr>
        <w:pStyle w:val="BodyText"/>
        <w:spacing w:line="312" w:lineRule="exact" w:before="26"/>
        <w:ind w:left="698" w:right="101"/>
        <w:jc w:val="left"/>
      </w:pPr>
      <w:r>
        <w:rPr>
          <w:rFonts w:ascii="宋体" w:hAnsi="宋体" w:cs="宋体" w:eastAsia="宋体" w:hint="default"/>
        </w:rPr>
        <w:t>3</w:t>
      </w:r>
      <w:r>
        <w:rPr/>
        <w:t>、第三次解锁期为授予日后的第三个周年日，解锁数量是获授标的股票总数的</w:t>
      </w:r>
    </w:p>
    <w:p>
      <w:pPr>
        <w:pStyle w:val="BodyText"/>
        <w:spacing w:line="312" w:lineRule="exact"/>
        <w:ind w:left="218" w:right="101"/>
        <w:jc w:val="left"/>
      </w:pPr>
      <w:r>
        <w:rPr>
          <w:rFonts w:ascii="宋体" w:hAnsi="宋体" w:cs="宋体" w:eastAsia="宋体" w:hint="default"/>
        </w:rPr>
        <w:t>25%</w:t>
      </w:r>
      <w:r>
        <w:rPr/>
        <w:t>；</w:t>
      </w:r>
    </w:p>
    <w:p>
      <w:pPr>
        <w:pStyle w:val="BodyText"/>
        <w:spacing w:line="313" w:lineRule="exact" w:before="118"/>
        <w:ind w:left="698" w:right="101"/>
        <w:jc w:val="left"/>
      </w:pPr>
      <w:r>
        <w:rPr>
          <w:rFonts w:ascii="宋体" w:hAnsi="宋体" w:cs="宋体" w:eastAsia="宋体" w:hint="default"/>
        </w:rPr>
        <w:t>4</w:t>
      </w:r>
      <w:r>
        <w:rPr/>
        <w:t>、第四次解锁期为授予日后的第四个周年日，解锁数量是获授标的股票总数的</w:t>
      </w:r>
    </w:p>
    <w:p>
      <w:pPr>
        <w:pStyle w:val="BodyText"/>
        <w:spacing w:line="313" w:lineRule="exact"/>
        <w:ind w:left="218" w:right="101"/>
        <w:jc w:val="left"/>
      </w:pPr>
      <w:r>
        <w:rPr>
          <w:rFonts w:ascii="宋体" w:hAnsi="宋体" w:cs="宋体" w:eastAsia="宋体" w:hint="default"/>
        </w:rPr>
        <w:t>25%</w:t>
      </w:r>
      <w:r>
        <w:rPr/>
        <w:t>。</w:t>
      </w:r>
    </w:p>
    <w:p>
      <w:pPr>
        <w:pStyle w:val="BodyText"/>
        <w:spacing w:line="237" w:lineRule="auto" w:before="119"/>
        <w:ind w:left="218" w:right="233" w:firstLine="480"/>
        <w:jc w:val="both"/>
      </w:pPr>
      <w:r>
        <w:rPr>
          <w:spacing w:val="-2"/>
        </w:rPr>
        <w:t>解锁期的任一年度公司绩效条件未达到解锁条件的，这部分标的股票可以递延到</w:t>
      </w:r>
      <w:r>
        <w:rPr/>
        <w:t> </w:t>
      </w:r>
      <w:r>
        <w:rPr>
          <w:spacing w:val="-2"/>
        </w:rPr>
        <w:t>下一年，在下一年达到解锁条件时一并解锁。若下一年仍未达到解锁条件，该部分股</w:t>
      </w:r>
      <w:r>
        <w:rPr>
          <w:spacing w:val="-94"/>
        </w:rPr>
        <w:t> </w:t>
      </w:r>
      <w:r>
        <w:rPr>
          <w:spacing w:val="-94"/>
        </w:rPr>
      </w:r>
      <w:r>
        <w:rPr>
          <w:spacing w:val="-2"/>
        </w:rPr>
        <w:t>票不再解锁，公司应予以回购该部分标的股票。如解锁期的任一年度激励对象个人业</w:t>
      </w:r>
      <w:r>
        <w:rPr>
          <w:spacing w:val="-94"/>
        </w:rPr>
        <w:t> </w:t>
      </w:r>
      <w:r>
        <w:rPr>
          <w:spacing w:val="-94"/>
        </w:rPr>
      </w:r>
      <w:r>
        <w:rPr>
          <w:spacing w:val="-2"/>
        </w:rPr>
        <w:t>绩条件未达到解锁条件的，则不进行递延，该部分标的股票不再解锁，公司应予以回</w:t>
      </w:r>
      <w:r>
        <w:rPr>
          <w:spacing w:val="-94"/>
        </w:rPr>
        <w:t> </w:t>
      </w:r>
      <w:r>
        <w:rPr>
          <w:spacing w:val="-94"/>
        </w:rPr>
      </w:r>
      <w:r>
        <w:rPr/>
        <w:t>购该部分标的股票。</w:t>
      </w:r>
    </w:p>
    <w:p>
      <w:pPr>
        <w:pStyle w:val="BodyText"/>
        <w:spacing w:line="331" w:lineRule="auto" w:before="117"/>
        <w:ind w:left="698" w:right="217"/>
        <w:jc w:val="left"/>
        <w:rPr>
          <w:rFonts w:ascii="宋体" w:hAnsi="宋体" w:cs="宋体" w:eastAsia="宋体" w:hint="default"/>
        </w:rPr>
      </w:pPr>
      <w:r>
        <w:rPr/>
        <w:t>上述限制性股票的解锁条件主要为： </w:t>
      </w:r>
      <w:r>
        <w:rPr>
          <w:spacing w:val="-7"/>
        </w:rPr>
        <w:t>对于首次授予的限制性股票，每次解锁需要满足的公司业绩条件为：（</w:t>
      </w:r>
      <w:r>
        <w:rPr>
          <w:rFonts w:ascii="宋体" w:hAnsi="宋体" w:cs="宋体" w:eastAsia="宋体" w:hint="default"/>
          <w:spacing w:val="-7"/>
        </w:rPr>
        <w:t>1</w:t>
      </w:r>
      <w:r>
        <w:rPr>
          <w:spacing w:val="-7"/>
        </w:rPr>
        <w:t>）以</w:t>
      </w:r>
      <w:r>
        <w:rPr>
          <w:spacing w:val="-47"/>
        </w:rPr>
        <w:t> </w:t>
      </w:r>
      <w:r>
        <w:rPr>
          <w:rFonts w:ascii="宋体" w:hAnsi="宋体" w:cs="宋体" w:eastAsia="宋体" w:hint="default"/>
          <w:spacing w:val="-1"/>
        </w:rPr>
        <w:t>2009</w:t>
      </w:r>
    </w:p>
    <w:p>
      <w:pPr>
        <w:pStyle w:val="BodyText"/>
        <w:spacing w:line="218" w:lineRule="exact"/>
        <w:ind w:left="218" w:right="101"/>
        <w:jc w:val="left"/>
      </w:pPr>
      <w:r>
        <w:rPr/>
        <w:t>年净利润为固定基数，公司解锁日上一年度经审计的净利润较</w:t>
      </w:r>
      <w:r>
        <w:rPr>
          <w:spacing w:val="-60"/>
        </w:rPr>
        <w:t> </w:t>
      </w:r>
      <w:r>
        <w:rPr>
          <w:rFonts w:ascii="宋体" w:hAnsi="宋体" w:cs="宋体" w:eastAsia="宋体" w:hint="default"/>
        </w:rPr>
        <w:t>2009</w:t>
      </w:r>
      <w:r>
        <w:rPr>
          <w:rFonts w:ascii="宋体" w:hAnsi="宋体" w:cs="宋体" w:eastAsia="宋体" w:hint="default"/>
          <w:spacing w:val="-60"/>
        </w:rPr>
        <w:t> </w:t>
      </w:r>
      <w:r>
        <w:rPr/>
        <w:t>年度的净利润年</w:t>
      </w:r>
    </w:p>
    <w:p>
      <w:pPr>
        <w:pStyle w:val="BodyText"/>
        <w:spacing w:line="237" w:lineRule="auto" w:before="1"/>
        <w:ind w:left="218" w:right="216"/>
        <w:jc w:val="left"/>
      </w:pPr>
      <w:r>
        <w:rPr/>
        <w:t>复合增长率达到或超过</w:t>
      </w:r>
      <w:r>
        <w:rPr>
          <w:spacing w:val="-52"/>
        </w:rPr>
        <w:t> </w:t>
      </w:r>
      <w:r>
        <w:rPr>
          <w:rFonts w:ascii="宋体" w:hAnsi="宋体" w:cs="宋体" w:eastAsia="宋体" w:hint="default"/>
          <w:spacing w:val="-4"/>
        </w:rPr>
        <w:t>10%</w:t>
      </w:r>
      <w:r>
        <w:rPr>
          <w:spacing w:val="-4"/>
        </w:rPr>
        <w:t>；（</w:t>
      </w:r>
      <w:r>
        <w:rPr>
          <w:rFonts w:ascii="宋体" w:hAnsi="宋体" w:cs="宋体" w:eastAsia="宋体" w:hint="default"/>
          <w:spacing w:val="-4"/>
        </w:rPr>
        <w:t>2</w:t>
      </w:r>
      <w:r>
        <w:rPr>
          <w:spacing w:val="-4"/>
        </w:rPr>
        <w:t>）解锁日上一年度归属于上市公司股东的扣除非经常</w:t>
      </w:r>
      <w:r>
        <w:rPr/>
        <w:t> 性损益的净利润不得低于授予日前最近三个会计年度的平均水平且不得为负；（</w:t>
      </w:r>
      <w:r>
        <w:rPr>
          <w:rFonts w:ascii="宋体" w:hAnsi="宋体" w:cs="宋体" w:eastAsia="宋体" w:hint="default"/>
        </w:rPr>
        <w:t>3</w:t>
      </w:r>
      <w:r>
        <w:rPr/>
        <w:t>） 解锁日上一年度扣除非经常性损益的加权平均净资产收益率不低于</w:t>
      </w:r>
      <w:r>
        <w:rPr>
          <w:spacing w:val="-60"/>
        </w:rPr>
        <w:t> </w:t>
      </w:r>
      <w:r>
        <w:rPr>
          <w:rFonts w:ascii="宋体" w:hAnsi="宋体" w:cs="宋体" w:eastAsia="宋体" w:hint="default"/>
        </w:rPr>
        <w:t>10%</w:t>
      </w:r>
      <w:r>
        <w:rPr/>
        <w:t>。其中，净资 产收益率与净利润的指标均以扣除非经常性损益的净利润与不扣除非经常性损益的 净利润二者孰低者作为计算依据，净利润指归属于母公司所有者的净利润。</w:t>
      </w:r>
    </w:p>
    <w:p>
      <w:pPr>
        <w:pStyle w:val="BodyText"/>
        <w:spacing w:line="312" w:lineRule="exact" w:before="147"/>
        <w:ind w:left="218" w:right="101" w:firstLine="480"/>
        <w:jc w:val="left"/>
      </w:pPr>
      <w:r>
        <w:rPr>
          <w:spacing w:val="-2"/>
        </w:rPr>
        <w:t>激励对象每次申请限制性股票解锁需要满足：上一年度个人绩效考核结果必须达</w:t>
      </w:r>
      <w:r>
        <w:rPr/>
        <w:t> 到合格或以上。</w:t>
      </w:r>
    </w:p>
    <w:p>
      <w:pPr>
        <w:pStyle w:val="BodyText"/>
        <w:spacing w:line="328" w:lineRule="auto" w:before="88"/>
        <w:ind w:left="218" w:right="6648" w:firstLine="480"/>
        <w:jc w:val="left"/>
      </w:pPr>
      <w:r>
        <w:rPr/>
        <w:t>股份支付相关数据 </w:t>
      </w:r>
      <w:r>
        <w:rPr>
          <w:rFonts w:ascii="宋体" w:hAnsi="宋体" w:cs="宋体" w:eastAsia="宋体" w:hint="default"/>
        </w:rPr>
        <w:t>1</w:t>
      </w:r>
      <w:r>
        <w:rPr/>
        <w:t>、股份支付总体情况</w:t>
      </w:r>
    </w:p>
    <w:p>
      <w:pPr>
        <w:tabs>
          <w:tab w:pos="1049" w:val="left" w:leader="none"/>
        </w:tabs>
        <w:spacing w:before="33"/>
        <w:ind w:left="0" w:right="232" w:firstLine="0"/>
        <w:jc w:val="right"/>
        <w:rPr>
          <w:rFonts w:ascii="宋体" w:hAnsi="宋体" w:cs="宋体" w:eastAsia="宋体" w:hint="default"/>
          <w:sz w:val="21"/>
          <w:szCs w:val="21"/>
        </w:rPr>
      </w:pPr>
      <w:r>
        <w:rPr>
          <w:rFonts w:ascii="宋体" w:hAnsi="宋体" w:cs="宋体" w:eastAsia="宋体" w:hint="default"/>
          <w:sz w:val="21"/>
          <w:szCs w:val="21"/>
        </w:rPr>
        <w:t>单位：股</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4"/>
        <w:gridCol w:w="4406"/>
      </w:tblGrid>
      <w:tr>
        <w:trPr>
          <w:trHeight w:val="28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28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z w:val="21"/>
                <w:szCs w:val="21"/>
              </w:rPr>
              <w:t>份</w:t>
            </w:r>
          </w:p>
        </w:tc>
      </w:tr>
      <w:tr>
        <w:trPr>
          <w:trHeight w:val="283"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4,710,183</w:t>
            </w:r>
            <w:r>
              <w:rPr>
                <w:rFonts w:ascii="宋体" w:hAnsi="宋体" w:cs="宋体" w:eastAsia="宋体" w:hint="default"/>
                <w:spacing w:val="-52"/>
                <w:sz w:val="21"/>
                <w:szCs w:val="21"/>
              </w:rPr>
              <w:t> </w:t>
            </w:r>
            <w:r>
              <w:rPr>
                <w:rFonts w:ascii="宋体" w:hAnsi="宋体" w:cs="宋体" w:eastAsia="宋体" w:hint="default"/>
                <w:sz w:val="21"/>
                <w:szCs w:val="21"/>
              </w:rPr>
              <w:t>份</w:t>
            </w:r>
          </w:p>
        </w:tc>
      </w:tr>
      <w:tr>
        <w:trPr>
          <w:trHeight w:val="55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公司期末发行在外的股票期权行权价格的范围和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合同剩余期限</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个月</w:t>
            </w:r>
          </w:p>
        </w:tc>
      </w:tr>
      <w:tr>
        <w:trPr>
          <w:trHeight w:val="55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公司期末发行在外的其他权益工具行权价格的范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围和合同剩余期限</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exact" w:before="0"/>
        <w:ind w:left="218" w:right="101" w:firstLine="0"/>
        <w:jc w:val="left"/>
        <w:rPr>
          <w:rFonts w:ascii="宋体" w:hAnsi="宋体" w:cs="宋体" w:eastAsia="宋体" w:hint="default"/>
          <w:sz w:val="21"/>
          <w:szCs w:val="21"/>
        </w:rPr>
      </w:pPr>
      <w:r>
        <w:rPr>
          <w:rFonts w:ascii="宋体" w:hAnsi="宋体" w:cs="宋体" w:eastAsia="宋体" w:hint="default"/>
          <w:sz w:val="21"/>
          <w:szCs w:val="21"/>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20" w:bottom="1380" w:left="1580" w:right="1040"/>
        </w:sectPr>
      </w:pPr>
    </w:p>
    <w:p>
      <w:pPr>
        <w:spacing w:before="36"/>
        <w:ind w:left="218" w:right="-19"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以权益结算的股份支付情况</w:t>
      </w:r>
      <w:r>
        <w:rPr>
          <w:rFonts w:ascii="宋体" w:hAnsi="宋体" w:cs="宋体" w:eastAsia="宋体" w:hint="default"/>
          <w:sz w:val="21"/>
          <w:szCs w:val="21"/>
        </w:rPr>
      </w:r>
    </w:p>
    <w:p>
      <w:pPr>
        <w:spacing w:before="57"/>
        <w:ind w:left="218" w:right="-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tabs>
          <w:tab w:pos="1267" w:val="left" w:leader="none"/>
        </w:tabs>
        <w:spacing w:before="0"/>
        <w:ind w:left="21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580" w:right="1040"/>
          <w:cols w:num="2" w:equalWidth="0">
            <w:col w:w="3171" w:space="3353"/>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4"/>
        <w:gridCol w:w="4406"/>
      </w:tblGrid>
      <w:tr>
        <w:trPr>
          <w:trHeight w:val="827"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于授予日每份限制性股票激励计划的公允价</w:t>
            </w:r>
          </w:p>
          <w:p>
            <w:pPr>
              <w:pStyle w:val="TableParagraph"/>
              <w:spacing w:line="272" w:lineRule="exact" w:before="26"/>
              <w:ind w:left="103" w:right="196"/>
              <w:jc w:val="left"/>
              <w:rPr>
                <w:rFonts w:ascii="宋体" w:hAnsi="宋体" w:cs="宋体" w:eastAsia="宋体" w:hint="default"/>
                <w:sz w:val="21"/>
                <w:szCs w:val="21"/>
              </w:rPr>
            </w:pPr>
            <w:r>
              <w:rPr>
                <w:rFonts w:ascii="宋体" w:hAnsi="宋体" w:cs="宋体" w:eastAsia="宋体" w:hint="default"/>
                <w:sz w:val="21"/>
                <w:szCs w:val="21"/>
              </w:rPr>
              <w:t>值为</w:t>
            </w:r>
            <w:r>
              <w:rPr>
                <w:rFonts w:ascii="宋体" w:hAnsi="宋体" w:cs="宋体" w:eastAsia="宋体" w:hint="default"/>
                <w:spacing w:val="-54"/>
                <w:sz w:val="21"/>
                <w:szCs w:val="21"/>
              </w:rPr>
              <w:t> </w:t>
            </w:r>
            <w:r>
              <w:rPr>
                <w:rFonts w:ascii="宋体" w:hAnsi="宋体" w:cs="宋体" w:eastAsia="宋体" w:hint="default"/>
                <w:sz w:val="21"/>
                <w:szCs w:val="21"/>
              </w:rPr>
              <w:t>3.56</w:t>
            </w:r>
            <w:r>
              <w:rPr>
                <w:rFonts w:ascii="宋体" w:hAnsi="宋体" w:cs="宋体" w:eastAsia="宋体" w:hint="default"/>
                <w:spacing w:val="-54"/>
                <w:sz w:val="21"/>
                <w:szCs w:val="21"/>
              </w:rPr>
              <w:t> </w:t>
            </w:r>
            <w:r>
              <w:rPr>
                <w:rFonts w:ascii="宋体" w:hAnsi="宋体" w:cs="宋体" w:eastAsia="宋体" w:hint="default"/>
                <w:sz w:val="21"/>
                <w:szCs w:val="21"/>
              </w:rPr>
              <w:t>元，该公允价值按授予日华胜天成 收市价与授予价的差额确定</w:t>
            </w:r>
          </w:p>
        </w:tc>
      </w:tr>
      <w:tr>
        <w:trPr>
          <w:trHeight w:val="283"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可行权权益工具数量的确定依据</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预计未达到行权条件</w:t>
            </w:r>
          </w:p>
        </w:tc>
      </w:tr>
      <w:tr>
        <w:trPr>
          <w:trHeight w:val="28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8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以权益结算的股份支付计入资本公积的累计金额</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36,625,956.39</w:t>
            </w:r>
            <w:r>
              <w:rPr>
                <w:rFonts w:ascii="宋体" w:hAnsi="宋体" w:cs="宋体" w:eastAsia="宋体" w:hint="default"/>
                <w:spacing w:val="-52"/>
                <w:sz w:val="21"/>
                <w:szCs w:val="21"/>
              </w:rPr>
              <w:t> </w:t>
            </w:r>
            <w:r>
              <w:rPr>
                <w:rFonts w:ascii="宋体" w:hAnsi="宋体" w:cs="宋体" w:eastAsia="宋体" w:hint="default"/>
                <w:sz w:val="21"/>
                <w:szCs w:val="21"/>
              </w:rPr>
              <w:t>元</w:t>
            </w:r>
          </w:p>
        </w:tc>
      </w:tr>
      <w:tr>
        <w:trPr>
          <w:trHeight w:val="283"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bl>
    <w:p>
      <w:pPr>
        <w:spacing w:line="240" w:lineRule="exact" w:before="0"/>
        <w:ind w:left="218" w:right="101" w:firstLine="0"/>
        <w:jc w:val="left"/>
        <w:rPr>
          <w:rFonts w:ascii="宋体" w:hAnsi="宋体" w:cs="宋体" w:eastAsia="宋体" w:hint="default"/>
          <w:sz w:val="21"/>
          <w:szCs w:val="21"/>
        </w:rPr>
      </w:pPr>
      <w:r>
        <w:rPr>
          <w:rFonts w:ascii="宋体" w:hAnsi="宋体" w:cs="宋体" w:eastAsia="宋体" w:hint="default"/>
          <w:sz w:val="21"/>
          <w:szCs w:val="21"/>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8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0"/>
        <w:ind w:left="258" w:right="350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股份支付的修改、终止情况</w:t>
      </w:r>
      <w:r>
        <w:rPr>
          <w:rFonts w:ascii="宋体" w:hAnsi="宋体" w:cs="宋体" w:eastAsia="宋体" w:hint="default"/>
          <w:sz w:val="21"/>
          <w:szCs w:val="21"/>
        </w:rPr>
      </w:r>
    </w:p>
    <w:p>
      <w:pPr>
        <w:spacing w:line="240" w:lineRule="auto" w:before="12"/>
        <w:rPr>
          <w:rFonts w:ascii="宋体" w:hAnsi="宋体" w:cs="宋体" w:eastAsia="宋体" w:hint="default"/>
          <w:b/>
          <w:bCs/>
          <w:sz w:val="27"/>
          <w:szCs w:val="27"/>
        </w:rPr>
      </w:pPr>
    </w:p>
    <w:tbl>
      <w:tblPr>
        <w:tblW w:w="0" w:type="auto"/>
        <w:jc w:val="left"/>
        <w:tblInd w:w="116" w:type="dxa"/>
        <w:tblLayout w:type="fixed"/>
        <w:tblCellMar>
          <w:top w:w="0" w:type="dxa"/>
          <w:left w:w="0" w:type="dxa"/>
          <w:bottom w:w="0" w:type="dxa"/>
          <w:right w:w="0" w:type="dxa"/>
        </w:tblCellMar>
        <w:tblLook w:val="01E0"/>
      </w:tblPr>
      <w:tblGrid>
        <w:gridCol w:w="6305"/>
        <w:gridCol w:w="3051"/>
      </w:tblGrid>
      <w:tr>
        <w:trPr>
          <w:trHeight w:val="391" w:hRule="exact"/>
        </w:trPr>
        <w:tc>
          <w:tcPr>
            <w:tcW w:w="6305" w:type="dxa"/>
            <w:tcBorders>
              <w:top w:val="single" w:sz="8" w:space="0" w:color="000000"/>
              <w:left w:val="nil" w:sz="6" w:space="0" w:color="auto"/>
              <w:bottom w:val="nil" w:sz="6" w:space="0" w:color="auto"/>
              <w:right w:val="nil" w:sz="6" w:space="0" w:color="auto"/>
            </w:tcBorders>
          </w:tcPr>
          <w:p>
            <w:pPr>
              <w:pStyle w:val="TableParagraph"/>
              <w:spacing w:line="240" w:lineRule="auto" w:before="18"/>
              <w:ind w:left="106" w:right="0"/>
              <w:jc w:val="left"/>
              <w:rPr>
                <w:rFonts w:ascii="宋体" w:hAnsi="宋体" w:cs="宋体" w:eastAsia="宋体" w:hint="default"/>
                <w:sz w:val="21"/>
                <w:szCs w:val="21"/>
              </w:rPr>
            </w:pPr>
            <w:r>
              <w:rPr>
                <w:rFonts w:ascii="宋体" w:hAnsi="宋体" w:cs="宋体" w:eastAsia="宋体" w:hint="default"/>
                <w:sz w:val="21"/>
                <w:szCs w:val="21"/>
              </w:rPr>
              <w:t>本期以股份支付换取的职工服务总额</w:t>
            </w:r>
          </w:p>
        </w:tc>
        <w:tc>
          <w:tcPr>
            <w:tcW w:w="3051" w:type="dxa"/>
            <w:tcBorders>
              <w:top w:val="single" w:sz="8" w:space="0" w:color="000000"/>
              <w:left w:val="nil" w:sz="6" w:space="0" w:color="auto"/>
              <w:bottom w:val="nil" w:sz="6" w:space="0" w:color="auto"/>
              <w:right w:val="nil" w:sz="6" w:space="0" w:color="auto"/>
            </w:tcBorders>
          </w:tcPr>
          <w:p>
            <w:pPr>
              <w:pStyle w:val="TableParagraph"/>
              <w:spacing w:line="240" w:lineRule="auto" w:before="18"/>
              <w:ind w:right="105"/>
              <w:jc w:val="right"/>
              <w:rPr>
                <w:rFonts w:ascii="宋体" w:hAnsi="宋体" w:cs="宋体" w:eastAsia="宋体" w:hint="default"/>
                <w:sz w:val="21"/>
                <w:szCs w:val="21"/>
              </w:rPr>
            </w:pPr>
            <w:r>
              <w:rPr>
                <w:rFonts w:ascii="宋体"/>
                <w:sz w:val="21"/>
              </w:rPr>
              <w:t>0</w:t>
            </w:r>
          </w:p>
        </w:tc>
      </w:tr>
      <w:tr>
        <w:trPr>
          <w:trHeight w:val="404" w:hRule="exact"/>
        </w:trPr>
        <w:tc>
          <w:tcPr>
            <w:tcW w:w="6305"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left="106" w:right="0"/>
              <w:jc w:val="left"/>
              <w:rPr>
                <w:rFonts w:ascii="宋体" w:hAnsi="宋体" w:cs="宋体" w:eastAsia="宋体" w:hint="default"/>
                <w:sz w:val="21"/>
                <w:szCs w:val="21"/>
              </w:rPr>
            </w:pPr>
            <w:r>
              <w:rPr>
                <w:rFonts w:ascii="宋体" w:hAnsi="宋体" w:cs="宋体" w:eastAsia="宋体" w:hint="default"/>
                <w:sz w:val="21"/>
                <w:szCs w:val="21"/>
              </w:rPr>
              <w:t>本期以股份支付换取的其他服务总额</w:t>
            </w:r>
          </w:p>
        </w:tc>
        <w:tc>
          <w:tcPr>
            <w:tcW w:w="3051"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right="105"/>
              <w:jc w:val="right"/>
              <w:rPr>
                <w:rFonts w:ascii="宋体" w:hAnsi="宋体" w:cs="宋体" w:eastAsia="宋体" w:hint="default"/>
                <w:sz w:val="21"/>
                <w:szCs w:val="21"/>
              </w:rPr>
            </w:pPr>
            <w:r>
              <w:rPr>
                <w:rFonts w:ascii="宋体"/>
                <w:sz w:val="21"/>
              </w:rPr>
              <w:t>0</w:t>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spacing w:before="35"/>
        <w:ind w:left="258" w:right="3508"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113"/>
        <w:ind w:left="258" w:right="3508"/>
        <w:jc w:val="left"/>
      </w:pPr>
      <w:r>
        <w:rPr>
          <w:rFonts w:ascii="宋体" w:hAnsi="宋体" w:cs="宋体" w:eastAsia="宋体" w:hint="default"/>
        </w:rPr>
        <w:t>4</w:t>
      </w:r>
      <w:r>
        <w:rPr/>
        <w:t>、股份支付的修改、终止情况</w:t>
      </w:r>
    </w:p>
    <w:p>
      <w:pPr>
        <w:spacing w:line="240" w:lineRule="auto" w:before="12"/>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5307"/>
        <w:gridCol w:w="4049"/>
      </w:tblGrid>
      <w:tr>
        <w:trPr>
          <w:trHeight w:val="391" w:hRule="exact"/>
        </w:trPr>
        <w:tc>
          <w:tcPr>
            <w:tcW w:w="5307" w:type="dxa"/>
            <w:tcBorders>
              <w:top w:val="single" w:sz="8" w:space="0" w:color="000000"/>
              <w:left w:val="nil" w:sz="6" w:space="0" w:color="auto"/>
              <w:bottom w:val="nil" w:sz="6" w:space="0" w:color="auto"/>
              <w:right w:val="nil" w:sz="6" w:space="0" w:color="auto"/>
            </w:tcBorders>
          </w:tcPr>
          <w:p>
            <w:pPr>
              <w:pStyle w:val="TableParagraph"/>
              <w:spacing w:line="240" w:lineRule="auto" w:before="17"/>
              <w:ind w:left="106" w:right="0"/>
              <w:jc w:val="left"/>
              <w:rPr>
                <w:rFonts w:ascii="宋体" w:hAnsi="宋体" w:cs="宋体" w:eastAsia="宋体" w:hint="default"/>
                <w:sz w:val="21"/>
                <w:szCs w:val="21"/>
              </w:rPr>
            </w:pPr>
            <w:r>
              <w:rPr>
                <w:rFonts w:ascii="宋体" w:hAnsi="宋体" w:cs="宋体" w:eastAsia="宋体" w:hint="default"/>
                <w:sz w:val="21"/>
                <w:szCs w:val="21"/>
              </w:rPr>
              <w:t>股份支付的修改情况</w:t>
            </w:r>
          </w:p>
        </w:tc>
        <w:tc>
          <w:tcPr>
            <w:tcW w:w="4049" w:type="dxa"/>
            <w:tcBorders>
              <w:top w:val="single" w:sz="8" w:space="0" w:color="000000"/>
              <w:left w:val="nil" w:sz="6" w:space="0" w:color="auto"/>
              <w:bottom w:val="nil" w:sz="6" w:space="0" w:color="auto"/>
              <w:right w:val="nil" w:sz="6" w:space="0" w:color="auto"/>
            </w:tcBorders>
          </w:tcPr>
          <w:p>
            <w:pPr>
              <w:pStyle w:val="TableParagraph"/>
              <w:spacing w:line="240" w:lineRule="auto" w:before="17"/>
              <w:ind w:right="107"/>
              <w:jc w:val="right"/>
              <w:rPr>
                <w:rFonts w:ascii="宋体" w:hAnsi="宋体" w:cs="宋体" w:eastAsia="宋体" w:hint="default"/>
                <w:sz w:val="21"/>
                <w:szCs w:val="21"/>
              </w:rPr>
            </w:pPr>
            <w:r>
              <w:rPr>
                <w:rFonts w:ascii="宋体" w:hAnsi="宋体" w:cs="宋体" w:eastAsia="宋体" w:hint="default"/>
                <w:sz w:val="21"/>
                <w:szCs w:val="21"/>
              </w:rPr>
              <w:t>无修改</w:t>
            </w:r>
          </w:p>
        </w:tc>
      </w:tr>
      <w:tr>
        <w:trPr>
          <w:trHeight w:val="404" w:hRule="exact"/>
        </w:trPr>
        <w:tc>
          <w:tcPr>
            <w:tcW w:w="5307" w:type="dxa"/>
            <w:tcBorders>
              <w:top w:val="nil" w:sz="6" w:space="0" w:color="auto"/>
              <w:left w:val="nil" w:sz="6" w:space="0" w:color="auto"/>
              <w:bottom w:val="single" w:sz="8" w:space="0" w:color="000000"/>
              <w:right w:val="nil" w:sz="6" w:space="0" w:color="auto"/>
            </w:tcBorders>
          </w:tcPr>
          <w:p>
            <w:pPr>
              <w:pStyle w:val="TableParagraph"/>
              <w:spacing w:line="240" w:lineRule="auto" w:before="24"/>
              <w:ind w:left="106" w:right="0"/>
              <w:jc w:val="left"/>
              <w:rPr>
                <w:rFonts w:ascii="宋体" w:hAnsi="宋体" w:cs="宋体" w:eastAsia="宋体" w:hint="default"/>
                <w:sz w:val="21"/>
                <w:szCs w:val="21"/>
              </w:rPr>
            </w:pPr>
            <w:r>
              <w:rPr>
                <w:rFonts w:ascii="宋体" w:hAnsi="宋体" w:cs="宋体" w:eastAsia="宋体" w:hint="default"/>
                <w:sz w:val="21"/>
                <w:szCs w:val="21"/>
              </w:rPr>
              <w:t>股份支付的终止情况</w:t>
            </w:r>
          </w:p>
        </w:tc>
        <w:tc>
          <w:tcPr>
            <w:tcW w:w="4049" w:type="dxa"/>
            <w:tcBorders>
              <w:top w:val="nil" w:sz="6" w:space="0" w:color="auto"/>
              <w:left w:val="nil" w:sz="6" w:space="0" w:color="auto"/>
              <w:bottom w:val="single" w:sz="8" w:space="0" w:color="000000"/>
              <w:right w:val="nil" w:sz="6" w:space="0" w:color="auto"/>
            </w:tcBorders>
          </w:tcPr>
          <w:p>
            <w:pPr>
              <w:pStyle w:val="TableParagraph"/>
              <w:spacing w:line="240" w:lineRule="auto" w:before="24"/>
              <w:ind w:right="107"/>
              <w:jc w:val="right"/>
              <w:rPr>
                <w:rFonts w:ascii="宋体" w:hAnsi="宋体" w:cs="宋体" w:eastAsia="宋体" w:hint="default"/>
                <w:sz w:val="21"/>
                <w:szCs w:val="21"/>
              </w:rPr>
            </w:pPr>
            <w:r>
              <w:rPr>
                <w:rFonts w:ascii="宋体" w:hAnsi="宋体" w:cs="宋体" w:eastAsia="宋体" w:hint="default"/>
                <w:sz w:val="21"/>
                <w:szCs w:val="21"/>
              </w:rPr>
              <w:t>无修改</w:t>
            </w:r>
          </w:p>
        </w:tc>
      </w:tr>
    </w:tbl>
    <w:p>
      <w:pPr>
        <w:pStyle w:val="BodyText"/>
        <w:spacing w:line="331" w:lineRule="auto" w:before="81"/>
        <w:ind w:left="258" w:right="3508"/>
        <w:jc w:val="left"/>
      </w:pPr>
      <w:r>
        <w:rPr/>
        <w:t>（二）本公司之间接控制子公司</w:t>
      </w:r>
      <w:r>
        <w:rPr>
          <w:spacing w:val="-60"/>
        </w:rPr>
        <w:t> </w:t>
      </w:r>
      <w:r>
        <w:rPr>
          <w:rFonts w:ascii="宋体" w:hAnsi="宋体" w:cs="宋体" w:eastAsia="宋体" w:hint="default"/>
        </w:rPr>
        <w:t>ASL</w:t>
      </w:r>
      <w:r>
        <w:rPr>
          <w:rFonts w:ascii="宋体" w:hAnsi="宋体" w:cs="宋体" w:eastAsia="宋体" w:hint="default"/>
          <w:spacing w:val="-60"/>
        </w:rPr>
        <w:t> </w:t>
      </w:r>
      <w:r>
        <w:rPr/>
        <w:t>公司的股份支付情况 </w:t>
      </w:r>
      <w:r>
        <w:rPr>
          <w:rFonts w:ascii="宋体" w:hAnsi="宋体" w:cs="宋体" w:eastAsia="宋体" w:hint="default"/>
        </w:rPr>
        <w:t>1</w:t>
      </w:r>
      <w:r>
        <w:rPr/>
        <w:t>、股份支付基本情况</w:t>
      </w:r>
    </w:p>
    <w:p>
      <w:pPr>
        <w:spacing w:line="240" w:lineRule="auto" w:before="12"/>
        <w:rPr>
          <w:rFonts w:ascii="宋体" w:hAnsi="宋体" w:cs="宋体" w:eastAsia="宋体" w:hint="default"/>
          <w:sz w:val="4"/>
          <w:szCs w:val="4"/>
        </w:rPr>
      </w:pPr>
    </w:p>
    <w:tbl>
      <w:tblPr>
        <w:tblW w:w="0" w:type="auto"/>
        <w:jc w:val="left"/>
        <w:tblInd w:w="116" w:type="dxa"/>
        <w:tblLayout w:type="fixed"/>
        <w:tblCellMar>
          <w:top w:w="0" w:type="dxa"/>
          <w:left w:w="0" w:type="dxa"/>
          <w:bottom w:w="0" w:type="dxa"/>
          <w:right w:w="0" w:type="dxa"/>
        </w:tblCellMar>
        <w:tblLook w:val="01E0"/>
      </w:tblPr>
      <w:tblGrid>
        <w:gridCol w:w="4228"/>
        <w:gridCol w:w="5050"/>
      </w:tblGrid>
      <w:tr>
        <w:trPr>
          <w:trHeight w:val="391" w:hRule="exact"/>
        </w:trPr>
        <w:tc>
          <w:tcPr>
            <w:tcW w:w="4228" w:type="dxa"/>
            <w:tcBorders>
              <w:top w:val="single" w:sz="8" w:space="0" w:color="000000"/>
              <w:left w:val="nil" w:sz="6" w:space="0" w:color="auto"/>
              <w:bottom w:val="nil" w:sz="6" w:space="0" w:color="auto"/>
              <w:right w:val="nil" w:sz="6" w:space="0" w:color="auto"/>
            </w:tcBorders>
          </w:tcPr>
          <w:p>
            <w:pPr>
              <w:pStyle w:val="TableParagraph"/>
              <w:spacing w:line="240" w:lineRule="auto" w:before="17"/>
              <w:ind w:left="106"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5050" w:type="dxa"/>
            <w:tcBorders>
              <w:top w:val="single" w:sz="8" w:space="0" w:color="000000"/>
              <w:left w:val="nil" w:sz="6" w:space="0" w:color="auto"/>
              <w:bottom w:val="nil" w:sz="6" w:space="0" w:color="auto"/>
              <w:right w:val="nil" w:sz="6" w:space="0" w:color="auto"/>
            </w:tcBorders>
          </w:tcPr>
          <w:p>
            <w:pPr>
              <w:pStyle w:val="TableParagraph"/>
              <w:spacing w:line="240" w:lineRule="auto" w:before="17"/>
              <w:ind w:right="107"/>
              <w:jc w:val="right"/>
              <w:rPr>
                <w:rFonts w:ascii="宋体" w:hAnsi="宋体" w:cs="宋体" w:eastAsia="宋体" w:hint="default"/>
                <w:sz w:val="21"/>
                <w:szCs w:val="21"/>
              </w:rPr>
            </w:pPr>
            <w:r>
              <w:rPr>
                <w:rFonts w:ascii="宋体" w:hAnsi="宋体" w:cs="宋体" w:eastAsia="宋体" w:hint="default"/>
                <w:sz w:val="21"/>
                <w:szCs w:val="21"/>
              </w:rPr>
              <w:t>8,659,000</w:t>
            </w:r>
            <w:r>
              <w:rPr>
                <w:rFonts w:ascii="宋体" w:hAnsi="宋体" w:cs="宋体" w:eastAsia="宋体" w:hint="default"/>
                <w:spacing w:val="-54"/>
                <w:sz w:val="21"/>
                <w:szCs w:val="21"/>
              </w:rPr>
              <w:t> </w:t>
            </w:r>
            <w:r>
              <w:rPr>
                <w:rFonts w:ascii="宋体" w:hAnsi="宋体" w:cs="宋体" w:eastAsia="宋体" w:hint="default"/>
                <w:sz w:val="21"/>
                <w:szCs w:val="21"/>
              </w:rPr>
              <w:t>份认股权</w:t>
            </w:r>
          </w:p>
        </w:tc>
      </w:tr>
      <w:tr>
        <w:trPr>
          <w:trHeight w:val="392" w:hRule="exact"/>
        </w:trPr>
        <w:tc>
          <w:tcPr>
            <w:tcW w:w="422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6"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505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7"/>
              <w:jc w:val="right"/>
              <w:rPr>
                <w:rFonts w:ascii="宋体" w:hAnsi="宋体" w:cs="宋体" w:eastAsia="宋体" w:hint="default"/>
                <w:sz w:val="21"/>
                <w:szCs w:val="21"/>
              </w:rPr>
            </w:pPr>
            <w:r>
              <w:rPr>
                <w:rFonts w:ascii="宋体" w:hAnsi="宋体" w:cs="宋体" w:eastAsia="宋体" w:hint="default"/>
                <w:sz w:val="21"/>
                <w:szCs w:val="21"/>
              </w:rPr>
              <w:t>460,000</w:t>
            </w:r>
            <w:r>
              <w:rPr>
                <w:rFonts w:ascii="宋体" w:hAnsi="宋体" w:cs="宋体" w:eastAsia="宋体" w:hint="default"/>
                <w:spacing w:val="-54"/>
                <w:sz w:val="21"/>
                <w:szCs w:val="21"/>
              </w:rPr>
              <w:t> </w:t>
            </w:r>
            <w:r>
              <w:rPr>
                <w:rFonts w:ascii="宋体" w:hAnsi="宋体" w:cs="宋体" w:eastAsia="宋体" w:hint="default"/>
                <w:sz w:val="21"/>
                <w:szCs w:val="21"/>
              </w:rPr>
              <w:t>份认股权</w:t>
            </w:r>
          </w:p>
        </w:tc>
      </w:tr>
      <w:tr>
        <w:trPr>
          <w:trHeight w:val="501" w:hRule="exact"/>
        </w:trPr>
        <w:tc>
          <w:tcPr>
            <w:tcW w:w="422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50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hAnsi="宋体" w:cs="宋体" w:eastAsia="宋体" w:hint="default"/>
                <w:sz w:val="21"/>
                <w:szCs w:val="21"/>
              </w:rPr>
              <w:t>2,436,000</w:t>
            </w:r>
            <w:r>
              <w:rPr>
                <w:rFonts w:ascii="宋体" w:hAnsi="宋体" w:cs="宋体" w:eastAsia="宋体" w:hint="default"/>
                <w:spacing w:val="-54"/>
                <w:sz w:val="21"/>
                <w:szCs w:val="21"/>
              </w:rPr>
              <w:t> </w:t>
            </w:r>
            <w:r>
              <w:rPr>
                <w:rFonts w:ascii="宋体" w:hAnsi="宋体" w:cs="宋体" w:eastAsia="宋体" w:hint="default"/>
                <w:sz w:val="21"/>
                <w:szCs w:val="21"/>
              </w:rPr>
              <w:t>份认股权</w:t>
            </w:r>
          </w:p>
        </w:tc>
      </w:tr>
      <w:tr>
        <w:trPr>
          <w:trHeight w:val="3043" w:hRule="exact"/>
        </w:trPr>
        <w:tc>
          <w:tcPr>
            <w:tcW w:w="42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72" w:lineRule="exact"/>
              <w:ind w:left="106" w:right="129"/>
              <w:jc w:val="left"/>
              <w:rPr>
                <w:rFonts w:ascii="宋体" w:hAnsi="宋体" w:cs="宋体" w:eastAsia="宋体" w:hint="default"/>
                <w:sz w:val="21"/>
                <w:szCs w:val="21"/>
              </w:rPr>
            </w:pPr>
            <w:r>
              <w:rPr>
                <w:rFonts w:ascii="宋体" w:hAnsi="宋体" w:cs="宋体" w:eastAsia="宋体" w:hint="default"/>
                <w:sz w:val="21"/>
                <w:szCs w:val="21"/>
              </w:rPr>
              <w:t>公司期末发行在外的股份期权行权价格的范 围和合同剩余期限</w:t>
            </w:r>
          </w:p>
        </w:tc>
        <w:tc>
          <w:tcPr>
            <w:tcW w:w="5050" w:type="dxa"/>
            <w:tcBorders>
              <w:top w:val="nil" w:sz="6" w:space="0" w:color="auto"/>
              <w:left w:val="nil" w:sz="6" w:space="0" w:color="auto"/>
              <w:bottom w:val="nil" w:sz="6" w:space="0" w:color="auto"/>
              <w:right w:val="nil" w:sz="6" w:space="0" w:color="auto"/>
            </w:tcBorders>
          </w:tcPr>
          <w:p>
            <w:pPr>
              <w:pStyle w:val="TableParagraph"/>
              <w:spacing w:line="272" w:lineRule="exact" w:before="160"/>
              <w:ind w:left="131" w:right="107"/>
              <w:jc w:val="both"/>
              <w:rPr>
                <w:rFonts w:ascii="宋体" w:hAnsi="宋体" w:cs="宋体" w:eastAsia="宋体" w:hint="default"/>
                <w:sz w:val="21"/>
                <w:szCs w:val="21"/>
              </w:rPr>
            </w:pPr>
            <w:r>
              <w:rPr>
                <w:rFonts w:ascii="宋体" w:hAnsi="宋体" w:cs="宋体" w:eastAsia="宋体" w:hint="default"/>
                <w:sz w:val="21"/>
                <w:szCs w:val="21"/>
              </w:rPr>
              <w:t>6,900,000</w:t>
            </w:r>
            <w:r>
              <w:rPr>
                <w:rFonts w:ascii="宋体" w:hAnsi="宋体" w:cs="宋体" w:eastAsia="宋体" w:hint="default"/>
                <w:spacing w:val="-49"/>
                <w:sz w:val="21"/>
                <w:szCs w:val="21"/>
              </w:rPr>
              <w:t> </w:t>
            </w:r>
            <w:r>
              <w:rPr>
                <w:rFonts w:ascii="宋体" w:hAnsi="宋体" w:cs="宋体" w:eastAsia="宋体" w:hint="default"/>
                <w:sz w:val="21"/>
                <w:szCs w:val="21"/>
              </w:rPr>
              <w:t>份认股权是在</w:t>
            </w:r>
            <w:r>
              <w:rPr>
                <w:rFonts w:ascii="宋体" w:hAnsi="宋体" w:cs="宋体" w:eastAsia="宋体" w:hint="default"/>
                <w:spacing w:val="-50"/>
                <w:sz w:val="21"/>
                <w:szCs w:val="21"/>
              </w:rPr>
              <w:t> </w:t>
            </w:r>
            <w:r>
              <w:rPr>
                <w:rFonts w:ascii="宋体" w:hAnsi="宋体" w:cs="宋体" w:eastAsia="宋体" w:hint="default"/>
                <w:sz w:val="21"/>
                <w:szCs w:val="21"/>
              </w:rPr>
              <w:t>2012</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3</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19</w:t>
            </w:r>
            <w:r>
              <w:rPr>
                <w:rFonts w:ascii="宋体" w:hAnsi="宋体" w:cs="宋体" w:eastAsia="宋体" w:hint="default"/>
                <w:spacing w:val="-49"/>
                <w:sz w:val="21"/>
                <w:szCs w:val="21"/>
              </w:rPr>
              <w:t> </w:t>
            </w:r>
            <w:r>
              <w:rPr>
                <w:rFonts w:ascii="宋体" w:hAnsi="宋体" w:cs="宋体" w:eastAsia="宋体" w:hint="default"/>
                <w:sz w:val="21"/>
                <w:szCs w:val="21"/>
              </w:rPr>
              <w:t>日授出，行 </w:t>
            </w:r>
            <w:r>
              <w:rPr>
                <w:rFonts w:ascii="宋体" w:hAnsi="宋体" w:cs="宋体" w:eastAsia="宋体" w:hint="default"/>
                <w:spacing w:val="2"/>
                <w:sz w:val="21"/>
                <w:szCs w:val="21"/>
              </w:rPr>
              <w:t>权价为</w:t>
            </w:r>
            <w:r>
              <w:rPr>
                <w:rFonts w:ascii="宋体" w:hAnsi="宋体" w:cs="宋体" w:eastAsia="宋体" w:hint="default"/>
                <w:spacing w:val="14"/>
                <w:sz w:val="21"/>
                <w:szCs w:val="21"/>
              </w:rPr>
              <w:t> </w:t>
            </w:r>
            <w:r>
              <w:rPr>
                <w:rFonts w:ascii="宋体" w:hAnsi="宋体" w:cs="宋体" w:eastAsia="宋体" w:hint="default"/>
                <w:spacing w:val="2"/>
                <w:sz w:val="21"/>
                <w:szCs w:val="21"/>
              </w:rPr>
              <w:t>HK$1.09(</w:t>
            </w:r>
            <w:r>
              <w:rPr>
                <w:rFonts w:ascii="宋体" w:hAnsi="宋体" w:cs="宋体" w:eastAsia="宋体" w:hint="default"/>
                <w:spacing w:val="2"/>
                <w:sz w:val="21"/>
                <w:szCs w:val="21"/>
              </w:rPr>
              <w:t>授出认股权前一天的收盘价或前五</w:t>
            </w:r>
            <w:r>
              <w:rPr>
                <w:rFonts w:ascii="宋体" w:hAnsi="宋体" w:cs="宋体" w:eastAsia="宋体" w:hint="default"/>
                <w:sz w:val="21"/>
                <w:szCs w:val="21"/>
              </w:rPr>
              <w:t> </w:t>
            </w:r>
            <w:r>
              <w:rPr>
                <w:rFonts w:ascii="宋体" w:hAnsi="宋体" w:cs="宋体" w:eastAsia="宋体" w:hint="default"/>
                <w:spacing w:val="3"/>
                <w:sz w:val="21"/>
                <w:szCs w:val="21"/>
              </w:rPr>
              <w:t>天的平均收盘价，以较高者为准</w:t>
            </w:r>
            <w:r>
              <w:rPr>
                <w:rFonts w:ascii="宋体" w:hAnsi="宋体" w:cs="宋体" w:eastAsia="宋体" w:hint="default"/>
                <w:spacing w:val="3"/>
                <w:sz w:val="21"/>
                <w:szCs w:val="21"/>
              </w:rPr>
              <w:t>)</w:t>
            </w:r>
            <w:r>
              <w:rPr>
                <w:rFonts w:ascii="宋体" w:hAnsi="宋体" w:cs="宋体" w:eastAsia="宋体" w:hint="default"/>
                <w:spacing w:val="3"/>
                <w:sz w:val="21"/>
                <w:szCs w:val="21"/>
              </w:rPr>
              <w:t>，从授出日开始计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算</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有</w:t>
            </w:r>
            <w:r>
              <w:rPr>
                <w:rFonts w:ascii="宋体" w:hAnsi="宋体" w:cs="宋体" w:eastAsia="宋体" w:hint="default"/>
                <w:spacing w:val="-73"/>
                <w:sz w:val="21"/>
                <w:szCs w:val="21"/>
              </w:rPr>
              <w:t> </w:t>
            </w:r>
            <w:r>
              <w:rPr>
                <w:rFonts w:ascii="宋体" w:hAnsi="宋体" w:cs="宋体" w:eastAsia="宋体" w:hint="default"/>
                <w:sz w:val="21"/>
                <w:szCs w:val="21"/>
              </w:rPr>
              <w:t>效</w:t>
            </w:r>
            <w:r>
              <w:rPr>
                <w:rFonts w:ascii="宋体" w:hAnsi="宋体" w:cs="宋体" w:eastAsia="宋体" w:hint="default"/>
                <w:spacing w:val="-72"/>
                <w:sz w:val="21"/>
                <w:szCs w:val="21"/>
              </w:rPr>
              <w:t> </w:t>
            </w:r>
            <w:r>
              <w:rPr>
                <w:rFonts w:ascii="宋体" w:hAnsi="宋体" w:cs="宋体" w:eastAsia="宋体" w:hint="default"/>
                <w:sz w:val="21"/>
                <w:szCs w:val="21"/>
              </w:rPr>
              <w:t>期</w:t>
            </w:r>
            <w:r>
              <w:rPr>
                <w:rFonts w:ascii="宋体" w:hAnsi="宋体" w:cs="宋体" w:eastAsia="宋体" w:hint="default"/>
                <w:spacing w:val="33"/>
                <w:sz w:val="21"/>
                <w:szCs w:val="21"/>
              </w:rPr>
              <w:t> </w:t>
            </w:r>
            <w:r>
              <w:rPr>
                <w:rFonts w:ascii="宋体" w:hAnsi="宋体" w:cs="宋体" w:eastAsia="宋体" w:hint="default"/>
                <w:sz w:val="21"/>
                <w:szCs w:val="21"/>
              </w:rPr>
              <w:t>10</w:t>
            </w:r>
            <w:r>
              <w:rPr>
                <w:rFonts w:ascii="宋体" w:hAnsi="宋体" w:cs="宋体" w:eastAsia="宋体" w:hint="default"/>
                <w:spacing w:val="33"/>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认</w:t>
            </w:r>
            <w:r>
              <w:rPr>
                <w:rFonts w:ascii="宋体" w:hAnsi="宋体" w:cs="宋体" w:eastAsia="宋体" w:hint="default"/>
                <w:spacing w:val="-73"/>
                <w:sz w:val="21"/>
                <w:szCs w:val="21"/>
              </w:rPr>
              <w:t> </w:t>
            </w:r>
            <w:r>
              <w:rPr>
                <w:rFonts w:ascii="宋体" w:hAnsi="宋体" w:cs="宋体" w:eastAsia="宋体" w:hint="default"/>
                <w:sz w:val="21"/>
                <w:szCs w:val="21"/>
              </w:rPr>
              <w:t>股</w:t>
            </w:r>
            <w:r>
              <w:rPr>
                <w:rFonts w:ascii="宋体" w:hAnsi="宋体" w:cs="宋体" w:eastAsia="宋体" w:hint="default"/>
                <w:spacing w:val="-73"/>
                <w:sz w:val="21"/>
                <w:szCs w:val="21"/>
              </w:rPr>
              <w:t> </w:t>
            </w:r>
            <w:r>
              <w:rPr>
                <w:rFonts w:ascii="宋体" w:hAnsi="宋体" w:cs="宋体" w:eastAsia="宋体" w:hint="default"/>
                <w:sz w:val="21"/>
                <w:szCs w:val="21"/>
              </w:rPr>
              <w:t>权</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spacing w:val="-73"/>
                <w:sz w:val="21"/>
                <w:szCs w:val="21"/>
              </w:rPr>
              <w:t> </w:t>
            </w:r>
            <w:r>
              <w:rPr>
                <w:rFonts w:ascii="宋体" w:hAnsi="宋体" w:cs="宋体" w:eastAsia="宋体" w:hint="default"/>
                <w:sz w:val="21"/>
                <w:szCs w:val="21"/>
              </w:rPr>
              <w:t>平</w:t>
            </w:r>
            <w:r>
              <w:rPr>
                <w:rFonts w:ascii="宋体" w:hAnsi="宋体" w:cs="宋体" w:eastAsia="宋体" w:hint="default"/>
                <w:spacing w:val="-72"/>
                <w:sz w:val="21"/>
                <w:szCs w:val="21"/>
              </w:rPr>
              <w:t> </w:t>
            </w:r>
            <w:r>
              <w:rPr>
                <w:rFonts w:ascii="宋体" w:hAnsi="宋体" w:cs="宋体" w:eastAsia="宋体" w:hint="default"/>
                <w:sz w:val="21"/>
                <w:szCs w:val="21"/>
              </w:rPr>
              <w:t>均</w:t>
            </w:r>
            <w:r>
              <w:rPr>
                <w:rFonts w:ascii="宋体" w:hAnsi="宋体" w:cs="宋体" w:eastAsia="宋体" w:hint="default"/>
                <w:spacing w:val="-73"/>
                <w:sz w:val="21"/>
                <w:szCs w:val="21"/>
              </w:rPr>
              <w:t> </w:t>
            </w:r>
            <w:r>
              <w:rPr>
                <w:rFonts w:ascii="宋体" w:hAnsi="宋体" w:cs="宋体" w:eastAsia="宋体" w:hint="default"/>
                <w:sz w:val="21"/>
                <w:szCs w:val="21"/>
              </w:rPr>
              <w:t>公</w:t>
            </w:r>
            <w:r>
              <w:rPr>
                <w:rFonts w:ascii="宋体" w:hAnsi="宋体" w:cs="宋体" w:eastAsia="宋体" w:hint="default"/>
                <w:spacing w:val="-73"/>
                <w:sz w:val="21"/>
                <w:szCs w:val="21"/>
              </w:rPr>
              <w:t> </w:t>
            </w:r>
            <w:r>
              <w:rPr>
                <w:rFonts w:ascii="宋体" w:hAnsi="宋体" w:cs="宋体" w:eastAsia="宋体" w:hint="default"/>
                <w:sz w:val="21"/>
                <w:szCs w:val="21"/>
              </w:rPr>
              <w:t>允</w:t>
            </w:r>
            <w:r>
              <w:rPr>
                <w:rFonts w:ascii="宋体" w:hAnsi="宋体" w:cs="宋体" w:eastAsia="宋体" w:hint="default"/>
                <w:spacing w:val="-73"/>
                <w:sz w:val="21"/>
                <w:szCs w:val="21"/>
              </w:rPr>
              <w:t> </w:t>
            </w:r>
            <w:r>
              <w:rPr>
                <w:rFonts w:ascii="宋体" w:hAnsi="宋体" w:cs="宋体" w:eastAsia="宋体" w:hint="default"/>
                <w:sz w:val="21"/>
                <w:szCs w:val="21"/>
              </w:rPr>
              <w:t>价</w:t>
            </w:r>
            <w:r>
              <w:rPr>
                <w:rFonts w:ascii="宋体" w:hAnsi="宋体" w:cs="宋体" w:eastAsia="宋体" w:hint="default"/>
                <w:spacing w:val="-73"/>
                <w:sz w:val="21"/>
                <w:szCs w:val="21"/>
              </w:rPr>
              <w:t> </w:t>
            </w:r>
            <w:r>
              <w:rPr>
                <w:rFonts w:ascii="宋体" w:hAnsi="宋体" w:cs="宋体" w:eastAsia="宋体" w:hint="default"/>
                <w:sz w:val="21"/>
                <w:szCs w:val="21"/>
              </w:rPr>
              <w:t>值</w:t>
            </w:r>
            <w:r>
              <w:rPr>
                <w:rFonts w:ascii="宋体" w:hAnsi="宋体" w:cs="宋体" w:eastAsia="宋体" w:hint="default"/>
                <w:spacing w:val="-72"/>
                <w:sz w:val="21"/>
                <w:szCs w:val="21"/>
              </w:rPr>
              <w:t> </w:t>
            </w:r>
            <w:r>
              <w:rPr>
                <w:rFonts w:ascii="宋体" w:hAnsi="宋体" w:cs="宋体" w:eastAsia="宋体" w:hint="default"/>
                <w:sz w:val="21"/>
                <w:szCs w:val="21"/>
              </w:rPr>
              <w:t>为</w:t>
            </w:r>
            <w:r>
              <w:rPr>
                <w:rFonts w:ascii="宋体" w:hAnsi="宋体" w:cs="宋体" w:eastAsia="宋体" w:hint="default"/>
                <w:sz w:val="21"/>
                <w:szCs w:val="21"/>
              </w:rPr>
              <w:t> </w:t>
            </w:r>
            <w:r>
              <w:rPr>
                <w:rFonts w:ascii="宋体" w:hAnsi="宋体" w:cs="宋体" w:eastAsia="宋体" w:hint="default"/>
                <w:sz w:val="21"/>
                <w:szCs w:val="21"/>
              </w:rPr>
              <w:t>HK$0.312(HK$0.307toHK$0.315)</w:t>
            </w:r>
          </w:p>
          <w:p>
            <w:pPr>
              <w:pStyle w:val="TableParagraph"/>
              <w:spacing w:line="245" w:lineRule="exact"/>
              <w:ind w:left="131" w:right="0"/>
              <w:jc w:val="left"/>
              <w:rPr>
                <w:rFonts w:ascii="宋体" w:hAnsi="宋体" w:cs="宋体" w:eastAsia="宋体" w:hint="default"/>
                <w:sz w:val="21"/>
                <w:szCs w:val="21"/>
              </w:rPr>
            </w:pPr>
            <w:r>
              <w:rPr>
                <w:rFonts w:ascii="宋体" w:hAnsi="宋体" w:cs="宋体" w:eastAsia="宋体" w:hint="default"/>
                <w:sz w:val="21"/>
                <w:szCs w:val="21"/>
              </w:rPr>
              <w:t>6,755,000</w:t>
            </w:r>
            <w:r>
              <w:rPr>
                <w:rFonts w:ascii="宋体" w:hAnsi="宋体" w:cs="宋体" w:eastAsia="宋体" w:hint="default"/>
                <w:spacing w:val="-52"/>
                <w:sz w:val="21"/>
                <w:szCs w:val="21"/>
              </w:rPr>
              <w:t> </w:t>
            </w:r>
            <w:r>
              <w:rPr>
                <w:rFonts w:ascii="宋体" w:hAnsi="宋体" w:cs="宋体" w:eastAsia="宋体" w:hint="default"/>
                <w:sz w:val="21"/>
                <w:szCs w:val="21"/>
              </w:rPr>
              <w:t>份认股权是在</w:t>
            </w:r>
            <w:r>
              <w:rPr>
                <w:rFonts w:ascii="宋体" w:hAnsi="宋体" w:cs="宋体" w:eastAsia="宋体" w:hint="default"/>
                <w:spacing w:val="-52"/>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pacing w:val="-13"/>
                <w:sz w:val="21"/>
                <w:szCs w:val="21"/>
              </w:rPr>
              <w:t>日授出，行权</w:t>
            </w:r>
          </w:p>
          <w:p>
            <w:pPr>
              <w:pStyle w:val="TableParagraph"/>
              <w:spacing w:line="272" w:lineRule="exact" w:before="26"/>
              <w:ind w:left="131" w:right="2"/>
              <w:jc w:val="left"/>
              <w:rPr>
                <w:rFonts w:ascii="宋体" w:hAnsi="宋体" w:cs="宋体" w:eastAsia="宋体" w:hint="default"/>
                <w:sz w:val="21"/>
                <w:szCs w:val="21"/>
              </w:rPr>
            </w:pPr>
            <w:r>
              <w:rPr>
                <w:rFonts w:ascii="宋体" w:hAnsi="宋体" w:cs="宋体" w:eastAsia="宋体" w:hint="default"/>
                <w:sz w:val="21"/>
                <w:szCs w:val="21"/>
              </w:rPr>
              <w:t>价为 </w:t>
            </w:r>
            <w:r>
              <w:rPr>
                <w:rFonts w:ascii="宋体" w:hAnsi="宋体" w:cs="宋体" w:eastAsia="宋体" w:hint="default"/>
                <w:spacing w:val="2"/>
                <w:sz w:val="21"/>
                <w:szCs w:val="21"/>
              </w:rPr>
              <w:t>HK$1.12(</w:t>
            </w:r>
            <w:r>
              <w:rPr>
                <w:rFonts w:ascii="宋体" w:hAnsi="宋体" w:cs="宋体" w:eastAsia="宋体" w:hint="default"/>
                <w:spacing w:val="2"/>
                <w:sz w:val="21"/>
                <w:szCs w:val="21"/>
              </w:rPr>
              <w:t>授出认股权前一天的收盘价或前五天</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
                <w:sz w:val="21"/>
                <w:szCs w:val="21"/>
              </w:rPr>
              <w:t>的平均收盘价，以较高者为准</w:t>
            </w:r>
            <w:r>
              <w:rPr>
                <w:rFonts w:ascii="宋体" w:hAnsi="宋体" w:cs="宋体" w:eastAsia="宋体" w:hint="default"/>
                <w:spacing w:val="-1"/>
                <w:sz w:val="21"/>
                <w:szCs w:val="21"/>
              </w:rPr>
              <w:t>)</w:t>
            </w:r>
            <w:r>
              <w:rPr>
                <w:rFonts w:ascii="宋体" w:hAnsi="宋体" w:cs="宋体" w:eastAsia="宋体" w:hint="default"/>
                <w:spacing w:val="-1"/>
                <w:sz w:val="21"/>
                <w:szCs w:val="21"/>
              </w:rPr>
              <w:t>，从授出日开始计算，</w:t>
            </w:r>
            <w:r>
              <w:rPr>
                <w:rFonts w:ascii="宋体" w:hAnsi="宋体" w:cs="宋体" w:eastAsia="宋体" w:hint="default"/>
                <w:sz w:val="21"/>
                <w:szCs w:val="21"/>
              </w:rPr>
              <w:t> </w:t>
            </w:r>
            <w:r>
              <w:rPr>
                <w:rFonts w:ascii="宋体" w:hAnsi="宋体" w:cs="宋体" w:eastAsia="宋体" w:hint="default"/>
                <w:spacing w:val="42"/>
                <w:sz w:val="21"/>
                <w:szCs w:val="21"/>
              </w:rPr>
              <w:t>有效期</w:t>
            </w:r>
            <w:r>
              <w:rPr>
                <w:rFonts w:ascii="宋体" w:hAnsi="宋体" w:cs="宋体" w:eastAsia="宋体" w:hint="default"/>
                <w:spacing w:val="64"/>
                <w:sz w:val="21"/>
                <w:szCs w:val="21"/>
              </w:rPr>
              <w:t> </w:t>
            </w:r>
            <w:r>
              <w:rPr>
                <w:rFonts w:ascii="宋体" w:hAnsi="宋体" w:cs="宋体" w:eastAsia="宋体" w:hint="default"/>
                <w:sz w:val="21"/>
                <w:szCs w:val="21"/>
              </w:rPr>
              <w:t>10</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w:t>
            </w:r>
            <w:r>
              <w:rPr>
                <w:rFonts w:ascii="宋体" w:hAnsi="宋体" w:cs="宋体" w:eastAsia="宋体" w:hint="default"/>
                <w:spacing w:val="-42"/>
                <w:sz w:val="21"/>
                <w:szCs w:val="21"/>
              </w:rPr>
              <w:t> </w:t>
            </w:r>
            <w:r>
              <w:rPr>
                <w:rFonts w:ascii="宋体" w:hAnsi="宋体" w:cs="宋体" w:eastAsia="宋体" w:hint="default"/>
                <w:sz w:val="21"/>
                <w:szCs w:val="21"/>
              </w:rPr>
              <w:t>认</w:t>
            </w:r>
            <w:r>
              <w:rPr>
                <w:rFonts w:ascii="宋体" w:hAnsi="宋体" w:cs="宋体" w:eastAsia="宋体" w:hint="default"/>
                <w:spacing w:val="-42"/>
                <w:sz w:val="21"/>
                <w:szCs w:val="21"/>
              </w:rPr>
              <w:t> </w:t>
            </w:r>
            <w:r>
              <w:rPr>
                <w:rFonts w:ascii="宋体" w:hAnsi="宋体" w:cs="宋体" w:eastAsia="宋体" w:hint="default"/>
                <w:sz w:val="21"/>
                <w:szCs w:val="21"/>
              </w:rPr>
              <w:t>股</w:t>
            </w:r>
            <w:r>
              <w:rPr>
                <w:rFonts w:ascii="宋体" w:hAnsi="宋体" w:cs="宋体" w:eastAsia="宋体" w:hint="default"/>
                <w:spacing w:val="-41"/>
                <w:sz w:val="21"/>
                <w:szCs w:val="21"/>
              </w:rPr>
              <w:t> </w:t>
            </w:r>
            <w:r>
              <w:rPr>
                <w:rFonts w:ascii="宋体" w:hAnsi="宋体" w:cs="宋体" w:eastAsia="宋体" w:hint="default"/>
                <w:sz w:val="21"/>
                <w:szCs w:val="21"/>
              </w:rPr>
              <w:t>权</w:t>
            </w:r>
            <w:r>
              <w:rPr>
                <w:rFonts w:ascii="宋体" w:hAnsi="宋体" w:cs="宋体" w:eastAsia="宋体" w:hint="default"/>
                <w:spacing w:val="-41"/>
                <w:sz w:val="21"/>
                <w:szCs w:val="21"/>
              </w:rPr>
              <w:t> </w:t>
            </w:r>
            <w:r>
              <w:rPr>
                <w:rFonts w:ascii="宋体" w:hAnsi="宋体" w:cs="宋体" w:eastAsia="宋体" w:hint="default"/>
                <w:sz w:val="21"/>
                <w:szCs w:val="21"/>
              </w:rPr>
              <w:t>的</w:t>
            </w:r>
            <w:r>
              <w:rPr>
                <w:rFonts w:ascii="宋体" w:hAnsi="宋体" w:cs="宋体" w:eastAsia="宋体" w:hint="default"/>
                <w:spacing w:val="-42"/>
                <w:sz w:val="21"/>
                <w:szCs w:val="21"/>
              </w:rPr>
              <w:t> </w:t>
            </w:r>
            <w:r>
              <w:rPr>
                <w:rFonts w:ascii="宋体" w:hAnsi="宋体" w:cs="宋体" w:eastAsia="宋体" w:hint="default"/>
                <w:sz w:val="21"/>
                <w:szCs w:val="21"/>
              </w:rPr>
              <w:t>平</w:t>
            </w:r>
            <w:r>
              <w:rPr>
                <w:rFonts w:ascii="宋体" w:hAnsi="宋体" w:cs="宋体" w:eastAsia="宋体" w:hint="default"/>
                <w:spacing w:val="-42"/>
                <w:sz w:val="21"/>
                <w:szCs w:val="21"/>
              </w:rPr>
              <w:t> </w:t>
            </w:r>
            <w:r>
              <w:rPr>
                <w:rFonts w:ascii="宋体" w:hAnsi="宋体" w:cs="宋体" w:eastAsia="宋体" w:hint="default"/>
                <w:sz w:val="21"/>
                <w:szCs w:val="21"/>
              </w:rPr>
              <w:t>均</w:t>
            </w:r>
            <w:r>
              <w:rPr>
                <w:rFonts w:ascii="宋体" w:hAnsi="宋体" w:cs="宋体" w:eastAsia="宋体" w:hint="default"/>
                <w:spacing w:val="-41"/>
                <w:sz w:val="21"/>
                <w:szCs w:val="21"/>
              </w:rPr>
              <w:t> </w:t>
            </w:r>
            <w:r>
              <w:rPr>
                <w:rFonts w:ascii="宋体" w:hAnsi="宋体" w:cs="宋体" w:eastAsia="宋体" w:hint="default"/>
                <w:sz w:val="21"/>
                <w:szCs w:val="21"/>
              </w:rPr>
              <w:t>公</w:t>
            </w:r>
            <w:r>
              <w:rPr>
                <w:rFonts w:ascii="宋体" w:hAnsi="宋体" w:cs="宋体" w:eastAsia="宋体" w:hint="default"/>
                <w:spacing w:val="-41"/>
                <w:sz w:val="21"/>
                <w:szCs w:val="21"/>
              </w:rPr>
              <w:t> </w:t>
            </w:r>
            <w:r>
              <w:rPr>
                <w:rFonts w:ascii="宋体" w:hAnsi="宋体" w:cs="宋体" w:eastAsia="宋体" w:hint="default"/>
                <w:sz w:val="21"/>
                <w:szCs w:val="21"/>
              </w:rPr>
              <w:t>允</w:t>
            </w:r>
            <w:r>
              <w:rPr>
                <w:rFonts w:ascii="宋体" w:hAnsi="宋体" w:cs="宋体" w:eastAsia="宋体" w:hint="default"/>
                <w:spacing w:val="-42"/>
                <w:sz w:val="21"/>
                <w:szCs w:val="21"/>
              </w:rPr>
              <w:t> </w:t>
            </w:r>
            <w:r>
              <w:rPr>
                <w:rFonts w:ascii="宋体" w:hAnsi="宋体" w:cs="宋体" w:eastAsia="宋体" w:hint="default"/>
                <w:sz w:val="21"/>
                <w:szCs w:val="21"/>
              </w:rPr>
              <w:t>价</w:t>
            </w:r>
            <w:r>
              <w:rPr>
                <w:rFonts w:ascii="宋体" w:hAnsi="宋体" w:cs="宋体" w:eastAsia="宋体" w:hint="default"/>
                <w:spacing w:val="-42"/>
                <w:sz w:val="21"/>
                <w:szCs w:val="21"/>
              </w:rPr>
              <w:t> </w:t>
            </w:r>
            <w:r>
              <w:rPr>
                <w:rFonts w:ascii="宋体" w:hAnsi="宋体" w:cs="宋体" w:eastAsia="宋体" w:hint="default"/>
                <w:sz w:val="21"/>
                <w:szCs w:val="21"/>
              </w:rPr>
              <w:t>值</w:t>
            </w:r>
            <w:r>
              <w:rPr>
                <w:rFonts w:ascii="宋体" w:hAnsi="宋体" w:cs="宋体" w:eastAsia="宋体" w:hint="default"/>
                <w:spacing w:val="-41"/>
                <w:sz w:val="21"/>
                <w:szCs w:val="21"/>
              </w:rPr>
              <w:t> </w:t>
            </w:r>
            <w:r>
              <w:rPr>
                <w:rFonts w:ascii="宋体" w:hAnsi="宋体" w:cs="宋体" w:eastAsia="宋体" w:hint="default"/>
                <w:sz w:val="21"/>
                <w:szCs w:val="21"/>
              </w:rPr>
              <w:t>为</w:t>
            </w:r>
            <w:r>
              <w:rPr>
                <w:rFonts w:ascii="宋体" w:hAnsi="宋体" w:cs="宋体" w:eastAsia="宋体" w:hint="default"/>
                <w:sz w:val="21"/>
                <w:szCs w:val="21"/>
              </w:rPr>
              <w:t> </w:t>
            </w:r>
            <w:r>
              <w:rPr>
                <w:rFonts w:ascii="宋体" w:hAnsi="宋体" w:cs="宋体" w:eastAsia="宋体" w:hint="default"/>
                <w:sz w:val="21"/>
                <w:szCs w:val="21"/>
              </w:rPr>
              <w:t>HK$0.309(HK$0.305toHK$0.311)</w:t>
            </w:r>
          </w:p>
        </w:tc>
      </w:tr>
      <w:tr>
        <w:trPr>
          <w:trHeight w:val="749" w:hRule="exact"/>
        </w:trPr>
        <w:tc>
          <w:tcPr>
            <w:tcW w:w="4228" w:type="dxa"/>
            <w:tcBorders>
              <w:top w:val="nil" w:sz="6" w:space="0" w:color="auto"/>
              <w:left w:val="nil" w:sz="6" w:space="0" w:color="auto"/>
              <w:bottom w:val="single" w:sz="8" w:space="0" w:color="000000"/>
              <w:right w:val="nil" w:sz="6" w:space="0" w:color="auto"/>
            </w:tcBorders>
          </w:tcPr>
          <w:p>
            <w:pPr>
              <w:pStyle w:val="TableParagraph"/>
              <w:spacing w:line="272" w:lineRule="exact" w:before="148"/>
              <w:ind w:left="106" w:right="129"/>
              <w:jc w:val="left"/>
              <w:rPr>
                <w:rFonts w:ascii="宋体" w:hAnsi="宋体" w:cs="宋体" w:eastAsia="宋体" w:hint="default"/>
                <w:sz w:val="21"/>
                <w:szCs w:val="21"/>
              </w:rPr>
            </w:pPr>
            <w:r>
              <w:rPr>
                <w:rFonts w:ascii="宋体" w:hAnsi="宋体" w:cs="宋体" w:eastAsia="宋体" w:hint="default"/>
                <w:sz w:val="21"/>
                <w:szCs w:val="21"/>
              </w:rPr>
              <w:t>公司期末其他权益工具行权价格的范围和合 同剩余期限</w:t>
            </w:r>
          </w:p>
        </w:tc>
        <w:tc>
          <w:tcPr>
            <w:tcW w:w="5050"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7"/>
              <w:jc w:val="right"/>
              <w:rPr>
                <w:rFonts w:ascii="宋体" w:hAnsi="宋体" w:cs="宋体" w:eastAsia="宋体" w:hint="default"/>
                <w:sz w:val="21"/>
                <w:szCs w:val="21"/>
              </w:rPr>
            </w:pPr>
            <w:r>
              <w:rPr>
                <w:rFonts w:ascii="宋体"/>
                <w:sz w:val="21"/>
              </w:rPr>
              <w:t>--</w:t>
            </w:r>
          </w:p>
        </w:tc>
      </w:tr>
    </w:tbl>
    <w:p>
      <w:pPr>
        <w:pStyle w:val="BodyText"/>
        <w:spacing w:line="240" w:lineRule="auto" w:before="81"/>
        <w:ind w:left="258" w:right="3508"/>
        <w:jc w:val="left"/>
      </w:pPr>
      <w:r>
        <w:rPr>
          <w:rFonts w:ascii="宋体" w:hAnsi="宋体" w:cs="宋体" w:eastAsia="宋体" w:hint="default"/>
        </w:rPr>
        <w:t>2</w:t>
      </w:r>
      <w:r>
        <w:rPr/>
        <w:t>、以权益结算的股份支付情况</w:t>
      </w:r>
    </w:p>
    <w:p>
      <w:pPr>
        <w:spacing w:line="240" w:lineRule="auto" w:before="12"/>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4546"/>
        <w:gridCol w:w="5014"/>
      </w:tblGrid>
      <w:tr>
        <w:trPr>
          <w:trHeight w:val="538" w:hRule="exact"/>
        </w:trPr>
        <w:tc>
          <w:tcPr>
            <w:tcW w:w="4546" w:type="dxa"/>
            <w:tcBorders>
              <w:top w:val="single" w:sz="8" w:space="0" w:color="000000"/>
              <w:left w:val="nil" w:sz="6" w:space="0" w:color="auto"/>
              <w:bottom w:val="nil" w:sz="6" w:space="0" w:color="auto"/>
              <w:right w:val="nil" w:sz="6" w:space="0" w:color="auto"/>
            </w:tcBorders>
          </w:tcPr>
          <w:p>
            <w:pPr>
              <w:pStyle w:val="TableParagraph"/>
              <w:spacing w:line="240" w:lineRule="auto" w:before="46"/>
              <w:ind w:left="106"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5014" w:type="dxa"/>
            <w:tcBorders>
              <w:top w:val="single" w:sz="8" w:space="0" w:color="000000"/>
              <w:left w:val="nil" w:sz="6" w:space="0" w:color="auto"/>
              <w:bottom w:val="nil" w:sz="6" w:space="0" w:color="auto"/>
              <w:right w:val="nil" w:sz="6" w:space="0" w:color="auto"/>
            </w:tcBorders>
          </w:tcPr>
          <w:p>
            <w:pPr>
              <w:pStyle w:val="TableParagraph"/>
              <w:spacing w:line="240" w:lineRule="auto" w:before="128"/>
              <w:ind w:left="239" w:right="0"/>
              <w:jc w:val="left"/>
              <w:rPr>
                <w:rFonts w:ascii="宋体" w:hAnsi="宋体" w:cs="宋体" w:eastAsia="宋体" w:hint="default"/>
                <w:sz w:val="21"/>
                <w:szCs w:val="21"/>
              </w:rPr>
            </w:pPr>
            <w:r>
              <w:rPr>
                <w:rFonts w:ascii="宋体" w:hAnsi="宋体" w:cs="宋体" w:eastAsia="宋体" w:hint="default"/>
                <w:sz w:val="21"/>
                <w:szCs w:val="21"/>
              </w:rPr>
              <w:t>ASH</w:t>
            </w:r>
            <w:r>
              <w:rPr>
                <w:rFonts w:ascii="宋体" w:hAnsi="宋体" w:cs="宋体" w:eastAsia="宋体" w:hint="default"/>
                <w:sz w:val="21"/>
                <w:szCs w:val="21"/>
              </w:rPr>
              <w:t>：</w:t>
            </w:r>
            <w:r>
              <w:rPr>
                <w:rFonts w:ascii="宋体" w:hAnsi="宋体" w:cs="宋体" w:eastAsia="宋体" w:hint="default"/>
                <w:sz w:val="21"/>
                <w:szCs w:val="21"/>
              </w:rPr>
              <w:t>Binomiallatticemodel</w:t>
            </w:r>
            <w:r>
              <w:rPr>
                <w:rFonts w:ascii="宋体" w:hAnsi="宋体" w:cs="宋体" w:eastAsia="宋体" w:hint="default"/>
                <w:spacing w:val="-56"/>
                <w:sz w:val="21"/>
                <w:szCs w:val="21"/>
              </w:rPr>
              <w:t> </w:t>
            </w:r>
            <w:r>
              <w:rPr>
                <w:rFonts w:ascii="宋体" w:hAnsi="宋体" w:cs="宋体" w:eastAsia="宋体" w:hint="default"/>
                <w:sz w:val="21"/>
                <w:szCs w:val="21"/>
              </w:rPr>
              <w:t>二项式点阵模型</w:t>
            </w:r>
          </w:p>
        </w:tc>
      </w:tr>
      <w:tr>
        <w:trPr>
          <w:trHeight w:val="671" w:hRule="exact"/>
        </w:trPr>
        <w:tc>
          <w:tcPr>
            <w:tcW w:w="4546"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06" w:right="0"/>
              <w:jc w:val="left"/>
              <w:rPr>
                <w:rFonts w:ascii="宋体" w:hAnsi="宋体" w:cs="宋体" w:eastAsia="宋体" w:hint="default"/>
                <w:sz w:val="21"/>
                <w:szCs w:val="21"/>
              </w:rPr>
            </w:pPr>
            <w:r>
              <w:rPr>
                <w:rFonts w:ascii="宋体" w:hAnsi="宋体" w:cs="宋体" w:eastAsia="宋体" w:hint="default"/>
                <w:sz w:val="21"/>
                <w:szCs w:val="21"/>
              </w:rPr>
              <w:t>对可行权权益工具数量的最佳估计的确定方法</w:t>
            </w:r>
          </w:p>
        </w:tc>
        <w:tc>
          <w:tcPr>
            <w:tcW w:w="5014" w:type="dxa"/>
            <w:tcBorders>
              <w:top w:val="nil" w:sz="6" w:space="0" w:color="auto"/>
              <w:left w:val="nil" w:sz="6" w:space="0" w:color="auto"/>
              <w:bottom w:val="nil" w:sz="6" w:space="0" w:color="auto"/>
              <w:right w:val="nil" w:sz="6" w:space="0" w:color="auto"/>
            </w:tcBorders>
          </w:tcPr>
          <w:p>
            <w:pPr>
              <w:pStyle w:val="TableParagraph"/>
              <w:spacing w:line="272" w:lineRule="exact" w:before="89"/>
              <w:ind w:left="239" w:right="153"/>
              <w:jc w:val="left"/>
              <w:rPr>
                <w:rFonts w:ascii="宋体" w:hAnsi="宋体" w:cs="宋体" w:eastAsia="宋体" w:hint="default"/>
                <w:sz w:val="21"/>
                <w:szCs w:val="21"/>
              </w:rPr>
            </w:pPr>
            <w:r>
              <w:rPr>
                <w:rFonts w:ascii="宋体" w:hAnsi="宋体" w:cs="宋体" w:eastAsia="宋体" w:hint="default"/>
                <w:sz w:val="21"/>
                <w:szCs w:val="21"/>
              </w:rPr>
              <w:t>预计可达到行权条件，即假设员工服务期可达到相 当的年限</w:t>
            </w:r>
          </w:p>
        </w:tc>
      </w:tr>
      <w:tr>
        <w:trPr>
          <w:trHeight w:val="479" w:hRule="exact"/>
        </w:trPr>
        <w:tc>
          <w:tcPr>
            <w:tcW w:w="4546" w:type="dxa"/>
            <w:tcBorders>
              <w:top w:val="nil" w:sz="6" w:space="0" w:color="auto"/>
              <w:left w:val="nil" w:sz="6" w:space="0" w:color="auto"/>
              <w:bottom w:val="nil" w:sz="6" w:space="0" w:color="auto"/>
              <w:right w:val="nil" w:sz="6" w:space="0" w:color="auto"/>
            </w:tcBorders>
          </w:tcPr>
          <w:p>
            <w:pPr>
              <w:pStyle w:val="TableParagraph"/>
              <w:spacing w:line="272" w:lineRule="exact"/>
              <w:ind w:left="106"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501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7"/>
              <w:jc w:val="right"/>
              <w:rPr>
                <w:rFonts w:ascii="宋体" w:hAnsi="宋体" w:cs="宋体" w:eastAsia="宋体" w:hint="default"/>
                <w:sz w:val="21"/>
                <w:szCs w:val="21"/>
              </w:rPr>
            </w:pPr>
            <w:r>
              <w:rPr>
                <w:rFonts w:ascii="宋体" w:hAnsi="宋体" w:cs="宋体" w:eastAsia="宋体" w:hint="default"/>
                <w:sz w:val="21"/>
                <w:szCs w:val="21"/>
              </w:rPr>
              <w:t>无</w:t>
            </w:r>
          </w:p>
        </w:tc>
      </w:tr>
      <w:tr>
        <w:trPr>
          <w:trHeight w:val="614" w:hRule="exact"/>
        </w:trPr>
        <w:tc>
          <w:tcPr>
            <w:tcW w:w="454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6" w:right="0"/>
              <w:jc w:val="left"/>
              <w:rPr>
                <w:rFonts w:ascii="宋体" w:hAnsi="宋体" w:cs="宋体" w:eastAsia="宋体" w:hint="default"/>
                <w:sz w:val="21"/>
                <w:szCs w:val="21"/>
              </w:rPr>
            </w:pPr>
            <w:r>
              <w:rPr>
                <w:rFonts w:ascii="宋体" w:hAnsi="宋体" w:cs="宋体" w:eastAsia="宋体" w:hint="default"/>
                <w:sz w:val="21"/>
                <w:szCs w:val="21"/>
              </w:rPr>
              <w:t>资本公积中以权益结算的股份支付的累计金额</w:t>
            </w:r>
          </w:p>
        </w:tc>
        <w:tc>
          <w:tcPr>
            <w:tcW w:w="501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5"/>
              <w:jc w:val="right"/>
              <w:rPr>
                <w:rFonts w:ascii="宋体" w:hAnsi="宋体" w:cs="宋体" w:eastAsia="宋体" w:hint="default"/>
                <w:sz w:val="21"/>
                <w:szCs w:val="21"/>
              </w:rPr>
            </w:pPr>
            <w:r>
              <w:rPr>
                <w:rFonts w:ascii="宋体"/>
                <w:sz w:val="21"/>
              </w:rPr>
              <w:t>HK$2,782,560.97</w:t>
            </w:r>
          </w:p>
        </w:tc>
      </w:tr>
      <w:tr>
        <w:trPr>
          <w:trHeight w:val="294" w:hRule="exact"/>
        </w:trPr>
        <w:tc>
          <w:tcPr>
            <w:tcW w:w="4546" w:type="dxa"/>
            <w:tcBorders>
              <w:top w:val="nil" w:sz="6" w:space="0" w:color="auto"/>
              <w:left w:val="nil" w:sz="6" w:space="0" w:color="auto"/>
              <w:bottom w:val="single" w:sz="8" w:space="0" w:color="000000"/>
              <w:right w:val="nil" w:sz="6" w:space="0" w:color="auto"/>
            </w:tcBorders>
          </w:tcPr>
          <w:p>
            <w:pPr>
              <w:pStyle w:val="TableParagraph"/>
              <w:spacing w:line="244" w:lineRule="exact"/>
              <w:ind w:left="106" w:right="0"/>
              <w:jc w:val="left"/>
              <w:rPr>
                <w:rFonts w:ascii="宋体" w:hAnsi="宋体" w:cs="宋体" w:eastAsia="宋体" w:hint="default"/>
                <w:sz w:val="21"/>
                <w:szCs w:val="21"/>
              </w:rPr>
            </w:pPr>
            <w:r>
              <w:rPr>
                <w:rFonts w:ascii="宋体" w:hAnsi="宋体" w:cs="宋体" w:eastAsia="宋体" w:hint="default"/>
                <w:sz w:val="21"/>
                <w:szCs w:val="21"/>
              </w:rPr>
              <w:t>以权益结算的股份支付确认的费用总额</w:t>
            </w:r>
          </w:p>
        </w:tc>
        <w:tc>
          <w:tcPr>
            <w:tcW w:w="5014" w:type="dxa"/>
            <w:tcBorders>
              <w:top w:val="nil" w:sz="6" w:space="0" w:color="auto"/>
              <w:left w:val="nil" w:sz="6" w:space="0" w:color="auto"/>
              <w:bottom w:val="single" w:sz="8" w:space="0" w:color="000000"/>
              <w:right w:val="nil" w:sz="6" w:space="0" w:color="auto"/>
            </w:tcBorders>
          </w:tcPr>
          <w:p>
            <w:pPr>
              <w:pStyle w:val="TableParagraph"/>
              <w:spacing w:line="250" w:lineRule="exact"/>
              <w:ind w:right="105"/>
              <w:jc w:val="right"/>
              <w:rPr>
                <w:rFonts w:ascii="宋体" w:hAnsi="宋体" w:cs="宋体" w:eastAsia="宋体" w:hint="default"/>
                <w:sz w:val="21"/>
                <w:szCs w:val="21"/>
              </w:rPr>
            </w:pPr>
            <w:r>
              <w:rPr>
                <w:rFonts w:ascii="宋体"/>
                <w:sz w:val="21"/>
              </w:rPr>
              <w:t>HK$215,807.45</w:t>
            </w:r>
          </w:p>
        </w:tc>
      </w:tr>
    </w:tbl>
    <w:p>
      <w:pPr>
        <w:spacing w:after="0" w:line="250" w:lineRule="exact"/>
        <w:jc w:val="right"/>
        <w:rPr>
          <w:rFonts w:ascii="宋体" w:hAnsi="宋体" w:cs="宋体" w:eastAsia="宋体" w:hint="default"/>
          <w:sz w:val="21"/>
          <w:szCs w:val="21"/>
        </w:rPr>
        <w:sectPr>
          <w:pgSz w:w="11910" w:h="16840"/>
          <w:pgMar w:header="882" w:footer="1194" w:top="1120" w:bottom="1380" w:left="1540" w:right="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83" w:lineRule="auto" w:before="170"/>
        <w:ind w:right="6789"/>
        <w:jc w:val="left"/>
        <w:rPr>
          <w:b w:val="0"/>
          <w:bCs w:val="0"/>
        </w:rPr>
      </w:pPr>
      <w:r>
        <w:rPr/>
        <w:t>十四、</w:t>
      </w:r>
      <w:r>
        <w:rPr>
          <w:spacing w:val="-11"/>
        </w:rPr>
        <w:t> </w:t>
      </w:r>
      <w:r>
        <w:rPr/>
        <w:t>承诺及或有事项</w:t>
      </w:r>
      <w:r>
        <w:rPr>
          <w:w w:val="99"/>
        </w:rPr>
        <w:t> </w:t>
      </w:r>
      <w:r>
        <w:rPr>
          <w:rFonts w:ascii="宋体" w:hAnsi="宋体" w:cs="宋体" w:eastAsia="宋体" w:hint="default"/>
        </w:rPr>
        <w:t>1</w:t>
      </w:r>
      <w:r>
        <w:rPr/>
        <w:t>、</w:t>
      </w:r>
      <w:r>
        <w:rPr>
          <w:spacing w:val="-65"/>
        </w:rPr>
        <w:t> </w:t>
      </w:r>
      <w:r>
        <w:rPr/>
        <w:t>重要承诺事项</w:t>
      </w:r>
      <w:r>
        <w:rPr>
          <w:b w:val="0"/>
          <w:bCs w:val="0"/>
        </w:rPr>
      </w:r>
    </w:p>
    <w:p>
      <w:pPr>
        <w:pStyle w:val="BodyText"/>
        <w:spacing w:line="384" w:lineRule="auto" w:before="15"/>
        <w:ind w:left="698" w:right="908" w:hanging="480"/>
        <w:jc w:val="left"/>
      </w:pPr>
      <w:r>
        <w:rPr/>
        <w:t>（</w:t>
      </w:r>
      <w:r>
        <w:rPr>
          <w:rFonts w:ascii="宋体" w:hAnsi="宋体" w:cs="宋体" w:eastAsia="宋体" w:hint="default"/>
        </w:rPr>
        <w:t>1</w:t>
      </w:r>
      <w:r>
        <w:rPr/>
        <w:t>）经营租赁承诺 至资产负债表日止，本公司对外签订的不可撤销的经营租赁合约情况如下：</w:t>
      </w:r>
    </w:p>
    <w:tbl>
      <w:tblPr>
        <w:tblW w:w="0" w:type="auto"/>
        <w:jc w:val="left"/>
        <w:tblInd w:w="217" w:type="dxa"/>
        <w:tblLayout w:type="fixed"/>
        <w:tblCellMar>
          <w:top w:w="0" w:type="dxa"/>
          <w:left w:w="0" w:type="dxa"/>
          <w:bottom w:w="0" w:type="dxa"/>
          <w:right w:w="0" w:type="dxa"/>
        </w:tblCellMar>
        <w:tblLook w:val="01E0"/>
      </w:tblPr>
      <w:tblGrid>
        <w:gridCol w:w="4302"/>
        <w:gridCol w:w="2794"/>
        <w:gridCol w:w="2078"/>
      </w:tblGrid>
      <w:tr>
        <w:trPr>
          <w:trHeight w:val="413" w:hRule="exact"/>
        </w:trPr>
        <w:tc>
          <w:tcPr>
            <w:tcW w:w="4302"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b/>
                <w:bCs/>
                <w:sz w:val="21"/>
                <w:szCs w:val="21"/>
              </w:rPr>
              <w:t>不可撤销经营租赁的最低租赁付款额</w:t>
            </w:r>
            <w:r>
              <w:rPr>
                <w:rFonts w:ascii="宋体" w:hAnsi="宋体" w:cs="宋体" w:eastAsia="宋体" w:hint="default"/>
                <w:sz w:val="21"/>
                <w:szCs w:val="21"/>
              </w:rPr>
            </w:r>
          </w:p>
        </w:tc>
        <w:tc>
          <w:tcPr>
            <w:tcW w:w="2794"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493"/>
              <w:jc w:val="right"/>
              <w:rPr>
                <w:rFonts w:ascii="宋体" w:hAnsi="宋体" w:cs="宋体" w:eastAsia="宋体" w:hint="default"/>
                <w:sz w:val="21"/>
                <w:szCs w:val="21"/>
              </w:rPr>
            </w:pPr>
            <w:r>
              <w:rPr>
                <w:rFonts w:ascii="宋体" w:hAnsi="宋体" w:cs="宋体" w:eastAsia="宋体" w:hint="default"/>
                <w:b/>
                <w:bCs/>
                <w:w w:val="95"/>
                <w:sz w:val="21"/>
                <w:szCs w:val="21"/>
              </w:rPr>
              <w:t>期末数（港币）</w:t>
            </w:r>
            <w:r>
              <w:rPr>
                <w:rFonts w:ascii="宋体" w:hAnsi="宋体" w:cs="宋体" w:eastAsia="宋体" w:hint="default"/>
                <w:sz w:val="21"/>
                <w:szCs w:val="21"/>
              </w:rPr>
            </w:r>
          </w:p>
        </w:tc>
        <w:tc>
          <w:tcPr>
            <w:tcW w:w="2078"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hAnsi="宋体" w:cs="宋体" w:eastAsia="宋体" w:hint="default"/>
                <w:b/>
                <w:bCs/>
                <w:w w:val="95"/>
                <w:sz w:val="21"/>
                <w:szCs w:val="21"/>
              </w:rPr>
              <w:t>期初数（港币）</w:t>
            </w:r>
            <w:r>
              <w:rPr>
                <w:rFonts w:ascii="宋体" w:hAnsi="宋体" w:cs="宋体" w:eastAsia="宋体" w:hint="default"/>
                <w:sz w:val="21"/>
                <w:szCs w:val="21"/>
              </w:rPr>
            </w:r>
          </w:p>
        </w:tc>
      </w:tr>
      <w:tr>
        <w:trPr>
          <w:trHeight w:val="400" w:hRule="exact"/>
        </w:trPr>
        <w:tc>
          <w:tcPr>
            <w:tcW w:w="4302"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213"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794"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493"/>
              <w:jc w:val="right"/>
              <w:rPr>
                <w:rFonts w:ascii="宋体" w:hAnsi="宋体" w:cs="宋体" w:eastAsia="宋体" w:hint="default"/>
                <w:sz w:val="21"/>
                <w:szCs w:val="21"/>
              </w:rPr>
            </w:pPr>
            <w:r>
              <w:rPr>
                <w:rFonts w:ascii="宋体"/>
                <w:sz w:val="21"/>
              </w:rPr>
              <w:t>7,949,907.00</w:t>
            </w:r>
          </w:p>
        </w:tc>
        <w:tc>
          <w:tcPr>
            <w:tcW w:w="2078"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7"/>
              <w:jc w:val="right"/>
              <w:rPr>
                <w:rFonts w:ascii="宋体" w:hAnsi="宋体" w:cs="宋体" w:eastAsia="宋体" w:hint="default"/>
                <w:sz w:val="21"/>
                <w:szCs w:val="21"/>
              </w:rPr>
            </w:pPr>
            <w:r>
              <w:rPr>
                <w:rFonts w:ascii="宋体"/>
                <w:sz w:val="21"/>
              </w:rPr>
              <w:t>5,502,516.67</w:t>
            </w:r>
          </w:p>
        </w:tc>
      </w:tr>
      <w:tr>
        <w:trPr>
          <w:trHeight w:val="397" w:hRule="exact"/>
        </w:trPr>
        <w:tc>
          <w:tcPr>
            <w:tcW w:w="430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13"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93"/>
              <w:jc w:val="right"/>
              <w:rPr>
                <w:rFonts w:ascii="宋体" w:hAnsi="宋体" w:cs="宋体" w:eastAsia="宋体" w:hint="default"/>
                <w:sz w:val="21"/>
                <w:szCs w:val="21"/>
              </w:rPr>
            </w:pPr>
            <w:r>
              <w:rPr>
                <w:rFonts w:ascii="宋体"/>
                <w:sz w:val="21"/>
              </w:rPr>
              <w:t>2,590,003.96</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z w:val="21"/>
              </w:rPr>
              <w:t>2,306,821.33</w:t>
            </w:r>
          </w:p>
        </w:tc>
      </w:tr>
      <w:tr>
        <w:trPr>
          <w:trHeight w:val="404" w:hRule="exact"/>
        </w:trPr>
        <w:tc>
          <w:tcPr>
            <w:tcW w:w="4302"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213"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79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492"/>
              <w:jc w:val="right"/>
              <w:rPr>
                <w:rFonts w:ascii="宋体" w:hAnsi="宋体" w:cs="宋体" w:eastAsia="宋体" w:hint="default"/>
                <w:sz w:val="21"/>
                <w:szCs w:val="21"/>
              </w:rPr>
            </w:pPr>
            <w:r>
              <w:rPr>
                <w:rFonts w:ascii="宋体"/>
                <w:sz w:val="21"/>
              </w:rPr>
              <w:t>0</w:t>
            </w:r>
          </w:p>
        </w:tc>
        <w:tc>
          <w:tcPr>
            <w:tcW w:w="2078"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z w:val="21"/>
              </w:rPr>
              <w:t>475,134.94</w:t>
            </w:r>
          </w:p>
        </w:tc>
      </w:tr>
      <w:tr>
        <w:trPr>
          <w:trHeight w:val="412" w:hRule="exact"/>
        </w:trPr>
        <w:tc>
          <w:tcPr>
            <w:tcW w:w="4302"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417"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794"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496"/>
              <w:jc w:val="right"/>
              <w:rPr>
                <w:rFonts w:ascii="宋体" w:hAnsi="宋体" w:cs="宋体" w:eastAsia="宋体" w:hint="default"/>
                <w:sz w:val="21"/>
                <w:szCs w:val="21"/>
              </w:rPr>
            </w:pPr>
            <w:r>
              <w:rPr>
                <w:rFonts w:ascii="宋体"/>
                <w:b/>
                <w:w w:val="95"/>
                <w:sz w:val="21"/>
              </w:rPr>
              <w:t>10,539,910.96</w:t>
            </w:r>
            <w:r>
              <w:rPr>
                <w:rFonts w:ascii="宋体"/>
                <w:sz w:val="21"/>
              </w:rPr>
            </w:r>
          </w:p>
        </w:tc>
        <w:tc>
          <w:tcPr>
            <w:tcW w:w="2078"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09"/>
              <w:jc w:val="right"/>
              <w:rPr>
                <w:rFonts w:ascii="宋体" w:hAnsi="宋体" w:cs="宋体" w:eastAsia="宋体" w:hint="default"/>
                <w:sz w:val="21"/>
                <w:szCs w:val="21"/>
              </w:rPr>
            </w:pPr>
            <w:r>
              <w:rPr>
                <w:rFonts w:ascii="宋体"/>
                <w:b/>
                <w:w w:val="95"/>
                <w:sz w:val="21"/>
              </w:rPr>
              <w:t>8,284,472.94</w:t>
            </w:r>
            <w:r>
              <w:rPr>
                <w:rFonts w:ascii="宋体"/>
                <w:sz w:val="21"/>
              </w:rPr>
            </w:r>
          </w:p>
        </w:tc>
      </w:tr>
    </w:tbl>
    <w:p>
      <w:pPr>
        <w:spacing w:line="240" w:lineRule="auto" w:before="1"/>
        <w:rPr>
          <w:rFonts w:ascii="宋体" w:hAnsi="宋体" w:cs="宋体" w:eastAsia="宋体" w:hint="default"/>
          <w:sz w:val="5"/>
          <w:szCs w:val="5"/>
        </w:rPr>
      </w:pPr>
    </w:p>
    <w:p>
      <w:pPr>
        <w:pStyle w:val="BodyText"/>
        <w:spacing w:line="240" w:lineRule="auto" w:before="26"/>
        <w:ind w:left="215" w:right="908"/>
        <w:jc w:val="left"/>
      </w:pPr>
      <w:r>
        <w:rPr/>
        <w:t>（</w:t>
      </w:r>
      <w:r>
        <w:rPr>
          <w:rFonts w:ascii="宋体" w:hAnsi="宋体" w:cs="宋体" w:eastAsia="宋体" w:hint="default"/>
        </w:rPr>
        <w:t>2</w:t>
      </w:r>
      <w:r>
        <w:rPr/>
        <w:t>）募集资金使用情况</w:t>
      </w:r>
    </w:p>
    <w:p>
      <w:pPr>
        <w:pStyle w:val="BodyText"/>
        <w:spacing w:line="237" w:lineRule="auto" w:before="120"/>
        <w:ind w:left="218" w:right="492" w:firstLine="480"/>
        <w:jc w:val="both"/>
      </w:pPr>
      <w:r>
        <w:rPr/>
        <w:t>经中国证券监督管理委员会证监发行字</w:t>
      </w:r>
      <w:r>
        <w:rPr>
          <w:rFonts w:ascii="宋体" w:hAnsi="宋体" w:cs="宋体" w:eastAsia="宋体" w:hint="default"/>
        </w:rPr>
        <w:t>[2011]1077</w:t>
      </w:r>
      <w:r>
        <w:rPr>
          <w:rFonts w:ascii="宋体" w:hAnsi="宋体" w:cs="宋体" w:eastAsia="宋体" w:hint="default"/>
          <w:spacing w:val="-52"/>
        </w:rPr>
        <w:t> </w:t>
      </w:r>
      <w:r>
        <w:rPr>
          <w:spacing w:val="-9"/>
        </w:rPr>
        <w:t>号文核准，并经上海证券交易</w:t>
      </w:r>
      <w:r>
        <w:rPr/>
        <w:t> </w:t>
      </w:r>
      <w:r>
        <w:rPr>
          <w:spacing w:val="-2"/>
        </w:rPr>
        <w:t>所同意，由主承销商渤海证券股份有限公司负责组织实施本公司非公开发行股票的发</w:t>
      </w:r>
      <w:r>
        <w:rPr>
          <w:spacing w:val="-93"/>
        </w:rPr>
        <w:t> </w:t>
      </w:r>
      <w:r>
        <w:rPr>
          <w:spacing w:val="-93"/>
        </w:rPr>
      </w:r>
      <w:r>
        <w:rPr>
          <w:spacing w:val="-6"/>
        </w:rPr>
        <w:t>行及承销工作，于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日以非公开发行股票的方式向</w:t>
      </w:r>
      <w:r>
        <w:rPr>
          <w:spacing w:val="-60"/>
        </w:rPr>
        <w:t> </w:t>
      </w:r>
      <w:r>
        <w:rPr>
          <w:rFonts w:ascii="宋体" w:hAnsi="宋体" w:cs="宋体" w:eastAsia="宋体" w:hint="default"/>
        </w:rPr>
        <w:t>6</w:t>
      </w:r>
      <w:r>
        <w:rPr>
          <w:rFonts w:ascii="宋体" w:hAnsi="宋体" w:cs="宋体" w:eastAsia="宋体" w:hint="default"/>
          <w:spacing w:val="-60"/>
        </w:rPr>
        <w:t> </w:t>
      </w:r>
      <w:r>
        <w:rPr/>
        <w:t>家特定投资者发行</w:t>
      </w:r>
    </w:p>
    <w:p>
      <w:pPr>
        <w:pStyle w:val="BodyText"/>
        <w:spacing w:line="310" w:lineRule="exact"/>
        <w:ind w:left="218" w:right="0"/>
        <w:jc w:val="left"/>
        <w:rPr>
          <w:rFonts w:ascii="宋体" w:hAnsi="宋体" w:cs="宋体" w:eastAsia="宋体" w:hint="default"/>
        </w:rPr>
      </w:pPr>
      <w:r>
        <w:rPr/>
        <w:t>了普通股（</w:t>
      </w:r>
      <w:r>
        <w:rPr>
          <w:rFonts w:ascii="宋体" w:hAnsi="宋体" w:cs="宋体" w:eastAsia="宋体" w:hint="default"/>
        </w:rPr>
        <w:t>A</w:t>
      </w:r>
      <w:r>
        <w:rPr>
          <w:rFonts w:ascii="宋体" w:hAnsi="宋体" w:cs="宋体" w:eastAsia="宋体" w:hint="default"/>
          <w:spacing w:val="-60"/>
        </w:rPr>
        <w:t> </w:t>
      </w:r>
      <w:r>
        <w:rPr/>
        <w:t>股）股票</w:t>
      </w:r>
      <w:r>
        <w:rPr>
          <w:spacing w:val="-60"/>
        </w:rPr>
        <w:t> </w:t>
      </w:r>
      <w:r>
        <w:rPr>
          <w:rFonts w:ascii="宋体" w:hAnsi="宋体" w:cs="宋体" w:eastAsia="宋体" w:hint="default"/>
        </w:rPr>
        <w:t>39,034,003</w:t>
      </w:r>
      <w:r>
        <w:rPr>
          <w:rFonts w:ascii="宋体" w:hAnsi="宋体" w:cs="宋体" w:eastAsia="宋体" w:hint="default"/>
          <w:spacing w:val="-60"/>
        </w:rPr>
        <w:t> </w:t>
      </w:r>
      <w:r>
        <w:rPr/>
        <w:t>股，发行价格为人民币</w:t>
      </w:r>
      <w:r>
        <w:rPr>
          <w:spacing w:val="-60"/>
        </w:rPr>
        <w:t> </w:t>
      </w:r>
      <w:r>
        <w:rPr>
          <w:rFonts w:ascii="宋体" w:hAnsi="宋体" w:cs="宋体" w:eastAsia="宋体" w:hint="default"/>
        </w:rPr>
        <w:t>12.94</w:t>
      </w:r>
      <w:r>
        <w:rPr>
          <w:rFonts w:ascii="宋体" w:hAnsi="宋体" w:cs="宋体" w:eastAsia="宋体" w:hint="default"/>
          <w:spacing w:val="-60"/>
        </w:rPr>
        <w:t> </w:t>
      </w:r>
      <w:r>
        <w:rPr/>
        <w:t>元</w:t>
      </w:r>
      <w:r>
        <w:rPr>
          <w:rFonts w:ascii="宋体" w:hAnsi="宋体" w:cs="宋体" w:eastAsia="宋体" w:hint="default"/>
        </w:rPr>
        <w:t>/</w:t>
      </w:r>
      <w:r>
        <w:rPr/>
        <w:t>股，截至</w:t>
      </w:r>
      <w:r>
        <w:rPr>
          <w:spacing w:val="-60"/>
        </w:rPr>
        <w:t> </w:t>
      </w:r>
      <w:r>
        <w:rPr>
          <w:rFonts w:ascii="宋体" w:hAnsi="宋体" w:cs="宋体" w:eastAsia="宋体" w:hint="default"/>
        </w:rPr>
        <w:t>2011</w:t>
      </w:r>
    </w:p>
    <w:p>
      <w:pPr>
        <w:pStyle w:val="BodyText"/>
        <w:spacing w:line="311" w:lineRule="exact"/>
        <w:ind w:left="218" w:right="908"/>
        <w:jc w:val="left"/>
      </w:pP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日本公司共募集资金总额为人民币</w:t>
      </w:r>
      <w:r>
        <w:rPr>
          <w:spacing w:val="-60"/>
        </w:rPr>
        <w:t> </w:t>
      </w:r>
      <w:r>
        <w:rPr>
          <w:rFonts w:ascii="宋体" w:hAnsi="宋体" w:cs="宋体" w:eastAsia="宋体" w:hint="default"/>
        </w:rPr>
        <w:t>505,099,998.82</w:t>
      </w:r>
      <w:r>
        <w:rPr>
          <w:rFonts w:ascii="宋体" w:hAnsi="宋体" w:cs="宋体" w:eastAsia="宋体" w:hint="default"/>
          <w:spacing w:val="-60"/>
        </w:rPr>
        <w:t> </w:t>
      </w:r>
      <w:r>
        <w:rPr/>
        <w:t>元，扣除发行费用</w:t>
      </w:r>
    </w:p>
    <w:p>
      <w:pPr>
        <w:pStyle w:val="BodyText"/>
        <w:spacing w:line="313" w:lineRule="exact"/>
        <w:ind w:left="218" w:right="908"/>
        <w:jc w:val="left"/>
      </w:pPr>
      <w:r>
        <w:rPr>
          <w:rFonts w:ascii="宋体" w:hAnsi="宋体" w:cs="宋体" w:eastAsia="宋体" w:hint="default"/>
        </w:rPr>
        <w:t>17,631,833.97</w:t>
      </w:r>
      <w:r>
        <w:rPr>
          <w:rFonts w:ascii="宋体" w:hAnsi="宋体" w:cs="宋体" w:eastAsia="宋体" w:hint="default"/>
          <w:spacing w:val="-60"/>
        </w:rPr>
        <w:t> </w:t>
      </w:r>
      <w:r>
        <w:rPr/>
        <w:t>元，募集资金净额为</w:t>
      </w:r>
      <w:r>
        <w:rPr>
          <w:spacing w:val="-60"/>
        </w:rPr>
        <w:t> </w:t>
      </w:r>
      <w:r>
        <w:rPr>
          <w:rFonts w:ascii="宋体" w:hAnsi="宋体" w:cs="宋体" w:eastAsia="宋体" w:hint="default"/>
        </w:rPr>
        <w:t>487,468,164.85</w:t>
      </w:r>
      <w:r>
        <w:rPr>
          <w:rFonts w:ascii="宋体" w:hAnsi="宋体" w:cs="宋体" w:eastAsia="宋体" w:hint="default"/>
          <w:spacing w:val="-60"/>
        </w:rPr>
        <w:t> </w:t>
      </w:r>
      <w:r>
        <w:rPr/>
        <w:t>元。</w:t>
      </w:r>
    </w:p>
    <w:p>
      <w:pPr>
        <w:pStyle w:val="BodyText"/>
        <w:spacing w:line="240" w:lineRule="auto" w:before="116"/>
        <w:ind w:left="218" w:right="908"/>
        <w:jc w:val="left"/>
        <w:rPr>
          <w:rFonts w:ascii="宋体" w:hAnsi="宋体" w:cs="宋体" w:eastAsia="宋体" w:hint="default"/>
        </w:rPr>
      </w:pPr>
      <w:r>
        <w:rPr/>
        <w:t>募集资金投向使用情况如下：</w:t>
      </w:r>
      <w:r>
        <w:rPr>
          <w:rFonts w:ascii="宋体" w:hAnsi="宋体" w:cs="宋体" w:eastAsia="宋体" w:hint="default"/>
        </w:rPr>
        <w:t>(</w:t>
      </w:r>
      <w:r>
        <w:rPr/>
        <w:t>万元</w:t>
      </w:r>
      <w:r>
        <w:rPr>
          <w:rFonts w:ascii="宋体" w:hAnsi="宋体" w:cs="宋体" w:eastAsia="宋体" w:hint="default"/>
        </w:rPr>
        <w:t>)</w:t>
      </w:r>
    </w:p>
    <w:p>
      <w:pPr>
        <w:spacing w:line="240" w:lineRule="auto" w:before="12"/>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5804"/>
        <w:gridCol w:w="2084"/>
        <w:gridCol w:w="1432"/>
      </w:tblGrid>
      <w:tr>
        <w:trPr>
          <w:trHeight w:val="413" w:hRule="exact"/>
        </w:trPr>
        <w:tc>
          <w:tcPr>
            <w:tcW w:w="5804"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b/>
                <w:bCs/>
                <w:sz w:val="21"/>
                <w:szCs w:val="21"/>
              </w:rPr>
              <w:t>承诺投资项目</w:t>
            </w:r>
            <w:r>
              <w:rPr>
                <w:rFonts w:ascii="宋体" w:hAnsi="宋体" w:cs="宋体" w:eastAsia="宋体" w:hint="default"/>
                <w:sz w:val="21"/>
                <w:szCs w:val="21"/>
              </w:rPr>
            </w:r>
          </w:p>
        </w:tc>
        <w:tc>
          <w:tcPr>
            <w:tcW w:w="2084"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656" w:right="0"/>
              <w:jc w:val="left"/>
              <w:rPr>
                <w:rFonts w:ascii="宋体" w:hAnsi="宋体" w:cs="宋体" w:eastAsia="宋体" w:hint="default"/>
                <w:sz w:val="21"/>
                <w:szCs w:val="21"/>
              </w:rPr>
            </w:pPr>
            <w:r>
              <w:rPr>
                <w:rFonts w:ascii="宋体" w:hAnsi="宋体" w:cs="宋体" w:eastAsia="宋体" w:hint="default"/>
                <w:b/>
                <w:bCs/>
                <w:sz w:val="21"/>
                <w:szCs w:val="21"/>
              </w:rPr>
              <w:t>承诺投资金额</w:t>
            </w:r>
            <w:r>
              <w:rPr>
                <w:rFonts w:ascii="宋体" w:hAnsi="宋体" w:cs="宋体" w:eastAsia="宋体" w:hint="default"/>
                <w:sz w:val="21"/>
                <w:szCs w:val="21"/>
              </w:rPr>
            </w:r>
          </w:p>
        </w:tc>
        <w:tc>
          <w:tcPr>
            <w:tcW w:w="1432"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164" w:right="0"/>
              <w:jc w:val="left"/>
              <w:rPr>
                <w:rFonts w:ascii="宋体" w:hAnsi="宋体" w:cs="宋体" w:eastAsia="宋体" w:hint="default"/>
                <w:sz w:val="21"/>
                <w:szCs w:val="21"/>
              </w:rPr>
            </w:pPr>
            <w:r>
              <w:rPr>
                <w:rFonts w:ascii="宋体" w:hAnsi="宋体" w:cs="宋体" w:eastAsia="宋体" w:hint="default"/>
                <w:b/>
                <w:bCs/>
                <w:sz w:val="21"/>
                <w:szCs w:val="21"/>
              </w:rPr>
              <w:t>实际投资金额</w:t>
            </w:r>
            <w:r>
              <w:rPr>
                <w:rFonts w:ascii="宋体" w:hAnsi="宋体" w:cs="宋体" w:eastAsia="宋体" w:hint="default"/>
                <w:sz w:val="21"/>
                <w:szCs w:val="21"/>
              </w:rPr>
            </w:r>
          </w:p>
        </w:tc>
      </w:tr>
      <w:tr>
        <w:trPr>
          <w:trHeight w:val="400" w:hRule="exact"/>
        </w:trPr>
        <w:tc>
          <w:tcPr>
            <w:tcW w:w="5804"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sz w:val="21"/>
                <w:szCs w:val="21"/>
              </w:rPr>
              <w:t>云计算环境下的信息融合服务平台建设及市场推广项目</w:t>
            </w:r>
          </w:p>
        </w:tc>
        <w:tc>
          <w:tcPr>
            <w:tcW w:w="2084"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871" w:right="0"/>
              <w:jc w:val="left"/>
              <w:rPr>
                <w:rFonts w:ascii="宋体" w:hAnsi="宋体" w:cs="宋体" w:eastAsia="宋体" w:hint="default"/>
                <w:sz w:val="21"/>
                <w:szCs w:val="21"/>
              </w:rPr>
            </w:pPr>
            <w:r>
              <w:rPr>
                <w:rFonts w:ascii="宋体"/>
                <w:sz w:val="21"/>
              </w:rPr>
              <w:t>19,360.00</w:t>
            </w:r>
          </w:p>
        </w:tc>
        <w:tc>
          <w:tcPr>
            <w:tcW w:w="1432"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380" w:right="0"/>
              <w:jc w:val="left"/>
              <w:rPr>
                <w:rFonts w:ascii="宋体" w:hAnsi="宋体" w:cs="宋体" w:eastAsia="宋体" w:hint="default"/>
                <w:sz w:val="21"/>
                <w:szCs w:val="21"/>
              </w:rPr>
            </w:pPr>
            <w:r>
              <w:rPr>
                <w:rFonts w:ascii="宋体"/>
                <w:sz w:val="21"/>
              </w:rPr>
              <w:t>19,360.00</w:t>
            </w:r>
          </w:p>
        </w:tc>
      </w:tr>
      <w:tr>
        <w:trPr>
          <w:trHeight w:val="397" w:hRule="exact"/>
        </w:trPr>
        <w:tc>
          <w:tcPr>
            <w:tcW w:w="580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面向“服务型城市”的新一代信息整合解决方案</w:t>
            </w: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871" w:right="0"/>
              <w:jc w:val="left"/>
              <w:rPr>
                <w:rFonts w:ascii="宋体" w:hAnsi="宋体" w:cs="宋体" w:eastAsia="宋体" w:hint="default"/>
                <w:sz w:val="21"/>
                <w:szCs w:val="21"/>
              </w:rPr>
            </w:pPr>
            <w:r>
              <w:rPr>
                <w:rFonts w:ascii="宋体"/>
                <w:sz w:val="21"/>
              </w:rPr>
              <w:t>15,950.00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80" w:right="0"/>
              <w:jc w:val="left"/>
              <w:rPr>
                <w:rFonts w:ascii="宋体" w:hAnsi="宋体" w:cs="宋体" w:eastAsia="宋体" w:hint="default"/>
                <w:sz w:val="21"/>
                <w:szCs w:val="21"/>
              </w:rPr>
            </w:pPr>
            <w:r>
              <w:rPr>
                <w:rFonts w:ascii="宋体"/>
                <w:sz w:val="21"/>
              </w:rPr>
              <w:t>15,450.00</w:t>
            </w:r>
          </w:p>
        </w:tc>
      </w:tr>
      <w:tr>
        <w:trPr>
          <w:trHeight w:val="397" w:hRule="exact"/>
        </w:trPr>
        <w:tc>
          <w:tcPr>
            <w:tcW w:w="580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数据治理软件及行业解决方案</w:t>
            </w: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975" w:right="0"/>
              <w:jc w:val="left"/>
              <w:rPr>
                <w:rFonts w:ascii="宋体" w:hAnsi="宋体" w:cs="宋体" w:eastAsia="宋体" w:hint="default"/>
                <w:sz w:val="21"/>
                <w:szCs w:val="21"/>
              </w:rPr>
            </w:pPr>
            <w:r>
              <w:rPr>
                <w:rFonts w:ascii="宋体"/>
                <w:sz w:val="21"/>
              </w:rPr>
              <w:t>9,200.00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84" w:right="0"/>
              <w:jc w:val="left"/>
              <w:rPr>
                <w:rFonts w:ascii="宋体" w:hAnsi="宋体" w:cs="宋体" w:eastAsia="宋体" w:hint="default"/>
                <w:sz w:val="21"/>
                <w:szCs w:val="21"/>
              </w:rPr>
            </w:pPr>
            <w:r>
              <w:rPr>
                <w:rFonts w:ascii="宋体"/>
                <w:sz w:val="21"/>
              </w:rPr>
              <w:t>8,941.26</w:t>
            </w:r>
          </w:p>
        </w:tc>
      </w:tr>
      <w:tr>
        <w:trPr>
          <w:trHeight w:val="404" w:hRule="exact"/>
        </w:trPr>
        <w:tc>
          <w:tcPr>
            <w:tcW w:w="580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软硬一体化的</w:t>
            </w:r>
            <w:r>
              <w:rPr>
                <w:rFonts w:ascii="宋体" w:hAnsi="宋体" w:cs="宋体" w:eastAsia="宋体" w:hint="default"/>
                <w:spacing w:val="-55"/>
                <w:sz w:val="21"/>
                <w:szCs w:val="21"/>
              </w:rPr>
              <w:t> </w:t>
            </w:r>
            <w:r>
              <w:rPr>
                <w:rFonts w:ascii="宋体" w:hAnsi="宋体" w:cs="宋体" w:eastAsia="宋体" w:hint="default"/>
                <w:sz w:val="21"/>
                <w:szCs w:val="21"/>
              </w:rPr>
              <w:t>IT</w:t>
            </w:r>
            <w:r>
              <w:rPr>
                <w:rFonts w:ascii="宋体" w:hAnsi="宋体" w:cs="宋体" w:eastAsia="宋体" w:hint="default"/>
                <w:spacing w:val="-54"/>
                <w:sz w:val="21"/>
                <w:szCs w:val="21"/>
              </w:rPr>
              <w:t> </w:t>
            </w:r>
            <w:r>
              <w:rPr>
                <w:rFonts w:ascii="宋体" w:hAnsi="宋体" w:cs="宋体" w:eastAsia="宋体" w:hint="default"/>
                <w:sz w:val="21"/>
                <w:szCs w:val="21"/>
              </w:rPr>
              <w:t>资源和机房监控产品研发及推广项目</w:t>
            </w:r>
          </w:p>
        </w:tc>
        <w:tc>
          <w:tcPr>
            <w:tcW w:w="208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975" w:right="0"/>
              <w:jc w:val="left"/>
              <w:rPr>
                <w:rFonts w:ascii="宋体" w:hAnsi="宋体" w:cs="宋体" w:eastAsia="宋体" w:hint="default"/>
                <w:sz w:val="21"/>
                <w:szCs w:val="21"/>
              </w:rPr>
            </w:pPr>
            <w:r>
              <w:rPr>
                <w:rFonts w:ascii="宋体"/>
                <w:sz w:val="21"/>
              </w:rPr>
              <w:t>6,000.00</w:t>
            </w:r>
          </w:p>
        </w:tc>
        <w:tc>
          <w:tcPr>
            <w:tcW w:w="1432"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484" w:right="0"/>
              <w:jc w:val="left"/>
              <w:rPr>
                <w:rFonts w:ascii="宋体" w:hAnsi="宋体" w:cs="宋体" w:eastAsia="宋体" w:hint="default"/>
                <w:sz w:val="21"/>
                <w:szCs w:val="21"/>
              </w:rPr>
            </w:pPr>
            <w:r>
              <w:rPr>
                <w:rFonts w:ascii="宋体"/>
                <w:sz w:val="21"/>
              </w:rPr>
              <w:t>5,803.33</w:t>
            </w:r>
          </w:p>
        </w:tc>
      </w:tr>
      <w:tr>
        <w:trPr>
          <w:trHeight w:val="412" w:hRule="exact"/>
        </w:trPr>
        <w:tc>
          <w:tcPr>
            <w:tcW w:w="5804"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84"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863" w:right="0"/>
              <w:jc w:val="left"/>
              <w:rPr>
                <w:rFonts w:ascii="宋体" w:hAnsi="宋体" w:cs="宋体" w:eastAsia="宋体" w:hint="default"/>
                <w:sz w:val="21"/>
                <w:szCs w:val="21"/>
              </w:rPr>
            </w:pPr>
            <w:r>
              <w:rPr>
                <w:rFonts w:ascii="宋体"/>
                <w:b/>
                <w:sz w:val="21"/>
              </w:rPr>
              <w:t>50,510.00</w:t>
            </w:r>
            <w:r>
              <w:rPr>
                <w:rFonts w:ascii="宋体"/>
                <w:sz w:val="21"/>
              </w:rPr>
            </w:r>
          </w:p>
        </w:tc>
        <w:tc>
          <w:tcPr>
            <w:tcW w:w="1432"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371" w:right="0"/>
              <w:jc w:val="left"/>
              <w:rPr>
                <w:rFonts w:ascii="宋体" w:hAnsi="宋体" w:cs="宋体" w:eastAsia="宋体" w:hint="default"/>
                <w:sz w:val="21"/>
                <w:szCs w:val="21"/>
              </w:rPr>
            </w:pPr>
            <w:r>
              <w:rPr>
                <w:rFonts w:ascii="宋体"/>
                <w:b/>
                <w:sz w:val="21"/>
              </w:rPr>
              <w:t>49,554.59</w:t>
            </w:r>
            <w:r>
              <w:rPr>
                <w:rFonts w:ascii="宋体"/>
                <w:sz w:val="21"/>
              </w:rPr>
            </w:r>
          </w:p>
        </w:tc>
      </w:tr>
    </w:tbl>
    <w:p>
      <w:pPr>
        <w:pStyle w:val="BodyText"/>
        <w:spacing w:line="240" w:lineRule="auto" w:before="81"/>
        <w:ind w:left="215" w:right="908"/>
        <w:jc w:val="left"/>
      </w:pPr>
      <w:r>
        <w:rPr/>
        <w:t>截至</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日，本集团不存在其他应披露的承诺事项。</w:t>
      </w:r>
    </w:p>
    <w:p>
      <w:pPr>
        <w:spacing w:line="240" w:lineRule="auto" w:before="5"/>
        <w:rPr>
          <w:rFonts w:ascii="宋体" w:hAnsi="宋体" w:cs="宋体" w:eastAsia="宋体" w:hint="default"/>
          <w:sz w:val="34"/>
          <w:szCs w:val="34"/>
        </w:rPr>
      </w:pPr>
    </w:p>
    <w:p>
      <w:pPr>
        <w:pStyle w:val="Heading2"/>
        <w:spacing w:line="240" w:lineRule="auto" w:before="0"/>
        <w:ind w:right="6789"/>
        <w:jc w:val="left"/>
        <w:rPr>
          <w:b w:val="0"/>
          <w:bCs w:val="0"/>
        </w:rPr>
      </w:pPr>
      <w:r>
        <w:rPr>
          <w:rFonts w:ascii="宋体" w:hAnsi="宋体" w:cs="宋体" w:eastAsia="宋体" w:hint="default"/>
        </w:rPr>
        <w:t>2</w:t>
      </w:r>
      <w:r>
        <w:rPr/>
        <w:t>、</w:t>
      </w:r>
      <w:r>
        <w:rPr>
          <w:spacing w:val="-59"/>
        </w:rPr>
        <w:t> </w:t>
      </w:r>
      <w:r>
        <w:rPr/>
        <w:t>或有事项</w:t>
      </w:r>
      <w:r>
        <w:rPr>
          <w:b w:val="0"/>
          <w:bCs w:val="0"/>
        </w:rPr>
      </w:r>
    </w:p>
    <w:p>
      <w:pPr>
        <w:pStyle w:val="BodyText"/>
        <w:spacing w:line="328" w:lineRule="exact" w:before="116"/>
        <w:ind w:left="698" w:right="0"/>
        <w:jc w:val="left"/>
      </w:pPr>
      <w:r>
        <w:rPr>
          <w:spacing w:val="-6"/>
        </w:rPr>
        <w:t>（</w:t>
      </w:r>
      <w:r>
        <w:rPr>
          <w:rFonts w:ascii="宋体" w:hAnsi="宋体" w:cs="宋体" w:eastAsia="宋体" w:hint="default"/>
          <w:spacing w:val="-6"/>
        </w:rPr>
        <w:t>1</w:t>
      </w:r>
      <w:r>
        <w:rPr>
          <w:spacing w:val="-6"/>
        </w:rPr>
        <w:t>）公司</w:t>
      </w:r>
      <w:r>
        <w:rPr>
          <w:spacing w:val="-74"/>
        </w:rPr>
        <w:t> </w:t>
      </w:r>
      <w:r>
        <w:rPr>
          <w:rFonts w:ascii="Calibri" w:hAnsi="Calibri" w:cs="Calibri" w:eastAsia="Calibri" w:hint="default"/>
        </w:rPr>
        <w:t>2007</w:t>
      </w:r>
      <w:r>
        <w:rPr>
          <w:rFonts w:ascii="Calibri" w:hAnsi="Calibri" w:cs="Calibri" w:eastAsia="Calibri" w:hint="default"/>
          <w:spacing w:val="-9"/>
        </w:rPr>
        <w:t> </w:t>
      </w:r>
      <w:r>
        <w:rPr/>
        <w:t>年第三次临时董事会会议决议，为本公司之全资子公司华胜天成</w:t>
      </w:r>
    </w:p>
    <w:p>
      <w:pPr>
        <w:pStyle w:val="BodyText"/>
        <w:spacing w:line="298" w:lineRule="exact"/>
        <w:ind w:left="218" w:right="0"/>
        <w:jc w:val="left"/>
      </w:pPr>
      <w:r>
        <w:rPr/>
        <w:t>（香港）有限公司提供每年最高额</w:t>
      </w:r>
      <w:r>
        <w:rPr>
          <w:spacing w:val="-60"/>
        </w:rPr>
        <w:t> </w:t>
      </w:r>
      <w:r>
        <w:rPr>
          <w:rFonts w:ascii="宋体" w:hAnsi="宋体" w:cs="宋体" w:eastAsia="宋体" w:hint="default"/>
        </w:rPr>
        <w:t>7000</w:t>
      </w:r>
      <w:r>
        <w:rPr>
          <w:rFonts w:ascii="宋体" w:hAnsi="宋体" w:cs="宋体" w:eastAsia="宋体" w:hint="default"/>
          <w:spacing w:val="-60"/>
        </w:rPr>
        <w:t> </w:t>
      </w:r>
      <w:r>
        <w:rPr/>
        <w:t>万元人民币或等值外币的采购付款担保；</w:t>
      </w:r>
    </w:p>
    <w:p>
      <w:pPr>
        <w:pStyle w:val="BodyText"/>
        <w:spacing w:line="310" w:lineRule="exact" w:before="149"/>
        <w:ind w:left="218" w:right="477" w:firstLine="480"/>
        <w:jc w:val="left"/>
      </w:pPr>
      <w:r>
        <w:rPr/>
        <w:t>（</w:t>
      </w:r>
      <w:r>
        <w:rPr>
          <w:rFonts w:ascii="宋体" w:hAnsi="宋体" w:cs="宋体" w:eastAsia="宋体" w:hint="default"/>
        </w:rPr>
        <w:t>2</w:t>
      </w:r>
      <w:r>
        <w:rPr>
          <w:rFonts w:ascii="宋体" w:hAnsi="宋体" w:cs="宋体" w:eastAsia="宋体" w:hint="default"/>
          <w:spacing w:val="-53"/>
        </w:rPr>
        <w:t> </w:t>
      </w:r>
      <w:r>
        <w:rPr/>
        <w:t>根据本公司</w:t>
      </w:r>
      <w:r>
        <w:rPr>
          <w:spacing w:val="-53"/>
        </w:rPr>
        <w:t> </w:t>
      </w:r>
      <w:r>
        <w:rPr>
          <w:rFonts w:ascii="宋体" w:hAnsi="宋体" w:cs="宋体" w:eastAsia="宋体" w:hint="default"/>
        </w:rPr>
        <w:t>2009</w:t>
      </w:r>
      <w:r>
        <w:rPr>
          <w:rFonts w:ascii="宋体" w:hAnsi="宋体" w:cs="宋体" w:eastAsia="宋体" w:hint="default"/>
          <w:spacing w:val="-53"/>
        </w:rPr>
        <w:t> </w:t>
      </w:r>
      <w:r>
        <w:rPr>
          <w:spacing w:val="-5"/>
        </w:rPr>
        <w:t>年第九次临时董事会审议通过，为本公司之控股子公司北京</w:t>
      </w:r>
      <w:r>
        <w:rPr/>
        <w:t> 飞杰信息技术有限公司提供每年最高额</w:t>
      </w:r>
      <w:r>
        <w:rPr>
          <w:spacing w:val="-60"/>
        </w:rPr>
        <w:t> </w:t>
      </w:r>
      <w:r>
        <w:rPr>
          <w:rFonts w:ascii="宋体" w:hAnsi="宋体" w:cs="宋体" w:eastAsia="宋体" w:hint="default"/>
        </w:rPr>
        <w:t>3000</w:t>
      </w:r>
      <w:r>
        <w:rPr>
          <w:rFonts w:ascii="宋体" w:hAnsi="宋体" w:cs="宋体" w:eastAsia="宋体" w:hint="default"/>
          <w:spacing w:val="-60"/>
        </w:rPr>
        <w:t> </w:t>
      </w:r>
      <w:r>
        <w:rPr/>
        <w:t>万元人民币的贸易项下担保；</w:t>
      </w:r>
    </w:p>
    <w:p>
      <w:pPr>
        <w:pStyle w:val="BodyText"/>
        <w:spacing w:line="310" w:lineRule="exact" w:before="122"/>
        <w:ind w:left="218" w:right="477" w:firstLine="480"/>
        <w:jc w:val="left"/>
      </w:pPr>
      <w:r>
        <w:rPr/>
        <w:t>（</w:t>
      </w:r>
      <w:r>
        <w:rPr>
          <w:rFonts w:ascii="宋体" w:hAnsi="宋体" w:cs="宋体" w:eastAsia="宋体" w:hint="default"/>
        </w:rPr>
        <w:t>3</w:t>
      </w:r>
      <w:r>
        <w:rPr>
          <w:rFonts w:ascii="宋体" w:hAnsi="宋体" w:cs="宋体" w:eastAsia="宋体" w:hint="default"/>
          <w:spacing w:val="-53"/>
        </w:rPr>
        <w:t> </w:t>
      </w:r>
      <w:r>
        <w:rPr/>
        <w:t>根据本公司</w:t>
      </w:r>
      <w:r>
        <w:rPr>
          <w:spacing w:val="-53"/>
        </w:rPr>
        <w:t> </w:t>
      </w:r>
      <w:r>
        <w:rPr>
          <w:rFonts w:ascii="宋体" w:hAnsi="宋体" w:cs="宋体" w:eastAsia="宋体" w:hint="default"/>
        </w:rPr>
        <w:t>2007</w:t>
      </w:r>
      <w:r>
        <w:rPr>
          <w:rFonts w:ascii="宋体" w:hAnsi="宋体" w:cs="宋体" w:eastAsia="宋体" w:hint="default"/>
          <w:spacing w:val="-53"/>
        </w:rPr>
        <w:t> </w:t>
      </w:r>
      <w:r>
        <w:rPr>
          <w:spacing w:val="-5"/>
        </w:rPr>
        <w:t>年第八次临时董事会会议决议，为本公司之全资子公司深圳</w:t>
      </w:r>
      <w:r>
        <w:rPr/>
        <w:t> 华胜天成信息技术有限公司提供每年最高额</w:t>
      </w:r>
      <w:r>
        <w:rPr>
          <w:spacing w:val="-60"/>
        </w:rPr>
        <w:t> </w:t>
      </w:r>
      <w:r>
        <w:rPr>
          <w:rFonts w:ascii="宋体" w:hAnsi="宋体" w:cs="宋体" w:eastAsia="宋体" w:hint="default"/>
        </w:rPr>
        <w:t>800</w:t>
      </w:r>
      <w:r>
        <w:rPr>
          <w:rFonts w:ascii="宋体" w:hAnsi="宋体" w:cs="宋体" w:eastAsia="宋体" w:hint="default"/>
          <w:spacing w:val="-60"/>
        </w:rPr>
        <w:t> </w:t>
      </w:r>
      <w:r>
        <w:rPr/>
        <w:t>万美元的采购额度的信用担保；</w:t>
      </w:r>
    </w:p>
    <w:p>
      <w:pPr>
        <w:spacing w:after="0" w:line="310" w:lineRule="exact"/>
        <w:jc w:val="left"/>
        <w:sectPr>
          <w:pgSz w:w="11910" w:h="16840"/>
          <w:pgMar w:header="882" w:footer="1194" w:top="1120" w:bottom="1380" w:left="1580" w:right="780"/>
        </w:sectPr>
      </w:pPr>
    </w:p>
    <w:p>
      <w:pPr>
        <w:spacing w:line="240" w:lineRule="auto" w:before="9"/>
        <w:rPr>
          <w:rFonts w:ascii="宋体" w:hAnsi="宋体" w:cs="宋体" w:eastAsia="宋体" w:hint="default"/>
          <w:sz w:val="25"/>
          <w:szCs w:val="25"/>
        </w:rPr>
      </w:pPr>
    </w:p>
    <w:p>
      <w:pPr>
        <w:pStyle w:val="BodyText"/>
        <w:spacing w:line="237" w:lineRule="auto" w:before="28"/>
        <w:ind w:right="232" w:firstLine="480"/>
        <w:jc w:val="both"/>
      </w:pPr>
      <w:r>
        <w:rPr/>
        <w:t>（</w:t>
      </w:r>
      <w:r>
        <w:rPr>
          <w:rFonts w:ascii="宋体" w:hAnsi="宋体" w:cs="宋体" w:eastAsia="宋体" w:hint="default"/>
        </w:rPr>
        <w:t>4</w:t>
      </w:r>
      <w:r>
        <w:rPr>
          <w:rFonts w:ascii="宋体" w:hAnsi="宋体" w:cs="宋体" w:eastAsia="宋体" w:hint="default"/>
          <w:spacing w:val="-53"/>
        </w:rPr>
        <w:t> </w:t>
      </w:r>
      <w:r>
        <w:rPr/>
        <w:t>根据本公司</w:t>
      </w:r>
      <w:r>
        <w:rPr>
          <w:spacing w:val="-53"/>
        </w:rPr>
        <w:t> </w:t>
      </w:r>
      <w:r>
        <w:rPr>
          <w:rFonts w:ascii="宋体" w:hAnsi="宋体" w:cs="宋体" w:eastAsia="宋体" w:hint="default"/>
        </w:rPr>
        <w:t>2011</w:t>
      </w:r>
      <w:r>
        <w:rPr>
          <w:rFonts w:ascii="宋体" w:hAnsi="宋体" w:cs="宋体" w:eastAsia="宋体" w:hint="default"/>
          <w:spacing w:val="-53"/>
        </w:rPr>
        <w:t> </w:t>
      </w:r>
      <w:r>
        <w:rPr>
          <w:spacing w:val="-5"/>
        </w:rPr>
        <w:t>年第十三次临时董事会会议决议，为本公司之控股子公司北</w:t>
      </w:r>
      <w:r>
        <w:rPr/>
        <w:t> 京飞杰信息技术有限公司提供总额不超过</w:t>
      </w:r>
      <w:r>
        <w:rPr>
          <w:spacing w:val="-60"/>
        </w:rPr>
        <w:t> </w:t>
      </w:r>
      <w:r>
        <w:rPr>
          <w:rFonts w:ascii="宋体" w:hAnsi="宋体" w:cs="宋体" w:eastAsia="宋体" w:hint="default"/>
        </w:rPr>
        <w:t>500</w:t>
      </w:r>
      <w:r>
        <w:rPr>
          <w:rFonts w:ascii="宋体" w:hAnsi="宋体" w:cs="宋体" w:eastAsia="宋体" w:hint="default"/>
          <w:spacing w:val="-60"/>
        </w:rPr>
        <w:t> </w:t>
      </w:r>
      <w:r>
        <w:rPr>
          <w:spacing w:val="-5"/>
        </w:rPr>
        <w:t>万元人民币，仅为进口</w:t>
      </w:r>
      <w:r>
        <w:rPr>
          <w:spacing w:val="-60"/>
        </w:rPr>
        <w:t> </w:t>
      </w:r>
      <w:r>
        <w:rPr>
          <w:rFonts w:ascii="宋体" w:hAnsi="宋体" w:cs="宋体" w:eastAsia="宋体" w:hint="default"/>
        </w:rPr>
        <w:t>ARRAY</w:t>
      </w:r>
      <w:r>
        <w:rPr>
          <w:rFonts w:ascii="宋体" w:hAnsi="宋体" w:cs="宋体" w:eastAsia="宋体" w:hint="default"/>
          <w:spacing w:val="-60"/>
        </w:rPr>
        <w:t> </w:t>
      </w:r>
      <w:r>
        <w:rPr/>
        <w:t>系列产品 的担保，担保期限至</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18</w:t>
      </w:r>
      <w:r>
        <w:rPr>
          <w:rFonts w:ascii="宋体" w:hAnsi="宋体" w:cs="宋体" w:eastAsia="宋体" w:hint="default"/>
          <w:spacing w:val="-60"/>
        </w:rPr>
        <w:t> </w:t>
      </w:r>
      <w:r>
        <w:rPr/>
        <w:t>日；</w:t>
      </w:r>
    </w:p>
    <w:p>
      <w:pPr>
        <w:pStyle w:val="BodyText"/>
        <w:spacing w:line="237" w:lineRule="auto" w:before="120"/>
        <w:ind w:right="232" w:firstLine="480"/>
        <w:jc w:val="both"/>
      </w:pPr>
      <w:r>
        <w:rPr/>
        <w:t>（</w:t>
      </w:r>
      <w:r>
        <w:rPr>
          <w:rFonts w:ascii="宋体" w:hAnsi="宋体" w:cs="宋体" w:eastAsia="宋体" w:hint="default"/>
        </w:rPr>
        <w:t>5</w:t>
      </w:r>
      <w:r>
        <w:rPr>
          <w:rFonts w:ascii="宋体" w:hAnsi="宋体" w:cs="宋体" w:eastAsia="宋体" w:hint="default"/>
          <w:spacing w:val="-53"/>
        </w:rPr>
        <w:t> </w:t>
      </w:r>
      <w:r>
        <w:rPr/>
        <w:t>根据本公司</w:t>
      </w:r>
      <w:r>
        <w:rPr>
          <w:spacing w:val="-53"/>
        </w:rPr>
        <w:t> </w:t>
      </w:r>
      <w:r>
        <w:rPr>
          <w:rFonts w:ascii="宋体" w:hAnsi="宋体" w:cs="宋体" w:eastAsia="宋体" w:hint="default"/>
        </w:rPr>
        <w:t>2012</w:t>
      </w:r>
      <w:r>
        <w:rPr>
          <w:rFonts w:ascii="宋体" w:hAnsi="宋体" w:cs="宋体" w:eastAsia="宋体" w:hint="default"/>
          <w:spacing w:val="-53"/>
        </w:rPr>
        <w:t> </w:t>
      </w:r>
      <w:r>
        <w:rPr>
          <w:spacing w:val="-5"/>
        </w:rPr>
        <w:t>年第六次临时董事会会议决议，为本公司之间接控制子公司</w:t>
      </w:r>
      <w:r>
        <w:rPr/>
        <w:t> </w:t>
      </w:r>
      <w:r>
        <w:rPr>
          <w:spacing w:val="-2"/>
        </w:rPr>
        <w:t>华胜天成（中国）融资租赁有限公司在中国银行天津滨海分行申请授信额度提供连带</w:t>
      </w:r>
      <w:r>
        <w:rPr>
          <w:spacing w:val="-94"/>
        </w:rPr>
        <w:t> </w:t>
      </w:r>
      <w:r>
        <w:rPr>
          <w:spacing w:val="-94"/>
        </w:rPr>
      </w:r>
      <w:r>
        <w:rPr/>
        <w:t>责任保证担保，担保品种为租赁保理，金额为人民币</w:t>
      </w:r>
      <w:r>
        <w:rPr>
          <w:spacing w:val="-83"/>
        </w:rPr>
        <w:t> </w:t>
      </w:r>
      <w:r>
        <w:rPr>
          <w:rFonts w:ascii="宋体" w:hAnsi="宋体" w:cs="宋体" w:eastAsia="宋体" w:hint="default"/>
        </w:rPr>
        <w:t>3,000</w:t>
      </w:r>
      <w:r>
        <w:rPr>
          <w:rFonts w:ascii="宋体" w:hAnsi="宋体" w:cs="宋体" w:eastAsia="宋体" w:hint="default"/>
          <w:spacing w:val="-83"/>
        </w:rPr>
        <w:t> </w:t>
      </w:r>
      <w:r>
        <w:rPr/>
        <w:t>万元整，保证期间为主债 权的清偿期届满之日起两年；</w:t>
      </w:r>
    </w:p>
    <w:p>
      <w:pPr>
        <w:pStyle w:val="BodyText"/>
        <w:spacing w:line="312" w:lineRule="exact" w:before="147"/>
        <w:ind w:right="217" w:firstLine="480"/>
        <w:jc w:val="left"/>
      </w:pPr>
      <w:r>
        <w:rPr/>
        <w:t>（</w:t>
      </w:r>
      <w:r>
        <w:rPr>
          <w:rFonts w:ascii="宋体" w:hAnsi="宋体" w:cs="宋体" w:eastAsia="宋体" w:hint="default"/>
        </w:rPr>
        <w:t>6</w:t>
      </w:r>
      <w:r>
        <w:rPr>
          <w:rFonts w:ascii="宋体" w:hAnsi="宋体" w:cs="宋体" w:eastAsia="宋体" w:hint="default"/>
          <w:spacing w:val="-53"/>
        </w:rPr>
        <w:t> </w:t>
      </w:r>
      <w:r>
        <w:rPr/>
        <w:t>根据本公司</w:t>
      </w:r>
      <w:r>
        <w:rPr>
          <w:spacing w:val="-53"/>
        </w:rPr>
        <w:t> </w:t>
      </w:r>
      <w:r>
        <w:rPr>
          <w:rFonts w:ascii="宋体" w:hAnsi="宋体" w:cs="宋体" w:eastAsia="宋体" w:hint="default"/>
        </w:rPr>
        <w:t>2012</w:t>
      </w:r>
      <w:r>
        <w:rPr>
          <w:rFonts w:ascii="宋体" w:hAnsi="宋体" w:cs="宋体" w:eastAsia="宋体" w:hint="default"/>
          <w:spacing w:val="-53"/>
        </w:rPr>
        <w:t> </w:t>
      </w:r>
      <w:r>
        <w:rPr>
          <w:spacing w:val="-5"/>
        </w:rPr>
        <w:t>年第九次临时董事会会议决议，为本公司之间接控制子公司</w:t>
      </w:r>
      <w:r>
        <w:rPr/>
        <w:t> </w:t>
      </w:r>
      <w:r>
        <w:rPr>
          <w:spacing w:val="-2"/>
        </w:rPr>
        <w:t>华胜天成（中国）融资租赁有限公司在东亚银行（中国）有限公司北京分行申请授信</w:t>
      </w:r>
    </w:p>
    <w:p>
      <w:pPr>
        <w:pStyle w:val="BodyText"/>
        <w:spacing w:line="281" w:lineRule="exact"/>
        <w:ind w:right="0"/>
        <w:jc w:val="left"/>
      </w:pPr>
      <w:r>
        <w:rPr/>
        <w:t>额度提供不可撤销的连带责任担保，并签署《保证合同》，金额为人民币 </w:t>
      </w:r>
      <w:r>
        <w:rPr>
          <w:rFonts w:ascii="宋体" w:hAnsi="宋体" w:cs="宋体" w:eastAsia="宋体" w:hint="default"/>
        </w:rPr>
        <w:t>1</w:t>
      </w:r>
      <w:r>
        <w:rPr>
          <w:rFonts w:ascii="宋体" w:hAnsi="宋体" w:cs="宋体" w:eastAsia="宋体" w:hint="default"/>
          <w:spacing w:val="-59"/>
        </w:rPr>
        <w:t> </w:t>
      </w:r>
      <w:r>
        <w:rPr/>
        <w:t>亿元整，</w:t>
      </w:r>
    </w:p>
    <w:p>
      <w:pPr>
        <w:pStyle w:val="BodyText"/>
        <w:spacing w:line="313" w:lineRule="exact"/>
        <w:ind w:right="0"/>
        <w:jc w:val="left"/>
      </w:pPr>
      <w:r>
        <w:rPr/>
        <w:t>保证期间为主合同下债务履行期限届满之日起三年；</w:t>
      </w:r>
    </w:p>
    <w:p>
      <w:pPr>
        <w:pStyle w:val="BodyText"/>
        <w:spacing w:line="237" w:lineRule="auto" w:before="119"/>
        <w:ind w:right="217" w:firstLine="480"/>
        <w:jc w:val="left"/>
      </w:pPr>
      <w:r>
        <w:rPr/>
        <w:t>（</w:t>
      </w:r>
      <w:r>
        <w:rPr>
          <w:rFonts w:ascii="宋体" w:hAnsi="宋体" w:cs="宋体" w:eastAsia="宋体" w:hint="default"/>
        </w:rPr>
        <w:t>7</w:t>
      </w:r>
      <w:r>
        <w:rPr>
          <w:rFonts w:ascii="宋体" w:hAnsi="宋体" w:cs="宋体" w:eastAsia="宋体" w:hint="default"/>
          <w:spacing w:val="-53"/>
        </w:rPr>
        <w:t> </w:t>
      </w:r>
      <w:r>
        <w:rPr/>
        <w:t>根据本公司</w:t>
      </w:r>
      <w:r>
        <w:rPr>
          <w:spacing w:val="-53"/>
        </w:rPr>
        <w:t> </w:t>
      </w:r>
      <w:r>
        <w:rPr>
          <w:rFonts w:ascii="宋体" w:hAnsi="宋体" w:cs="宋体" w:eastAsia="宋体" w:hint="default"/>
        </w:rPr>
        <w:t>2013</w:t>
      </w:r>
      <w:r>
        <w:rPr>
          <w:rFonts w:ascii="宋体" w:hAnsi="宋体" w:cs="宋体" w:eastAsia="宋体" w:hint="default"/>
          <w:spacing w:val="-53"/>
        </w:rPr>
        <w:t> </w:t>
      </w:r>
      <w:r>
        <w:rPr>
          <w:spacing w:val="-5"/>
        </w:rPr>
        <w:t>年第二次临时董事会会议决议以及签署的综合授信合同，允</w:t>
      </w:r>
      <w:r>
        <w:rPr/>
        <w:t> 许本公司之全资子公司南京华胜天成信息技术有限公司使用本公司在中国民生银行 综合授信额度，由本公司承担连带担保责任，担保额度调整为</w:t>
      </w:r>
      <w:r>
        <w:rPr>
          <w:spacing w:val="-74"/>
        </w:rPr>
        <w:t> </w:t>
      </w:r>
      <w:r>
        <w:rPr>
          <w:rFonts w:ascii="宋体" w:hAnsi="宋体" w:cs="宋体" w:eastAsia="宋体" w:hint="default"/>
        </w:rPr>
        <w:t>5,000</w:t>
      </w:r>
      <w:r>
        <w:rPr>
          <w:rFonts w:ascii="宋体" w:hAnsi="宋体" w:cs="宋体" w:eastAsia="宋体" w:hint="default"/>
          <w:spacing w:val="-74"/>
        </w:rPr>
        <w:t> </w:t>
      </w:r>
      <w:r>
        <w:rPr>
          <w:spacing w:val="-3"/>
        </w:rPr>
        <w:t>万元人民币，担</w:t>
      </w:r>
    </w:p>
    <w:p>
      <w:pPr>
        <w:pStyle w:val="BodyText"/>
        <w:spacing w:line="311" w:lineRule="exact"/>
        <w:ind w:right="0"/>
        <w:jc w:val="left"/>
      </w:pPr>
      <w:r>
        <w:rPr/>
        <w:t>保期限为</w:t>
      </w:r>
      <w:r>
        <w:rPr>
          <w:spacing w:val="-60"/>
        </w:rPr>
        <w:t> </w:t>
      </w:r>
      <w:r>
        <w:rPr>
          <w:rFonts w:ascii="宋体" w:hAnsi="宋体" w:cs="宋体" w:eastAsia="宋体" w:hint="default"/>
        </w:rPr>
        <w:t>2</w:t>
      </w:r>
      <w:r>
        <w:rPr>
          <w:rFonts w:ascii="宋体" w:hAnsi="宋体" w:cs="宋体" w:eastAsia="宋体" w:hint="default"/>
          <w:spacing w:val="-60"/>
        </w:rPr>
        <w:t> </w:t>
      </w:r>
      <w:r>
        <w:rPr/>
        <w:t>年；</w:t>
      </w:r>
    </w:p>
    <w:p>
      <w:pPr>
        <w:pStyle w:val="BodyText"/>
        <w:spacing w:line="237" w:lineRule="auto" w:before="119"/>
        <w:ind w:right="216" w:firstLine="480"/>
        <w:jc w:val="left"/>
      </w:pPr>
      <w:r>
        <w:rPr/>
        <w:t>（</w:t>
      </w:r>
      <w:r>
        <w:rPr>
          <w:rFonts w:ascii="宋体" w:hAnsi="宋体" w:cs="宋体" w:eastAsia="宋体" w:hint="default"/>
        </w:rPr>
        <w:t>8</w:t>
      </w:r>
      <w:r>
        <w:rPr>
          <w:rFonts w:ascii="宋体" w:hAnsi="宋体" w:cs="宋体" w:eastAsia="宋体" w:hint="default"/>
          <w:spacing w:val="-53"/>
        </w:rPr>
        <w:t> </w:t>
      </w:r>
      <w:r>
        <w:rPr/>
        <w:t>根据本公司</w:t>
      </w:r>
      <w:r>
        <w:rPr>
          <w:spacing w:val="-53"/>
        </w:rPr>
        <w:t> </w:t>
      </w:r>
      <w:r>
        <w:rPr>
          <w:rFonts w:ascii="宋体" w:hAnsi="宋体" w:cs="宋体" w:eastAsia="宋体" w:hint="default"/>
        </w:rPr>
        <w:t>2013</w:t>
      </w:r>
      <w:r>
        <w:rPr>
          <w:rFonts w:ascii="宋体" w:hAnsi="宋体" w:cs="宋体" w:eastAsia="宋体" w:hint="default"/>
          <w:spacing w:val="-53"/>
        </w:rPr>
        <w:t> </w:t>
      </w:r>
      <w:r>
        <w:rPr>
          <w:spacing w:val="-5"/>
        </w:rPr>
        <w:t>年第二次临时董事会会议决议以及签署的综合授信合同，允</w:t>
      </w:r>
      <w:r>
        <w:rPr/>
        <w:t> 许本公司之控股子公司北京飞杰信息技术有限公司使用本公司在中国民生银行综合 授信额度，由本公司承担连带担保责任，担保额度调整为</w:t>
      </w:r>
      <w:r>
        <w:rPr>
          <w:spacing w:val="-84"/>
        </w:rPr>
        <w:t> </w:t>
      </w:r>
      <w:r>
        <w:rPr>
          <w:rFonts w:ascii="宋体" w:hAnsi="宋体" w:cs="宋体" w:eastAsia="宋体" w:hint="default"/>
        </w:rPr>
        <w:t>1,000</w:t>
      </w:r>
      <w:r>
        <w:rPr>
          <w:rFonts w:ascii="宋体" w:hAnsi="宋体" w:cs="宋体" w:eastAsia="宋体" w:hint="default"/>
          <w:spacing w:val="-84"/>
        </w:rPr>
        <w:t> </w:t>
      </w:r>
      <w:r>
        <w:rPr/>
        <w:t>万元人民币，担保期</w:t>
      </w:r>
    </w:p>
    <w:p>
      <w:pPr>
        <w:pStyle w:val="BodyText"/>
        <w:spacing w:line="312" w:lineRule="exact"/>
        <w:ind w:right="0"/>
        <w:jc w:val="left"/>
      </w:pPr>
      <w:r>
        <w:rPr/>
        <w:t>限为</w:t>
      </w:r>
      <w:r>
        <w:rPr>
          <w:spacing w:val="-60"/>
        </w:rPr>
        <w:t> </w:t>
      </w:r>
      <w:r>
        <w:rPr>
          <w:rFonts w:ascii="宋体" w:hAnsi="宋体" w:cs="宋体" w:eastAsia="宋体" w:hint="default"/>
        </w:rPr>
        <w:t>2</w:t>
      </w:r>
      <w:r>
        <w:rPr>
          <w:rFonts w:ascii="宋体" w:hAnsi="宋体" w:cs="宋体" w:eastAsia="宋体" w:hint="default"/>
          <w:spacing w:val="-60"/>
        </w:rPr>
        <w:t> </w:t>
      </w:r>
      <w:r>
        <w:rPr/>
        <w:t>年；</w:t>
      </w:r>
    </w:p>
    <w:p>
      <w:pPr>
        <w:pStyle w:val="BodyText"/>
        <w:spacing w:line="237" w:lineRule="auto" w:before="119"/>
        <w:ind w:right="217" w:firstLine="480"/>
        <w:jc w:val="left"/>
      </w:pPr>
      <w:r>
        <w:rPr/>
        <w:t>（</w:t>
      </w:r>
      <w:r>
        <w:rPr>
          <w:rFonts w:ascii="宋体" w:hAnsi="宋体" w:cs="宋体" w:eastAsia="宋体" w:hint="default"/>
        </w:rPr>
        <w:t>9</w:t>
      </w:r>
      <w:r>
        <w:rPr>
          <w:rFonts w:ascii="宋体" w:hAnsi="宋体" w:cs="宋体" w:eastAsia="宋体" w:hint="default"/>
          <w:spacing w:val="-53"/>
        </w:rPr>
        <w:t> </w:t>
      </w:r>
      <w:r>
        <w:rPr/>
        <w:t>根据本公司</w:t>
      </w:r>
      <w:r>
        <w:rPr>
          <w:spacing w:val="-53"/>
        </w:rPr>
        <w:t> </w:t>
      </w:r>
      <w:r>
        <w:rPr>
          <w:rFonts w:ascii="宋体" w:hAnsi="宋体" w:cs="宋体" w:eastAsia="宋体" w:hint="default"/>
        </w:rPr>
        <w:t>2013</w:t>
      </w:r>
      <w:r>
        <w:rPr>
          <w:rFonts w:ascii="宋体" w:hAnsi="宋体" w:cs="宋体" w:eastAsia="宋体" w:hint="default"/>
          <w:spacing w:val="-53"/>
        </w:rPr>
        <w:t> </w:t>
      </w:r>
      <w:r>
        <w:rPr>
          <w:spacing w:val="-5"/>
        </w:rPr>
        <w:t>年第五次临时董事会会议决议及签署的综合授信合同，允许</w:t>
      </w:r>
      <w:r>
        <w:rPr/>
        <w:t> 本公司之全资子公司南京华胜天成信息技术有限公司使用本公司在招商银行南京五 台山支行综合授信额度，由本公司承担连带担保责任，金额为</w:t>
      </w:r>
      <w:r>
        <w:rPr>
          <w:spacing w:val="-60"/>
        </w:rPr>
        <w:t> </w:t>
      </w:r>
      <w:r>
        <w:rPr>
          <w:rFonts w:ascii="宋体" w:hAnsi="宋体" w:cs="宋体" w:eastAsia="宋体" w:hint="default"/>
        </w:rPr>
        <w:t>2000</w:t>
      </w:r>
      <w:r>
        <w:rPr>
          <w:rFonts w:ascii="宋体" w:hAnsi="宋体" w:cs="宋体" w:eastAsia="宋体" w:hint="default"/>
          <w:spacing w:val="-60"/>
        </w:rPr>
        <w:t> </w:t>
      </w:r>
      <w:r>
        <w:rPr/>
        <w:t>万元人民币，担</w:t>
      </w:r>
    </w:p>
    <w:p>
      <w:pPr>
        <w:pStyle w:val="BodyText"/>
        <w:spacing w:line="311" w:lineRule="exact"/>
        <w:ind w:right="0"/>
        <w:jc w:val="left"/>
      </w:pPr>
      <w:r>
        <w:rPr/>
        <w:t>保期间为</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25</w:t>
      </w:r>
      <w:r>
        <w:rPr>
          <w:rFonts w:ascii="宋体" w:hAnsi="宋体" w:cs="宋体" w:eastAsia="宋体" w:hint="default"/>
          <w:spacing w:val="-60"/>
        </w:rPr>
        <w:t> </w:t>
      </w:r>
      <w:r>
        <w:rPr/>
        <w:t>日到</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25</w:t>
      </w:r>
      <w:r>
        <w:rPr>
          <w:rFonts w:ascii="宋体" w:hAnsi="宋体" w:cs="宋体" w:eastAsia="宋体" w:hint="default"/>
          <w:spacing w:val="-60"/>
        </w:rPr>
        <w:t> </w:t>
      </w:r>
      <w:r>
        <w:rPr/>
        <w:t>日；</w:t>
      </w:r>
    </w:p>
    <w:p>
      <w:pPr>
        <w:pStyle w:val="BodyText"/>
        <w:spacing w:line="237" w:lineRule="auto" w:before="119"/>
        <w:ind w:right="233" w:firstLine="480"/>
        <w:jc w:val="both"/>
      </w:pPr>
      <w:r>
        <w:rPr/>
        <w:t>（</w:t>
      </w:r>
      <w:r>
        <w:rPr>
          <w:rFonts w:ascii="宋体" w:hAnsi="宋体" w:cs="宋体" w:eastAsia="宋体" w:hint="default"/>
        </w:rPr>
        <w:t>10</w:t>
      </w:r>
      <w:r>
        <w:rPr/>
        <w:t>）据本公司</w:t>
      </w:r>
      <w:r>
        <w:rPr>
          <w:spacing w:val="-60"/>
        </w:rPr>
        <w:t> </w:t>
      </w:r>
      <w:r>
        <w:rPr>
          <w:rFonts w:ascii="宋体" w:hAnsi="宋体" w:cs="宋体" w:eastAsia="宋体" w:hint="default"/>
        </w:rPr>
        <w:t>2014</w:t>
      </w:r>
      <w:r>
        <w:rPr>
          <w:rFonts w:ascii="宋体" w:hAnsi="宋体" w:cs="宋体" w:eastAsia="宋体" w:hint="default"/>
          <w:spacing w:val="-60"/>
        </w:rPr>
        <w:t> </w:t>
      </w:r>
      <w:r>
        <w:rPr/>
        <w:t>年第五次董事会第二次决议，本公司使用汇丰银行综合信 </w:t>
      </w:r>
      <w:r>
        <w:rPr>
          <w:spacing w:val="-2"/>
        </w:rPr>
        <w:t>用额度以及存款支持申请开立备用信用证为本公司之全资子公司华胜天成（香港）有</w:t>
      </w:r>
      <w:r>
        <w:rPr>
          <w:spacing w:val="-94"/>
        </w:rPr>
        <w:t> </w:t>
      </w:r>
      <w:r>
        <w:rPr>
          <w:spacing w:val="-94"/>
        </w:rPr>
      </w:r>
      <w:r>
        <w:rPr/>
        <w:t>限公司在香港上海汇丰银行有限公司申请授信提供担保，金额为人民币</w:t>
      </w:r>
      <w:r>
        <w:rPr>
          <w:spacing w:val="-60"/>
        </w:rPr>
        <w:t> </w:t>
      </w:r>
      <w:r>
        <w:rPr>
          <w:rFonts w:ascii="宋体" w:hAnsi="宋体" w:cs="宋体" w:eastAsia="宋体" w:hint="default"/>
        </w:rPr>
        <w:t>18,000</w:t>
      </w:r>
      <w:r>
        <w:rPr>
          <w:rFonts w:ascii="宋体" w:hAnsi="宋体" w:cs="宋体" w:eastAsia="宋体" w:hint="default"/>
          <w:spacing w:val="-60"/>
        </w:rPr>
        <w:t> </w:t>
      </w:r>
      <w:r>
        <w:rPr/>
        <w:t>万元</w:t>
      </w:r>
    </w:p>
    <w:p>
      <w:pPr>
        <w:pStyle w:val="BodyText"/>
        <w:spacing w:line="311" w:lineRule="exact"/>
        <w:ind w:right="0"/>
        <w:jc w:val="left"/>
        <w:rPr>
          <w:rFonts w:ascii="宋体" w:hAnsi="宋体" w:cs="宋体" w:eastAsia="宋体" w:hint="default"/>
        </w:rPr>
      </w:pPr>
      <w:r>
        <w:rPr/>
        <w:t>整</w:t>
      </w:r>
      <w:r>
        <w:rPr>
          <w:spacing w:val="-120"/>
        </w:rPr>
        <w:t>，</w:t>
      </w:r>
      <w:r>
        <w:rPr/>
        <w:t>实际开立备用信用证</w:t>
      </w:r>
      <w:r>
        <w:rPr>
          <w:spacing w:val="-72"/>
        </w:rPr>
        <w:t> </w:t>
      </w:r>
      <w:r>
        <w:rPr>
          <w:rFonts w:ascii="宋体" w:hAnsi="宋体" w:cs="宋体" w:eastAsia="宋体" w:hint="default"/>
        </w:rPr>
        <w:t>10,000</w:t>
      </w:r>
      <w:r>
        <w:rPr>
          <w:rFonts w:ascii="宋体" w:hAnsi="宋体" w:cs="宋体" w:eastAsia="宋体" w:hint="default"/>
          <w:spacing w:val="-72"/>
        </w:rPr>
        <w:t> </w:t>
      </w:r>
      <w:r>
        <w:rPr/>
        <w:t>万元整</w:t>
      </w:r>
      <w:r>
        <w:rPr>
          <w:spacing w:val="-120"/>
        </w:rPr>
        <w:t>，</w:t>
      </w:r>
      <w:r>
        <w:rPr/>
        <w:t>开立日期为</w:t>
      </w:r>
      <w:r>
        <w:rPr>
          <w:spacing w:val="-72"/>
        </w:rPr>
        <w:t> </w:t>
      </w:r>
      <w:r>
        <w:rPr>
          <w:rFonts w:ascii="宋体" w:hAnsi="宋体" w:cs="宋体" w:eastAsia="宋体" w:hint="default"/>
        </w:rPr>
        <w:t>2014</w:t>
      </w:r>
      <w:r>
        <w:rPr>
          <w:rFonts w:ascii="宋体" w:hAnsi="宋体" w:cs="宋体" w:eastAsia="宋体" w:hint="default"/>
          <w:spacing w:val="-72"/>
        </w:rPr>
        <w:t> </w:t>
      </w:r>
      <w:r>
        <w:rPr/>
        <w:t>年</w:t>
      </w:r>
      <w:r>
        <w:rPr>
          <w:spacing w:val="-72"/>
        </w:rPr>
        <w:t> </w:t>
      </w:r>
      <w:r>
        <w:rPr>
          <w:rFonts w:ascii="宋体" w:hAnsi="宋体" w:cs="宋体" w:eastAsia="宋体" w:hint="default"/>
        </w:rPr>
        <w:t>9</w:t>
      </w:r>
      <w:r>
        <w:rPr>
          <w:rFonts w:ascii="宋体" w:hAnsi="宋体" w:cs="宋体" w:eastAsia="宋体" w:hint="default"/>
          <w:spacing w:val="-72"/>
        </w:rPr>
        <w:t> </w:t>
      </w:r>
      <w:r>
        <w:rPr/>
        <w:t>月</w:t>
      </w:r>
      <w:r>
        <w:rPr>
          <w:spacing w:val="-72"/>
        </w:rPr>
        <w:t> </w:t>
      </w:r>
      <w:r>
        <w:rPr>
          <w:rFonts w:ascii="宋体" w:hAnsi="宋体" w:cs="宋体" w:eastAsia="宋体" w:hint="default"/>
        </w:rPr>
        <w:t>2</w:t>
      </w:r>
      <w:r>
        <w:rPr>
          <w:rFonts w:ascii="宋体" w:hAnsi="宋体" w:cs="宋体" w:eastAsia="宋体" w:hint="default"/>
          <w:spacing w:val="-72"/>
        </w:rPr>
        <w:t> </w:t>
      </w:r>
      <w:r>
        <w:rPr/>
        <w:t>日担保期限至</w:t>
      </w:r>
      <w:r>
        <w:rPr>
          <w:spacing w:val="-72"/>
        </w:rPr>
        <w:t> </w:t>
      </w:r>
      <w:r>
        <w:rPr>
          <w:rFonts w:ascii="宋体" w:hAnsi="宋体" w:cs="宋体" w:eastAsia="宋体" w:hint="default"/>
        </w:rPr>
        <w:t>2015</w:t>
      </w:r>
    </w:p>
    <w:p>
      <w:pPr>
        <w:pStyle w:val="BodyText"/>
        <w:spacing w:line="312" w:lineRule="exact"/>
        <w:ind w:right="0"/>
        <w:jc w:val="left"/>
      </w:pP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2</w:t>
      </w:r>
      <w:r>
        <w:rPr>
          <w:rFonts w:ascii="宋体" w:hAnsi="宋体" w:cs="宋体" w:eastAsia="宋体" w:hint="default"/>
          <w:spacing w:val="-60"/>
        </w:rPr>
        <w:t> </w:t>
      </w:r>
      <w:r>
        <w:rPr/>
        <w:t>日；</w:t>
      </w:r>
    </w:p>
    <w:p>
      <w:pPr>
        <w:pStyle w:val="BodyText"/>
        <w:spacing w:line="313" w:lineRule="exact" w:before="116"/>
        <w:ind w:left="618" w:right="0"/>
        <w:jc w:val="left"/>
      </w:pPr>
      <w:r>
        <w:rPr/>
        <w:t>（</w:t>
      </w:r>
      <w:r>
        <w:rPr>
          <w:rFonts w:ascii="宋体" w:hAnsi="宋体" w:cs="宋体" w:eastAsia="宋体" w:hint="default"/>
        </w:rPr>
        <w:t>11</w:t>
      </w:r>
      <w:r>
        <w:rPr/>
        <w:t>）根据本公司</w:t>
      </w:r>
      <w:r>
        <w:rPr>
          <w:spacing w:val="-60"/>
        </w:rPr>
        <w:t> </w:t>
      </w:r>
      <w:r>
        <w:rPr>
          <w:rFonts w:ascii="宋体" w:hAnsi="宋体" w:cs="宋体" w:eastAsia="宋体" w:hint="default"/>
        </w:rPr>
        <w:t>2014</w:t>
      </w:r>
      <w:r>
        <w:rPr>
          <w:rFonts w:ascii="宋体" w:hAnsi="宋体" w:cs="宋体" w:eastAsia="宋体" w:hint="default"/>
          <w:spacing w:val="-60"/>
        </w:rPr>
        <w:t> </w:t>
      </w:r>
      <w:r>
        <w:rPr/>
        <w:t>年第五次董事会第三次决议，本公司使用中国银行综合</w:t>
      </w:r>
    </w:p>
    <w:p>
      <w:pPr>
        <w:pStyle w:val="BodyText"/>
        <w:spacing w:line="311" w:lineRule="exact"/>
        <w:ind w:right="0"/>
        <w:jc w:val="left"/>
      </w:pPr>
      <w:r>
        <w:rPr/>
        <w:t>信用额度申请开立备用信用证，金额为</w:t>
      </w:r>
      <w:r>
        <w:rPr>
          <w:spacing w:val="-60"/>
        </w:rPr>
        <w:t> </w:t>
      </w:r>
      <w:r>
        <w:rPr>
          <w:rFonts w:ascii="宋体" w:hAnsi="宋体" w:cs="宋体" w:eastAsia="宋体" w:hint="default"/>
        </w:rPr>
        <w:t>1000</w:t>
      </w:r>
      <w:r>
        <w:rPr>
          <w:rFonts w:ascii="宋体" w:hAnsi="宋体" w:cs="宋体" w:eastAsia="宋体" w:hint="default"/>
          <w:spacing w:val="-60"/>
        </w:rPr>
        <w:t> </w:t>
      </w:r>
      <w:r>
        <w:rPr/>
        <w:t>万美元，为华胜天成科技（香港）有限</w:t>
      </w:r>
    </w:p>
    <w:p>
      <w:pPr>
        <w:pStyle w:val="BodyText"/>
        <w:spacing w:line="311" w:lineRule="exact"/>
        <w:ind w:right="0"/>
        <w:jc w:val="left"/>
        <w:rPr>
          <w:rFonts w:ascii="宋体" w:hAnsi="宋体" w:cs="宋体" w:eastAsia="宋体" w:hint="default"/>
        </w:rPr>
      </w:pPr>
      <w:r>
        <w:rPr/>
        <w:t>公司在中国银行（香港）有限公司申请贸易项下融资业务额度提供不超过美金</w:t>
      </w:r>
      <w:r>
        <w:rPr>
          <w:spacing w:val="-60"/>
        </w:rPr>
        <w:t> </w:t>
      </w:r>
      <w:r>
        <w:rPr>
          <w:rFonts w:ascii="宋体" w:hAnsi="宋体" w:cs="宋体" w:eastAsia="宋体" w:hint="default"/>
        </w:rPr>
        <w:t>1000</w:t>
      </w:r>
    </w:p>
    <w:p>
      <w:pPr>
        <w:pStyle w:val="BodyText"/>
        <w:spacing w:line="312" w:lineRule="exact"/>
        <w:ind w:right="0"/>
        <w:jc w:val="left"/>
      </w:pPr>
      <w:r>
        <w:rPr/>
        <w:t>万元的担保，担保期限</w:t>
      </w:r>
      <w:r>
        <w:rPr>
          <w:spacing w:val="-60"/>
        </w:rPr>
        <w:t> </w:t>
      </w:r>
      <w:r>
        <w:rPr>
          <w:rFonts w:ascii="宋体" w:hAnsi="宋体" w:cs="宋体" w:eastAsia="宋体" w:hint="default"/>
        </w:rPr>
        <w:t>1</w:t>
      </w:r>
      <w:r>
        <w:rPr>
          <w:rFonts w:ascii="宋体" w:hAnsi="宋体" w:cs="宋体" w:eastAsia="宋体" w:hint="default"/>
          <w:spacing w:val="-60"/>
        </w:rPr>
        <w:t> </w:t>
      </w:r>
      <w:r>
        <w:rPr/>
        <w:t>年。</w:t>
      </w:r>
    </w:p>
    <w:p>
      <w:pPr>
        <w:pStyle w:val="BodyText"/>
        <w:spacing w:line="237" w:lineRule="auto" w:before="120"/>
        <w:ind w:right="288" w:firstLine="480"/>
        <w:jc w:val="left"/>
      </w:pPr>
      <w:r>
        <w:rPr/>
        <w:t>（</w:t>
      </w:r>
      <w:r>
        <w:rPr>
          <w:rFonts w:ascii="宋体" w:hAnsi="宋体" w:cs="宋体" w:eastAsia="宋体" w:hint="default"/>
        </w:rPr>
        <w:t>12</w:t>
      </w:r>
      <w:r>
        <w:rPr/>
        <w:t>）本公司于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11</w:t>
      </w:r>
      <w:r>
        <w:rPr>
          <w:rFonts w:ascii="宋体" w:hAnsi="宋体" w:cs="宋体" w:eastAsia="宋体" w:hint="default"/>
          <w:spacing w:val="-60"/>
        </w:rPr>
        <w:t> </w:t>
      </w:r>
      <w:r>
        <w:rPr/>
        <w:t>日向北京海淀区人民法院提起对于甲骨文（中 国）软件系统有限公司的买卖合同纠纷诉讼，要求其返还合同货款及利息共计 </w:t>
      </w:r>
      <w:r>
        <w:rPr>
          <w:rFonts w:ascii="宋体" w:hAnsi="宋体" w:cs="宋体" w:eastAsia="宋体" w:hint="default"/>
        </w:rPr>
        <w:t>12,105,033.38</w:t>
      </w:r>
      <w:r>
        <w:rPr>
          <w:rFonts w:ascii="宋体" w:hAnsi="宋体" w:cs="宋体" w:eastAsia="宋体" w:hint="default"/>
          <w:spacing w:val="-60"/>
        </w:rPr>
        <w:t> </w:t>
      </w:r>
      <w:r>
        <w:rPr/>
        <w:t>元，截至</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t>日尚未开庭审理。</w:t>
      </w:r>
    </w:p>
    <w:p>
      <w:pPr>
        <w:tabs>
          <w:tab w:pos="977" w:val="left" w:leader="none"/>
        </w:tabs>
        <w:spacing w:before="121"/>
        <w:ind w:left="138" w:right="0" w:firstLine="0"/>
        <w:jc w:val="left"/>
        <w:rPr>
          <w:rFonts w:ascii="宋体" w:hAnsi="宋体" w:cs="宋体" w:eastAsia="宋体" w:hint="default"/>
          <w:sz w:val="21"/>
          <w:szCs w:val="21"/>
        </w:rPr>
      </w:pPr>
      <w:r>
        <w:rPr>
          <w:rFonts w:ascii="宋体" w:hAnsi="宋体" w:cs="宋体" w:eastAsia="宋体" w:hint="default"/>
          <w:b/>
          <w:bCs/>
          <w:w w:val="95"/>
          <w:sz w:val="21"/>
          <w:szCs w:val="21"/>
        </w:rPr>
        <w:t>十五、</w:t>
        <w:tab/>
      </w:r>
      <w:r>
        <w:rPr>
          <w:rFonts w:ascii="宋体" w:hAnsi="宋体" w:cs="宋体" w:eastAsia="宋体" w:hint="default"/>
          <w:b/>
          <w:bCs/>
          <w:sz w:val="21"/>
          <w:szCs w:val="21"/>
        </w:rPr>
        <w:t>资产负债表日后事项</w:t>
      </w:r>
      <w:r>
        <w:rPr>
          <w:rFonts w:ascii="宋体" w:hAnsi="宋体" w:cs="宋体" w:eastAsia="宋体" w:hint="default"/>
          <w:sz w:val="21"/>
          <w:szCs w:val="21"/>
        </w:rPr>
      </w:r>
    </w:p>
    <w:p>
      <w:pPr>
        <w:pStyle w:val="BodyText"/>
        <w:spacing w:line="240" w:lineRule="auto" w:before="114"/>
        <w:ind w:right="0"/>
        <w:jc w:val="left"/>
      </w:pPr>
      <w:r>
        <w:rPr>
          <w:rFonts w:ascii="宋体" w:hAnsi="宋体" w:cs="宋体" w:eastAsia="宋体" w:hint="default"/>
        </w:rPr>
        <w:t>1</w:t>
      </w:r>
      <w:r>
        <w:rPr/>
        <w:t>、重要的资产负债表日后事项说明</w:t>
      </w:r>
    </w:p>
    <w:p>
      <w:pPr>
        <w:pStyle w:val="BodyText"/>
        <w:spacing w:line="312" w:lineRule="exact" w:before="147"/>
        <w:ind w:right="216" w:firstLine="480"/>
        <w:jc w:val="left"/>
      </w:pPr>
      <w:r>
        <w:rPr/>
        <w:t>（</w:t>
      </w:r>
      <w:r>
        <w:rPr>
          <w:rFonts w:ascii="宋体" w:hAnsi="宋体" w:cs="宋体" w:eastAsia="宋体" w:hint="default"/>
        </w:rPr>
        <w:t>1</w:t>
      </w:r>
      <w:r>
        <w:rPr/>
        <w:t>）本公司控股子公司北京华胜天成软件技术有限公司于</w:t>
      </w:r>
      <w:r>
        <w:rPr>
          <w:spacing w:val="-68"/>
        </w:rPr>
        <w:t> </w:t>
      </w:r>
      <w:r>
        <w:rPr>
          <w:rFonts w:ascii="宋体" w:hAnsi="宋体" w:cs="宋体" w:eastAsia="宋体" w:hint="default"/>
        </w:rPr>
        <w:t>2014</w:t>
      </w:r>
      <w:r>
        <w:rPr>
          <w:rFonts w:ascii="宋体" w:hAnsi="宋体" w:cs="宋体" w:eastAsia="宋体" w:hint="default"/>
          <w:spacing w:val="-68"/>
        </w:rPr>
        <w:t> </w:t>
      </w:r>
      <w:r>
        <w:rPr/>
        <w:t>年</w:t>
      </w:r>
      <w:r>
        <w:rPr>
          <w:spacing w:val="-68"/>
        </w:rPr>
        <w:t> </w:t>
      </w:r>
      <w:r>
        <w:rPr>
          <w:rFonts w:ascii="宋体" w:hAnsi="宋体" w:cs="宋体" w:eastAsia="宋体" w:hint="default"/>
        </w:rPr>
        <w:t>12</w:t>
      </w:r>
      <w:r>
        <w:rPr>
          <w:rFonts w:ascii="宋体" w:hAnsi="宋体" w:cs="宋体" w:eastAsia="宋体" w:hint="default"/>
          <w:spacing w:val="-68"/>
        </w:rPr>
        <w:t> </w:t>
      </w:r>
      <w:r>
        <w:rPr/>
        <w:t>月</w:t>
      </w:r>
      <w:r>
        <w:rPr>
          <w:spacing w:val="-68"/>
        </w:rPr>
        <w:t> </w:t>
      </w:r>
      <w:r>
        <w:rPr>
          <w:rFonts w:ascii="宋体" w:hAnsi="宋体" w:cs="宋体" w:eastAsia="宋体" w:hint="default"/>
        </w:rPr>
        <w:t>31</w:t>
      </w:r>
      <w:r>
        <w:rPr>
          <w:rFonts w:ascii="宋体" w:hAnsi="宋体" w:cs="宋体" w:eastAsia="宋体" w:hint="default"/>
          <w:spacing w:val="-68"/>
        </w:rPr>
        <w:t> </w:t>
      </w:r>
      <w:r>
        <w:rPr/>
        <w:t>日同 </w:t>
      </w:r>
      <w:r>
        <w:rPr>
          <w:spacing w:val="-8"/>
        </w:rPr>
        <w:t>杭州沃趣网络科技有限公司（以下简称“沃趣科技”）签署了股权转让和投资协议（以</w:t>
      </w:r>
    </w:p>
    <w:p>
      <w:pPr>
        <w:spacing w:after="0" w:line="312" w:lineRule="exact"/>
        <w:jc w:val="left"/>
        <w:sectPr>
          <w:footerReference w:type="default" r:id="rId54"/>
          <w:pgSz w:w="11910" w:h="16840"/>
          <w:pgMar w:footer="1194" w:header="882" w:top="1120" w:bottom="1380" w:left="1660" w:right="1040"/>
        </w:sectPr>
      </w:pPr>
    </w:p>
    <w:p>
      <w:pPr>
        <w:spacing w:line="240" w:lineRule="auto" w:before="9"/>
        <w:rPr>
          <w:rFonts w:ascii="宋体" w:hAnsi="宋体" w:cs="宋体" w:eastAsia="宋体" w:hint="default"/>
          <w:sz w:val="25"/>
          <w:szCs w:val="25"/>
        </w:rPr>
      </w:pPr>
    </w:p>
    <w:p>
      <w:pPr>
        <w:pStyle w:val="BodyText"/>
        <w:spacing w:line="312" w:lineRule="exact" w:before="26"/>
        <w:ind w:left="818" w:right="527"/>
        <w:jc w:val="left"/>
      </w:pPr>
      <w:r>
        <w:rPr>
          <w:spacing w:val="-3"/>
        </w:rPr>
        <w:t>下简称“协议”），以自有资金不超过</w:t>
      </w:r>
      <w:r>
        <w:rPr>
          <w:spacing w:val="-59"/>
        </w:rPr>
        <w:t> </w:t>
      </w:r>
      <w:r>
        <w:rPr>
          <w:rFonts w:ascii="宋体" w:hAnsi="宋体" w:cs="宋体" w:eastAsia="宋体" w:hint="default"/>
        </w:rPr>
        <w:t>2,627</w:t>
      </w:r>
      <w:r>
        <w:rPr>
          <w:rFonts w:ascii="宋体" w:hAnsi="宋体" w:cs="宋体" w:eastAsia="宋体" w:hint="default"/>
          <w:spacing w:val="-59"/>
        </w:rPr>
        <w:t> </w:t>
      </w:r>
      <w:r>
        <w:rPr/>
        <w:t>万元人民币受让沃趣科技的部分股权和</w:t>
      </w:r>
    </w:p>
    <w:p>
      <w:pPr>
        <w:pStyle w:val="BodyText"/>
        <w:spacing w:line="312" w:lineRule="exact"/>
        <w:ind w:left="818" w:right="527"/>
        <w:jc w:val="left"/>
      </w:pPr>
      <w:r>
        <w:rPr/>
        <w:t>对其进行增资。上述交易已于</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9</w:t>
      </w:r>
      <w:r>
        <w:rPr>
          <w:rFonts w:ascii="宋体" w:hAnsi="宋体" w:cs="宋体" w:eastAsia="宋体" w:hint="default"/>
          <w:spacing w:val="-60"/>
        </w:rPr>
        <w:t> </w:t>
      </w:r>
      <w:r>
        <w:rPr/>
        <w:t>日办理完毕。</w:t>
      </w:r>
    </w:p>
    <w:p>
      <w:pPr>
        <w:pStyle w:val="BodyText"/>
        <w:spacing w:line="313" w:lineRule="exact" w:before="118"/>
        <w:ind w:left="1298" w:right="527"/>
        <w:jc w:val="left"/>
      </w:pPr>
      <w:r>
        <w:rPr/>
        <w:t>（</w:t>
      </w:r>
      <w:r>
        <w:rPr>
          <w:rFonts w:ascii="宋体" w:hAnsi="宋体" w:cs="宋体" w:eastAsia="宋体" w:hint="default"/>
        </w:rPr>
        <w:t>2</w:t>
      </w:r>
      <w:r>
        <w:rPr/>
        <w:t>）根据本公司</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19</w:t>
      </w:r>
      <w:r>
        <w:rPr>
          <w:rFonts w:ascii="宋体" w:hAnsi="宋体" w:cs="宋体" w:eastAsia="宋体" w:hint="default"/>
          <w:spacing w:val="-60"/>
        </w:rPr>
        <w:t> </w:t>
      </w:r>
      <w:r>
        <w:rPr/>
        <w:t>日第一次临时董事会决议，本公司拟由全资子</w:t>
      </w:r>
    </w:p>
    <w:p>
      <w:pPr>
        <w:pStyle w:val="BodyText"/>
        <w:spacing w:line="311" w:lineRule="exact"/>
        <w:ind w:left="818" w:right="527"/>
        <w:jc w:val="left"/>
      </w:pPr>
      <w:r>
        <w:rPr/>
        <w:t>公司华胜信泰科技有限公司以不超过</w:t>
      </w:r>
      <w:r>
        <w:rPr>
          <w:spacing w:val="-84"/>
        </w:rPr>
        <w:t> </w:t>
      </w:r>
      <w:r>
        <w:rPr>
          <w:rFonts w:ascii="宋体" w:hAnsi="宋体" w:cs="宋体" w:eastAsia="宋体" w:hint="default"/>
        </w:rPr>
        <w:t>2</w:t>
      </w:r>
      <w:r>
        <w:rPr>
          <w:rFonts w:ascii="宋体" w:hAnsi="宋体" w:cs="宋体" w:eastAsia="宋体" w:hint="default"/>
          <w:spacing w:val="-84"/>
        </w:rPr>
        <w:t> </w:t>
      </w:r>
      <w:r>
        <w:rPr/>
        <w:t>亿元人民币投资设立北京华胜信泰信息产业发</w:t>
      </w:r>
    </w:p>
    <w:p>
      <w:pPr>
        <w:pStyle w:val="BodyText"/>
        <w:spacing w:line="312" w:lineRule="exact"/>
        <w:ind w:left="818" w:right="527"/>
        <w:jc w:val="left"/>
      </w:pPr>
      <w:r>
        <w:rPr/>
        <w:t>展有限公司。该公司已于该公司已于</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12</w:t>
      </w:r>
      <w:r>
        <w:rPr>
          <w:rFonts w:ascii="宋体" w:hAnsi="宋体" w:cs="宋体" w:eastAsia="宋体" w:hint="default"/>
          <w:spacing w:val="-60"/>
        </w:rPr>
        <w:t> </w:t>
      </w:r>
      <w:r>
        <w:rPr/>
        <w:t>日成立。</w:t>
      </w:r>
    </w:p>
    <w:p>
      <w:pPr>
        <w:pStyle w:val="BodyText"/>
        <w:spacing w:line="312" w:lineRule="exact" w:before="118"/>
        <w:ind w:left="1298" w:right="527"/>
        <w:jc w:val="left"/>
      </w:pPr>
      <w:r>
        <w:rPr/>
        <w:t>（</w:t>
      </w:r>
      <w:r>
        <w:rPr>
          <w:rFonts w:ascii="宋体" w:hAnsi="宋体" w:cs="宋体" w:eastAsia="宋体" w:hint="default"/>
        </w:rPr>
        <w:t>3</w:t>
      </w:r>
      <w:r>
        <w:rPr/>
        <w:t>）根据本公司</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19</w:t>
      </w:r>
      <w:r>
        <w:rPr>
          <w:rFonts w:ascii="宋体" w:hAnsi="宋体" w:cs="宋体" w:eastAsia="宋体" w:hint="default"/>
          <w:spacing w:val="-60"/>
        </w:rPr>
        <w:t> </w:t>
      </w:r>
      <w:r>
        <w:rPr/>
        <w:t>日第一次临时董事会决议，控股子公司北京新</w:t>
      </w:r>
    </w:p>
    <w:p>
      <w:pPr>
        <w:pStyle w:val="BodyText"/>
        <w:spacing w:line="311" w:lineRule="exact"/>
        <w:ind w:left="818" w:right="527"/>
        <w:jc w:val="left"/>
      </w:pPr>
      <w:r>
        <w:rPr/>
        <w:t>云东方系统科技有限责任公司拟以不超过</w:t>
      </w:r>
      <w:r>
        <w:rPr>
          <w:spacing w:val="-60"/>
        </w:rPr>
        <w:t> </w:t>
      </w:r>
      <w:r>
        <w:rPr>
          <w:rFonts w:ascii="宋体" w:hAnsi="宋体" w:cs="宋体" w:eastAsia="宋体" w:hint="default"/>
        </w:rPr>
        <w:t>1,000</w:t>
      </w:r>
      <w:r>
        <w:rPr>
          <w:rFonts w:ascii="宋体" w:hAnsi="宋体" w:cs="宋体" w:eastAsia="宋体" w:hint="default"/>
          <w:spacing w:val="-60"/>
        </w:rPr>
        <w:t> </w:t>
      </w:r>
      <w:r>
        <w:rPr>
          <w:spacing w:val="-3"/>
        </w:rPr>
        <w:t>万元人民币的自有资金，出资设立北</w:t>
      </w:r>
    </w:p>
    <w:p>
      <w:pPr>
        <w:pStyle w:val="BodyText"/>
        <w:spacing w:line="312" w:lineRule="exact"/>
        <w:ind w:left="818" w:right="527"/>
        <w:jc w:val="left"/>
      </w:pPr>
      <w:r>
        <w:rPr/>
        <w:t>京新云东方科技信息服务有限公司，截至</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t>日上述事项正在办理之中。</w:t>
      </w:r>
    </w:p>
    <w:p>
      <w:pPr>
        <w:pStyle w:val="BodyText"/>
        <w:spacing w:line="312" w:lineRule="exact" w:before="118"/>
        <w:ind w:left="1298" w:right="527"/>
        <w:jc w:val="left"/>
      </w:pPr>
      <w:r>
        <w:rPr/>
        <w:t>（</w:t>
      </w:r>
      <w:r>
        <w:rPr>
          <w:rFonts w:ascii="宋体" w:hAnsi="宋体" w:cs="宋体" w:eastAsia="宋体" w:hint="default"/>
        </w:rPr>
        <w:t>4</w:t>
      </w:r>
      <w:r>
        <w:rPr/>
        <w:t>）根据本公司</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19</w:t>
      </w:r>
      <w:r>
        <w:rPr>
          <w:rFonts w:ascii="宋体" w:hAnsi="宋体" w:cs="宋体" w:eastAsia="宋体" w:hint="default"/>
          <w:spacing w:val="-60"/>
        </w:rPr>
        <w:t> </w:t>
      </w:r>
      <w:r>
        <w:rPr/>
        <w:t>日第一次临时董事会决议，拟与郝庄严共同投</w:t>
      </w:r>
    </w:p>
    <w:p>
      <w:pPr>
        <w:pStyle w:val="BodyText"/>
        <w:spacing w:line="311" w:lineRule="exact"/>
        <w:ind w:left="818" w:right="527"/>
        <w:jc w:val="left"/>
      </w:pPr>
      <w:r>
        <w:rPr/>
        <w:t>资</w:t>
      </w:r>
      <w:r>
        <w:rPr>
          <w:spacing w:val="-84"/>
        </w:rPr>
        <w:t> </w:t>
      </w:r>
      <w:r>
        <w:rPr>
          <w:rFonts w:ascii="宋体" w:hAnsi="宋体" w:cs="宋体" w:eastAsia="宋体" w:hint="default"/>
        </w:rPr>
        <w:t>2,000</w:t>
      </w:r>
      <w:r>
        <w:rPr>
          <w:rFonts w:ascii="宋体" w:hAnsi="宋体" w:cs="宋体" w:eastAsia="宋体" w:hint="default"/>
          <w:spacing w:val="-84"/>
        </w:rPr>
        <w:t> </w:t>
      </w:r>
      <w:r>
        <w:rPr/>
        <w:t>万元，设立北京新云东方工业技术有限公司。其中北京新云东方系统科技有</w:t>
      </w:r>
    </w:p>
    <w:p>
      <w:pPr>
        <w:pStyle w:val="BodyText"/>
        <w:spacing w:line="310" w:lineRule="exact" w:before="31"/>
        <w:ind w:left="818" w:right="600"/>
        <w:jc w:val="left"/>
      </w:pPr>
      <w:r>
        <w:rPr/>
        <w:t>限责任公司出资</w:t>
      </w:r>
      <w:r>
        <w:rPr>
          <w:spacing w:val="-60"/>
        </w:rPr>
        <w:t> </w:t>
      </w:r>
      <w:r>
        <w:rPr>
          <w:rFonts w:ascii="宋体" w:hAnsi="宋体" w:cs="宋体" w:eastAsia="宋体" w:hint="default"/>
        </w:rPr>
        <w:t>1,980</w:t>
      </w:r>
      <w:r>
        <w:rPr>
          <w:rFonts w:ascii="宋体" w:hAnsi="宋体" w:cs="宋体" w:eastAsia="宋体" w:hint="default"/>
          <w:spacing w:val="-60"/>
        </w:rPr>
        <w:t> </w:t>
      </w:r>
      <w:r>
        <w:rPr>
          <w:spacing w:val="-7"/>
        </w:rPr>
        <w:t>万元，持有该公司</w:t>
      </w:r>
      <w:r>
        <w:rPr>
          <w:spacing w:val="-60"/>
        </w:rPr>
        <w:t> </w:t>
      </w:r>
      <w:r>
        <w:rPr>
          <w:rFonts w:ascii="宋体" w:hAnsi="宋体" w:cs="宋体" w:eastAsia="宋体" w:hint="default"/>
          <w:spacing w:val="-7"/>
        </w:rPr>
        <w:t>99%</w:t>
      </w:r>
      <w:r>
        <w:rPr>
          <w:spacing w:val="-7"/>
        </w:rPr>
        <w:t>股权，截至</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t>日上述事项正 在办理之中。</w:t>
      </w:r>
    </w:p>
    <w:p>
      <w:pPr>
        <w:pStyle w:val="BodyText"/>
        <w:spacing w:line="237" w:lineRule="auto" w:before="91"/>
        <w:ind w:left="818" w:right="600" w:firstLine="480"/>
        <w:jc w:val="left"/>
      </w:pPr>
      <w:r>
        <w:rPr>
          <w:spacing w:val="-4"/>
        </w:rPr>
        <w:t>（</w:t>
      </w:r>
      <w:r>
        <w:rPr>
          <w:rFonts w:ascii="宋体" w:hAnsi="宋体" w:cs="宋体" w:eastAsia="宋体" w:hint="default"/>
          <w:spacing w:val="-4"/>
        </w:rPr>
        <w:t>5</w:t>
      </w:r>
      <w:r>
        <w:rPr>
          <w:spacing w:val="-4"/>
        </w:rPr>
        <w:t>）</w:t>
      </w:r>
      <w:r>
        <w:rPr>
          <w:rFonts w:ascii="宋体" w:hAnsi="宋体" w:cs="宋体" w:eastAsia="宋体" w:hint="default"/>
          <w:spacing w:val="-4"/>
        </w:rPr>
        <w:t>2015</w:t>
      </w:r>
      <w:r>
        <w:rPr>
          <w:rFonts w:ascii="宋体" w:hAnsi="宋体" w:cs="宋体" w:eastAsia="宋体" w:hint="default"/>
          <w:spacing w:val="-56"/>
        </w:rPr>
        <w:t> </w:t>
      </w:r>
      <w:r>
        <w:rPr/>
        <w:t>年</w:t>
      </w:r>
      <w:r>
        <w:rPr>
          <w:spacing w:val="-56"/>
        </w:rPr>
        <w:t> </w:t>
      </w:r>
      <w:r>
        <w:rPr>
          <w:rFonts w:ascii="宋体" w:hAnsi="宋体" w:cs="宋体" w:eastAsia="宋体" w:hint="default"/>
        </w:rPr>
        <w:t>3</w:t>
      </w:r>
      <w:r>
        <w:rPr>
          <w:rFonts w:ascii="宋体" w:hAnsi="宋体" w:cs="宋体" w:eastAsia="宋体" w:hint="default"/>
          <w:spacing w:val="-56"/>
        </w:rPr>
        <w:t> </w:t>
      </w:r>
      <w:r>
        <w:rPr/>
        <w:t>月</w:t>
      </w:r>
      <w:r>
        <w:rPr>
          <w:spacing w:val="-56"/>
        </w:rPr>
        <w:t> </w:t>
      </w:r>
      <w:r>
        <w:rPr>
          <w:rFonts w:ascii="宋体" w:hAnsi="宋体" w:cs="宋体" w:eastAsia="宋体" w:hint="default"/>
        </w:rPr>
        <w:t>18</w:t>
      </w:r>
      <w:r>
        <w:rPr>
          <w:rFonts w:ascii="宋体" w:hAnsi="宋体" w:cs="宋体" w:eastAsia="宋体" w:hint="default"/>
          <w:spacing w:val="-56"/>
        </w:rPr>
        <w:t> </w:t>
      </w:r>
      <w:r>
        <w:rPr>
          <w:spacing w:val="-4"/>
        </w:rPr>
        <w:t>日，本公司、国际商业机器（中国）有限公司签署了软件许</w:t>
      </w:r>
      <w:r>
        <w:rPr/>
        <w:t> 可协议，按照协议约定，取得 </w:t>
      </w:r>
      <w:r>
        <w:rPr>
          <w:rFonts w:ascii="宋体" w:hAnsi="宋体" w:cs="宋体" w:eastAsia="宋体" w:hint="default"/>
        </w:rPr>
        <w:t>IBM Web Sphere Application Server Liberty</w:t>
      </w:r>
      <w:r>
        <w:rPr>
          <w:rFonts w:ascii="宋体" w:hAnsi="宋体" w:cs="宋体" w:eastAsia="宋体" w:hint="default"/>
          <w:spacing w:val="-60"/>
        </w:rPr>
        <w:t> </w:t>
      </w:r>
      <w:r>
        <w:rPr>
          <w:rFonts w:ascii="宋体" w:hAnsi="宋体" w:cs="宋体" w:eastAsia="宋体" w:hint="default"/>
        </w:rPr>
        <w:t>Base </w:t>
      </w:r>
      <w:r>
        <w:rPr/>
        <w:t>和</w:t>
      </w:r>
      <w:r>
        <w:rPr>
          <w:spacing w:val="-60"/>
        </w:rPr>
        <w:t> </w:t>
      </w:r>
      <w:r>
        <w:rPr>
          <w:rFonts w:ascii="宋体" w:hAnsi="宋体" w:cs="宋体" w:eastAsia="宋体" w:hint="default"/>
        </w:rPr>
        <w:t>IBMMQ</w:t>
      </w:r>
      <w:r>
        <w:rPr>
          <w:rFonts w:ascii="宋体" w:hAnsi="宋体" w:cs="宋体" w:eastAsia="宋体" w:hint="default"/>
          <w:spacing w:val="-60"/>
        </w:rPr>
        <w:t> </w:t>
      </w:r>
      <w:r>
        <w:rPr/>
        <w:t>的中间件软件许可使用权，主要用于公司开展的</w:t>
      </w:r>
      <w:r>
        <w:rPr>
          <w:spacing w:val="-60"/>
        </w:rPr>
        <w:t> </w:t>
      </w:r>
      <w:r>
        <w:rPr>
          <w:rFonts w:ascii="宋体" w:hAnsi="宋体" w:cs="宋体" w:eastAsia="宋体" w:hint="default"/>
        </w:rPr>
        <w:t>TOP</w:t>
      </w:r>
      <w:r>
        <w:rPr>
          <w:rFonts w:ascii="宋体" w:hAnsi="宋体" w:cs="宋体" w:eastAsia="宋体" w:hint="default"/>
          <w:spacing w:val="-60"/>
        </w:rPr>
        <w:t> </w:t>
      </w:r>
      <w:r>
        <w:rPr/>
        <w:t>项目。</w:t>
      </w:r>
    </w:p>
    <w:p>
      <w:pPr>
        <w:pStyle w:val="BodyText"/>
        <w:spacing w:line="312" w:lineRule="exact" w:before="147"/>
        <w:ind w:left="818" w:right="596" w:firstLine="480"/>
        <w:jc w:val="left"/>
      </w:pPr>
      <w:r>
        <w:rPr/>
        <w:t>（</w:t>
      </w:r>
      <w:r>
        <w:rPr>
          <w:rFonts w:ascii="宋体" w:hAnsi="宋体" w:cs="宋体" w:eastAsia="宋体" w:hint="default"/>
        </w:rPr>
        <w:t>6</w:t>
      </w:r>
      <w:r>
        <w:rPr/>
        <w:t>）本公司之子公司南京华胜天成信息技术有限公司与南京拓维致胜信息科技 有限公司投资设立南京华胜天成智慧城市技术有限公司，截止</w:t>
      </w:r>
      <w:r>
        <w:rPr>
          <w:spacing w:val="-64"/>
        </w:rPr>
        <w:t> </w:t>
      </w:r>
      <w:r>
        <w:rPr>
          <w:rFonts w:ascii="宋体" w:hAnsi="宋体" w:cs="宋体" w:eastAsia="宋体" w:hint="default"/>
        </w:rPr>
        <w:t>2015</w:t>
      </w:r>
      <w:r>
        <w:rPr>
          <w:rFonts w:ascii="宋体" w:hAnsi="宋体" w:cs="宋体" w:eastAsia="宋体" w:hint="default"/>
          <w:spacing w:val="-64"/>
        </w:rPr>
        <w:t> </w:t>
      </w:r>
      <w:r>
        <w:rPr/>
        <w:t>年</w:t>
      </w:r>
      <w:r>
        <w:rPr>
          <w:spacing w:val="-64"/>
        </w:rPr>
        <w:t> </w:t>
      </w:r>
      <w:r>
        <w:rPr>
          <w:rFonts w:ascii="宋体" w:hAnsi="宋体" w:cs="宋体" w:eastAsia="宋体" w:hint="default"/>
        </w:rPr>
        <w:t>1</w:t>
      </w:r>
      <w:r>
        <w:rPr>
          <w:rFonts w:ascii="宋体" w:hAnsi="宋体" w:cs="宋体" w:eastAsia="宋体" w:hint="default"/>
          <w:spacing w:val="-64"/>
        </w:rPr>
        <w:t> </w:t>
      </w:r>
      <w:r>
        <w:rPr/>
        <w:t>月</w:t>
      </w:r>
      <w:r>
        <w:rPr>
          <w:spacing w:val="-64"/>
        </w:rPr>
        <w:t> </w:t>
      </w:r>
      <w:r>
        <w:rPr>
          <w:rFonts w:ascii="宋体" w:hAnsi="宋体" w:cs="宋体" w:eastAsia="宋体" w:hint="default"/>
        </w:rPr>
        <w:t>20</w:t>
      </w:r>
      <w:r>
        <w:rPr>
          <w:rFonts w:ascii="宋体" w:hAnsi="宋体" w:cs="宋体" w:eastAsia="宋体" w:hint="default"/>
          <w:spacing w:val="-64"/>
        </w:rPr>
        <w:t> </w:t>
      </w:r>
      <w:r>
        <w:rPr>
          <w:spacing w:val="-8"/>
        </w:rPr>
        <w:t>日，本</w:t>
      </w:r>
    </w:p>
    <w:p>
      <w:pPr>
        <w:pStyle w:val="BodyText"/>
        <w:spacing w:line="282" w:lineRule="exact"/>
        <w:ind w:left="818" w:right="527"/>
        <w:jc w:val="left"/>
      </w:pPr>
      <w:r>
        <w:rPr/>
        <w:t>公司之子公司南京华胜天成信息技术有限公司已支付投资款</w:t>
      </w:r>
      <w:r>
        <w:rPr>
          <w:spacing w:val="-60"/>
        </w:rPr>
        <w:t> </w:t>
      </w:r>
      <w:r>
        <w:rPr>
          <w:rFonts w:ascii="宋体" w:hAnsi="宋体" w:cs="宋体" w:eastAsia="宋体" w:hint="default"/>
        </w:rPr>
        <w:t>3,624,000.00</w:t>
      </w:r>
      <w:r>
        <w:rPr>
          <w:rFonts w:ascii="宋体" w:hAnsi="宋体" w:cs="宋体" w:eastAsia="宋体" w:hint="default"/>
          <w:spacing w:val="-60"/>
        </w:rPr>
        <w:t> </w:t>
      </w:r>
      <w:r>
        <w:rPr/>
        <w:t>元。</w:t>
      </w:r>
    </w:p>
    <w:p>
      <w:pPr>
        <w:pStyle w:val="BodyText"/>
        <w:spacing w:line="312" w:lineRule="exact" w:before="148"/>
        <w:ind w:left="818" w:right="613" w:firstLine="480"/>
        <w:jc w:val="both"/>
      </w:pPr>
      <w:r>
        <w:rPr/>
        <w:t>（</w:t>
      </w:r>
      <w:r>
        <w:rPr>
          <w:rFonts w:ascii="宋体" w:hAnsi="宋体" w:cs="宋体" w:eastAsia="宋体" w:hint="default"/>
        </w:rPr>
        <w:t>7</w:t>
      </w:r>
      <w:r>
        <w:rPr/>
        <w:t>）本公司之子公司南京华胜天成信息技术有限公司与南京华胜天成智慧城市 </w:t>
      </w:r>
      <w:r>
        <w:rPr>
          <w:spacing w:val="-2"/>
        </w:rPr>
        <w:t>技术有限公司、南京夫子庙文化旅游集团有限公司投资设立南京智慧夫子庙文化旅游</w:t>
      </w:r>
      <w:r>
        <w:rPr>
          <w:spacing w:val="-93"/>
        </w:rPr>
        <w:t> </w:t>
      </w:r>
      <w:r>
        <w:rPr>
          <w:spacing w:val="-93"/>
        </w:rPr>
      </w:r>
      <w:r>
        <w:rPr>
          <w:spacing w:val="-3"/>
        </w:rPr>
        <w:t>发展有限公司，截止</w:t>
      </w:r>
      <w:r>
        <w:rPr>
          <w:spacing w:val="-64"/>
        </w:rPr>
        <w:t> </w:t>
      </w:r>
      <w:r>
        <w:rPr>
          <w:rFonts w:ascii="宋体" w:hAnsi="宋体" w:cs="宋体" w:eastAsia="宋体" w:hint="default"/>
        </w:rPr>
        <w:t>2015</w:t>
      </w:r>
      <w:r>
        <w:rPr>
          <w:rFonts w:ascii="宋体" w:hAnsi="宋体" w:cs="宋体" w:eastAsia="宋体" w:hint="default"/>
          <w:spacing w:val="-64"/>
        </w:rPr>
        <w:t> </w:t>
      </w:r>
      <w:r>
        <w:rPr/>
        <w:t>年</w:t>
      </w:r>
      <w:r>
        <w:rPr>
          <w:spacing w:val="-64"/>
        </w:rPr>
        <w:t> </w:t>
      </w:r>
      <w:r>
        <w:rPr>
          <w:rFonts w:ascii="宋体" w:hAnsi="宋体" w:cs="宋体" w:eastAsia="宋体" w:hint="default"/>
        </w:rPr>
        <w:t>1</w:t>
      </w:r>
      <w:r>
        <w:rPr>
          <w:rFonts w:ascii="宋体" w:hAnsi="宋体" w:cs="宋体" w:eastAsia="宋体" w:hint="default"/>
          <w:spacing w:val="-64"/>
        </w:rPr>
        <w:t> </w:t>
      </w:r>
      <w:r>
        <w:rPr/>
        <w:t>月</w:t>
      </w:r>
      <w:r>
        <w:rPr>
          <w:spacing w:val="-64"/>
        </w:rPr>
        <w:t> </w:t>
      </w:r>
      <w:r>
        <w:rPr>
          <w:rFonts w:ascii="宋体" w:hAnsi="宋体" w:cs="宋体" w:eastAsia="宋体" w:hint="default"/>
        </w:rPr>
        <w:t>30</w:t>
      </w:r>
      <w:r>
        <w:rPr>
          <w:rFonts w:ascii="宋体" w:hAnsi="宋体" w:cs="宋体" w:eastAsia="宋体" w:hint="default"/>
          <w:spacing w:val="-64"/>
        </w:rPr>
        <w:t> </w:t>
      </w:r>
      <w:r>
        <w:rPr/>
        <w:t>日，本公司之子公司南京华胜天成信息技术有限</w:t>
      </w:r>
    </w:p>
    <w:p>
      <w:pPr>
        <w:pStyle w:val="BodyText"/>
        <w:spacing w:line="283" w:lineRule="exact"/>
        <w:ind w:left="818" w:right="527"/>
        <w:jc w:val="left"/>
      </w:pPr>
      <w:r>
        <w:rPr/>
        <w:t>公司已支付投资款</w:t>
      </w:r>
      <w:r>
        <w:rPr>
          <w:spacing w:val="-60"/>
        </w:rPr>
        <w:t> </w:t>
      </w:r>
      <w:r>
        <w:rPr>
          <w:rFonts w:ascii="宋体" w:hAnsi="宋体" w:cs="宋体" w:eastAsia="宋体" w:hint="default"/>
        </w:rPr>
        <w:t>4,500,000.00</w:t>
      </w:r>
      <w:r>
        <w:rPr>
          <w:rFonts w:ascii="宋体" w:hAnsi="宋体" w:cs="宋体" w:eastAsia="宋体" w:hint="default"/>
          <w:spacing w:val="-60"/>
        </w:rPr>
        <w:t> </w:t>
      </w:r>
      <w:r>
        <w:rPr/>
        <w:t>元。</w:t>
      </w:r>
    </w:p>
    <w:p>
      <w:pPr>
        <w:pStyle w:val="BodyText"/>
        <w:spacing w:line="312" w:lineRule="exact" w:before="116"/>
        <w:ind w:left="1298" w:right="527"/>
        <w:jc w:val="left"/>
      </w:pPr>
      <w:r>
        <w:rPr/>
        <w:t>（</w:t>
      </w:r>
      <w:r>
        <w:rPr>
          <w:rFonts w:ascii="宋体" w:hAnsi="宋体" w:cs="宋体" w:eastAsia="宋体" w:hint="default"/>
        </w:rPr>
        <w:t>8</w:t>
      </w:r>
      <w:r>
        <w:rPr/>
        <w:t>）本公司于</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13</w:t>
      </w:r>
      <w:r>
        <w:rPr>
          <w:rFonts w:ascii="宋体" w:hAnsi="宋体" w:cs="宋体" w:eastAsia="宋体" w:hint="default"/>
          <w:spacing w:val="-60"/>
        </w:rPr>
        <w:t> </w:t>
      </w:r>
      <w:r>
        <w:rPr/>
        <w:t>日向北京仲裁委员会提起对于重庆捷普科贸发展</w:t>
      </w:r>
    </w:p>
    <w:p>
      <w:pPr>
        <w:pStyle w:val="BodyText"/>
        <w:spacing w:line="311" w:lineRule="exact"/>
        <w:ind w:left="818" w:right="527"/>
        <w:jc w:val="left"/>
      </w:pPr>
      <w:r>
        <w:rPr/>
        <w:t>有限公司的买卖合同纠纷诉讼，要求其支付合同款及违约金共计</w:t>
      </w:r>
      <w:r>
        <w:rPr>
          <w:spacing w:val="-60"/>
        </w:rPr>
        <w:t> </w:t>
      </w:r>
      <w:r>
        <w:rPr>
          <w:rFonts w:ascii="宋体" w:hAnsi="宋体" w:cs="宋体" w:eastAsia="宋体" w:hint="default"/>
        </w:rPr>
        <w:t>1,572,000.00</w:t>
      </w:r>
      <w:r>
        <w:rPr>
          <w:rFonts w:ascii="宋体" w:hAnsi="宋体" w:cs="宋体" w:eastAsia="宋体" w:hint="default"/>
          <w:spacing w:val="-60"/>
        </w:rPr>
        <w:t> </w:t>
      </w:r>
      <w:r>
        <w:rPr/>
        <w:t>元，</w:t>
      </w:r>
    </w:p>
    <w:p>
      <w:pPr>
        <w:pStyle w:val="BodyText"/>
        <w:spacing w:line="328" w:lineRule="auto"/>
        <w:ind w:left="818" w:right="5468"/>
        <w:jc w:val="left"/>
      </w:pPr>
      <w:r>
        <w:rPr/>
        <w:t>截至</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t>日尚未开庭审理。 </w:t>
      </w:r>
      <w:r>
        <w:rPr>
          <w:rFonts w:ascii="宋体" w:hAnsi="宋体" w:cs="宋体" w:eastAsia="宋体" w:hint="default"/>
        </w:rPr>
        <w:t>2</w:t>
      </w:r>
      <w:r>
        <w:rPr/>
        <w:t>、资产负债表日后利润分配情况说明</w:t>
      </w:r>
    </w:p>
    <w:p>
      <w:pPr>
        <w:pStyle w:val="BodyText"/>
        <w:spacing w:line="312" w:lineRule="exact" w:before="29"/>
        <w:ind w:left="1298" w:right="527"/>
        <w:jc w:val="left"/>
      </w:pPr>
      <w:r>
        <w:rPr/>
        <w:t>本公司</w:t>
      </w:r>
      <w:r>
        <w:rPr>
          <w:spacing w:val="-60"/>
        </w:rPr>
        <w:t> </w:t>
      </w:r>
      <w:r>
        <w:rPr>
          <w:rFonts w:ascii="宋体" w:hAnsi="宋体" w:cs="宋体" w:eastAsia="宋体" w:hint="default"/>
        </w:rPr>
        <w:t>2014</w:t>
      </w:r>
      <w:r>
        <w:rPr>
          <w:rFonts w:ascii="宋体" w:hAnsi="宋体" w:cs="宋体" w:eastAsia="宋体" w:hint="default"/>
          <w:spacing w:val="-60"/>
        </w:rPr>
        <w:t> </w:t>
      </w:r>
      <w:r>
        <w:rPr/>
        <w:t>年度利润分配预案已经本公司第五届董事会第四次会议通过，拟按</w:t>
      </w:r>
    </w:p>
    <w:p>
      <w:pPr>
        <w:pStyle w:val="BodyText"/>
        <w:spacing w:line="312" w:lineRule="exact"/>
        <w:ind w:left="818" w:right="527"/>
        <w:jc w:val="left"/>
      </w:pPr>
      <w:r>
        <w:rPr/>
        <w:t>照总股本为基数，向全体股东每</w:t>
      </w:r>
      <w:r>
        <w:rPr>
          <w:spacing w:val="-60"/>
        </w:rPr>
        <w:t> </w:t>
      </w:r>
      <w:r>
        <w:rPr>
          <w:rFonts w:ascii="宋体" w:hAnsi="宋体" w:cs="宋体" w:eastAsia="宋体" w:hint="default"/>
        </w:rPr>
        <w:t>10</w:t>
      </w:r>
      <w:r>
        <w:rPr>
          <w:rFonts w:ascii="宋体" w:hAnsi="宋体" w:cs="宋体" w:eastAsia="宋体" w:hint="default"/>
          <w:spacing w:val="-60"/>
        </w:rPr>
        <w:t> </w:t>
      </w:r>
      <w:r>
        <w:rPr/>
        <w:t>股派发</w:t>
      </w:r>
      <w:r>
        <w:rPr>
          <w:spacing w:val="-60"/>
        </w:rPr>
        <w:t> </w:t>
      </w:r>
      <w:r>
        <w:rPr>
          <w:rFonts w:ascii="宋体" w:hAnsi="宋体" w:cs="宋体" w:eastAsia="宋体" w:hint="default"/>
        </w:rPr>
        <w:t>0.62</w:t>
      </w:r>
      <w:r>
        <w:rPr>
          <w:rFonts w:ascii="宋体" w:hAnsi="宋体" w:cs="宋体" w:eastAsia="宋体" w:hint="default"/>
          <w:spacing w:val="-60"/>
        </w:rPr>
        <w:t> </w:t>
      </w:r>
      <w:r>
        <w:rPr/>
        <w:t>元现金红利（含税）。</w:t>
      </w:r>
    </w:p>
    <w:p>
      <w:pPr>
        <w:pStyle w:val="BodyText"/>
        <w:spacing w:line="240" w:lineRule="auto" w:before="116"/>
        <w:ind w:left="1298" w:right="527"/>
        <w:jc w:val="left"/>
      </w:pPr>
      <w:r>
        <w:rPr/>
        <w:t>截至</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t>日，本集团不存在其他应披露的资产负债表日后事项。</w:t>
      </w:r>
    </w:p>
    <w:p>
      <w:pPr>
        <w:spacing w:line="240" w:lineRule="auto" w:before="9"/>
        <w:rPr>
          <w:rFonts w:ascii="宋体" w:hAnsi="宋体" w:cs="宋体" w:eastAsia="宋体" w:hint="default"/>
          <w:sz w:val="34"/>
          <w:szCs w:val="34"/>
        </w:rPr>
      </w:pPr>
    </w:p>
    <w:p>
      <w:pPr>
        <w:tabs>
          <w:tab w:pos="1657" w:val="left" w:leader="none"/>
        </w:tabs>
        <w:spacing w:before="0"/>
        <w:ind w:left="818" w:right="527" w:firstLine="0"/>
        <w:jc w:val="left"/>
        <w:rPr>
          <w:rFonts w:ascii="宋体" w:hAnsi="宋体" w:cs="宋体" w:eastAsia="宋体" w:hint="default"/>
          <w:sz w:val="21"/>
          <w:szCs w:val="21"/>
        </w:rPr>
      </w:pPr>
      <w:r>
        <w:rPr>
          <w:rFonts w:ascii="宋体" w:hAnsi="宋体" w:cs="宋体" w:eastAsia="宋体" w:hint="default"/>
          <w:b/>
          <w:bCs/>
          <w:w w:val="95"/>
          <w:sz w:val="21"/>
          <w:szCs w:val="21"/>
        </w:rPr>
        <w:t>十六、</w:t>
        <w:tab/>
      </w:r>
      <w:r>
        <w:rPr>
          <w:rFonts w:ascii="宋体" w:hAnsi="宋体" w:cs="宋体" w:eastAsia="宋体" w:hint="default"/>
          <w:b/>
          <w:bCs/>
          <w:sz w:val="21"/>
          <w:szCs w:val="21"/>
        </w:rPr>
        <w:t>其他重要事项</w:t>
      </w:r>
      <w:r>
        <w:rPr>
          <w:rFonts w:ascii="宋体" w:hAnsi="宋体" w:cs="宋体" w:eastAsia="宋体" w:hint="default"/>
          <w:sz w:val="21"/>
          <w:szCs w:val="21"/>
        </w:rPr>
      </w:r>
    </w:p>
    <w:p>
      <w:pPr>
        <w:pStyle w:val="BodyText"/>
        <w:spacing w:line="240" w:lineRule="auto" w:before="113"/>
        <w:ind w:left="1242" w:right="527"/>
        <w:jc w:val="left"/>
      </w:pPr>
      <w:r>
        <w:rPr/>
        <w:t>截至</w:t>
      </w:r>
      <w:r>
        <w:rPr>
          <w:spacing w:val="-61"/>
        </w:rPr>
        <w:t> </w:t>
      </w:r>
      <w:r>
        <w:rPr>
          <w:rFonts w:ascii="Calibri" w:hAnsi="Calibri" w:cs="Calibri" w:eastAsia="Calibri" w:hint="default"/>
        </w:rPr>
        <w:t>2014</w:t>
      </w:r>
      <w:r>
        <w:rPr>
          <w:rFonts w:ascii="Calibri" w:hAnsi="Calibri" w:cs="Calibri" w:eastAsia="Calibri" w:hint="default"/>
          <w:spacing w:val="5"/>
        </w:rPr>
        <w:t> </w:t>
      </w:r>
      <w:r>
        <w:rPr/>
        <w:t>年</w:t>
      </w:r>
      <w:r>
        <w:rPr>
          <w:spacing w:val="-61"/>
        </w:rPr>
        <w:t> </w:t>
      </w:r>
      <w:r>
        <w:rPr>
          <w:rFonts w:ascii="Calibri" w:hAnsi="Calibri" w:cs="Calibri" w:eastAsia="Calibri" w:hint="default"/>
        </w:rPr>
        <w:t>12</w:t>
      </w:r>
      <w:r>
        <w:rPr>
          <w:rFonts w:ascii="Calibri" w:hAnsi="Calibri" w:cs="Calibri" w:eastAsia="Calibri" w:hint="default"/>
          <w:spacing w:val="4"/>
        </w:rPr>
        <w:t> </w:t>
      </w:r>
      <w:r>
        <w:rPr/>
        <w:t>月</w:t>
      </w:r>
      <w:r>
        <w:rPr>
          <w:spacing w:val="-61"/>
        </w:rPr>
        <w:t> </w:t>
      </w:r>
      <w:r>
        <w:rPr>
          <w:rFonts w:ascii="Calibri" w:hAnsi="Calibri" w:cs="Calibri" w:eastAsia="Calibri" w:hint="default"/>
        </w:rPr>
        <w:t>31</w:t>
      </w:r>
      <w:r>
        <w:rPr>
          <w:rFonts w:ascii="Calibri" w:hAnsi="Calibri" w:cs="Calibri" w:eastAsia="Calibri" w:hint="default"/>
          <w:spacing w:val="5"/>
        </w:rPr>
        <w:t> </w:t>
      </w:r>
      <w:r>
        <w:rPr/>
        <w:t>日，本集团不存在应披露的其他重要事项。</w:t>
      </w:r>
    </w:p>
    <w:p>
      <w:pPr>
        <w:spacing w:line="240" w:lineRule="auto" w:before="8"/>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footerReference w:type="default" r:id="rId55"/>
          <w:pgSz w:w="11910" w:h="16840"/>
          <w:pgMar w:footer="1194" w:header="882" w:top="1120" w:bottom="1380" w:left="980" w:right="660"/>
          <w:pgNumType w:start="171"/>
        </w:sectPr>
      </w:pPr>
    </w:p>
    <w:p>
      <w:pPr>
        <w:tabs>
          <w:tab w:pos="1657" w:val="left" w:leader="none"/>
        </w:tabs>
        <w:spacing w:line="290" w:lineRule="auto" w:before="35"/>
        <w:ind w:left="818" w:right="0" w:firstLine="0"/>
        <w:jc w:val="left"/>
        <w:rPr>
          <w:rFonts w:ascii="宋体" w:hAnsi="宋体" w:cs="宋体" w:eastAsia="宋体" w:hint="default"/>
          <w:sz w:val="21"/>
          <w:szCs w:val="21"/>
        </w:rPr>
      </w:pPr>
      <w:r>
        <w:rPr>
          <w:rFonts w:ascii="宋体" w:hAnsi="宋体" w:cs="宋体" w:eastAsia="宋体" w:hint="default"/>
          <w:b/>
          <w:bCs/>
          <w:w w:val="95"/>
          <w:sz w:val="21"/>
          <w:szCs w:val="21"/>
        </w:rPr>
        <w:t>十七、</w:t>
        <w:tab/>
        <w:t>母公司财务报表主要项目注释</w:t>
      </w:r>
      <w:r>
        <w:rPr>
          <w:rFonts w:ascii="宋体" w:hAnsi="宋体" w:cs="宋体" w:eastAsia="宋体" w:hint="default"/>
          <w:b/>
          <w:bCs/>
          <w:spacing w:val="33"/>
          <w:w w:val="95"/>
          <w:sz w:val="21"/>
          <w:szCs w:val="21"/>
        </w:rPr>
        <w:t> </w:t>
      </w:r>
      <w:r>
        <w:rPr>
          <w:rFonts w:ascii="宋体" w:hAnsi="宋体" w:cs="宋体" w:eastAsia="宋体" w:hint="default"/>
          <w:b/>
          <w:bCs/>
          <w:spacing w:val="33"/>
          <w:w w:val="95"/>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应收账款</w:t>
      </w:r>
      <w:r>
        <w:rPr>
          <w:rFonts w:ascii="宋体" w:hAnsi="宋体" w:cs="宋体" w:eastAsia="宋体" w:hint="default"/>
          <w:sz w:val="21"/>
          <w:szCs w:val="21"/>
        </w:rPr>
      </w:r>
    </w:p>
    <w:p>
      <w:pPr>
        <w:tabs>
          <w:tab w:pos="1657" w:val="left" w:leader="none"/>
        </w:tabs>
        <w:spacing w:before="14"/>
        <w:ind w:left="959" w:right="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tabs>
          <w:tab w:pos="1867" w:val="left" w:leader="none"/>
        </w:tabs>
        <w:spacing w:before="0"/>
        <w:ind w:left="81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980" w:right="660"/>
          <w:cols w:num="2" w:equalWidth="0">
            <w:col w:w="4397" w:space="2127"/>
            <w:col w:w="374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456"/>
        <w:gridCol w:w="1549"/>
        <w:gridCol w:w="1475"/>
        <w:gridCol w:w="1111"/>
        <w:gridCol w:w="1776"/>
        <w:gridCol w:w="1399"/>
        <w:gridCol w:w="1265"/>
      </w:tblGrid>
      <w:tr>
        <w:trPr>
          <w:trHeight w:val="269" w:hRule="exact"/>
        </w:trPr>
        <w:tc>
          <w:tcPr>
            <w:tcW w:w="145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9"/>
                <w:szCs w:val="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种类</w:t>
            </w:r>
          </w:p>
        </w:tc>
        <w:tc>
          <w:tcPr>
            <w:tcW w:w="41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4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38" w:hRule="exact"/>
        </w:trPr>
        <w:tc>
          <w:tcPr>
            <w:tcW w:w="1456" w:type="dxa"/>
            <w:vMerge/>
            <w:tcBorders>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469"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431"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0"/>
              <w:jc w:val="center"/>
              <w:rPr>
                <w:rFonts w:ascii="宋体" w:hAnsi="宋体" w:cs="宋体" w:eastAsia="宋体" w:hint="default"/>
                <w:sz w:val="15"/>
                <w:szCs w:val="15"/>
              </w:rPr>
            </w:pPr>
            <w:r>
              <w:rPr>
                <w:rFonts w:ascii="宋体" w:hAnsi="宋体" w:cs="宋体" w:eastAsia="宋体" w:hint="default"/>
                <w:sz w:val="15"/>
                <w:szCs w:val="15"/>
              </w:rPr>
              <w:t>账面</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583"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394"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0"/>
              <w:jc w:val="center"/>
              <w:rPr>
                <w:rFonts w:ascii="宋体" w:hAnsi="宋体" w:cs="宋体" w:eastAsia="宋体" w:hint="default"/>
                <w:sz w:val="15"/>
                <w:szCs w:val="15"/>
              </w:rPr>
            </w:pPr>
            <w:r>
              <w:rPr>
                <w:rFonts w:ascii="宋体" w:hAnsi="宋体" w:cs="宋体" w:eastAsia="宋体" w:hint="default"/>
                <w:sz w:val="15"/>
                <w:szCs w:val="15"/>
              </w:rPr>
              <w:t>账面</w:t>
            </w:r>
          </w:p>
        </w:tc>
      </w:tr>
    </w:tbl>
    <w:p>
      <w:pPr>
        <w:spacing w:after="0" w:line="188" w:lineRule="exact"/>
        <w:jc w:val="center"/>
        <w:rPr>
          <w:rFonts w:ascii="宋体" w:hAnsi="宋体" w:cs="宋体" w:eastAsia="宋体" w:hint="default"/>
          <w:sz w:val="15"/>
          <w:szCs w:val="15"/>
        </w:rPr>
        <w:sectPr>
          <w:type w:val="continuous"/>
          <w:pgSz w:w="11910" w:h="16840"/>
          <w:pgMar w:top="1080" w:bottom="1380" w:left="980" w:right="6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1456"/>
        <w:gridCol w:w="1111"/>
        <w:gridCol w:w="438"/>
        <w:gridCol w:w="1038"/>
        <w:gridCol w:w="437"/>
        <w:gridCol w:w="1111"/>
        <w:gridCol w:w="1262"/>
        <w:gridCol w:w="514"/>
        <w:gridCol w:w="1038"/>
        <w:gridCol w:w="361"/>
        <w:gridCol w:w="1265"/>
      </w:tblGrid>
      <w:tr>
        <w:trPr>
          <w:trHeight w:val="593" w:hRule="exact"/>
        </w:trPr>
        <w:tc>
          <w:tcPr>
            <w:tcW w:w="1456"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2" w:right="62" w:hanging="39"/>
              <w:jc w:val="left"/>
              <w:rPr>
                <w:rFonts w:ascii="宋体" w:hAnsi="宋体" w:cs="宋体" w:eastAsia="宋体" w:hint="default"/>
                <w:sz w:val="15"/>
                <w:szCs w:val="15"/>
              </w:rPr>
            </w:pPr>
            <w:r>
              <w:rPr>
                <w:rFonts w:ascii="宋体" w:hAnsi="宋体" w:cs="宋体" w:eastAsia="宋体" w:hint="default"/>
                <w:sz w:val="15"/>
                <w:szCs w:val="15"/>
              </w:rPr>
              <w:t>比例 </w:t>
            </w:r>
            <w:r>
              <w:rPr>
                <w:rFonts w:ascii="宋体" w:hAnsi="宋体" w:cs="宋体" w:eastAsia="宋体" w:hint="default"/>
                <w:sz w:val="15"/>
                <w:szCs w:val="15"/>
              </w:rPr>
              <w:t>(%)</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62"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00" w:right="62" w:hanging="39"/>
              <w:jc w:val="left"/>
              <w:rPr>
                <w:rFonts w:ascii="宋体" w:hAnsi="宋体" w:cs="宋体" w:eastAsia="宋体" w:hint="default"/>
                <w:sz w:val="15"/>
                <w:szCs w:val="15"/>
              </w:rPr>
            </w:pPr>
            <w:r>
              <w:rPr>
                <w:rFonts w:ascii="宋体" w:hAnsi="宋体" w:cs="宋体" w:eastAsia="宋体" w:hint="default"/>
                <w:sz w:val="15"/>
                <w:szCs w:val="15"/>
              </w:rPr>
              <w:t>比例 </w:t>
            </w:r>
            <w:r>
              <w:rPr>
                <w:rFonts w:ascii="宋体" w:hAnsi="宋体" w:cs="宋体" w:eastAsia="宋体" w:hint="default"/>
                <w:sz w:val="15"/>
                <w:szCs w:val="15"/>
              </w:rPr>
              <w:t>(%)</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价值</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39" w:right="101" w:hanging="39"/>
              <w:jc w:val="left"/>
              <w:rPr>
                <w:rFonts w:ascii="宋体" w:hAnsi="宋体" w:cs="宋体" w:eastAsia="宋体" w:hint="default"/>
                <w:sz w:val="15"/>
                <w:szCs w:val="15"/>
              </w:rPr>
            </w:pPr>
            <w:r>
              <w:rPr>
                <w:rFonts w:ascii="宋体" w:hAnsi="宋体" w:cs="宋体" w:eastAsia="宋体" w:hint="default"/>
                <w:sz w:val="15"/>
                <w:szCs w:val="15"/>
              </w:rPr>
              <w:t>比例 </w:t>
            </w:r>
            <w:r>
              <w:rPr>
                <w:rFonts w:ascii="宋体" w:hAnsi="宋体" w:cs="宋体" w:eastAsia="宋体" w:hint="default"/>
                <w:sz w:val="15"/>
                <w:szCs w:val="15"/>
              </w:rPr>
              <w:t>(%)</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5"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62" w:right="24" w:hanging="38"/>
              <w:jc w:val="left"/>
              <w:rPr>
                <w:rFonts w:ascii="宋体" w:hAnsi="宋体" w:cs="宋体" w:eastAsia="宋体" w:hint="default"/>
                <w:sz w:val="15"/>
                <w:szCs w:val="15"/>
              </w:rPr>
            </w:pPr>
            <w:r>
              <w:rPr>
                <w:rFonts w:ascii="宋体" w:hAnsi="宋体" w:cs="宋体" w:eastAsia="宋体" w:hint="default"/>
                <w:sz w:val="15"/>
                <w:szCs w:val="15"/>
              </w:rPr>
              <w:t>比例 </w:t>
            </w:r>
            <w:r>
              <w:rPr>
                <w:rFonts w:ascii="宋体" w:hAnsi="宋体" w:cs="宋体" w:eastAsia="宋体" w:hint="default"/>
                <w:sz w:val="15"/>
                <w:szCs w:val="15"/>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价值</w:t>
            </w:r>
          </w:p>
        </w:tc>
      </w:tr>
      <w:tr>
        <w:trPr>
          <w:trHeight w:val="594"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pacing w:val="3"/>
                <w:sz w:val="15"/>
                <w:szCs w:val="15"/>
              </w:rPr>
              <w:t>单项金额重大并单独</w:t>
            </w:r>
          </w:p>
          <w:p>
            <w:pPr>
              <w:pStyle w:val="TableParagraph"/>
              <w:spacing w:line="240" w:lineRule="auto"/>
              <w:ind w:left="26" w:right="27"/>
              <w:jc w:val="left"/>
              <w:rPr>
                <w:rFonts w:ascii="宋体" w:hAnsi="宋体" w:cs="宋体" w:eastAsia="宋体" w:hint="default"/>
                <w:sz w:val="15"/>
                <w:szCs w:val="15"/>
              </w:rPr>
            </w:pPr>
            <w:r>
              <w:rPr>
                <w:rFonts w:ascii="宋体" w:hAnsi="宋体" w:cs="宋体" w:eastAsia="宋体" w:hint="default"/>
                <w:spacing w:val="3"/>
                <w:sz w:val="15"/>
                <w:szCs w:val="15"/>
              </w:rPr>
              <w:t>计提坏账准备的应收</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账款</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30,932,342.00</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3.33</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900,942.00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4" w:right="0"/>
              <w:jc w:val="center"/>
              <w:rPr>
                <w:rFonts w:ascii="宋体" w:hAnsi="宋体" w:cs="宋体" w:eastAsia="宋体" w:hint="default"/>
                <w:sz w:val="15"/>
                <w:szCs w:val="15"/>
              </w:rPr>
            </w:pPr>
            <w:r>
              <w:rPr>
                <w:rFonts w:ascii="宋体"/>
                <w:sz w:val="15"/>
              </w:rPr>
              <w:t>2.91</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30,031,400.00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0.00</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0.00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0.00</w:t>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0.00</w:t>
            </w:r>
          </w:p>
        </w:tc>
      </w:tr>
      <w:tr>
        <w:trPr>
          <w:trHeight w:val="594"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pacing w:val="3"/>
                <w:sz w:val="15"/>
                <w:szCs w:val="15"/>
              </w:rPr>
              <w:t>按信用风险特征组合</w:t>
            </w:r>
          </w:p>
          <w:p>
            <w:pPr>
              <w:pStyle w:val="TableParagraph"/>
              <w:spacing w:line="240" w:lineRule="auto"/>
              <w:ind w:left="26" w:right="27"/>
              <w:jc w:val="left"/>
              <w:rPr>
                <w:rFonts w:ascii="宋体" w:hAnsi="宋体" w:cs="宋体" w:eastAsia="宋体" w:hint="default"/>
                <w:sz w:val="15"/>
                <w:szCs w:val="15"/>
              </w:rPr>
            </w:pPr>
            <w:r>
              <w:rPr>
                <w:rFonts w:ascii="宋体" w:hAnsi="宋体" w:cs="宋体" w:eastAsia="宋体" w:hint="default"/>
                <w:spacing w:val="3"/>
                <w:sz w:val="15"/>
                <w:szCs w:val="15"/>
              </w:rPr>
              <w:t>计提坏账准备的应收</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账款</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898,006,190.29</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 w:right="0"/>
              <w:jc w:val="center"/>
              <w:rPr>
                <w:rFonts w:ascii="宋体" w:hAnsi="宋体" w:cs="宋体" w:eastAsia="宋体" w:hint="default"/>
                <w:sz w:val="15"/>
                <w:szCs w:val="15"/>
              </w:rPr>
            </w:pPr>
            <w:r>
              <w:rPr>
                <w:rFonts w:ascii="宋体"/>
                <w:sz w:val="15"/>
              </w:rPr>
              <w:t>96.67</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94,748,072.30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10.55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803,258,117.99</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6"/>
              <w:jc w:val="right"/>
              <w:rPr>
                <w:rFonts w:ascii="宋体" w:hAnsi="宋体" w:cs="宋体" w:eastAsia="宋体" w:hint="default"/>
                <w:sz w:val="15"/>
                <w:szCs w:val="15"/>
              </w:rPr>
            </w:pPr>
            <w:r>
              <w:rPr>
                <w:rFonts w:ascii="宋体"/>
                <w:spacing w:val="-1"/>
                <w:sz w:val="15"/>
              </w:rPr>
              <w:t>1,091,175,207.76</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100.00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73,104,708.32</w:t>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6.70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6"/>
              <w:jc w:val="right"/>
              <w:rPr>
                <w:rFonts w:ascii="宋体" w:hAnsi="宋体" w:cs="宋体" w:eastAsia="宋体" w:hint="default"/>
                <w:sz w:val="15"/>
                <w:szCs w:val="15"/>
              </w:rPr>
            </w:pPr>
            <w:r>
              <w:rPr>
                <w:rFonts w:ascii="宋体"/>
                <w:spacing w:val="-1"/>
                <w:sz w:val="15"/>
              </w:rPr>
              <w:t>1,018,070,499.44</w:t>
            </w:r>
          </w:p>
        </w:tc>
      </w:tr>
      <w:tr>
        <w:trPr>
          <w:trHeight w:val="593"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6" w:right="0"/>
              <w:jc w:val="left"/>
              <w:rPr>
                <w:rFonts w:ascii="宋体" w:hAnsi="宋体" w:cs="宋体" w:eastAsia="宋体" w:hint="default"/>
                <w:sz w:val="15"/>
                <w:szCs w:val="15"/>
              </w:rPr>
            </w:pPr>
            <w:r>
              <w:rPr>
                <w:rFonts w:ascii="宋体" w:hAnsi="宋体" w:cs="宋体" w:eastAsia="宋体" w:hint="default"/>
                <w:spacing w:val="3"/>
                <w:sz w:val="15"/>
                <w:szCs w:val="15"/>
              </w:rPr>
              <w:t>单项金额不重大但单</w:t>
            </w:r>
          </w:p>
          <w:p>
            <w:pPr>
              <w:pStyle w:val="TableParagraph"/>
              <w:spacing w:line="240" w:lineRule="auto"/>
              <w:ind w:left="26" w:right="27"/>
              <w:jc w:val="left"/>
              <w:rPr>
                <w:rFonts w:ascii="宋体" w:hAnsi="宋体" w:cs="宋体" w:eastAsia="宋体" w:hint="default"/>
                <w:sz w:val="15"/>
                <w:szCs w:val="15"/>
              </w:rPr>
            </w:pPr>
            <w:r>
              <w:rPr>
                <w:rFonts w:ascii="宋体" w:hAnsi="宋体" w:cs="宋体" w:eastAsia="宋体" w:hint="default"/>
                <w:spacing w:val="3"/>
                <w:sz w:val="15"/>
                <w:szCs w:val="15"/>
              </w:rPr>
              <w:t>独计提坏账准备的应</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收账款</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0.00</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75" w:right="0"/>
              <w:jc w:val="center"/>
              <w:rPr>
                <w:rFonts w:ascii="宋体" w:hAnsi="宋体" w:cs="宋体" w:eastAsia="宋体" w:hint="default"/>
                <w:sz w:val="15"/>
                <w:szCs w:val="15"/>
              </w:rPr>
            </w:pPr>
            <w:r>
              <w:rPr>
                <w:rFonts w:ascii="宋体"/>
                <w:sz w:val="15"/>
              </w:rPr>
              <w:t>0.00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0.00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74" w:right="0"/>
              <w:jc w:val="center"/>
              <w:rPr>
                <w:rFonts w:ascii="宋体" w:hAnsi="宋体" w:cs="宋体" w:eastAsia="宋体" w:hint="default"/>
                <w:sz w:val="15"/>
                <w:szCs w:val="15"/>
              </w:rPr>
            </w:pPr>
            <w:r>
              <w:rPr>
                <w:rFonts w:ascii="宋体"/>
                <w:sz w:val="15"/>
              </w:rPr>
              <w:t>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0.00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0.00</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0.00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0.00</w:t>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0.00</w:t>
            </w:r>
          </w:p>
        </w:tc>
      </w:tr>
      <w:tr>
        <w:trPr>
          <w:trHeight w:val="205"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928,938,532.29</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95,649,014.30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833,289,517.99</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1"/>
                <w:sz w:val="15"/>
              </w:rPr>
              <w:t>1,091,175,207.76</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73,104,708.32</w:t>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1"/>
                <w:sz w:val="15"/>
              </w:rPr>
              <w:t>1,018,070,499.44</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980" w:right="660"/>
        </w:sectPr>
      </w:pPr>
    </w:p>
    <w:p>
      <w:pPr>
        <w:spacing w:before="35"/>
        <w:ind w:left="818" w:right="-20" w:firstLine="0"/>
        <w:jc w:val="left"/>
        <w:rPr>
          <w:rFonts w:ascii="宋体" w:hAnsi="宋体" w:cs="宋体" w:eastAsia="宋体" w:hint="default"/>
          <w:sz w:val="21"/>
          <w:szCs w:val="21"/>
        </w:rPr>
      </w:pPr>
      <w:r>
        <w:rPr>
          <w:rFonts w:ascii="宋体" w:hAnsi="宋体" w:cs="宋体" w:eastAsia="宋体" w:hint="default"/>
          <w:sz w:val="21"/>
          <w:szCs w:val="21"/>
        </w:rPr>
        <w:t>期末单项金额重大并单项计提坏账准备的应收账款：</w:t>
      </w:r>
    </w:p>
    <w:p>
      <w:pPr>
        <w:spacing w:line="290" w:lineRule="auto" w:before="57"/>
        <w:ind w:left="818" w:right="190" w:firstLine="0"/>
        <w:jc w:val="left"/>
        <w:rPr>
          <w:rFonts w:ascii="宋体" w:hAnsi="宋体" w:cs="宋体" w:eastAsia="宋体" w:hint="default"/>
          <w:sz w:val="21"/>
          <w:szCs w:val="21"/>
        </w:rPr>
      </w:pPr>
      <w:r>
        <w:rPr>
          <w:rFonts w:ascii="宋体" w:hAnsi="宋体" w:cs="宋体" w:eastAsia="宋体" w:hint="default"/>
          <w:sz w:val="21"/>
          <w:szCs w:val="21"/>
        </w:rPr>
        <w:t>□适用√不适用 组合中，按账龄分析法计提坏账准备的应收账款：</w:t>
      </w:r>
    </w:p>
    <w:p>
      <w:pPr>
        <w:spacing w:before="13"/>
        <w:ind w:left="818" w:right="-2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tabs>
          <w:tab w:pos="1867" w:val="left" w:leader="none"/>
        </w:tabs>
        <w:spacing w:before="0"/>
        <w:ind w:left="81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980" w:right="660"/>
          <w:cols w:num="2" w:equalWidth="0">
            <w:col w:w="5649" w:space="875"/>
            <w:col w:w="3746"/>
          </w:cols>
        </w:sectPr>
      </w:pPr>
    </w:p>
    <w:p>
      <w:pPr>
        <w:spacing w:line="240" w:lineRule="auto" w:before="7"/>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2674"/>
        <w:gridCol w:w="2166"/>
        <w:gridCol w:w="2114"/>
        <w:gridCol w:w="2096"/>
      </w:tblGrid>
      <w:tr>
        <w:trPr>
          <w:trHeight w:val="308"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2674" w:type="dxa"/>
            <w:vMerge/>
            <w:tcBorders>
              <w:left w:val="single" w:sz="4" w:space="0" w:color="000000"/>
              <w:bottom w:val="single" w:sz="4" w:space="0" w:color="000000"/>
              <w:right w:val="single" w:sz="4" w:space="0" w:color="000000"/>
            </w:tcBorders>
          </w:tcPr>
          <w:p>
            <w:pP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2"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610,887,885.28</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6,170,584.71</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610,887,885.28</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183,747,086.35</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36,749,417.27</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146,997,669.08</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60,094,222.05</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24,037,688.82</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36,056,533.23</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18,621,406.48</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11,172,843.89</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7,448,562.59</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9,337,339.02</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7,469,871.21</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1,867,467.81</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9,147,666.40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9,147,666.40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898,006,190.29</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94,748,072.30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803,258,117.99</w:t>
            </w:r>
          </w:p>
        </w:tc>
      </w:tr>
    </w:tbl>
    <w:p>
      <w:pPr>
        <w:spacing w:before="24"/>
        <w:ind w:left="818" w:right="527" w:firstLine="0"/>
        <w:jc w:val="left"/>
        <w:rPr>
          <w:rFonts w:ascii="宋体" w:hAnsi="宋体" w:cs="宋体" w:eastAsia="宋体" w:hint="default"/>
          <w:sz w:val="21"/>
          <w:szCs w:val="21"/>
        </w:rPr>
      </w:pPr>
      <w:r>
        <w:rPr>
          <w:rFonts w:ascii="宋体" w:hAnsi="宋体" w:cs="宋体" w:eastAsia="宋体" w:hint="default"/>
          <w:sz w:val="21"/>
          <w:szCs w:val="21"/>
        </w:rPr>
        <w:t>确定该组合依据的说明：</w:t>
      </w:r>
    </w:p>
    <w:p>
      <w:pPr>
        <w:pStyle w:val="BodyText"/>
        <w:spacing w:line="240" w:lineRule="auto" w:before="113"/>
        <w:ind w:left="818" w:right="527"/>
        <w:jc w:val="left"/>
      </w:pPr>
      <w:r>
        <w:rPr/>
        <w:t>（</w:t>
      </w:r>
      <w:r>
        <w:rPr>
          <w:rFonts w:ascii="宋体" w:hAnsi="宋体" w:cs="宋体" w:eastAsia="宋体" w:hint="default"/>
        </w:rPr>
        <w:t>2</w:t>
      </w:r>
      <w:r>
        <w:rPr/>
        <w:t>）本期计提、收回或转回的坏账准备情况</w:t>
      </w:r>
    </w:p>
    <w:p>
      <w:pPr>
        <w:pStyle w:val="BodyText"/>
        <w:spacing w:line="240" w:lineRule="auto" w:before="118"/>
        <w:ind w:left="1298" w:right="527"/>
        <w:jc w:val="left"/>
      </w:pPr>
      <w:r>
        <w:rPr/>
        <w:t>本期计提坏账准备金额</w:t>
      </w:r>
      <w:r>
        <w:rPr>
          <w:spacing w:val="-60"/>
        </w:rPr>
        <w:t> </w:t>
      </w:r>
      <w:r>
        <w:rPr>
          <w:rFonts w:ascii="宋体" w:hAnsi="宋体" w:cs="宋体" w:eastAsia="宋体" w:hint="default"/>
        </w:rPr>
        <w:t>22,544,348.49</w:t>
      </w:r>
      <w:r>
        <w:rPr>
          <w:rFonts w:ascii="宋体" w:hAnsi="宋体" w:cs="宋体" w:eastAsia="宋体" w:hint="default"/>
          <w:spacing w:val="-60"/>
        </w:rPr>
        <w:t> </w:t>
      </w:r>
      <w:r>
        <w:rPr/>
        <w:t>元；本期收回无转回坏账准备情况。</w:t>
      </w:r>
    </w:p>
    <w:p>
      <w:pPr>
        <w:pStyle w:val="BodyText"/>
        <w:spacing w:line="240" w:lineRule="auto" w:before="116"/>
        <w:ind w:left="818" w:right="527"/>
        <w:jc w:val="left"/>
      </w:pPr>
      <w:r>
        <w:rPr/>
        <w:t>（</w:t>
      </w:r>
      <w:r>
        <w:rPr>
          <w:rFonts w:ascii="宋体" w:hAnsi="宋体" w:cs="宋体" w:eastAsia="宋体" w:hint="default"/>
        </w:rPr>
        <w:t>3</w:t>
      </w:r>
      <w:r>
        <w:rPr/>
        <w:t>）本期实际核销的应收账款情况</w:t>
      </w:r>
    </w:p>
    <w:p>
      <w:pPr>
        <w:spacing w:line="240" w:lineRule="auto" w:before="12"/>
        <w:rPr>
          <w:rFonts w:ascii="宋体" w:hAnsi="宋体" w:cs="宋体" w:eastAsia="宋体" w:hint="default"/>
          <w:sz w:val="11"/>
          <w:szCs w:val="11"/>
        </w:rPr>
      </w:pPr>
    </w:p>
    <w:tbl>
      <w:tblPr>
        <w:tblW w:w="0" w:type="auto"/>
        <w:jc w:val="left"/>
        <w:tblInd w:w="710" w:type="dxa"/>
        <w:tblLayout w:type="fixed"/>
        <w:tblCellMar>
          <w:top w:w="0" w:type="dxa"/>
          <w:left w:w="0" w:type="dxa"/>
          <w:bottom w:w="0" w:type="dxa"/>
          <w:right w:w="0" w:type="dxa"/>
        </w:tblCellMar>
        <w:tblLook w:val="01E0"/>
      </w:tblPr>
      <w:tblGrid>
        <w:gridCol w:w="5048"/>
        <w:gridCol w:w="4002"/>
      </w:tblGrid>
      <w:tr>
        <w:trPr>
          <w:trHeight w:val="392" w:hRule="exact"/>
        </w:trPr>
        <w:tc>
          <w:tcPr>
            <w:tcW w:w="5048"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108"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002"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right="107"/>
              <w:jc w:val="right"/>
              <w:rPr>
                <w:rFonts w:ascii="宋体" w:hAnsi="宋体" w:cs="宋体" w:eastAsia="宋体" w:hint="default"/>
                <w:sz w:val="21"/>
                <w:szCs w:val="21"/>
              </w:rPr>
            </w:pPr>
            <w:r>
              <w:rPr>
                <w:rFonts w:ascii="宋体" w:hAnsi="宋体" w:cs="宋体" w:eastAsia="宋体" w:hint="default"/>
                <w:b/>
                <w:bCs/>
                <w:sz w:val="21"/>
                <w:szCs w:val="21"/>
              </w:rPr>
              <w:t>核销金额</w:t>
            </w:r>
            <w:r>
              <w:rPr>
                <w:rFonts w:ascii="宋体" w:hAnsi="宋体" w:cs="宋体" w:eastAsia="宋体" w:hint="default"/>
                <w:sz w:val="21"/>
                <w:szCs w:val="21"/>
              </w:rPr>
            </w:r>
          </w:p>
        </w:tc>
      </w:tr>
      <w:tr>
        <w:trPr>
          <w:trHeight w:val="403" w:hRule="exact"/>
        </w:trPr>
        <w:tc>
          <w:tcPr>
            <w:tcW w:w="5048"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108"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002" w:type="dxa"/>
            <w:tcBorders>
              <w:top w:val="single" w:sz="4" w:space="0" w:color="000000"/>
              <w:left w:val="nil" w:sz="6" w:space="0" w:color="auto"/>
              <w:bottom w:val="single" w:sz="8"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42.51</w:t>
            </w:r>
          </w:p>
        </w:tc>
      </w:tr>
    </w:tbl>
    <w:p>
      <w:pPr>
        <w:pStyle w:val="BodyText"/>
        <w:spacing w:line="328" w:lineRule="auto" w:before="81"/>
        <w:ind w:left="1295" w:right="527" w:hanging="478"/>
        <w:jc w:val="left"/>
      </w:pPr>
      <w:r>
        <w:rPr/>
        <w:t>（</w:t>
      </w:r>
      <w:r>
        <w:rPr>
          <w:rFonts w:ascii="宋体" w:hAnsi="宋体" w:cs="宋体" w:eastAsia="宋体" w:hint="default"/>
        </w:rPr>
        <w:t>4</w:t>
      </w:r>
      <w:r>
        <w:rPr/>
        <w:t>）按欠款方归集的应收账款期末余额前五名单位情况 本期按欠款方归集的期末余额前五名应收账款汇总金额</w:t>
      </w:r>
      <w:r>
        <w:rPr>
          <w:spacing w:val="-60"/>
        </w:rPr>
        <w:t> </w:t>
      </w:r>
      <w:r>
        <w:rPr>
          <w:rFonts w:ascii="宋体" w:hAnsi="宋体" w:cs="宋体" w:eastAsia="宋体" w:hint="default"/>
        </w:rPr>
        <w:t>158,399,302.55</w:t>
      </w:r>
      <w:r>
        <w:rPr>
          <w:rFonts w:ascii="宋体" w:hAnsi="宋体" w:cs="宋体" w:eastAsia="宋体" w:hint="default"/>
          <w:spacing w:val="-60"/>
        </w:rPr>
        <w:t> </w:t>
      </w:r>
      <w:r>
        <w:rPr>
          <w:spacing w:val="-24"/>
        </w:rPr>
        <w:t>元，占应</w:t>
      </w:r>
    </w:p>
    <w:p>
      <w:pPr>
        <w:pStyle w:val="BodyText"/>
        <w:spacing w:line="221" w:lineRule="exact"/>
        <w:ind w:left="815" w:right="527"/>
        <w:jc w:val="left"/>
      </w:pPr>
      <w:r>
        <w:rPr/>
        <w:t>收账款期末余额合计数的比例</w:t>
      </w:r>
      <w:r>
        <w:rPr>
          <w:spacing w:val="-60"/>
        </w:rPr>
        <w:t> </w:t>
      </w:r>
      <w:r>
        <w:rPr>
          <w:rFonts w:ascii="宋体" w:hAnsi="宋体" w:cs="宋体" w:eastAsia="宋体" w:hint="default"/>
        </w:rPr>
        <w:t>17.05%</w:t>
      </w:r>
      <w:r>
        <w:rPr/>
        <w:t>，相应计提的坏账准备期末余额汇总金额</w:t>
      </w:r>
    </w:p>
    <w:p>
      <w:pPr>
        <w:pStyle w:val="BodyText"/>
        <w:spacing w:line="313" w:lineRule="exact"/>
        <w:ind w:left="815" w:right="527"/>
        <w:jc w:val="left"/>
      </w:pPr>
      <w:r>
        <w:rPr>
          <w:rFonts w:ascii="宋体" w:hAnsi="宋体" w:cs="宋体" w:eastAsia="宋体" w:hint="default"/>
        </w:rPr>
        <w:t>9,402,051.32</w:t>
      </w:r>
      <w:r>
        <w:rPr>
          <w:rFonts w:ascii="宋体" w:hAnsi="宋体" w:cs="宋体" w:eastAsia="宋体" w:hint="default"/>
          <w:spacing w:val="-60"/>
        </w:rPr>
        <w:t> </w:t>
      </w:r>
      <w:r>
        <w:rPr/>
        <w:t>元。</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80" w:bottom="1380" w:left="980" w:right="660"/>
        </w:sectPr>
      </w:pPr>
    </w:p>
    <w:p>
      <w:pPr>
        <w:spacing w:line="240" w:lineRule="auto" w:before="8"/>
        <w:rPr>
          <w:rFonts w:ascii="宋体" w:hAnsi="宋体" w:cs="宋体" w:eastAsia="宋体" w:hint="default"/>
          <w:sz w:val="14"/>
          <w:szCs w:val="14"/>
        </w:rPr>
      </w:pPr>
    </w:p>
    <w:p>
      <w:pPr>
        <w:spacing w:before="0"/>
        <w:ind w:left="818" w:right="-1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其他应收款</w:t>
      </w:r>
      <w:r>
        <w:rPr>
          <w:rFonts w:ascii="宋体" w:hAnsi="宋体" w:cs="宋体" w:eastAsia="宋体" w:hint="default"/>
          <w:sz w:val="21"/>
          <w:szCs w:val="21"/>
        </w:rPr>
      </w:r>
    </w:p>
    <w:p>
      <w:pPr>
        <w:spacing w:before="57"/>
        <w:ind w:left="818"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3"/>
          <w:sz w:val="21"/>
          <w:szCs w:val="21"/>
        </w:rPr>
        <w:t> </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5"/>
          <w:szCs w:val="25"/>
        </w:rPr>
      </w:pPr>
    </w:p>
    <w:p>
      <w:pPr>
        <w:tabs>
          <w:tab w:pos="1867" w:val="left" w:leader="none"/>
        </w:tabs>
        <w:spacing w:before="0"/>
        <w:ind w:left="81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980" w:right="660"/>
          <w:cols w:num="2" w:equalWidth="0">
            <w:col w:w="3455" w:space="3069"/>
            <w:col w:w="3746"/>
          </w:cols>
        </w:sectPr>
      </w:pPr>
    </w:p>
    <w:p>
      <w:pPr>
        <w:spacing w:line="240" w:lineRule="auto" w:before="7"/>
        <w:rPr>
          <w:rFonts w:ascii="宋体" w:hAnsi="宋体" w:cs="宋体" w:eastAsia="宋体" w:hint="default"/>
          <w:sz w:val="2"/>
          <w:szCs w:val="2"/>
        </w:rPr>
      </w:pPr>
    </w:p>
    <w:tbl>
      <w:tblPr>
        <w:tblW w:w="0" w:type="auto"/>
        <w:jc w:val="left"/>
        <w:tblInd w:w="528" w:type="dxa"/>
        <w:tblLayout w:type="fixed"/>
        <w:tblCellMar>
          <w:top w:w="0" w:type="dxa"/>
          <w:left w:w="0" w:type="dxa"/>
          <w:bottom w:w="0" w:type="dxa"/>
          <w:right w:w="0" w:type="dxa"/>
        </w:tblCellMar>
        <w:tblLook w:val="01E0"/>
      </w:tblPr>
      <w:tblGrid>
        <w:gridCol w:w="1311"/>
        <w:gridCol w:w="1112"/>
        <w:gridCol w:w="437"/>
        <w:gridCol w:w="1037"/>
        <w:gridCol w:w="362"/>
        <w:gridCol w:w="1111"/>
        <w:gridCol w:w="1112"/>
        <w:gridCol w:w="437"/>
        <w:gridCol w:w="1037"/>
        <w:gridCol w:w="362"/>
        <w:gridCol w:w="1112"/>
      </w:tblGrid>
      <w:tr>
        <w:trPr>
          <w:trHeight w:val="293" w:hRule="exact"/>
        </w:trPr>
        <w:tc>
          <w:tcPr>
            <w:tcW w:w="13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40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06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05" w:hRule="exact"/>
        </w:trPr>
        <w:tc>
          <w:tcPr>
            <w:tcW w:w="1311" w:type="dxa"/>
            <w:vMerge/>
            <w:tcBorders>
              <w:left w:val="single" w:sz="4" w:space="0" w:color="000000"/>
              <w:right w:val="single" w:sz="4" w:space="0" w:color="000000"/>
            </w:tcBorders>
          </w:tcPr>
          <w:p>
            <w:pPr/>
          </w:p>
        </w:tc>
        <w:tc>
          <w:tcPr>
            <w:tcW w:w="1549" w:type="dxa"/>
            <w:gridSpan w:val="2"/>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67"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00" w:type="dxa"/>
            <w:gridSpan w:val="2"/>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393"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1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99" w:right="401"/>
              <w:jc w:val="center"/>
              <w:rPr>
                <w:rFonts w:ascii="宋体" w:hAnsi="宋体" w:cs="宋体" w:eastAsia="宋体" w:hint="default"/>
                <w:sz w:val="15"/>
                <w:szCs w:val="15"/>
              </w:rPr>
            </w:pPr>
            <w:r>
              <w:rPr>
                <w:rFonts w:ascii="宋体" w:hAnsi="宋体" w:cs="宋体" w:eastAsia="宋体" w:hint="default"/>
                <w:sz w:val="15"/>
                <w:szCs w:val="15"/>
              </w:rPr>
              <w:t>账面 价值</w:t>
            </w:r>
          </w:p>
        </w:tc>
        <w:tc>
          <w:tcPr>
            <w:tcW w:w="1550" w:type="dxa"/>
            <w:gridSpan w:val="2"/>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69"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399" w:type="dxa"/>
            <w:gridSpan w:val="2"/>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394"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1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99" w:right="401"/>
              <w:jc w:val="center"/>
              <w:rPr>
                <w:rFonts w:ascii="宋体" w:hAnsi="宋体" w:cs="宋体" w:eastAsia="宋体" w:hint="default"/>
                <w:sz w:val="15"/>
                <w:szCs w:val="15"/>
              </w:rPr>
            </w:pPr>
            <w:r>
              <w:rPr>
                <w:rFonts w:ascii="宋体" w:hAnsi="宋体" w:cs="宋体" w:eastAsia="宋体" w:hint="default"/>
                <w:sz w:val="15"/>
                <w:szCs w:val="15"/>
              </w:rPr>
              <w:t>账面 价值</w:t>
            </w:r>
          </w:p>
        </w:tc>
      </w:tr>
      <w:tr>
        <w:trPr>
          <w:trHeight w:val="594" w:hRule="exact"/>
        </w:trPr>
        <w:tc>
          <w:tcPr>
            <w:tcW w:w="1311" w:type="dxa"/>
            <w:vMerge/>
            <w:tcBorders>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0" w:right="62" w:hanging="39"/>
              <w:jc w:val="left"/>
              <w:rPr>
                <w:rFonts w:ascii="宋体" w:hAnsi="宋体" w:cs="宋体" w:eastAsia="宋体" w:hint="default"/>
                <w:sz w:val="15"/>
                <w:szCs w:val="15"/>
              </w:rPr>
            </w:pPr>
            <w:r>
              <w:rPr>
                <w:rFonts w:ascii="宋体" w:hAnsi="宋体" w:cs="宋体" w:eastAsia="宋体" w:hint="default"/>
                <w:sz w:val="15"/>
                <w:szCs w:val="15"/>
              </w:rPr>
              <w:t>比例 </w:t>
            </w:r>
            <w:r>
              <w:rPr>
                <w:rFonts w:ascii="宋体" w:hAnsi="宋体" w:cs="宋体" w:eastAsia="宋体" w:hint="default"/>
                <w:sz w:val="15"/>
                <w:szCs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5"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62" w:right="25" w:hanging="38"/>
              <w:jc w:val="left"/>
              <w:rPr>
                <w:rFonts w:ascii="宋体" w:hAnsi="宋体" w:cs="宋体" w:eastAsia="宋体" w:hint="default"/>
                <w:sz w:val="15"/>
                <w:szCs w:val="15"/>
              </w:rPr>
            </w:pPr>
            <w:r>
              <w:rPr>
                <w:rFonts w:ascii="宋体" w:hAnsi="宋体" w:cs="宋体" w:eastAsia="宋体" w:hint="default"/>
                <w:sz w:val="15"/>
                <w:szCs w:val="15"/>
              </w:rPr>
              <w:t>比例 </w:t>
            </w:r>
            <w:r>
              <w:rPr>
                <w:rFonts w:ascii="宋体" w:hAnsi="宋体" w:cs="宋体" w:eastAsia="宋体" w:hint="default"/>
                <w:sz w:val="15"/>
                <w:szCs w:val="15"/>
              </w:rPr>
              <w:t>(%)</w:t>
            </w:r>
          </w:p>
        </w:tc>
        <w:tc>
          <w:tcPr>
            <w:tcW w:w="1111" w:type="dxa"/>
            <w:vMerge/>
            <w:tcBorders>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0" w:right="63" w:hanging="39"/>
              <w:jc w:val="left"/>
              <w:rPr>
                <w:rFonts w:ascii="宋体" w:hAnsi="宋体" w:cs="宋体" w:eastAsia="宋体" w:hint="default"/>
                <w:sz w:val="15"/>
                <w:szCs w:val="15"/>
              </w:rPr>
            </w:pPr>
            <w:r>
              <w:rPr>
                <w:rFonts w:ascii="宋体" w:hAnsi="宋体" w:cs="宋体" w:eastAsia="宋体" w:hint="default"/>
                <w:sz w:val="15"/>
                <w:szCs w:val="15"/>
              </w:rPr>
              <w:t>比例 </w:t>
            </w:r>
            <w:r>
              <w:rPr>
                <w:rFonts w:ascii="宋体" w:hAnsi="宋体" w:cs="宋体" w:eastAsia="宋体" w:hint="default"/>
                <w:sz w:val="15"/>
                <w:szCs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6"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63" w:right="24" w:hanging="38"/>
              <w:jc w:val="left"/>
              <w:rPr>
                <w:rFonts w:ascii="宋体" w:hAnsi="宋体" w:cs="宋体" w:eastAsia="宋体" w:hint="default"/>
                <w:sz w:val="15"/>
                <w:szCs w:val="15"/>
              </w:rPr>
            </w:pPr>
            <w:r>
              <w:rPr>
                <w:rFonts w:ascii="宋体" w:hAnsi="宋体" w:cs="宋体" w:eastAsia="宋体" w:hint="default"/>
                <w:sz w:val="15"/>
                <w:szCs w:val="15"/>
              </w:rPr>
              <w:t>比例 </w:t>
            </w:r>
            <w:r>
              <w:rPr>
                <w:rFonts w:ascii="宋体" w:hAnsi="宋体" w:cs="宋体" w:eastAsia="宋体" w:hint="default"/>
                <w:sz w:val="15"/>
                <w:szCs w:val="15"/>
              </w:rPr>
              <w:t>(%)</w:t>
            </w:r>
          </w:p>
        </w:tc>
        <w:tc>
          <w:tcPr>
            <w:tcW w:w="1112"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80" w:bottom="1380" w:left="980" w:right="6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388" w:type="dxa"/>
        <w:tblLayout w:type="fixed"/>
        <w:tblCellMar>
          <w:top w:w="0" w:type="dxa"/>
          <w:left w:w="0" w:type="dxa"/>
          <w:bottom w:w="0" w:type="dxa"/>
          <w:right w:w="0" w:type="dxa"/>
        </w:tblCellMar>
        <w:tblLook w:val="01E0"/>
      </w:tblPr>
      <w:tblGrid>
        <w:gridCol w:w="1311"/>
        <w:gridCol w:w="1112"/>
        <w:gridCol w:w="437"/>
        <w:gridCol w:w="1037"/>
        <w:gridCol w:w="362"/>
        <w:gridCol w:w="1111"/>
        <w:gridCol w:w="1112"/>
        <w:gridCol w:w="437"/>
        <w:gridCol w:w="1037"/>
        <w:gridCol w:w="362"/>
        <w:gridCol w:w="1112"/>
      </w:tblGrid>
      <w:tr>
        <w:trPr>
          <w:trHeight w:val="593"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6" w:right="0"/>
              <w:jc w:val="left"/>
              <w:rPr>
                <w:rFonts w:ascii="宋体" w:hAnsi="宋体" w:cs="宋体" w:eastAsia="宋体" w:hint="default"/>
                <w:sz w:val="15"/>
                <w:szCs w:val="15"/>
              </w:rPr>
            </w:pPr>
            <w:r>
              <w:rPr>
                <w:rFonts w:ascii="宋体" w:hAnsi="宋体" w:cs="宋体" w:eastAsia="宋体" w:hint="default"/>
                <w:sz w:val="15"/>
                <w:szCs w:val="15"/>
              </w:rPr>
              <w:t>单项金额重大并单</w:t>
            </w:r>
          </w:p>
          <w:p>
            <w:pPr>
              <w:pStyle w:val="TableParagraph"/>
              <w:spacing w:line="240" w:lineRule="auto"/>
              <w:ind w:left="26" w:right="72"/>
              <w:jc w:val="left"/>
              <w:rPr>
                <w:rFonts w:ascii="宋体" w:hAnsi="宋体" w:cs="宋体" w:eastAsia="宋体" w:hint="default"/>
                <w:sz w:val="15"/>
                <w:szCs w:val="15"/>
              </w:rPr>
            </w:pPr>
            <w:r>
              <w:rPr>
                <w:rFonts w:ascii="宋体" w:hAnsi="宋体" w:cs="宋体" w:eastAsia="宋体" w:hint="default"/>
                <w:sz w:val="15"/>
                <w:szCs w:val="15"/>
              </w:rPr>
              <w:t>独计提坏账准备的 其他应收款</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0.00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74" w:right="0"/>
              <w:jc w:val="center"/>
              <w:rPr>
                <w:rFonts w:ascii="宋体" w:hAnsi="宋体" w:cs="宋体" w:eastAsia="宋体" w:hint="default"/>
                <w:sz w:val="15"/>
                <w:szCs w:val="15"/>
              </w:rPr>
            </w:pPr>
            <w:r>
              <w:rPr>
                <w:rFonts w:ascii="宋体"/>
                <w:sz w:val="15"/>
              </w:rPr>
              <w:t>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0.00</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0.00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74" w:right="0"/>
              <w:jc w:val="center"/>
              <w:rPr>
                <w:rFonts w:ascii="宋体" w:hAnsi="宋体" w:cs="宋体" w:eastAsia="宋体" w:hint="default"/>
                <w:sz w:val="15"/>
                <w:szCs w:val="15"/>
              </w:rPr>
            </w:pPr>
            <w:r>
              <w:rPr>
                <w:rFonts w:ascii="宋体"/>
                <w:sz w:val="15"/>
              </w:rPr>
              <w:t>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2"/>
              <w:jc w:val="right"/>
              <w:rPr>
                <w:rFonts w:ascii="宋体" w:hAnsi="宋体" w:cs="宋体" w:eastAsia="宋体" w:hint="default"/>
                <w:sz w:val="15"/>
                <w:szCs w:val="15"/>
              </w:rPr>
            </w:pPr>
            <w:r>
              <w:rPr>
                <w:rFonts w:ascii="宋体"/>
                <w:spacing w:val="-1"/>
                <w:sz w:val="15"/>
              </w:rPr>
              <w:t>0.00</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0.00</w:t>
            </w:r>
          </w:p>
        </w:tc>
      </w:tr>
      <w:tr>
        <w:trPr>
          <w:trHeight w:val="594"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z w:val="15"/>
                <w:szCs w:val="15"/>
              </w:rPr>
              <w:t>按信用风险特征组</w:t>
            </w:r>
          </w:p>
          <w:p>
            <w:pPr>
              <w:pStyle w:val="TableParagraph"/>
              <w:spacing w:line="240" w:lineRule="auto"/>
              <w:ind w:left="26" w:right="72"/>
              <w:jc w:val="left"/>
              <w:rPr>
                <w:rFonts w:ascii="宋体" w:hAnsi="宋体" w:cs="宋体" w:eastAsia="宋体" w:hint="default"/>
                <w:sz w:val="15"/>
                <w:szCs w:val="15"/>
              </w:rPr>
            </w:pPr>
            <w:r>
              <w:rPr>
                <w:rFonts w:ascii="宋体" w:hAnsi="宋体" w:cs="宋体" w:eastAsia="宋体" w:hint="default"/>
                <w:sz w:val="15"/>
                <w:szCs w:val="15"/>
              </w:rPr>
              <w:t>合计提坏账准备的 其他应收款</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1"/>
                <w:sz w:val="15"/>
              </w:rPr>
              <w:t>220,325,548.19</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99.54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13,165,729.83</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5.98</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207,159,818.36</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526,480,814.64</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99.85</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13,236,158.84</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2.51</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1"/>
                <w:sz w:val="15"/>
              </w:rPr>
              <w:t>513,244,655.80</w:t>
            </w:r>
          </w:p>
        </w:tc>
      </w:tr>
      <w:tr>
        <w:trPr>
          <w:trHeight w:val="594"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z w:val="15"/>
                <w:szCs w:val="15"/>
              </w:rPr>
              <w:t>单项金额不重大但</w:t>
            </w:r>
          </w:p>
          <w:p>
            <w:pPr>
              <w:pStyle w:val="TableParagraph"/>
              <w:spacing w:line="240" w:lineRule="auto"/>
              <w:ind w:left="26" w:right="72"/>
              <w:jc w:val="left"/>
              <w:rPr>
                <w:rFonts w:ascii="宋体" w:hAnsi="宋体" w:cs="宋体" w:eastAsia="宋体" w:hint="default"/>
                <w:sz w:val="15"/>
                <w:szCs w:val="15"/>
              </w:rPr>
            </w:pPr>
            <w:r>
              <w:rPr>
                <w:rFonts w:ascii="宋体" w:hAnsi="宋体" w:cs="宋体" w:eastAsia="宋体" w:hint="default"/>
                <w:sz w:val="15"/>
                <w:szCs w:val="15"/>
              </w:rPr>
              <w:t>单独计提坏账准备 的其他应收款</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1,009,680.80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74" w:right="0"/>
              <w:jc w:val="center"/>
              <w:rPr>
                <w:rFonts w:ascii="宋体" w:hAnsi="宋体" w:cs="宋体" w:eastAsia="宋体" w:hint="default"/>
                <w:sz w:val="15"/>
                <w:szCs w:val="15"/>
              </w:rPr>
            </w:pPr>
            <w:r>
              <w:rPr>
                <w:rFonts w:ascii="宋体"/>
                <w:sz w:val="15"/>
              </w:rPr>
              <w:t>0.46</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0.00</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1,009,680.80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795,029.00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74" w:right="0"/>
              <w:jc w:val="center"/>
              <w:rPr>
                <w:rFonts w:ascii="宋体" w:hAnsi="宋体" w:cs="宋体" w:eastAsia="宋体" w:hint="default"/>
                <w:sz w:val="15"/>
                <w:szCs w:val="15"/>
              </w:rPr>
            </w:pPr>
            <w:r>
              <w:rPr>
                <w:rFonts w:ascii="宋体"/>
                <w:sz w:val="15"/>
              </w:rPr>
              <w:t>0.15</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2"/>
              <w:jc w:val="right"/>
              <w:rPr>
                <w:rFonts w:ascii="宋体" w:hAnsi="宋体" w:cs="宋体" w:eastAsia="宋体" w:hint="default"/>
                <w:sz w:val="15"/>
                <w:szCs w:val="15"/>
              </w:rPr>
            </w:pPr>
            <w:r>
              <w:rPr>
                <w:rFonts w:ascii="宋体"/>
                <w:spacing w:val="-1"/>
                <w:sz w:val="15"/>
              </w:rPr>
              <w:t>0.00</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795,029.00</w:t>
            </w:r>
          </w:p>
        </w:tc>
      </w:tr>
      <w:tr>
        <w:trPr>
          <w:trHeight w:val="205"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6"/>
              <w:jc w:val="right"/>
              <w:rPr>
                <w:rFonts w:ascii="宋体" w:hAnsi="宋体" w:cs="宋体" w:eastAsia="宋体" w:hint="default"/>
                <w:sz w:val="15"/>
                <w:szCs w:val="15"/>
              </w:rPr>
            </w:pPr>
            <w:r>
              <w:rPr>
                <w:rFonts w:ascii="宋体"/>
                <w:spacing w:val="-1"/>
                <w:sz w:val="15"/>
              </w:rPr>
              <w:t>221,335,228.99</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13,165,729.83</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sz w:val="15"/>
              </w:rPr>
              <w:t>/</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208,169,499.16</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527,275,843.64</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3"/>
              <w:jc w:val="right"/>
              <w:rPr>
                <w:rFonts w:ascii="宋体" w:hAnsi="宋体" w:cs="宋体" w:eastAsia="宋体" w:hint="default"/>
                <w:sz w:val="15"/>
                <w:szCs w:val="15"/>
              </w:rPr>
            </w:pPr>
            <w:r>
              <w:rPr>
                <w:rFonts w:ascii="宋体"/>
                <w:spacing w:val="-1"/>
                <w:sz w:val="15"/>
              </w:rPr>
              <w:t>13,236,158.84</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6"/>
              <w:jc w:val="right"/>
              <w:rPr>
                <w:rFonts w:ascii="宋体" w:hAnsi="宋体" w:cs="宋体" w:eastAsia="宋体" w:hint="default"/>
                <w:sz w:val="15"/>
                <w:szCs w:val="15"/>
              </w:rPr>
            </w:pPr>
            <w:r>
              <w:rPr>
                <w:rFonts w:ascii="宋体"/>
                <w:spacing w:val="-1"/>
                <w:sz w:val="15"/>
              </w:rPr>
              <w:t>514,039,684.80</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120" w:right="840"/>
        </w:sectPr>
      </w:pPr>
    </w:p>
    <w:p>
      <w:pPr>
        <w:spacing w:before="35"/>
        <w:ind w:left="678" w:right="-20"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组合中，按账龄分析法计提坏账准备的其他应收款：</w:t>
      </w:r>
    </w:p>
    <w:p>
      <w:pPr>
        <w:spacing w:before="57"/>
        <w:ind w:left="678" w:right="-20" w:firstLine="0"/>
        <w:jc w:val="left"/>
        <w:rPr>
          <w:rFonts w:ascii="宋体" w:hAnsi="宋体" w:cs="宋体" w:eastAsia="宋体" w:hint="default"/>
          <w:sz w:val="21"/>
          <w:szCs w:val="21"/>
        </w:rPr>
      </w:pPr>
      <w:r>
        <w:rPr>
          <w:rFonts w:ascii="宋体" w:hAnsi="宋体" w:cs="宋体" w:eastAsia="宋体" w:hint="default"/>
          <w:sz w:val="21"/>
          <w:szCs w:val="21"/>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tabs>
          <w:tab w:pos="1727" w:val="left" w:leader="none"/>
        </w:tabs>
        <w:spacing w:before="0"/>
        <w:ind w:left="67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120" w:right="840"/>
          <w:cols w:num="2" w:equalWidth="0">
            <w:col w:w="5509" w:space="1015"/>
            <w:col w:w="3426"/>
          </w:cols>
        </w:sectPr>
      </w:pPr>
    </w:p>
    <w:p>
      <w:pPr>
        <w:spacing w:line="240" w:lineRule="auto" w:before="7"/>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3574"/>
        <w:gridCol w:w="1822"/>
        <w:gridCol w:w="1822"/>
        <w:gridCol w:w="1832"/>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187,404,845.01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1,874,048.45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185,530,796.56</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13,426,498.78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2,685,299.75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10,741,199.03</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17,096,358.46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6,838,543.38</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10,257,815.08</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1,309,575.22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785,745.13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523,830.09</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530,888.00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424,710.40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106,177.60</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557,382.72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557,382.72</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220,325,548.19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13,165,729.83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207,159,818.36</w:t>
            </w:r>
          </w:p>
        </w:tc>
      </w:tr>
    </w:tbl>
    <w:p>
      <w:pPr>
        <w:spacing w:line="240" w:lineRule="auto" w:before="8"/>
        <w:rPr>
          <w:rFonts w:ascii="宋体" w:hAnsi="宋体" w:cs="宋体" w:eastAsia="宋体" w:hint="default"/>
          <w:sz w:val="27"/>
          <w:szCs w:val="27"/>
        </w:rPr>
      </w:pPr>
    </w:p>
    <w:p>
      <w:pPr>
        <w:spacing w:line="20" w:lineRule="exact"/>
        <w:ind w:left="67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before="166"/>
        <w:ind w:left="678" w:right="417"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5"/>
          <w:sz w:val="21"/>
          <w:szCs w:val="21"/>
        </w:rPr>
        <w:t> </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pStyle w:val="BodyText"/>
        <w:spacing w:line="310" w:lineRule="exact" w:before="86"/>
        <w:ind w:left="678" w:right="417" w:firstLine="480"/>
        <w:jc w:val="left"/>
      </w:pPr>
      <w:r>
        <w:rPr/>
        <w:t>本期计提坏账准备金额</w:t>
      </w:r>
      <w:r>
        <w:rPr>
          <w:rFonts w:ascii="宋体" w:hAnsi="宋体" w:cs="宋体" w:eastAsia="宋体" w:hint="default"/>
        </w:rPr>
        <w:t>-70,429.01</w:t>
      </w:r>
      <w:r>
        <w:rPr>
          <w:rFonts w:ascii="宋体" w:hAnsi="宋体" w:cs="宋体" w:eastAsia="宋体" w:hint="default"/>
          <w:spacing w:val="-49"/>
        </w:rPr>
        <w:t> </w:t>
      </w:r>
      <w:r>
        <w:rPr>
          <w:spacing w:val="-6"/>
        </w:rPr>
        <w:t>元；本期无收回或转回原单项计提的坏账准备</w:t>
      </w:r>
      <w:r>
        <w:rPr/>
        <w:t> 情况。</w:t>
      </w:r>
    </w:p>
    <w:p>
      <w:pPr>
        <w:spacing w:line="240" w:lineRule="auto" w:before="6"/>
        <w:rPr>
          <w:rFonts w:ascii="宋体" w:hAnsi="宋体" w:cs="宋体" w:eastAsia="宋体" w:hint="default"/>
          <w:sz w:val="32"/>
          <w:szCs w:val="32"/>
        </w:rPr>
      </w:pPr>
    </w:p>
    <w:p>
      <w:pPr>
        <w:spacing w:before="0"/>
        <w:ind w:left="678" w:right="417"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3"/>
          <w:sz w:val="21"/>
          <w:szCs w:val="21"/>
        </w:rPr>
        <w:t> </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1"/>
        <w:rPr>
          <w:rFonts w:ascii="宋体" w:hAnsi="宋体" w:cs="宋体" w:eastAsia="宋体" w:hint="default"/>
          <w:b/>
          <w:bCs/>
          <w:sz w:val="7"/>
          <w:szCs w:val="7"/>
        </w:rPr>
      </w:pPr>
    </w:p>
    <w:tbl>
      <w:tblPr>
        <w:tblW w:w="0" w:type="auto"/>
        <w:jc w:val="left"/>
        <w:tblInd w:w="565" w:type="dxa"/>
        <w:tblLayout w:type="fixed"/>
        <w:tblCellMar>
          <w:top w:w="0" w:type="dxa"/>
          <w:left w:w="0" w:type="dxa"/>
          <w:bottom w:w="0" w:type="dxa"/>
          <w:right w:w="0" w:type="dxa"/>
        </w:tblCellMar>
        <w:tblLook w:val="01E0"/>
      </w:tblPr>
      <w:tblGrid>
        <w:gridCol w:w="3076"/>
        <w:gridCol w:w="2982"/>
        <w:gridCol w:w="2992"/>
      </w:tblGrid>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1,009,680.80</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3,175,702.74</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41,806,495.81</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33,902,170.60</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预支款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3,913,970.38</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5,426,006.61</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2,029,131.77</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716,451.15</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内部往来</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172,575,950.23</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484,055,512.54</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221,335,228.99</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527,275,843.64</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spacing w:before="35"/>
        <w:ind w:left="678" w:right="417"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6"/>
          <w:sz w:val="21"/>
          <w:szCs w:val="21"/>
        </w:rPr>
        <w:t> </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tabs>
          <w:tab w:pos="1049" w:val="left" w:leader="none"/>
        </w:tabs>
        <w:spacing w:before="57"/>
        <w:ind w:left="0" w:right="432"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89"/>
        <w:gridCol w:w="992"/>
        <w:gridCol w:w="1720"/>
        <w:gridCol w:w="994"/>
        <w:gridCol w:w="1132"/>
        <w:gridCol w:w="1415"/>
      </w:tblGrid>
      <w:tr>
        <w:trPr>
          <w:trHeight w:val="1104" w:hRule="exact"/>
        </w:trPr>
        <w:tc>
          <w:tcPr>
            <w:tcW w:w="3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103"/>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46" w:right="105" w:hanging="316"/>
              <w:jc w:val="left"/>
              <w:rPr>
                <w:rFonts w:ascii="宋体" w:hAnsi="宋体" w:cs="宋体" w:eastAsia="宋体" w:hint="default"/>
                <w:sz w:val="21"/>
                <w:szCs w:val="21"/>
              </w:rPr>
            </w:pPr>
            <w:r>
              <w:rPr>
                <w:rFonts w:ascii="宋体" w:hAnsi="宋体" w:cs="宋体" w:eastAsia="宋体" w:hint="default"/>
                <w:sz w:val="21"/>
                <w:szCs w:val="21"/>
              </w:rPr>
              <w:t>款项的性 质</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39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75"/>
              <w:jc w:val="center"/>
              <w:rPr>
                <w:rFonts w:ascii="宋体" w:hAnsi="宋体" w:cs="宋体" w:eastAsia="宋体" w:hint="default"/>
                <w:sz w:val="21"/>
                <w:szCs w:val="21"/>
              </w:rPr>
            </w:pPr>
            <w:r>
              <w:rPr>
                <w:rFonts w:ascii="宋体" w:hAnsi="宋体" w:cs="宋体" w:eastAsia="宋体" w:hint="default"/>
                <w:sz w:val="21"/>
                <w:szCs w:val="21"/>
              </w:rPr>
              <w:t>账龄</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占其他应收</w:t>
            </w:r>
          </w:p>
          <w:p>
            <w:pPr>
              <w:pStyle w:val="TableParagraph"/>
              <w:spacing w:line="237" w:lineRule="auto" w:before="1"/>
              <w:ind w:left="32" w:right="32"/>
              <w:jc w:val="center"/>
              <w:rPr>
                <w:rFonts w:ascii="宋体" w:hAnsi="宋体" w:cs="宋体" w:eastAsia="宋体" w:hint="default"/>
                <w:sz w:val="21"/>
                <w:szCs w:val="21"/>
              </w:rPr>
            </w:pPr>
            <w:r>
              <w:rPr>
                <w:rFonts w:ascii="宋体" w:hAnsi="宋体" w:cs="宋体" w:eastAsia="宋体" w:hint="default"/>
                <w:sz w:val="21"/>
                <w:szCs w:val="21"/>
              </w:rPr>
              <w:t>款期末余额 合计数的比 例</w:t>
            </w:r>
            <w:r>
              <w:rPr>
                <w:rFonts w:ascii="宋体" w:hAnsi="宋体" w:cs="宋体" w:eastAsia="宋体" w:hint="default"/>
                <w:sz w:val="21"/>
                <w:szCs w:val="21"/>
              </w:rPr>
              <w:t>(%)</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78" w:right="281"/>
              <w:jc w:val="left"/>
              <w:rPr>
                <w:rFonts w:ascii="宋体" w:hAnsi="宋体" w:cs="宋体" w:eastAsia="宋体" w:hint="default"/>
                <w:sz w:val="21"/>
                <w:szCs w:val="21"/>
              </w:rPr>
            </w:pPr>
            <w:r>
              <w:rPr>
                <w:rFonts w:ascii="宋体" w:hAnsi="宋体" w:cs="宋体" w:eastAsia="宋体" w:hint="default"/>
                <w:sz w:val="21"/>
                <w:szCs w:val="21"/>
              </w:rPr>
              <w:t>坏账准备 期末余额</w:t>
            </w:r>
          </w:p>
        </w:tc>
      </w:tr>
      <w:tr>
        <w:trPr>
          <w:trHeight w:val="287" w:hRule="exact"/>
        </w:trPr>
        <w:tc>
          <w:tcPr>
            <w:tcW w:w="33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南京华胜天成信息技术有限公司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内部往来</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69,115,518.05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3"/>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31.23</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691,155.18</w:t>
            </w:r>
          </w:p>
        </w:tc>
      </w:tr>
      <w:tr>
        <w:trPr>
          <w:trHeight w:val="288" w:hRule="exact"/>
        </w:trPr>
        <w:tc>
          <w:tcPr>
            <w:tcW w:w="33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北京华胜天成软件技术有限公司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内部往来</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30,220,487.81</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3"/>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13.65</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302,204.88</w:t>
            </w:r>
          </w:p>
        </w:tc>
      </w:tr>
      <w:tr>
        <w:trPr>
          <w:trHeight w:val="287" w:hRule="exact"/>
        </w:trPr>
        <w:tc>
          <w:tcPr>
            <w:tcW w:w="33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华胜天成科技（香港）有限公司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内部往来</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22,827,540.84</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3"/>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10.31</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228,275.41</w:t>
            </w:r>
          </w:p>
        </w:tc>
      </w:tr>
    </w:tbl>
    <w:p>
      <w:pPr>
        <w:spacing w:after="0" w:line="240" w:lineRule="exact"/>
        <w:jc w:val="right"/>
        <w:rPr>
          <w:rFonts w:ascii="宋体" w:hAnsi="宋体" w:cs="宋体" w:eastAsia="宋体" w:hint="default"/>
          <w:sz w:val="21"/>
          <w:szCs w:val="21"/>
        </w:rPr>
        <w:sectPr>
          <w:type w:val="continuous"/>
          <w:pgSz w:w="11910" w:h="16840"/>
          <w:pgMar w:top="1080" w:bottom="1380" w:left="1120" w:right="8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389"/>
        <w:gridCol w:w="992"/>
        <w:gridCol w:w="1720"/>
        <w:gridCol w:w="994"/>
        <w:gridCol w:w="1132"/>
        <w:gridCol w:w="1415"/>
      </w:tblGrid>
      <w:tr>
        <w:trPr>
          <w:trHeight w:val="832" w:hRule="exact"/>
        </w:trPr>
        <w:tc>
          <w:tcPr>
            <w:tcW w:w="33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北京飞杰信息技术有限公司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内部往来</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7" w:right="0"/>
              <w:jc w:val="center"/>
              <w:rPr>
                <w:rFonts w:ascii="宋体" w:hAnsi="宋体" w:cs="宋体" w:eastAsia="宋体" w:hint="default"/>
                <w:sz w:val="21"/>
                <w:szCs w:val="21"/>
              </w:rPr>
            </w:pPr>
            <w:r>
              <w:rPr>
                <w:rFonts w:ascii="宋体"/>
                <w:sz w:val="21"/>
              </w:rPr>
              <w:t>15,297,143.00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p>
            <w:pPr>
              <w:pStyle w:val="TableParagraph"/>
              <w:spacing w:line="272"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6.91</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6,091,439.77</w:t>
            </w:r>
          </w:p>
        </w:tc>
      </w:tr>
      <w:tr>
        <w:trPr>
          <w:trHeight w:val="288" w:hRule="exact"/>
        </w:trPr>
        <w:tc>
          <w:tcPr>
            <w:tcW w:w="33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南京华胜天成计算机技术有限公司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内部往来</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7" w:right="0"/>
              <w:jc w:val="center"/>
              <w:rPr>
                <w:rFonts w:ascii="宋体" w:hAnsi="宋体" w:cs="宋体" w:eastAsia="宋体" w:hint="default"/>
                <w:sz w:val="21"/>
                <w:szCs w:val="21"/>
              </w:rPr>
            </w:pPr>
            <w:r>
              <w:rPr>
                <w:rFonts w:ascii="宋体"/>
                <w:sz w:val="21"/>
              </w:rPr>
              <w:t>13,685,617.16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6.18</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136,856.18</w:t>
            </w:r>
          </w:p>
        </w:tc>
      </w:tr>
      <w:tr>
        <w:trPr>
          <w:trHeight w:val="287" w:hRule="exact"/>
        </w:trPr>
        <w:tc>
          <w:tcPr>
            <w:tcW w:w="33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sz w:val="21"/>
              </w:rPr>
              <w:t>--</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3" w:right="0"/>
              <w:jc w:val="center"/>
              <w:rPr>
                <w:rFonts w:ascii="宋体" w:hAnsi="宋体" w:cs="宋体" w:eastAsia="宋体" w:hint="default"/>
                <w:sz w:val="21"/>
                <w:szCs w:val="21"/>
              </w:rPr>
            </w:pPr>
            <w:r>
              <w:rPr>
                <w:rFonts w:ascii="宋体"/>
                <w:sz w:val="21"/>
              </w:rPr>
              <w:t>151,146,306.86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sz w:val="21"/>
              </w:rPr>
              <w:t>--</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68.28</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7,449,931.42</w:t>
            </w:r>
          </w:p>
        </w:tc>
      </w:tr>
    </w:tbl>
    <w:p>
      <w:pPr>
        <w:spacing w:line="240" w:lineRule="auto" w:before="1"/>
        <w:rPr>
          <w:rFonts w:ascii="宋体" w:hAnsi="宋体" w:cs="宋体" w:eastAsia="宋体" w:hint="default"/>
          <w:sz w:val="20"/>
          <w:szCs w:val="20"/>
        </w:rPr>
      </w:pPr>
    </w:p>
    <w:p>
      <w:pPr>
        <w:spacing w:before="35"/>
        <w:ind w:left="678" w:right="23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0"/>
        <w:rPr>
          <w:rFonts w:ascii="宋体" w:hAnsi="宋体" w:cs="宋体" w:eastAsia="宋体" w:hint="default"/>
          <w:b/>
          <w:bCs/>
          <w:sz w:val="27"/>
          <w:szCs w:val="27"/>
        </w:rPr>
      </w:pPr>
    </w:p>
    <w:p>
      <w:pPr>
        <w:spacing w:before="35"/>
        <w:ind w:left="678" w:right="23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2"/>
          <w:sz w:val="21"/>
          <w:szCs w:val="21"/>
        </w:rPr>
        <w:t> </w:t>
      </w:r>
      <w:r>
        <w:rPr>
          <w:rFonts w:ascii="宋体" w:hAnsi="宋体" w:cs="宋体" w:eastAsia="宋体" w:hint="default"/>
          <w:b/>
          <w:bCs/>
          <w:sz w:val="21"/>
          <w:szCs w:val="21"/>
        </w:rPr>
        <w:t>对子公司投资</w:t>
      </w:r>
      <w:r>
        <w:rPr>
          <w:rFonts w:ascii="宋体" w:hAnsi="宋体" w:cs="宋体" w:eastAsia="宋体" w:hint="default"/>
          <w:sz w:val="21"/>
          <w:szCs w:val="21"/>
        </w:rPr>
      </w:r>
    </w:p>
    <w:p>
      <w:pPr>
        <w:tabs>
          <w:tab w:pos="1049" w:val="left" w:leader="none"/>
        </w:tabs>
        <w:spacing w:before="57"/>
        <w:ind w:left="0" w:right="352"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1451"/>
        <w:gridCol w:w="1686"/>
        <w:gridCol w:w="1686"/>
        <w:gridCol w:w="846"/>
        <w:gridCol w:w="1686"/>
        <w:gridCol w:w="847"/>
        <w:gridCol w:w="847"/>
      </w:tblGrid>
      <w:tr>
        <w:trPr>
          <w:trHeight w:val="828" w:hRule="exact"/>
        </w:trPr>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95"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313" w:right="101" w:hanging="210"/>
              <w:jc w:val="left"/>
              <w:rPr>
                <w:rFonts w:ascii="宋体" w:hAnsi="宋体" w:cs="宋体" w:eastAsia="宋体" w:hint="default"/>
                <w:sz w:val="21"/>
                <w:szCs w:val="21"/>
              </w:rPr>
            </w:pPr>
            <w:r>
              <w:rPr>
                <w:rFonts w:ascii="宋体" w:hAnsi="宋体" w:cs="宋体" w:eastAsia="宋体" w:hint="default"/>
                <w:sz w:val="21"/>
                <w:szCs w:val="21"/>
              </w:rPr>
              <w:t>本期减 少</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w:t>
            </w:r>
          </w:p>
          <w:p>
            <w:pPr>
              <w:pStyle w:val="TableParagraph"/>
              <w:spacing w:line="272" w:lineRule="exact" w:before="26"/>
              <w:ind w:left="208" w:right="102" w:hanging="106"/>
              <w:jc w:val="left"/>
              <w:rPr>
                <w:rFonts w:ascii="宋体" w:hAnsi="宋体" w:cs="宋体" w:eastAsia="宋体" w:hint="default"/>
                <w:sz w:val="21"/>
                <w:szCs w:val="21"/>
              </w:rPr>
            </w:pPr>
            <w:r>
              <w:rPr>
                <w:rFonts w:ascii="宋体" w:hAnsi="宋体" w:cs="宋体" w:eastAsia="宋体" w:hint="default"/>
                <w:sz w:val="21"/>
                <w:szCs w:val="21"/>
              </w:rPr>
              <w:t>提减值 准备</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2" w:lineRule="exact" w:before="26"/>
              <w:ind w:left="207" w:right="103" w:hanging="106"/>
              <w:jc w:val="left"/>
              <w:rPr>
                <w:rFonts w:ascii="宋体" w:hAnsi="宋体" w:cs="宋体" w:eastAsia="宋体" w:hint="default"/>
                <w:sz w:val="21"/>
                <w:szCs w:val="21"/>
              </w:rPr>
            </w:pPr>
            <w:r>
              <w:rPr>
                <w:rFonts w:ascii="宋体" w:hAnsi="宋体" w:cs="宋体" w:eastAsia="宋体" w:hint="default"/>
                <w:sz w:val="21"/>
                <w:szCs w:val="21"/>
              </w:rPr>
              <w:t>备期末 余额</w:t>
            </w:r>
          </w:p>
        </w:tc>
      </w:tr>
      <w:tr>
        <w:trPr>
          <w:trHeight w:val="827" w:hRule="exact"/>
        </w:trPr>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华胜天成科</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5"/>
                <w:sz w:val="21"/>
                <w:szCs w:val="21"/>
              </w:rPr>
              <w:t>技（香港）有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359,045,504.18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359,045,504.18</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r>
      <w:tr>
        <w:trPr>
          <w:trHeight w:val="827" w:hRule="exact"/>
        </w:trPr>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华胜天成科</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5"/>
                <w:sz w:val="21"/>
                <w:szCs w:val="21"/>
              </w:rPr>
              <w:t>技（美国）有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7,874,455.00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7,874,455.00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r>
      <w:tr>
        <w:trPr>
          <w:trHeight w:val="827" w:hRule="exact"/>
        </w:trPr>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北京华胜天</w:t>
            </w:r>
          </w:p>
          <w:p>
            <w:pPr>
              <w:pStyle w:val="TableParagraph"/>
              <w:spacing w:line="272" w:lineRule="exact" w:before="26"/>
              <w:ind w:left="103" w:right="287"/>
              <w:jc w:val="left"/>
              <w:rPr>
                <w:rFonts w:ascii="宋体" w:hAnsi="宋体" w:cs="宋体" w:eastAsia="宋体" w:hint="default"/>
                <w:sz w:val="21"/>
                <w:szCs w:val="21"/>
              </w:rPr>
            </w:pPr>
            <w:r>
              <w:rPr>
                <w:rFonts w:ascii="宋体" w:hAnsi="宋体" w:cs="宋体" w:eastAsia="宋体" w:hint="default"/>
                <w:sz w:val="21"/>
                <w:szCs w:val="21"/>
              </w:rPr>
              <w:t>成软件技术 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39,659,226.40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39,659,226.40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r>
      <w:tr>
        <w:trPr>
          <w:trHeight w:val="827" w:hRule="exact"/>
        </w:trPr>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深圳华胜天</w:t>
            </w:r>
          </w:p>
          <w:p>
            <w:pPr>
              <w:pStyle w:val="TableParagraph"/>
              <w:spacing w:line="272" w:lineRule="exact" w:before="26"/>
              <w:ind w:left="103" w:right="287"/>
              <w:jc w:val="left"/>
              <w:rPr>
                <w:rFonts w:ascii="宋体" w:hAnsi="宋体" w:cs="宋体" w:eastAsia="宋体" w:hint="default"/>
                <w:sz w:val="21"/>
                <w:szCs w:val="21"/>
              </w:rPr>
            </w:pPr>
            <w:r>
              <w:rPr>
                <w:rFonts w:ascii="宋体" w:hAnsi="宋体" w:cs="宋体" w:eastAsia="宋体" w:hint="default"/>
                <w:sz w:val="21"/>
                <w:szCs w:val="21"/>
              </w:rPr>
              <w:t>成信息技术 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20,097,899.99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20,097,899.99</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r>
      <w:tr>
        <w:trPr>
          <w:trHeight w:val="828" w:hRule="exact"/>
        </w:trPr>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北京交大思</w:t>
            </w:r>
          </w:p>
          <w:p>
            <w:pPr>
              <w:pStyle w:val="TableParagraph"/>
              <w:spacing w:line="272" w:lineRule="exact" w:before="26"/>
              <w:ind w:left="103" w:right="287"/>
              <w:jc w:val="left"/>
              <w:rPr>
                <w:rFonts w:ascii="宋体" w:hAnsi="宋体" w:cs="宋体" w:eastAsia="宋体" w:hint="default"/>
                <w:sz w:val="21"/>
                <w:szCs w:val="21"/>
              </w:rPr>
            </w:pPr>
            <w:r>
              <w:rPr>
                <w:rFonts w:ascii="宋体" w:hAnsi="宋体" w:cs="宋体" w:eastAsia="宋体" w:hint="default"/>
                <w:sz w:val="21"/>
                <w:szCs w:val="21"/>
              </w:rPr>
              <w:t>源科技有限 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3,604,112.49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3,604,112.49</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0.00</w:t>
            </w:r>
          </w:p>
        </w:tc>
      </w:tr>
      <w:tr>
        <w:trPr>
          <w:trHeight w:val="827" w:hRule="exact"/>
        </w:trPr>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北京飞杰信</w:t>
            </w:r>
          </w:p>
          <w:p>
            <w:pPr>
              <w:pStyle w:val="TableParagraph"/>
              <w:spacing w:line="272" w:lineRule="exact" w:before="26"/>
              <w:ind w:left="103" w:right="287"/>
              <w:jc w:val="left"/>
              <w:rPr>
                <w:rFonts w:ascii="宋体" w:hAnsi="宋体" w:cs="宋体" w:eastAsia="宋体" w:hint="default"/>
                <w:sz w:val="21"/>
                <w:szCs w:val="21"/>
              </w:rPr>
            </w:pPr>
            <w:r>
              <w:rPr>
                <w:rFonts w:ascii="宋体" w:hAnsi="宋体" w:cs="宋体" w:eastAsia="宋体" w:hint="default"/>
                <w:sz w:val="21"/>
                <w:szCs w:val="21"/>
              </w:rPr>
              <w:t>息技术有限 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4,998,000.00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4,998,000.00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r>
      <w:tr>
        <w:trPr>
          <w:trHeight w:val="827" w:hRule="exact"/>
        </w:trPr>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南京华胜天</w:t>
            </w:r>
          </w:p>
          <w:p>
            <w:pPr>
              <w:pStyle w:val="TableParagraph"/>
              <w:spacing w:line="272" w:lineRule="exact" w:before="26"/>
              <w:ind w:left="103" w:right="287"/>
              <w:jc w:val="left"/>
              <w:rPr>
                <w:rFonts w:ascii="宋体" w:hAnsi="宋体" w:cs="宋体" w:eastAsia="宋体" w:hint="default"/>
                <w:sz w:val="21"/>
                <w:szCs w:val="21"/>
              </w:rPr>
            </w:pPr>
            <w:r>
              <w:rPr>
                <w:rFonts w:ascii="宋体" w:hAnsi="宋体" w:cs="宋体" w:eastAsia="宋体" w:hint="default"/>
                <w:sz w:val="21"/>
                <w:szCs w:val="21"/>
              </w:rPr>
              <w:t>成信息技术 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50,000,000.00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50,000,000.00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r>
      <w:tr>
        <w:trPr>
          <w:trHeight w:val="827" w:hRule="exact"/>
        </w:trPr>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成都华胜天</w:t>
            </w:r>
          </w:p>
          <w:p>
            <w:pPr>
              <w:pStyle w:val="TableParagraph"/>
              <w:spacing w:line="272" w:lineRule="exact" w:before="26"/>
              <w:ind w:left="103" w:right="287"/>
              <w:jc w:val="left"/>
              <w:rPr>
                <w:rFonts w:ascii="宋体" w:hAnsi="宋体" w:cs="宋体" w:eastAsia="宋体" w:hint="default"/>
                <w:sz w:val="21"/>
                <w:szCs w:val="21"/>
              </w:rPr>
            </w:pPr>
            <w:r>
              <w:rPr>
                <w:rFonts w:ascii="宋体" w:hAnsi="宋体" w:cs="宋体" w:eastAsia="宋体" w:hint="default"/>
                <w:sz w:val="21"/>
                <w:szCs w:val="21"/>
              </w:rPr>
              <w:t>成信息技术 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20,000,000.00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20,000,000.00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r>
      <w:tr>
        <w:trPr>
          <w:trHeight w:val="554" w:hRule="exact"/>
        </w:trPr>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翰竺科技</w:t>
            </w:r>
            <w:r>
              <w:rPr>
                <w:rFonts w:ascii="宋体" w:hAnsi="宋体" w:cs="宋体" w:eastAsia="宋体" w:hint="default"/>
                <w:sz w:val="21"/>
                <w:szCs w:val="21"/>
              </w:rPr>
              <w:t>(</w:t>
            </w:r>
            <w:r>
              <w:rPr>
                <w:rFonts w:ascii="宋体" w:hAnsi="宋体" w:cs="宋体" w:eastAsia="宋体" w:hint="default"/>
                <w:sz w:val="21"/>
                <w:szCs w:val="21"/>
              </w:rPr>
              <w:t>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京</w:t>
            </w:r>
            <w:r>
              <w:rPr>
                <w:rFonts w:ascii="宋体" w:hAnsi="宋体" w:cs="宋体" w:eastAsia="宋体" w:hint="default"/>
                <w:sz w:val="21"/>
                <w:szCs w:val="21"/>
              </w:rPr>
              <w:t>)</w:t>
            </w:r>
            <w:r>
              <w:rPr>
                <w:rFonts w:ascii="宋体" w:hAnsi="宋体" w:cs="宋体" w:eastAsia="宋体" w:hint="default"/>
                <w:sz w:val="21"/>
                <w:szCs w:val="21"/>
              </w:rPr>
              <w:t>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293,700.00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293,700.00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r>
      <w:tr>
        <w:trPr>
          <w:trHeight w:val="828" w:hRule="exact"/>
        </w:trPr>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广州石竹计</w:t>
            </w:r>
          </w:p>
          <w:p>
            <w:pPr>
              <w:pStyle w:val="TableParagraph"/>
              <w:spacing w:line="272" w:lineRule="exact" w:before="26"/>
              <w:ind w:left="103" w:right="287"/>
              <w:jc w:val="left"/>
              <w:rPr>
                <w:rFonts w:ascii="宋体" w:hAnsi="宋体" w:cs="宋体" w:eastAsia="宋体" w:hint="default"/>
                <w:sz w:val="21"/>
                <w:szCs w:val="21"/>
              </w:rPr>
            </w:pPr>
            <w:r>
              <w:rPr>
                <w:rFonts w:ascii="宋体" w:hAnsi="宋体" w:cs="宋体" w:eastAsia="宋体" w:hint="default"/>
                <w:sz w:val="21"/>
                <w:szCs w:val="21"/>
              </w:rPr>
              <w:t>算机软件有 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123,364,381.66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123,364,381.66</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0.00</w:t>
            </w:r>
          </w:p>
        </w:tc>
      </w:tr>
      <w:tr>
        <w:trPr>
          <w:trHeight w:val="1100" w:hRule="exact"/>
        </w:trPr>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北京华胜天</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成股权投资 </w:t>
            </w:r>
            <w:r>
              <w:rPr>
                <w:rFonts w:ascii="宋体" w:hAnsi="宋体" w:cs="宋体" w:eastAsia="宋体" w:hint="default"/>
                <w:spacing w:val="-5"/>
                <w:sz w:val="21"/>
                <w:szCs w:val="21"/>
              </w:rPr>
              <w:t>中心（有限合</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伙）</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2,100,000.00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r>
      <w:tr>
        <w:trPr>
          <w:trHeight w:val="827" w:hRule="exact"/>
        </w:trPr>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北京新云东</w:t>
            </w:r>
          </w:p>
          <w:p>
            <w:pPr>
              <w:pStyle w:val="TableParagraph"/>
              <w:spacing w:line="272" w:lineRule="exact" w:before="26"/>
              <w:ind w:left="103" w:right="287"/>
              <w:jc w:val="left"/>
              <w:rPr>
                <w:rFonts w:ascii="宋体" w:hAnsi="宋体" w:cs="宋体" w:eastAsia="宋体" w:hint="default"/>
                <w:sz w:val="21"/>
                <w:szCs w:val="21"/>
              </w:rPr>
            </w:pPr>
            <w:r>
              <w:rPr>
                <w:rFonts w:ascii="宋体" w:hAnsi="宋体" w:cs="宋体" w:eastAsia="宋体" w:hint="default"/>
                <w:sz w:val="21"/>
                <w:szCs w:val="21"/>
              </w:rPr>
              <w:t>方系统科技 有限责任公</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35,000,000.00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35,000,000.00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r>
    </w:tbl>
    <w:p>
      <w:pPr>
        <w:spacing w:after="0" w:line="240" w:lineRule="exact"/>
        <w:jc w:val="right"/>
        <w:rPr>
          <w:rFonts w:ascii="宋体" w:hAnsi="宋体" w:cs="宋体" w:eastAsia="宋体" w:hint="default"/>
          <w:sz w:val="21"/>
          <w:szCs w:val="21"/>
        </w:rPr>
        <w:sectPr>
          <w:pgSz w:w="11910" w:h="16840"/>
          <w:pgMar w:header="882" w:footer="1194" w:top="1120" w:bottom="1380" w:left="112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565" w:type="dxa"/>
        <w:tblLayout w:type="fixed"/>
        <w:tblCellMar>
          <w:top w:w="0" w:type="dxa"/>
          <w:left w:w="0" w:type="dxa"/>
          <w:bottom w:w="0" w:type="dxa"/>
          <w:right w:w="0" w:type="dxa"/>
        </w:tblCellMar>
        <w:tblLook w:val="01E0"/>
      </w:tblPr>
      <w:tblGrid>
        <w:gridCol w:w="1451"/>
        <w:gridCol w:w="1686"/>
        <w:gridCol w:w="1686"/>
        <w:gridCol w:w="846"/>
        <w:gridCol w:w="1686"/>
        <w:gridCol w:w="847"/>
        <w:gridCol w:w="847"/>
      </w:tblGrid>
      <w:tr>
        <w:trPr>
          <w:trHeight w:val="282" w:hRule="exact"/>
        </w:trPr>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华胜信泰科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100,000,000.00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100,000,000.00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r>
      <w:tr>
        <w:trPr>
          <w:trHeight w:val="1101" w:hRule="exact"/>
        </w:trPr>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北京华胜天</w:t>
            </w:r>
          </w:p>
          <w:p>
            <w:pPr>
              <w:pStyle w:val="TableParagraph"/>
              <w:spacing w:line="272" w:lineRule="exact" w:before="26"/>
              <w:ind w:left="103" w:right="287"/>
              <w:jc w:val="both"/>
              <w:rPr>
                <w:rFonts w:ascii="宋体" w:hAnsi="宋体" w:cs="宋体" w:eastAsia="宋体" w:hint="default"/>
                <w:sz w:val="21"/>
                <w:szCs w:val="21"/>
              </w:rPr>
            </w:pPr>
            <w:r>
              <w:rPr>
                <w:rFonts w:ascii="宋体" w:hAnsi="宋体" w:cs="宋体" w:eastAsia="宋体" w:hint="default"/>
                <w:sz w:val="21"/>
                <w:szCs w:val="21"/>
              </w:rPr>
              <w:t>成低碳产业 创业投资中 心</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35,000,000.00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35,000,000.00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0.00</w:t>
            </w:r>
          </w:p>
        </w:tc>
      </w:tr>
      <w:tr>
        <w:trPr>
          <w:trHeight w:val="282" w:hRule="exact"/>
        </w:trPr>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631,037,279.72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170,000,000.00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801,037,279.72</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spacing w:line="20" w:lineRule="exact"/>
        <w:ind w:left="67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before="35"/>
        <w:ind w:left="678" w:right="6198"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tabs>
          <w:tab w:pos="1049" w:val="left" w:leader="none"/>
        </w:tabs>
        <w:spacing w:before="57"/>
        <w:ind w:left="0" w:right="512"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66"/>
        <w:gridCol w:w="1896"/>
        <w:gridCol w:w="1896"/>
        <w:gridCol w:w="2364"/>
        <w:gridCol w:w="2171"/>
      </w:tblGrid>
      <w:tr>
        <w:trPr>
          <w:trHeight w:val="282" w:hRule="exact"/>
        </w:trPr>
        <w:tc>
          <w:tcPr>
            <w:tcW w:w="1466" w:type="dxa"/>
            <w:vMerge w:val="restart"/>
            <w:tcBorders>
              <w:top w:val="single" w:sz="4" w:space="0" w:color="000000"/>
              <w:left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5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1466" w:type="dxa"/>
            <w:vMerge/>
            <w:tcBorders>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10"/>
              <w:jc w:val="right"/>
              <w:rPr>
                <w:rFonts w:ascii="宋体" w:hAnsi="宋体" w:cs="宋体" w:eastAsia="宋体" w:hint="default"/>
                <w:sz w:val="21"/>
                <w:szCs w:val="21"/>
              </w:rPr>
            </w:pPr>
            <w:r>
              <w:rPr>
                <w:rFonts w:ascii="宋体" w:hAnsi="宋体" w:cs="宋体" w:eastAsia="宋体" w:hint="default"/>
                <w:sz w:val="21"/>
                <w:szCs w:val="21"/>
              </w:rPr>
              <w:t>主营业务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2,361,613,208.37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1,918,621,182.76</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2,679,773,586.03</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2,254,238,920.61</w:t>
            </w:r>
          </w:p>
        </w:tc>
      </w:tr>
      <w:tr>
        <w:trPr>
          <w:trHeight w:val="282"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10"/>
              <w:jc w:val="right"/>
              <w:rPr>
                <w:rFonts w:ascii="宋体" w:hAnsi="宋体" w:cs="宋体" w:eastAsia="宋体" w:hint="default"/>
                <w:sz w:val="21"/>
                <w:szCs w:val="21"/>
              </w:rPr>
            </w:pPr>
            <w:r>
              <w:rPr>
                <w:rFonts w:ascii="宋体" w:hAnsi="宋体" w:cs="宋体" w:eastAsia="宋体" w:hint="default"/>
                <w:sz w:val="21"/>
                <w:szCs w:val="21"/>
              </w:rPr>
              <w:t>其他业务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14,080,521.57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1,295,710.58</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7,245,092.39</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1,698,718.39</w:t>
            </w:r>
          </w:p>
        </w:tc>
      </w:tr>
      <w:tr>
        <w:trPr>
          <w:trHeight w:val="283"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16"/>
              <w:jc w:val="right"/>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2,375,693,729.94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1,919,916,893.34</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2,687,018,678.42</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2,255,937,639.00</w:t>
            </w:r>
          </w:p>
        </w:tc>
      </w:tr>
    </w:tbl>
    <w:p>
      <w:pPr>
        <w:spacing w:before="24"/>
        <w:ind w:left="678" w:right="6198" w:firstLine="0"/>
        <w:jc w:val="left"/>
        <w:rPr>
          <w:rFonts w:ascii="宋体" w:hAnsi="宋体" w:cs="宋体" w:eastAsia="宋体" w:hint="default"/>
          <w:sz w:val="21"/>
          <w:szCs w:val="21"/>
        </w:rPr>
      </w:pPr>
      <w:r>
        <w:rPr>
          <w:rFonts w:ascii="宋体" w:hAnsi="宋体" w:cs="宋体" w:eastAsia="宋体" w:hint="default"/>
          <w:sz w:val="21"/>
          <w:szCs w:val="21"/>
        </w:rPr>
        <w:t>其他说明：</w:t>
      </w:r>
    </w:p>
    <w:p>
      <w:pPr>
        <w:spacing w:line="240" w:lineRule="auto" w:before="7"/>
        <w:rPr>
          <w:rFonts w:ascii="宋体" w:hAnsi="宋体" w:cs="宋体" w:eastAsia="宋体" w:hint="default"/>
          <w:sz w:val="25"/>
          <w:szCs w:val="25"/>
        </w:rPr>
      </w:pPr>
    </w:p>
    <w:p>
      <w:pPr>
        <w:spacing w:line="20" w:lineRule="exact"/>
        <w:ind w:left="67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before="35"/>
        <w:ind w:left="678" w:right="6198"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投资收益</w:t>
      </w:r>
      <w:r>
        <w:rPr>
          <w:rFonts w:ascii="宋体" w:hAnsi="宋体" w:cs="宋体" w:eastAsia="宋体" w:hint="default"/>
          <w:sz w:val="21"/>
          <w:szCs w:val="21"/>
        </w:rPr>
      </w:r>
    </w:p>
    <w:p>
      <w:pPr>
        <w:tabs>
          <w:tab w:pos="1049" w:val="left" w:leader="none"/>
        </w:tabs>
        <w:spacing w:before="56"/>
        <w:ind w:left="0" w:right="512"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4053"/>
        <w:gridCol w:w="2496"/>
        <w:gridCol w:w="2501"/>
      </w:tblGrid>
      <w:tr>
        <w:trPr>
          <w:trHeight w:val="284"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21,300,000.00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44,577.49</w:t>
            </w:r>
          </w:p>
        </w:tc>
      </w:tr>
      <w:tr>
        <w:trPr>
          <w:trHeight w:val="283"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-4,500,000.00</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19,591,643.55</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5,755,903.32</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40,891,643.55</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1,300,480.81</w:t>
            </w:r>
          </w:p>
        </w:tc>
      </w:tr>
    </w:tbl>
    <w:p>
      <w:pPr>
        <w:spacing w:line="240" w:lineRule="auto" w:before="0"/>
        <w:rPr>
          <w:rFonts w:ascii="宋体" w:hAnsi="宋体" w:cs="宋体" w:eastAsia="宋体" w:hint="default"/>
          <w:sz w:val="20"/>
          <w:szCs w:val="20"/>
        </w:rPr>
      </w:pPr>
    </w:p>
    <w:p>
      <w:pPr>
        <w:spacing w:before="35"/>
        <w:ind w:left="678" w:right="6198"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p>
      <w:pPr>
        <w:spacing w:line="20" w:lineRule="exact"/>
        <w:ind w:left="67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120" w:right="760"/>
        </w:sectPr>
      </w:pPr>
    </w:p>
    <w:p>
      <w:pPr>
        <w:tabs>
          <w:tab w:pos="1517" w:val="left" w:leader="none"/>
        </w:tabs>
        <w:spacing w:before="35"/>
        <w:ind w:left="678" w:right="-18" w:firstLine="0"/>
        <w:jc w:val="left"/>
        <w:rPr>
          <w:rFonts w:ascii="宋体" w:hAnsi="宋体" w:cs="宋体" w:eastAsia="宋体" w:hint="default"/>
          <w:sz w:val="21"/>
          <w:szCs w:val="21"/>
        </w:rPr>
      </w:pPr>
      <w:r>
        <w:rPr>
          <w:rFonts w:ascii="宋体" w:hAnsi="宋体" w:cs="宋体" w:eastAsia="宋体" w:hint="default"/>
          <w:b/>
          <w:bCs/>
          <w:w w:val="95"/>
          <w:sz w:val="21"/>
          <w:szCs w:val="21"/>
        </w:rPr>
        <w:t>十八、</w:t>
        <w:tab/>
      </w:r>
      <w:r>
        <w:rPr>
          <w:rFonts w:ascii="宋体" w:hAnsi="宋体" w:cs="宋体" w:eastAsia="宋体" w:hint="default"/>
          <w:b/>
          <w:bCs/>
          <w:sz w:val="21"/>
          <w:szCs w:val="21"/>
        </w:rPr>
        <w:t>补充资料</w:t>
      </w:r>
      <w:r>
        <w:rPr>
          <w:rFonts w:ascii="宋体" w:hAnsi="宋体" w:cs="宋体" w:eastAsia="宋体" w:hint="default"/>
          <w:sz w:val="21"/>
          <w:szCs w:val="21"/>
        </w:rPr>
      </w:r>
    </w:p>
    <w:p>
      <w:pPr>
        <w:spacing w:before="57"/>
        <w:ind w:left="678"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tabs>
          <w:tab w:pos="1727" w:val="left" w:leader="none"/>
        </w:tabs>
        <w:spacing w:before="176"/>
        <w:ind w:left="677"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1380" w:left="1120" w:right="760"/>
          <w:cols w:num="2" w:equalWidth="0">
            <w:col w:w="3417" w:space="3107"/>
            <w:col w:w="3506"/>
          </w:cols>
        </w:sectPr>
      </w:pPr>
    </w:p>
    <w:p>
      <w:pPr>
        <w:spacing w:line="240" w:lineRule="auto" w:before="7"/>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4059"/>
        <w:gridCol w:w="2490"/>
        <w:gridCol w:w="2501"/>
      </w:tblGrid>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35,904,392.46</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72" w:lineRule="exact" w:before="26"/>
              <w:ind w:left="103" w:right="165"/>
              <w:jc w:val="left"/>
              <w:rPr>
                <w:rFonts w:ascii="宋体" w:hAnsi="宋体" w:cs="宋体" w:eastAsia="宋体" w:hint="default"/>
                <w:sz w:val="21"/>
                <w:szCs w:val="21"/>
              </w:rPr>
            </w:pPr>
            <w:r>
              <w:rPr>
                <w:rFonts w:ascii="宋体" w:hAnsi="宋体" w:cs="宋体" w:eastAsia="宋体" w:hint="default"/>
                <w:sz w:val="21"/>
                <w:szCs w:val="21"/>
              </w:rPr>
              <w:t>切相关，按照国家统一标准定额或定量享 受的政府补助除外）</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2,595,542.27</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投资成本小于取得投资时应享有被投资单</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80" w:bottom="1380" w:left="1120" w:right="7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90"/>
        <w:gridCol w:w="2501"/>
      </w:tblGrid>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位可辨认净资产公允价值产生的收益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22,173,621.79</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72" w:lineRule="exact" w:before="26"/>
              <w:ind w:left="103" w:right="165"/>
              <w:jc w:val="both"/>
              <w:rPr>
                <w:rFonts w:ascii="宋体" w:hAnsi="宋体" w:cs="宋体" w:eastAsia="宋体" w:hint="default"/>
                <w:sz w:val="21"/>
                <w:szCs w:val="21"/>
              </w:rPr>
            </w:pPr>
            <w:r>
              <w:rPr>
                <w:rFonts w:ascii="宋体" w:hAnsi="宋体" w:cs="宋体" w:eastAsia="宋体" w:hint="default"/>
                <w:sz w:val="21"/>
                <w:szCs w:val="21"/>
              </w:rPr>
              <w:t>值业务外，持有交易性金融资产、交易性 金融负债产生的公允价值变动损益，以及 处置交易性金融资产、交易性金融负债和 可供出售金融资产取得的投资收益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回</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541,697.01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488,881.74</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非同一控制下企业合并或有对价调整</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2,709,528.09</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-3,586,316.66</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-12,379,875.66</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48,447,471.04</w:t>
            </w:r>
          </w:p>
        </w:tc>
        <w:tc>
          <w:tcPr>
            <w:tcW w:w="250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0" w:lineRule="exact" w:before="113"/>
        <w:ind w:left="218" w:right="216"/>
        <w:jc w:val="left"/>
      </w:pPr>
      <w:r>
        <w:rPr/>
        <w:t>说明：本期营业外收入中税收返还金额</w:t>
      </w:r>
      <w:r>
        <w:rPr>
          <w:spacing w:val="-84"/>
        </w:rPr>
        <w:t> </w:t>
      </w:r>
      <w:r>
        <w:rPr>
          <w:rFonts w:ascii="宋体" w:hAnsi="宋体" w:cs="宋体" w:eastAsia="宋体" w:hint="default"/>
        </w:rPr>
        <w:t>15,656,341.41</w:t>
      </w:r>
      <w:r>
        <w:rPr>
          <w:rFonts w:ascii="宋体" w:hAnsi="宋体" w:cs="宋体" w:eastAsia="宋体" w:hint="default"/>
          <w:spacing w:val="-84"/>
        </w:rPr>
        <w:t> </w:t>
      </w:r>
      <w:r>
        <w:rPr/>
        <w:t>元，与公司正常经营业务密切 </w:t>
      </w:r>
      <w:r>
        <w:rPr>
          <w:spacing w:val="-8"/>
        </w:rPr>
        <w:t>相关，符合国家政策规定、按照一定标准定额或定量持续享受，不计入非经常性损益。</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9"/>
          <w:szCs w:val="29"/>
        </w:rPr>
      </w:pPr>
    </w:p>
    <w:p>
      <w:pPr>
        <w:spacing w:before="0"/>
        <w:ind w:left="218" w:right="101"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14"/>
        <w:gridCol w:w="1842"/>
        <w:gridCol w:w="2146"/>
        <w:gridCol w:w="2148"/>
      </w:tblGrid>
      <w:tr>
        <w:trPr>
          <w:trHeight w:val="282"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49"/>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2" w:type="dxa"/>
            <w:vMerge w:val="restart"/>
            <w:tcBorders>
              <w:top w:val="single" w:sz="4" w:space="0" w:color="000000"/>
              <w:left w:val="single" w:sz="4" w:space="0" w:color="000000"/>
              <w:right w:val="single" w:sz="4" w:space="0" w:color="000000"/>
            </w:tcBorders>
          </w:tcPr>
          <w:p>
            <w:pPr>
              <w:pStyle w:val="TableParagraph"/>
              <w:spacing w:line="272" w:lineRule="exact" w:before="41"/>
              <w:ind w:left="338" w:right="180" w:hanging="159"/>
              <w:jc w:val="left"/>
              <w:rPr>
                <w:rFonts w:ascii="宋体" w:hAnsi="宋体" w:cs="宋体" w:eastAsia="宋体" w:hint="default"/>
                <w:sz w:val="21"/>
                <w:szCs w:val="21"/>
              </w:rPr>
            </w:pPr>
            <w:r>
              <w:rPr>
                <w:rFonts w:ascii="宋体" w:hAnsi="宋体" w:cs="宋体" w:eastAsia="宋体" w:hint="default"/>
                <w:sz w:val="21"/>
                <w:szCs w:val="21"/>
              </w:rPr>
              <w:t>加权平均净资产 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2"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7"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5"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4.15</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0.1477</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r>
      <w:tr>
        <w:trPr>
          <w:trHeight w:val="556"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2.04</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0.0725</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r>
    </w:tbl>
    <w:p>
      <w:pPr>
        <w:spacing w:after="0" w:line="241" w:lineRule="exact"/>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3"/>
        <w:rPr>
          <w:rFonts w:ascii="宋体" w:hAnsi="宋体" w:cs="宋体" w:eastAsia="宋体" w:hint="default"/>
          <w:b/>
          <w:bCs/>
          <w:sz w:val="25"/>
          <w:szCs w:val="25"/>
        </w:rPr>
      </w:pPr>
    </w:p>
    <w:p>
      <w:pPr>
        <w:spacing w:before="35"/>
        <w:ind w:left="218" w:right="101"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会计政策变更相关补充资料</w:t>
      </w:r>
      <w:r>
        <w:rPr>
          <w:rFonts w:ascii="宋体" w:hAnsi="宋体" w:cs="宋体" w:eastAsia="宋体" w:hint="default"/>
          <w:sz w:val="21"/>
          <w:szCs w:val="21"/>
        </w:rPr>
      </w:r>
    </w:p>
    <w:p>
      <w:pPr>
        <w:spacing w:line="274" w:lineRule="exact" w:before="57"/>
        <w:ind w:left="218" w:right="10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p>
    <w:p>
      <w:pPr>
        <w:spacing w:line="272" w:lineRule="exact" w:before="0"/>
        <w:ind w:left="218" w:right="101" w:firstLine="0"/>
        <w:jc w:val="left"/>
        <w:rPr>
          <w:rFonts w:ascii="宋体" w:hAnsi="宋体" w:cs="宋体" w:eastAsia="宋体" w:hint="default"/>
          <w:sz w:val="21"/>
          <w:szCs w:val="21"/>
        </w:rPr>
      </w:pPr>
      <w:r>
        <w:rPr>
          <w:rFonts w:ascii="宋体" w:hAnsi="宋体" w:cs="宋体" w:eastAsia="宋体" w:hint="default"/>
          <w:sz w:val="21"/>
          <w:szCs w:val="21"/>
        </w:rPr>
        <w:t>公司根据财政部</w:t>
      </w:r>
      <w:r>
        <w:rPr>
          <w:rFonts w:ascii="宋体" w:hAnsi="宋体" w:cs="宋体" w:eastAsia="宋体" w:hint="default"/>
          <w:spacing w:val="-50"/>
          <w:sz w:val="21"/>
          <w:szCs w:val="21"/>
        </w:rPr>
        <w:t> </w:t>
      </w:r>
      <w:r>
        <w:rPr>
          <w:rFonts w:ascii="宋体" w:hAnsi="宋体" w:cs="宋体" w:eastAsia="宋体" w:hint="default"/>
          <w:sz w:val="21"/>
          <w:szCs w:val="21"/>
        </w:rPr>
        <w:t>2014</w:t>
      </w:r>
      <w:r>
        <w:rPr>
          <w:rFonts w:ascii="宋体" w:hAnsi="宋体" w:cs="宋体" w:eastAsia="宋体" w:hint="default"/>
          <w:spacing w:val="-50"/>
          <w:sz w:val="21"/>
          <w:szCs w:val="21"/>
        </w:rPr>
        <w:t> </w:t>
      </w:r>
      <w:r>
        <w:rPr>
          <w:rFonts w:ascii="宋体" w:hAnsi="宋体" w:cs="宋体" w:eastAsia="宋体" w:hint="default"/>
          <w:spacing w:val="-4"/>
          <w:sz w:val="21"/>
          <w:szCs w:val="21"/>
        </w:rPr>
        <w:t>年发布的《企业会计准则第</w:t>
      </w:r>
      <w:r>
        <w:rPr>
          <w:rFonts w:ascii="宋体" w:hAnsi="宋体" w:cs="宋体" w:eastAsia="宋体" w:hint="default"/>
          <w:spacing w:val="-49"/>
          <w:sz w:val="21"/>
          <w:szCs w:val="21"/>
        </w:rPr>
        <w:t> </w:t>
      </w:r>
      <w:r>
        <w:rPr>
          <w:rFonts w:ascii="宋体" w:hAnsi="宋体" w:cs="宋体" w:eastAsia="宋体" w:hint="default"/>
          <w:sz w:val="21"/>
          <w:szCs w:val="21"/>
        </w:rPr>
        <w:t>2</w:t>
      </w:r>
      <w:r>
        <w:rPr>
          <w:rFonts w:ascii="宋体" w:hAnsi="宋体" w:cs="宋体" w:eastAsia="宋体" w:hint="default"/>
          <w:spacing w:val="-49"/>
          <w:sz w:val="21"/>
          <w:szCs w:val="21"/>
        </w:rPr>
        <w:t> </w:t>
      </w:r>
      <w:r>
        <w:rPr>
          <w:rFonts w:ascii="宋体" w:hAnsi="宋体" w:cs="宋体" w:eastAsia="宋体" w:hint="default"/>
          <w:spacing w:val="-3"/>
          <w:sz w:val="21"/>
          <w:szCs w:val="21"/>
        </w:rPr>
        <w:t>号——长期股权投资》等八项会计准则变更了</w:t>
      </w:r>
    </w:p>
    <w:p>
      <w:pPr>
        <w:spacing w:line="272" w:lineRule="exact" w:before="26"/>
        <w:ind w:left="218" w:right="348" w:firstLine="0"/>
        <w:jc w:val="left"/>
        <w:rPr>
          <w:rFonts w:ascii="宋体" w:hAnsi="宋体" w:cs="宋体" w:eastAsia="宋体" w:hint="default"/>
          <w:sz w:val="21"/>
          <w:szCs w:val="21"/>
        </w:rPr>
      </w:pPr>
      <w:r>
        <w:rPr>
          <w:rFonts w:ascii="宋体" w:hAnsi="宋体" w:cs="宋体" w:eastAsia="宋体" w:hint="default"/>
          <w:sz w:val="21"/>
          <w:szCs w:val="21"/>
        </w:rPr>
        <w:t>相关会计政策并对比较财务报表进行了追溯重述，重述后的</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1"/>
          <w:sz w:val="21"/>
          <w:szCs w:val="21"/>
        </w:rPr>
        <w:t> </w:t>
      </w:r>
      <w:r>
        <w:rPr>
          <w:rFonts w:ascii="宋体" w:hAnsi="宋体" w:cs="宋体" w:eastAsia="宋体" w:hint="default"/>
          <w:sz w:val="21"/>
          <w:szCs w:val="21"/>
        </w:rPr>
        <w:t>日合并资产负债表如下：</w:t>
      </w:r>
    </w:p>
    <w:p>
      <w:pPr>
        <w:tabs>
          <w:tab w:pos="945" w:val="left" w:leader="none"/>
        </w:tabs>
        <w:spacing w:line="248" w:lineRule="exact" w:before="0"/>
        <w:ind w:left="0" w:right="231"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w:t>
        <w:tab/>
      </w:r>
      <w:r>
        <w:rPr>
          <w:rFonts w:ascii="宋体" w:hAnsi="宋体" w:cs="宋体" w:eastAsia="宋体" w:hint="default"/>
          <w:spacing w:val="-1"/>
          <w:sz w:val="21"/>
          <w:szCs w:val="21"/>
        </w:rPr>
        <w:t>币种</w:t>
      </w:r>
      <w:r>
        <w:rPr>
          <w:rFonts w:ascii="宋体" w:hAnsi="宋体" w:cs="宋体" w:eastAsia="宋体" w:hint="default"/>
          <w:spacing w:val="-1"/>
          <w:sz w:val="21"/>
          <w:szCs w:val="21"/>
        </w:rPr>
        <w:t>:</w:t>
      </w:r>
      <w:r>
        <w:rPr>
          <w:rFonts w:ascii="宋体" w:hAnsi="宋体" w:cs="宋体" w:eastAsia="宋体" w:hint="default"/>
          <w:spacing w:val="-1"/>
          <w:sz w:val="21"/>
          <w:szCs w:val="2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94"/>
        <w:gridCol w:w="2086"/>
        <w:gridCol w:w="2085"/>
        <w:gridCol w:w="2086"/>
      </w:tblGrid>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9"/>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780,419,871.08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1,349,560,032.74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1,738,745,309.13</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以公允价值计量且其变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动计入当期损益的金融资产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183,534,910.93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116,419,143.06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57,684,318.55</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1,910,593,072.61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1,746,614,625.05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1,649,312,260.82</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282,177,618.43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223,107,619.27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200,920,288.86</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48,218,325.40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76,446,700.22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77,448,648.94</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499,823,268.60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521,109,148.31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675,967,145.90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66,198,928.99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一年内到期的非流动资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47,018,228.06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231,365,636.64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301,150,743.41</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48,060,063.17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42,116,185.17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71,319,046.23</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3,799,845,358.28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4,372,938,019.45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4,772,547,761.84</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23"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300,000.00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300,000.00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67,400,000.00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107,615,340.38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321,880,944.02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585,903,776.55</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25,046,744.39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14,947,639.28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63,845,660.81</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14,399,718.52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42,179,195.89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41,058,305.60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189,610,718.23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157,241,507.18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201,671,558.28</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55,665,333.73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213,051,760.55</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104,044,051.08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244,818,654.40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278,924,311.08</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67,442,279.68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67,827,345.70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61,118,673.08</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220,072,742.23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199,977,507.95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205,156,811.34</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4,190,422.22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2,245,080.95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4,616,879.92</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23,170,401.01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26,739,377.13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35,302,223.16</w:t>
            </w:r>
          </w:p>
        </w:tc>
      </w:tr>
    </w:tbl>
    <w:p>
      <w:pPr>
        <w:spacing w:after="0" w:line="241" w:lineRule="exact"/>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794"/>
        <w:gridCol w:w="2086"/>
        <w:gridCol w:w="2085"/>
        <w:gridCol w:w="2086"/>
      </w:tblGrid>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200,603,938.38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77,520,850.83</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755,892,417.74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1,334,426,524.61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1,835,570,811.20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
              <w:jc w:val="center"/>
              <w:rPr>
                <w:rFonts w:ascii="宋体" w:hAnsi="宋体" w:cs="宋体" w:eastAsia="宋体" w:hint="default"/>
                <w:sz w:val="21"/>
                <w:szCs w:val="21"/>
              </w:rPr>
            </w:pPr>
            <w:r>
              <w:rPr>
                <w:rFonts w:ascii="宋体" w:hAnsi="宋体" w:cs="宋体" w:eastAsia="宋体" w:hint="default"/>
                <w:sz w:val="21"/>
                <w:szCs w:val="21"/>
              </w:rPr>
              <w:t>资产总计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4,555,737,776.02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5,707,364,544.06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6,608,118,573.04</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258,908,637.98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228,370,110.30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511,316,420.55</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以公允价值计量且其变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动计入当期损益的金融负债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215,059,934.37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226,316,870.98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94,158,175.20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684,440,203.88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693,317,177.92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892,243,384.41</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286,332,472.12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281,688,516.42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384,086,573.53</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68,678,497.96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65,333,130.58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72,203,138.88</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148,869,071.99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141,846,807.17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109,538,109.46</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43,040,000.01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46,693,055.62</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17,902.68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15,040.20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12,945.97</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87,651,564.81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140,856,165.38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119,273,357.77</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25,103,938.01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一年内到期的非流动负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68,031,999.96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159,184,460.03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293,043,134.50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1,817,990,285.75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2,005,072,217.00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2,522,568,295.89</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138,102,507.22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215,928,624.54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445,984,217.28</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892,796,246.45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894,302,344.25</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21,892,707.67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2,112,883.40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1,551,347.91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3,350,412.86</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69,648,755.78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86,267,716.15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74,257,745.28</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9,827,131.74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8,549,498.12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9,106,800.26</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39,326,004.30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57,972,861.00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280,909,990.11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1,263,066,294.17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1,427,001,519.93</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
              <w:jc w:val="center"/>
              <w:rPr>
                <w:rFonts w:ascii="宋体" w:hAnsi="宋体" w:cs="宋体" w:eastAsia="宋体" w:hint="default"/>
                <w:sz w:val="21"/>
                <w:szCs w:val="21"/>
              </w:rPr>
            </w:pPr>
            <w:r>
              <w:rPr>
                <w:rFonts w:ascii="宋体" w:hAnsi="宋体" w:cs="宋体" w:eastAsia="宋体" w:hint="default"/>
                <w:sz w:val="21"/>
                <w:szCs w:val="21"/>
              </w:rPr>
              <w:t>负债合计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2,098,900,275.86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3,268,138,511.17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3,949,569,815.82</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648,279,106.00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646,034,068.00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641,323,885.00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2"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794"/>
        <w:gridCol w:w="2086"/>
        <w:gridCol w:w="2085"/>
        <w:gridCol w:w="2086"/>
      </w:tblGrid>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689,420,184.20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675,845,355.72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643,434,985.19</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78,652,008.60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57,972,861.00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27,555,953.85</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-39,384,983.41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-51,846,189.90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-51,603,784.39</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165,927,902.97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168,056,152.34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176,199,430.83</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905,945,827.70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880,598,946.55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933,817,069.24</w:t>
            </w: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2,291,536,028.86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2,260,715,471.71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2,315,615,632.02</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165,301,471.30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178,510,561.18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342,933,125.20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2,456,837,500.16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2,439,226,032.89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2,658,548,757.22</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负债和股东权益总计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4,555,737,776.02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5,707,364,544.06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6,608,118,573.04</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p>
      <w:pPr>
        <w:pStyle w:val="BodyText"/>
        <w:spacing w:line="240" w:lineRule="auto" w:before="26"/>
        <w:ind w:left="0" w:right="232"/>
        <w:jc w:val="right"/>
      </w:pPr>
      <w:r>
        <w:rPr/>
        <w:t>北京华胜天成科技股份有限公司</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2"/>
          <w:szCs w:val="32"/>
        </w:rPr>
      </w:pPr>
    </w:p>
    <w:p>
      <w:pPr>
        <w:pStyle w:val="BodyText"/>
        <w:spacing w:line="240" w:lineRule="auto"/>
        <w:ind w:left="0" w:right="232"/>
        <w:jc w:val="right"/>
      </w:pP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t>日</w:t>
      </w:r>
    </w:p>
    <w:p>
      <w:pPr>
        <w:spacing w:after="0" w:line="240" w:lineRule="auto"/>
        <w:jc w:val="right"/>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3"/>
        <w:ind w:left="3064" w:right="3080"/>
        <w:jc w:val="center"/>
        <w:rPr>
          <w:b w:val="0"/>
          <w:bCs w:val="0"/>
        </w:rPr>
      </w:pPr>
      <w:bookmarkStart w:name="_TOC_250000" w:id="11"/>
      <w:r>
        <w:rPr/>
        <w:t>第十一节</w:t>
      </w:r>
      <w:r>
        <w:rPr>
          <w:spacing w:val="-11"/>
        </w:rPr>
        <w:t> </w:t>
      </w:r>
      <w:r>
        <w:rPr/>
        <w:t>备查文件目录</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9"/>
          <w:szCs w:val="29"/>
        </w:rPr>
      </w:pPr>
    </w:p>
    <w:tbl>
      <w:tblPr>
        <w:tblW w:w="0" w:type="auto"/>
        <w:jc w:val="left"/>
        <w:tblInd w:w="103" w:type="dxa"/>
        <w:tblLayout w:type="fixed"/>
        <w:tblCellMar>
          <w:top w:w="0" w:type="dxa"/>
          <w:left w:w="0" w:type="dxa"/>
          <w:bottom w:w="0" w:type="dxa"/>
          <w:right w:w="0" w:type="dxa"/>
        </w:tblCellMar>
        <w:tblLook w:val="01E0"/>
      </w:tblPr>
      <w:tblGrid>
        <w:gridCol w:w="2294"/>
        <w:gridCol w:w="6600"/>
      </w:tblGrid>
      <w:tr>
        <w:trPr>
          <w:trHeight w:val="320"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22" w:right="0"/>
              <w:jc w:val="left"/>
              <w:rPr>
                <w:rFonts w:ascii="宋体" w:hAnsi="宋体" w:cs="宋体" w:eastAsia="宋体" w:hint="default"/>
                <w:sz w:val="24"/>
                <w:szCs w:val="24"/>
              </w:rPr>
            </w:pPr>
            <w:r>
              <w:rPr>
                <w:rFonts w:ascii="宋体" w:hAnsi="宋体" w:cs="宋体" w:eastAsia="宋体" w:hint="default"/>
                <w:sz w:val="24"/>
                <w:szCs w:val="24"/>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63" w:right="0"/>
              <w:jc w:val="left"/>
              <w:rPr>
                <w:rFonts w:ascii="宋体" w:hAnsi="宋体" w:cs="宋体" w:eastAsia="宋体" w:hint="default"/>
                <w:sz w:val="24"/>
                <w:szCs w:val="24"/>
              </w:rPr>
            </w:pPr>
            <w:r>
              <w:rPr>
                <w:rFonts w:ascii="宋体" w:hAnsi="宋体" w:cs="宋体" w:eastAsia="宋体" w:hint="default"/>
                <w:sz w:val="24"/>
                <w:szCs w:val="24"/>
              </w:rPr>
              <w:t>载有董事长签名的本年度报告文本；</w:t>
            </w:r>
          </w:p>
        </w:tc>
      </w:tr>
      <w:tr>
        <w:trPr>
          <w:trHeight w:val="63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422" w:right="0"/>
              <w:jc w:val="left"/>
              <w:rPr>
                <w:rFonts w:ascii="宋体" w:hAnsi="宋体" w:cs="宋体" w:eastAsia="宋体" w:hint="default"/>
                <w:sz w:val="24"/>
                <w:szCs w:val="24"/>
              </w:rPr>
            </w:pPr>
            <w:r>
              <w:rPr>
                <w:rFonts w:ascii="宋体" w:hAnsi="宋体" w:cs="宋体" w:eastAsia="宋体" w:hint="default"/>
                <w:sz w:val="24"/>
                <w:szCs w:val="24"/>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63" w:right="0"/>
              <w:jc w:val="left"/>
              <w:rPr>
                <w:rFonts w:ascii="宋体" w:hAnsi="宋体" w:cs="宋体" w:eastAsia="宋体" w:hint="default"/>
                <w:sz w:val="24"/>
                <w:szCs w:val="24"/>
              </w:rPr>
            </w:pPr>
            <w:r>
              <w:rPr>
                <w:rFonts w:ascii="宋体" w:hAnsi="宋体" w:cs="宋体" w:eastAsia="宋体" w:hint="default"/>
                <w:sz w:val="24"/>
                <w:szCs w:val="24"/>
              </w:rPr>
              <w:t>载有公司负责人、主管会计工作的负责人、会计机构负责人</w:t>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sz w:val="24"/>
                <w:szCs w:val="24"/>
              </w:rPr>
              <w:t>签名并盖章的财务报告文本；</w:t>
            </w:r>
          </w:p>
        </w:tc>
      </w:tr>
      <w:tr>
        <w:trPr>
          <w:trHeight w:val="63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22" w:right="0"/>
              <w:jc w:val="left"/>
              <w:rPr>
                <w:rFonts w:ascii="宋体" w:hAnsi="宋体" w:cs="宋体" w:eastAsia="宋体" w:hint="default"/>
                <w:sz w:val="24"/>
                <w:szCs w:val="24"/>
              </w:rPr>
            </w:pPr>
            <w:r>
              <w:rPr>
                <w:rFonts w:ascii="宋体" w:hAnsi="宋体" w:cs="宋体" w:eastAsia="宋体" w:hint="default"/>
                <w:sz w:val="24"/>
                <w:szCs w:val="24"/>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63" w:right="0"/>
              <w:jc w:val="left"/>
              <w:rPr>
                <w:rFonts w:ascii="宋体" w:hAnsi="宋体" w:cs="宋体" w:eastAsia="宋体" w:hint="default"/>
                <w:sz w:val="24"/>
                <w:szCs w:val="24"/>
              </w:rPr>
            </w:pPr>
            <w:r>
              <w:rPr>
                <w:rFonts w:ascii="宋体" w:hAnsi="宋体" w:cs="宋体" w:eastAsia="宋体" w:hint="default"/>
                <w:sz w:val="24"/>
                <w:szCs w:val="24"/>
              </w:rPr>
              <w:t>报告期内在《中国证券报》、《上海证券报》上刊登的所有</w:t>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sz w:val="24"/>
                <w:szCs w:val="24"/>
              </w:rPr>
              <w:t>文件正本和公告原稿。</w:t>
            </w:r>
          </w:p>
        </w:tc>
      </w:tr>
    </w:tbl>
    <w:p>
      <w:pPr>
        <w:pStyle w:val="BodyText"/>
        <w:spacing w:line="240" w:lineRule="auto" w:before="7"/>
        <w:ind w:left="4826" w:right="0" w:firstLine="2460"/>
        <w:jc w:val="left"/>
      </w:pPr>
      <w:r>
        <w:rPr/>
        <w:t>董事长：王维航</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4"/>
          <w:szCs w:val="34"/>
        </w:rPr>
      </w:pPr>
    </w:p>
    <w:p>
      <w:pPr>
        <w:pStyle w:val="BodyText"/>
        <w:spacing w:line="240" w:lineRule="auto"/>
        <w:ind w:left="4826" w:right="0"/>
        <w:jc w:val="left"/>
      </w:pPr>
      <w:r>
        <w:rPr/>
        <w:t>董事会批准报送日期：</w:t>
      </w:r>
      <w:r>
        <w:rPr>
          <w:rFonts w:ascii="宋体" w:hAnsi="宋体" w:cs="宋体" w:eastAsia="宋体" w:hint="default"/>
        </w:rPr>
      </w:r>
      <w:r>
        <w:rPr>
          <w:rFonts w:ascii="宋体" w:hAnsi="宋体" w:cs="宋体" w:eastAsia="宋体" w:hint="default"/>
          <w:u w:val="single" w:color="000000"/>
        </w:rPr>
        <w:t>2015</w:t>
      </w:r>
      <w:r>
        <w:rPr>
          <w:rFonts w:ascii="宋体" w:hAnsi="宋体" w:cs="宋体" w:eastAsia="宋体" w:hint="default"/>
          <w:spacing w:val="-60"/>
          <w:u w:val="single" w:color="000000"/>
        </w:rPr>
        <w:t> </w:t>
      </w:r>
      <w:r>
        <w:rPr>
          <w:u w:val="single" w:color="000000"/>
        </w:rPr>
        <w:t>年</w:t>
      </w:r>
      <w:r>
        <w:rPr>
          <w:spacing w:val="-60"/>
          <w:u w:val="single" w:color="000000"/>
        </w:rPr>
        <w:t> </w:t>
      </w:r>
      <w:r>
        <w:rPr>
          <w:rFonts w:ascii="宋体" w:hAnsi="宋体" w:cs="宋体" w:eastAsia="宋体" w:hint="default"/>
          <w:u w:val="single" w:color="000000"/>
        </w:rPr>
        <w:t>4</w:t>
      </w:r>
      <w:r>
        <w:rPr>
          <w:rFonts w:ascii="宋体" w:hAnsi="宋体" w:cs="宋体" w:eastAsia="宋体" w:hint="default"/>
          <w:spacing w:val="-60"/>
          <w:u w:val="single" w:color="000000"/>
        </w:rPr>
        <w:t> </w:t>
      </w:r>
      <w:r>
        <w:rPr>
          <w:u w:val="single" w:color="000000"/>
        </w:rPr>
        <w:t>月</w:t>
      </w:r>
      <w:r>
        <w:rPr>
          <w:spacing w:val="-60"/>
          <w:u w:val="single" w:color="000000"/>
        </w:rPr>
        <w:t> </w:t>
      </w:r>
      <w:r>
        <w:rPr>
          <w:rFonts w:ascii="宋体" w:hAnsi="宋体" w:cs="宋体" w:eastAsia="宋体" w:hint="default"/>
          <w:u w:val="single" w:color="000000"/>
        </w:rPr>
        <w:t>8</w:t>
      </w:r>
      <w:r>
        <w:rPr>
          <w:rFonts w:ascii="宋体" w:hAnsi="宋体" w:cs="宋体" w:eastAsia="宋体" w:hint="default"/>
          <w:spacing w:val="-60"/>
          <w:u w:val="single" w:color="000000"/>
        </w:rPr>
        <w:t> </w:t>
      </w:r>
      <w:r>
        <w:rPr>
          <w:u w:val="single" w:color="000000"/>
        </w:rPr>
        <w:t>日</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Heading2"/>
        <w:spacing w:line="240" w:lineRule="auto"/>
        <w:ind w:left="138" w:right="0"/>
        <w:jc w:val="left"/>
        <w:rPr>
          <w:b w:val="0"/>
          <w:bCs w:val="0"/>
        </w:rPr>
      </w:pPr>
      <w:r>
        <w:rPr/>
        <w:t>修订信息</w:t>
      </w:r>
      <w:r>
        <w:rPr>
          <w:b w:val="0"/>
          <w:bCs w:val="0"/>
        </w:rPr>
      </w:r>
    </w:p>
    <w:p>
      <w:pPr>
        <w:spacing w:line="240" w:lineRule="auto" w:before="12"/>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2963"/>
        <w:gridCol w:w="2966"/>
        <w:gridCol w:w="2966"/>
      </w:tblGrid>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51" w:right="0"/>
              <w:jc w:val="left"/>
              <w:rPr>
                <w:rFonts w:ascii="宋体" w:hAnsi="宋体" w:cs="宋体" w:eastAsia="宋体" w:hint="default"/>
                <w:sz w:val="21"/>
                <w:szCs w:val="21"/>
              </w:rPr>
            </w:pPr>
            <w:r>
              <w:rPr>
                <w:rFonts w:ascii="宋体" w:hAnsi="宋体" w:cs="宋体" w:eastAsia="宋体" w:hint="default"/>
                <w:sz w:val="21"/>
                <w:szCs w:val="21"/>
              </w:rPr>
              <w:t>报告版本号</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3" w:right="0"/>
              <w:jc w:val="left"/>
              <w:rPr>
                <w:rFonts w:ascii="宋体" w:hAnsi="宋体" w:cs="宋体" w:eastAsia="宋体" w:hint="default"/>
                <w:sz w:val="21"/>
                <w:szCs w:val="21"/>
              </w:rPr>
            </w:pPr>
            <w:r>
              <w:rPr>
                <w:rFonts w:ascii="宋体" w:hAnsi="宋体" w:cs="宋体" w:eastAsia="宋体" w:hint="default"/>
                <w:sz w:val="21"/>
                <w:szCs w:val="21"/>
              </w:rPr>
              <w:t>更正、补充公告发布时间</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33" w:right="0"/>
              <w:jc w:val="left"/>
              <w:rPr>
                <w:rFonts w:ascii="宋体" w:hAnsi="宋体" w:cs="宋体" w:eastAsia="宋体" w:hint="default"/>
                <w:sz w:val="21"/>
                <w:szCs w:val="21"/>
              </w:rPr>
            </w:pPr>
            <w:r>
              <w:rPr>
                <w:rFonts w:ascii="宋体" w:hAnsi="宋体" w:cs="宋体" w:eastAsia="宋体" w:hint="default"/>
                <w:sz w:val="21"/>
                <w:szCs w:val="21"/>
              </w:rPr>
              <w:t>更正、补充公告内容</w:t>
            </w:r>
          </w:p>
        </w:tc>
      </w:tr>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63"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sectPr>
      <w:footerReference w:type="default" r:id="rId56"/>
      <w:pgSz w:w="11910" w:h="16840"/>
      <w:pgMar w:footer="1194" w:header="882"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Calibri">
    <w:altName w:val="Calibri"/>
    <w:charset w:val="0"/>
    <w:family w:val="swiss"/>
    <w:pitch w:val="variable"/>
  </w:font>
  <w:font w:name="宋体">
    <w:altName w:val="宋体"/>
    <w:charset w:val="86"/>
    <w:family w:val="auto"/>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519989pt;margin-top:771.22998pt;width:8.6pt;height:11pt;mso-position-horizontal-relative:page;mso-position-vertical-relative:page;z-index:-9832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160004pt;margin-top:771.22998pt;width:11.15pt;height:11pt;mso-position-horizontal-relative:page;mso-position-vertical-relative:page;z-index:-9830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50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160004pt;margin-top:771.22998pt;width:11.15pt;height:11pt;mso-position-horizontal-relative:page;mso-position-vertical-relative:page;z-index:-9830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51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26001pt;margin-top:524.630005pt;width:13.15pt;height:11pt;mso-position-horizontal-relative:page;mso-position-vertical-relative:page;z-index:-982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52</w:t>
                </w:r>
                <w:r>
                  <w:rPr/>
                  <w:fldChar w:fldCharType="end"/>
                </w:r>
                <w:r>
                  <w:rPr>
                    <w:rFonts w:ascii="Calibri"/>
                    <w:spacing w:val="-1"/>
                    <w:sz w:val="18"/>
                  </w:rPr>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26001pt;margin-top:524.630005pt;width:11.15pt;height:11pt;mso-position-horizontal-relative:page;mso-position-vertical-relative:page;z-index:-9829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60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160004pt;margin-top:771.22998pt;width:13.15pt;height:11pt;mso-position-horizontal-relative:page;mso-position-vertical-relative:page;z-index:-9828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61</w:t>
                </w:r>
                <w:r>
                  <w:rPr/>
                  <w:fldChar w:fldCharType="end"/>
                </w:r>
                <w:r>
                  <w:rPr>
                    <w:rFonts w:ascii="Calibri"/>
                    <w:spacing w:val="-1"/>
                    <w:sz w:val="18"/>
                  </w:rPr>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160004pt;margin-top:771.22998pt;width:11.15pt;height:11pt;mso-position-horizontal-relative:page;mso-position-vertical-relative:page;z-index:-9828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70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160004pt;margin-top:771.22998pt;width:13.15pt;height:11pt;mso-position-horizontal-relative:page;mso-position-vertical-relative:page;z-index:-9828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71</w:t>
                </w:r>
                <w:r>
                  <w:rPr/>
                  <w:fldChar w:fldCharType="end"/>
                </w:r>
                <w:r>
                  <w:rPr>
                    <w:rFonts w:ascii="Calibri"/>
                    <w:spacing w:val="-1"/>
                    <w:sz w:val="18"/>
                  </w:rPr>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160004pt;margin-top:771.22998pt;width:11.15pt;height:11pt;mso-position-horizontal-relative:page;mso-position-vertical-relative:page;z-index:-9827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80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26001pt;margin-top:524.630005pt;width:13.15pt;height:11pt;mso-position-horizontal-relative:page;mso-position-vertical-relative:page;z-index:-9827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81</w:t>
                </w:r>
                <w:r>
                  <w:rPr/>
                  <w:fldChar w:fldCharType="end"/>
                </w:r>
                <w:r>
                  <w:rPr>
                    <w:rFonts w:ascii="Calibri"/>
                    <w:spacing w:val="-1"/>
                    <w:sz w:val="18"/>
                  </w:rPr>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160004pt;margin-top:771.22998pt;width:13.15pt;height:11pt;mso-position-horizontal-relative:page;mso-position-vertical-relative:page;z-index:-9826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86</w:t>
                </w:r>
                <w:r>
                  <w:rPr/>
                  <w:fldChar w:fldCharType="end"/>
                </w:r>
                <w:r>
                  <w:rPr>
                    <w:rFonts w:ascii="Calibri"/>
                    <w:spacing w:val="-1"/>
                    <w:sz w:val="18"/>
                  </w:rPr>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239990pt;margin-top:771.22998pt;width:11.15pt;height:11pt;mso-position-horizontal-relative:page;mso-position-vertical-relative:page;z-index:-9832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10</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160004pt;margin-top:771.22998pt;width:11.15pt;height:11pt;mso-position-horizontal-relative:page;mso-position-vertical-relative:page;z-index:-9826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90</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160004pt;margin-top:771.22998pt;width:13.15pt;height:11pt;mso-position-horizontal-relative:page;mso-position-vertical-relative:page;z-index:-9826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91</w:t>
                </w:r>
                <w:r>
                  <w:rPr/>
                  <w:fldChar w:fldCharType="end"/>
                </w:r>
                <w:r>
                  <w:rPr>
                    <w:rFonts w:ascii="Calibri"/>
                    <w:spacing w:val="-1"/>
                    <w:sz w:val="18"/>
                  </w:rPr>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880005pt;margin-top:771.22998pt;width:15.7pt;height:11pt;mso-position-horizontal-relative:page;mso-position-vertical-relative:page;z-index:-9825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100</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880005pt;margin-top:771.22998pt;width:17.7pt;height:11pt;mso-position-horizontal-relative:page;mso-position-vertical-relative:page;z-index:-9825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101</w:t>
                </w:r>
                <w:r>
                  <w:rPr/>
                  <w:fldChar w:fldCharType="end"/>
                </w:r>
                <w:r>
                  <w:rPr>
                    <w:rFonts w:ascii="Calibri"/>
                    <w:spacing w:val="-1"/>
                    <w:sz w:val="18"/>
                  </w:rPr>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880005pt;margin-top:771.22998pt;width:15.7pt;height:11pt;mso-position-horizontal-relative:page;mso-position-vertical-relative:page;z-index:-9825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110</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880005pt;margin-top:771.22998pt;width:17.7pt;height:11pt;mso-position-horizontal-relative:page;mso-position-vertical-relative:page;z-index:-9825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111</w:t>
                </w:r>
                <w:r>
                  <w:rPr/>
                  <w:fldChar w:fldCharType="end"/>
                </w:r>
                <w:r>
                  <w:rPr>
                    <w:rFonts w:ascii="Calibri"/>
                    <w:spacing w:val="-1"/>
                    <w:sz w:val="18"/>
                  </w:rPr>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880005pt;margin-top:771.22998pt;width:15.7pt;height:11pt;mso-position-horizontal-relative:page;mso-position-vertical-relative:page;z-index:-9824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120</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880005pt;margin-top:771.22998pt;width:17.7pt;height:11pt;mso-position-horizontal-relative:page;mso-position-vertical-relative:page;z-index:-9824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121</w:t>
                </w:r>
                <w:r>
                  <w:rPr/>
                  <w:fldChar w:fldCharType="end"/>
                </w:r>
                <w:r>
                  <w:rPr>
                    <w:rFonts w:ascii="Calibri"/>
                    <w:spacing w:val="-1"/>
                    <w:sz w:val="18"/>
                  </w:rPr>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9.980011pt;margin-top:524.630005pt;width:17.7pt;height:11pt;mso-position-horizontal-relative:page;mso-position-vertical-relative:page;z-index:-9823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127</w:t>
                </w:r>
                <w:r>
                  <w:rPr/>
                  <w:fldChar w:fldCharType="end"/>
                </w:r>
                <w:r>
                  <w:rPr>
                    <w:rFonts w:ascii="Calibri"/>
                    <w:spacing w:val="-1"/>
                    <w:sz w:val="18"/>
                  </w:rPr>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880005pt;margin-top:771.22998pt;width:16.7pt;height:11pt;mso-position-horizontal-relative:page;mso-position-vertical-relative:page;z-index:-9823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w:t>
                </w:r>
                <w:r>
                  <w:rPr/>
                  <w:fldChar w:fldCharType="end"/>
                </w:r>
                <w:r>
                  <w:rPr>
                    <w:rFonts w:ascii="Calibri"/>
                    <w:sz w:val="18"/>
                  </w:rPr>
                  <w:t>9</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239990pt;margin-top:771.22998pt;width:13.15pt;height:11pt;mso-position-horizontal-relative:page;mso-position-vertical-relative:page;z-index:-9832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w:t>
                </w:r>
                <w:r>
                  <w:rPr/>
                  <w:fldChar w:fldCharType="end"/>
                </w:r>
                <w:r>
                  <w:rPr>
                    <w:rFonts w:ascii="Calibri"/>
                    <w:spacing w:val="-1"/>
                    <w:sz w:val="18"/>
                  </w:rPr>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880005pt;margin-top:771.22998pt;width:17.7pt;height:11pt;mso-position-horizontal-relative:page;mso-position-vertical-relative:page;z-index:-982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131</w:t>
                </w:r>
                <w:r>
                  <w:rPr/>
                  <w:fldChar w:fldCharType="end"/>
                </w:r>
                <w:r>
                  <w:rPr>
                    <w:rFonts w:ascii="Calibri"/>
                    <w:spacing w:val="-1"/>
                    <w:sz w:val="18"/>
                  </w:rPr>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880005pt;margin-top:771.22998pt;width:15.7pt;height:11pt;mso-position-horizontal-relative:page;mso-position-vertical-relative:page;z-index:-9822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140</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880005pt;margin-top:771.22998pt;width:17.7pt;height:11pt;mso-position-horizontal-relative:page;mso-position-vertical-relative:page;z-index:-9822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141</w:t>
                </w:r>
                <w:r>
                  <w:rPr/>
                  <w:fldChar w:fldCharType="end"/>
                </w:r>
                <w:r>
                  <w:rPr>
                    <w:rFonts w:ascii="Calibri"/>
                    <w:spacing w:val="-1"/>
                    <w:sz w:val="18"/>
                  </w:rPr>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880005pt;margin-top:771.22998pt;width:15.7pt;height:11pt;mso-position-horizontal-relative:page;mso-position-vertical-relative:page;z-index:-9822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150</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880005pt;margin-top:771.22998pt;width:17.7pt;height:11pt;mso-position-horizontal-relative:page;mso-position-vertical-relative:page;z-index:-9821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151</w:t>
                </w:r>
                <w:r>
                  <w:rPr/>
                  <w:fldChar w:fldCharType="end"/>
                </w:r>
                <w:r>
                  <w:rPr>
                    <w:rFonts w:ascii="Calibri"/>
                    <w:spacing w:val="-1"/>
                    <w:sz w:val="18"/>
                  </w:rPr>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880005pt;margin-top:771.22998pt;width:15.7pt;height:11pt;mso-position-horizontal-relative:page;mso-position-vertical-relative:page;z-index:-9821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160</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880005pt;margin-top:771.22998pt;width:17.7pt;height:11pt;mso-position-horizontal-relative:page;mso-position-vertical-relative:page;z-index:-9821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161</w:t>
                </w:r>
                <w:r>
                  <w:rPr/>
                  <w:fldChar w:fldCharType="end"/>
                </w:r>
                <w:r>
                  <w:rPr>
                    <w:rFonts w:ascii="Calibri"/>
                    <w:spacing w:val="-1"/>
                    <w:sz w:val="18"/>
                  </w:rPr>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880005pt;margin-top:771.22998pt;width:15.7pt;height:11pt;mso-position-horizontal-relative:page;mso-position-vertical-relative:page;z-index:-9821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170</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880005pt;margin-top:771.22998pt;width:17.7pt;height:11pt;mso-position-horizontal-relative:page;mso-position-vertical-relative:page;z-index:-9820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171</w:t>
                </w:r>
                <w:r>
                  <w:rPr/>
                  <w:fldChar w:fldCharType="end"/>
                </w:r>
                <w:r>
                  <w:rPr>
                    <w:rFonts w:ascii="Calibri"/>
                    <w:spacing w:val="-1"/>
                    <w:sz w:val="18"/>
                  </w:rPr>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880005pt;margin-top:771.22998pt;width:15.7pt;height:11pt;mso-position-horizontal-relative:page;mso-position-vertical-relative:page;z-index:-9820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180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239990pt;margin-top:771.22998pt;width:11.15pt;height:11pt;mso-position-horizontal-relative:page;mso-position-vertical-relative:page;z-index:-9832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20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239990pt;margin-top:771.22998pt;width:13.15pt;height:11pt;mso-position-horizontal-relative:page;mso-position-vertical-relative:page;z-index:-9831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21</w:t>
                </w:r>
                <w:r>
                  <w:rPr/>
                  <w:fldChar w:fldCharType="end"/>
                </w:r>
                <w:r>
                  <w:rPr>
                    <w:rFonts w:ascii="Calibri"/>
                    <w:spacing w:val="-1"/>
                    <w:sz w:val="18"/>
                  </w:rPr>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160004pt;margin-top:771.22998pt;width:11.15pt;height:11pt;mso-position-horizontal-relative:page;mso-position-vertical-relative:page;z-index:-9831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30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160004pt;margin-top:771.22998pt;width:13.15pt;height:11pt;mso-position-horizontal-relative:page;mso-position-vertical-relative:page;z-index:-9831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31</w:t>
                </w:r>
                <w:r>
                  <w:rPr/>
                  <w:fldChar w:fldCharType="end"/>
                </w:r>
                <w:r>
                  <w:rPr>
                    <w:rFonts w:ascii="Calibri"/>
                    <w:spacing w:val="-1"/>
                    <w:sz w:val="18"/>
                  </w:rPr>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160004pt;margin-top:771.22998pt;width:11.15pt;height:11pt;mso-position-horizontal-relative:page;mso-position-vertical-relative:page;z-index:-9831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40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160004pt;margin-top:771.22998pt;width:13.15pt;height:11pt;mso-position-horizontal-relative:page;mso-position-vertical-relative:page;z-index:-9830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41</w:t>
                </w:r>
                <w:r>
                  <w:rPr/>
                  <w:fldChar w:fldCharType="end"/>
                </w:r>
                <w:r>
                  <w:rPr>
                    <w:rFonts w:ascii="Calibri"/>
                    <w:spacing w:val="-1"/>
                    <w:sz w:val="18"/>
                  </w:rPr>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799984pt;width:449.05pt;height:.1pt;mso-position-horizontal-relative:page;mso-position-vertical-relative:page;z-index:-983320" coordorigin="1495,1116" coordsize="8981,2">
          <v:shape style="position:absolute;left:1495;top:1116;width:8981;height:2" coordorigin="1495,1116" coordsize="8981,0" path="m1495,1116l10476,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01.399994pt;margin-top:43.105606pt;width:195.8pt;height:12pt;mso-position-horizontal-relative:page;mso-position-vertical-relative:page;z-index:-9832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北京华胜天成科技股份有限公司</w:t>
                </w:r>
                <w:r>
                  <w:rPr>
                    <w:rFonts w:ascii="宋体" w:hAnsi="宋体" w:cs="宋体" w:eastAsia="宋体" w:hint="default"/>
                    <w:spacing w:val="-47"/>
                    <w:sz w:val="18"/>
                    <w:szCs w:val="18"/>
                  </w:rPr>
                  <w:t> </w:t>
                </w: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00007pt;width:695.65pt;height:.1pt;mso-position-horizontal-relative:page;mso-position-vertical-relative:page;z-index:-983008" coordorigin="1410,1116" coordsize="13913,2">
          <v:shape style="position:absolute;left:1410;top:1116;width:13913;height:2" coordorigin="1410,1116" coordsize="13913,0" path="m1410,1116l15323,1116e" filled="false" stroked="true" strokeweight=".72pt" strokecolor="#000000">
            <v:path arrowok="t"/>
          </v:shape>
          <w10:wrap type="none"/>
        </v:group>
      </w:pict>
    </w:r>
    <w:r>
      <w:rPr/>
      <w:pict>
        <v:shape style="position:absolute;margin-left:320.440002pt;margin-top:43.105633pt;width:195.8pt;height:12pt;mso-position-horizontal-relative:page;mso-position-vertical-relative:page;z-index:-9829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北京华胜天成科技股份有限公司</w:t>
                </w:r>
                <w:r>
                  <w:rPr>
                    <w:rFonts w:ascii="宋体" w:hAnsi="宋体" w:cs="宋体" w:eastAsia="宋体" w:hint="default"/>
                    <w:spacing w:val="-47"/>
                    <w:sz w:val="18"/>
                    <w:szCs w:val="18"/>
                  </w:rPr>
                  <w:t> </w:t>
                </w: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65pt;height:.1pt;mso-position-horizontal-relative:page;mso-position-vertical-relative:page;z-index:-982912"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 style="position:absolute;margin-left:212.320007pt;margin-top:42.865608pt;width:195.8pt;height:12pt;mso-position-horizontal-relative:page;mso-position-vertical-relative:page;z-index:-98288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北京华胜天成科技股份有限公司</w:t>
                </w:r>
                <w:r>
                  <w:rPr>
                    <w:rFonts w:ascii="宋体" w:hAnsi="宋体" w:cs="宋体" w:eastAsia="宋体" w:hint="default"/>
                    <w:spacing w:val="-47"/>
                    <w:sz w:val="18"/>
                    <w:szCs w:val="18"/>
                  </w:rPr>
                  <w:t> </w:t>
                </w: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620007pt;width:695.65pt;height:.1pt;mso-position-horizontal-relative:page;mso-position-vertical-relative:page;z-index:-982768" coordorigin="1410,1112" coordsize="13913,2">
          <v:shape style="position:absolute;left:1410;top:1112;width:13913;height:2" coordorigin="1410,1112" coordsize="13913,0" path="m1410,1112l15323,1112e" filled="false" stroked="true" strokeweight=".72pt" strokecolor="#000000">
            <v:path arrowok="t"/>
          </v:shape>
          <w10:wrap type="none"/>
        </v:group>
      </w:pict>
    </w:r>
    <w:r>
      <w:rPr/>
      <w:pict>
        <v:shape style="position:absolute;margin-left:320.440002pt;margin-top:42.865631pt;width:195.8pt;height:12pt;mso-position-horizontal-relative:page;mso-position-vertical-relative:page;z-index:-9827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北京华胜天成科技股份有限公司</w:t>
                </w:r>
                <w:r>
                  <w:rPr>
                    <w:rFonts w:ascii="宋体" w:hAnsi="宋体" w:cs="宋体" w:eastAsia="宋体" w:hint="default"/>
                    <w:spacing w:val="-47"/>
                    <w:sz w:val="18"/>
                    <w:szCs w:val="18"/>
                  </w:rPr>
                  <w:t> </w:t>
                </w: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982696"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12.320007pt;margin-top:43.105606pt;width:195.8pt;height:12pt;mso-position-horizontal-relative:page;mso-position-vertical-relative:page;z-index:-9826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北京华胜天成科技股份有限公司</w:t>
                </w:r>
                <w:r>
                  <w:rPr>
                    <w:rFonts w:ascii="宋体" w:hAnsi="宋体" w:cs="宋体" w:eastAsia="宋体" w:hint="default"/>
                    <w:spacing w:val="-47"/>
                    <w:sz w:val="18"/>
                    <w:szCs w:val="18"/>
                  </w:rPr>
                  <w:t> </w:t>
                </w: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60008pt;width:695.65pt;height:.1pt;mso-position-horizontal-relative:page;mso-position-vertical-relative:page;z-index:-982432" coordorigin="1410,1117" coordsize="13913,2">
          <v:shape style="position:absolute;left:1410;top:1117;width:13913;height:2" coordorigin="1410,1117" coordsize="13913,0" path="m1410,1117l15323,1117e" filled="false" stroked="true" strokeweight=".72pt" strokecolor="#000000">
            <v:path arrowok="t"/>
          </v:shape>
          <w10:wrap type="none"/>
        </v:group>
      </w:pict>
    </w:r>
    <w:r>
      <w:rPr/>
      <w:pict>
        <v:shape style="position:absolute;margin-left:320.440002pt;margin-top:43.105633pt;width:195.8pt;height:12pt;mso-position-horizontal-relative:page;mso-position-vertical-relative:page;z-index:-9824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北京华胜天成科技股份有限公司</w:t>
                </w:r>
                <w:r>
                  <w:rPr>
                    <w:rFonts w:ascii="宋体" w:hAnsi="宋体" w:cs="宋体" w:eastAsia="宋体" w:hint="default"/>
                    <w:spacing w:val="-47"/>
                    <w:sz w:val="18"/>
                    <w:szCs w:val="18"/>
                  </w:rPr>
                  <w:t> </w:t>
                </w: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982360"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12.320007pt;margin-top:43.105606pt;width:195.8pt;height:12pt;mso-position-horizontal-relative:page;mso-position-vertical-relative:page;z-index:-9823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北京华胜天成科技股份有限公司</w:t>
                </w:r>
                <w:r>
                  <w:rPr>
                    <w:rFonts w:ascii="宋体" w:hAnsi="宋体" w:cs="宋体" w:eastAsia="宋体" w:hint="default"/>
                    <w:spacing w:val="-47"/>
                    <w:sz w:val="18"/>
                    <w:szCs w:val="18"/>
                  </w:rPr>
                  <w:t> </w:t>
                </w: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ind w:left="145"/>
    </w:pPr>
    <w:rPr>
      <w:rFonts w:ascii="宋体" w:hAnsi="宋体" w:eastAsia="宋体"/>
      <w:sz w:val="28"/>
      <w:szCs w:val="28"/>
    </w:rPr>
  </w:style>
  <w:style w:styleId="BodyText" w:type="paragraph">
    <w:name w:val="Body Text"/>
    <w:basedOn w:val="Normal"/>
    <w:uiPriority w:val="1"/>
    <w:qFormat/>
    <w:pPr>
      <w:ind w:left="138"/>
    </w:pPr>
    <w:rPr>
      <w:rFonts w:ascii="宋体" w:hAnsi="宋体" w:eastAsia="宋体"/>
      <w:sz w:val="24"/>
      <w:szCs w:val="24"/>
    </w:rPr>
  </w:style>
  <w:style w:styleId="Heading1" w:type="paragraph">
    <w:name w:val="Heading 1"/>
    <w:basedOn w:val="Normal"/>
    <w:uiPriority w:val="1"/>
    <w:qFormat/>
    <w:pPr>
      <w:spacing w:before="13"/>
      <w:outlineLvl w:val="1"/>
    </w:pPr>
    <w:rPr>
      <w:rFonts w:ascii="宋体" w:hAnsi="宋体" w:eastAsia="宋体"/>
      <w:b/>
      <w:bCs/>
      <w:sz w:val="28"/>
      <w:szCs w:val="28"/>
    </w:rPr>
  </w:style>
  <w:style w:styleId="Heading2" w:type="paragraph">
    <w:name w:val="Heading 2"/>
    <w:basedOn w:val="Normal"/>
    <w:uiPriority w:val="1"/>
    <w:qFormat/>
    <w:pPr>
      <w:spacing w:before="26"/>
      <w:ind w:left="218"/>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securities@teamsun.com.cn" TargetMode="External"/><Relationship Id="rId8" Type="http://schemas.openxmlformats.org/officeDocument/2006/relationships/hyperlink" Target="http://www.teamsun.com.cn/" TargetMode="External"/><Relationship Id="rId9" Type="http://schemas.openxmlformats.org/officeDocument/2006/relationships/hyperlink" Target="http://www.sse.com.cn/"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footer" Target="footer11.xml"/><Relationship Id="rId20" Type="http://schemas.openxmlformats.org/officeDocument/2006/relationships/image" Target="media/image1.png"/><Relationship Id="rId21" Type="http://schemas.openxmlformats.org/officeDocument/2006/relationships/header" Target="header2.xml"/><Relationship Id="rId22" Type="http://schemas.openxmlformats.org/officeDocument/2006/relationships/footer" Target="footer12.xml"/><Relationship Id="rId23" Type="http://schemas.openxmlformats.org/officeDocument/2006/relationships/footer" Target="footer13.xml"/><Relationship Id="rId24" Type="http://schemas.openxmlformats.org/officeDocument/2006/relationships/header" Target="header3.xml"/><Relationship Id="rId25" Type="http://schemas.openxmlformats.org/officeDocument/2006/relationships/footer" Target="footer14.xml"/><Relationship Id="rId26" Type="http://schemas.openxmlformats.org/officeDocument/2006/relationships/image" Target="media/image2.png"/><Relationship Id="rId27" Type="http://schemas.openxmlformats.org/officeDocument/2006/relationships/image" Target="media/image3.png"/><Relationship Id="rId28" Type="http://schemas.openxmlformats.org/officeDocument/2006/relationships/footer" Target="footer15.xml"/><Relationship Id="rId29" Type="http://schemas.openxmlformats.org/officeDocument/2006/relationships/footer" Target="footer16.xml"/><Relationship Id="rId30" Type="http://schemas.openxmlformats.org/officeDocument/2006/relationships/footer" Target="footer17.xml"/><Relationship Id="rId31" Type="http://schemas.openxmlformats.org/officeDocument/2006/relationships/header" Target="header4.xml"/><Relationship Id="rId32" Type="http://schemas.openxmlformats.org/officeDocument/2006/relationships/footer" Target="footer18.xml"/><Relationship Id="rId33" Type="http://schemas.openxmlformats.org/officeDocument/2006/relationships/header" Target="header5.xml"/><Relationship Id="rId34" Type="http://schemas.openxmlformats.org/officeDocument/2006/relationships/footer" Target="footer19.xml"/><Relationship Id="rId35" Type="http://schemas.openxmlformats.org/officeDocument/2006/relationships/footer" Target="footer20.xml"/><Relationship Id="rId36" Type="http://schemas.openxmlformats.org/officeDocument/2006/relationships/footer" Target="footer21.xml"/><Relationship Id="rId37" Type="http://schemas.openxmlformats.org/officeDocument/2006/relationships/footer" Target="footer22.xml"/><Relationship Id="rId38" Type="http://schemas.openxmlformats.org/officeDocument/2006/relationships/footer" Target="footer23.xml"/><Relationship Id="rId39" Type="http://schemas.openxmlformats.org/officeDocument/2006/relationships/footer" Target="footer24.xml"/><Relationship Id="rId40" Type="http://schemas.openxmlformats.org/officeDocument/2006/relationships/footer" Target="footer25.xml"/><Relationship Id="rId41" Type="http://schemas.openxmlformats.org/officeDocument/2006/relationships/footer" Target="footer26.xml"/><Relationship Id="rId42" Type="http://schemas.openxmlformats.org/officeDocument/2006/relationships/footer" Target="footer27.xml"/><Relationship Id="rId43" Type="http://schemas.openxmlformats.org/officeDocument/2006/relationships/header" Target="header6.xml"/><Relationship Id="rId44" Type="http://schemas.openxmlformats.org/officeDocument/2006/relationships/footer" Target="footer28.xml"/><Relationship Id="rId45" Type="http://schemas.openxmlformats.org/officeDocument/2006/relationships/header" Target="header7.xml"/><Relationship Id="rId46" Type="http://schemas.openxmlformats.org/officeDocument/2006/relationships/footer" Target="footer29.xml"/><Relationship Id="rId47" Type="http://schemas.openxmlformats.org/officeDocument/2006/relationships/footer" Target="footer30.xml"/><Relationship Id="rId48" Type="http://schemas.openxmlformats.org/officeDocument/2006/relationships/footer" Target="footer31.xml"/><Relationship Id="rId49" Type="http://schemas.openxmlformats.org/officeDocument/2006/relationships/footer" Target="footer32.xml"/><Relationship Id="rId50" Type="http://schemas.openxmlformats.org/officeDocument/2006/relationships/footer" Target="footer33.xml"/><Relationship Id="rId51" Type="http://schemas.openxmlformats.org/officeDocument/2006/relationships/footer" Target="footer34.xml"/><Relationship Id="rId52" Type="http://schemas.openxmlformats.org/officeDocument/2006/relationships/footer" Target="footer35.xml"/><Relationship Id="rId53" Type="http://schemas.openxmlformats.org/officeDocument/2006/relationships/footer" Target="footer36.xml"/><Relationship Id="rId54" Type="http://schemas.openxmlformats.org/officeDocument/2006/relationships/footer" Target="footer37.xml"/><Relationship Id="rId55" Type="http://schemas.openxmlformats.org/officeDocument/2006/relationships/footer" Target="footer38.xml"/><Relationship Id="rId56" Type="http://schemas.openxmlformats.org/officeDocument/2006/relationships/footer" Target="footer3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2020-05-06T21:40:02Z</dcterms:created>
  <dcterms:modified xsi:type="dcterms:W3CDTF">2020-05-06T21:40:02Z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2015-04-09T00:00:00Z</vt:filetime>
  </property>
  <property fmtid="{D5CDD505-2E9C-101B-9397-08002B2CF9AE}" pid="3" name="Creator">
    <vt:lpwstr>Microsoft® Office Word 2007</vt:lpwstr>
  </property>
  <property fmtid="{D5CDD505-2E9C-101B-9397-08002B2CF9AE}" pid="4" name="LastSaved">
    <vt:filetime>2020-05-06T00:00:00Z</vt:filetime>
  </property>
</Properties>
</file>